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i w:val="0"/>
          <w:sz w:val="18"/>
        </w:rPr>
        <w:t>PRIVILEGED &amp; CONFIDENTIAL — ATTORNEY WORK PRODUCT — DRAFT FOR PARTNER REVIEW</w:t>
      </w:r>
    </w:p>
    <w:p>
      <w:pPr>
        <w:spacing w:after="40"/>
        <w:jc w:val="center"/>
      </w:pPr>
      <w:r>
        <w:rPr>
          <w:b/>
          <w:i w:val="0"/>
          <w:sz w:val="36"/>
        </w:rPr>
        <w:t>PPA DEVIATION REPORT</w:t>
      </w:r>
    </w:p>
    <w:p>
      <w:pPr>
        <w:spacing w:after="40"/>
        <w:jc w:val="center"/>
      </w:pPr>
      <w:r>
        <w:rPr>
          <w:b/>
          <w:i w:val="0"/>
          <w:sz w:val="24"/>
        </w:rPr>
        <w:t>Prairie Crest Wind Project (250 MW, Osage County, Oklahoma)</w:t>
      </w:r>
    </w:p>
    <w:p>
      <w:pPr>
        <w:spacing w:after="200"/>
        <w:jc w:val="center"/>
      </w:pPr>
      <w:r>
        <w:rPr>
          <w:b w:val="0"/>
          <w:i/>
          <w:sz w:val="20"/>
        </w:rPr>
        <w:t>Executed Power Purchase Agreement (Feb. 4, 2025) compared against Binding Term Sheet (Nov. 8, 2024) and Negotiation Summary (Jan. 22, 2025), with Financial Close Risk Assessment against the Ridgeline Tax Equity Due Diligence Checklist</w:t>
      </w:r>
    </w:p>
    <w:tbl>
      <w:tblPr>
        <w:tblStyle w:val="TableGrid"/>
        <w:tblW w:type="auto" w:w="0"/>
        <w:tblLook w:firstColumn="1" w:firstRow="1" w:lastColumn="0" w:lastRow="0" w:noHBand="0" w:noVBand="1" w:val="04A0"/>
      </w:tblPr>
      <w:tblGrid>
        <w:gridCol w:w="4824"/>
        <w:gridCol w:w="4824"/>
      </w:tblGrid>
      <w:tr>
        <w:tc>
          <w:tcPr>
            <w:tcW w:type="dxa" w:w="2304"/>
            <w:shd w:val="clear" w:color="auto" w:fill="DEEAF6"/>
          </w:tcPr>
          <w:p>
            <w:r/>
            <w:r>
              <w:rPr>
                <w:b/>
                <w:i w:val="0"/>
                <w:sz w:val="18"/>
              </w:rPr>
              <w:t>To</w:t>
            </w:r>
          </w:p>
        </w:tc>
        <w:tc>
          <w:tcPr>
            <w:tcW w:type="dxa" w:w="7344"/>
          </w:tcPr>
          <w:p>
            <w:r/>
            <w:r>
              <w:rPr>
                <w:b w:val="0"/>
                <w:i w:val="0"/>
                <w:sz w:val="18"/>
              </w:rPr>
              <w:t>Catherine Ainsworth, Ryan Matsuda — Thornfield &amp; Marsh LLP (counsel to Seller)</w:t>
            </w:r>
          </w:p>
        </w:tc>
      </w:tr>
      <w:tr>
        <w:tc>
          <w:tcPr>
            <w:tcW w:type="dxa" w:w="2304"/>
            <w:shd w:val="clear" w:color="auto" w:fill="DEEAF6"/>
          </w:tcPr>
          <w:p>
            <w:r/>
            <w:r>
              <w:rPr>
                <w:b/>
                <w:i w:val="0"/>
                <w:sz w:val="18"/>
              </w:rPr>
              <w:t>Client</w:t>
            </w:r>
          </w:p>
        </w:tc>
        <w:tc>
          <w:tcPr>
            <w:tcW w:type="dxa" w:w="7344"/>
          </w:tcPr>
          <w:p>
            <w:r/>
            <w:r>
              <w:rPr>
                <w:b w:val="0"/>
                <w:i w:val="0"/>
                <w:sz w:val="18"/>
              </w:rPr>
              <w:t>Crescent Ridge Wind Partners LLC (Seller), a wholly owned subsidiary of Verdana Renewable Holdings Inc.</w:t>
            </w:r>
          </w:p>
        </w:tc>
      </w:tr>
      <w:tr>
        <w:tc>
          <w:tcPr>
            <w:tcW w:type="dxa" w:w="2304"/>
            <w:shd w:val="clear" w:color="auto" w:fill="DEEAF6"/>
          </w:tcPr>
          <w:p>
            <w:r/>
            <w:r>
              <w:rPr>
                <w:b/>
                <w:i w:val="0"/>
                <w:sz w:val="18"/>
              </w:rPr>
              <w:t>Counterparty</w:t>
            </w:r>
          </w:p>
        </w:tc>
        <w:tc>
          <w:tcPr>
            <w:tcW w:type="dxa" w:w="7344"/>
          </w:tcPr>
          <w:p>
            <w:r/>
            <w:r>
              <w:rPr>
                <w:b w:val="0"/>
                <w:i w:val="0"/>
                <w:sz w:val="18"/>
              </w:rPr>
              <w:t>Lakeshore Municipal Electric Authority (Buyer); Buyer’s counsel Prescott &amp; Hale LLP (Jeffrey Langdon)</w:t>
            </w:r>
          </w:p>
        </w:tc>
      </w:tr>
      <w:tr>
        <w:tc>
          <w:tcPr>
            <w:tcW w:type="dxa" w:w="2304"/>
            <w:shd w:val="clear" w:color="auto" w:fill="DEEAF6"/>
          </w:tcPr>
          <w:p>
            <w:r/>
            <w:r>
              <w:rPr>
                <w:b/>
                <w:i w:val="0"/>
                <w:sz w:val="18"/>
              </w:rPr>
              <w:t>Use</w:t>
            </w:r>
          </w:p>
        </w:tc>
        <w:tc>
          <w:tcPr>
            <w:tcW w:type="dxa" w:w="7344"/>
          </w:tcPr>
          <w:p>
            <w:r/>
            <w:r>
              <w:rPr>
                <w:b w:val="0"/>
                <w:i w:val="0"/>
                <w:sz w:val="18"/>
              </w:rPr>
              <w:t xml:space="preserve">Responds to Tax Equity DD Checklist Item 12 (PPA deviation analysis) and cross-referenced Items 15, 16, 18, 22, 30, 31, 34, 37, 40, 43, 44. Deviation report due to Ridgeline Capital Partners (Priya Venkataraman) by </w:t>
            </w:r>
            <w:r>
              <w:rPr>
                <w:b/>
                <w:i w:val="0"/>
                <w:sz w:val="18"/>
              </w:rPr>
              <w:t>March 14, 2025</w:t>
            </w:r>
            <w:r>
              <w:rPr>
                <w:b w:val="0"/>
                <w:i w:val="0"/>
                <w:sz w:val="18"/>
              </w:rPr>
              <w:t xml:space="preserve">; target financial close </w:t>
            </w:r>
            <w:r>
              <w:rPr>
                <w:b/>
                <w:i w:val="0"/>
                <w:sz w:val="18"/>
              </w:rPr>
              <w:t>April 15, 2025</w:t>
            </w:r>
            <w:r>
              <w:rPr>
                <w:b w:val="0"/>
                <w:i w:val="0"/>
                <w:sz w:val="18"/>
              </w:rPr>
              <w:t xml:space="preserve"> (Ridgeline $116.25M tax equity; Elkhorn Infrastructure Credit $232.5M construction/term loan).</w:t>
            </w:r>
          </w:p>
        </w:tc>
      </w:tr>
      <w:tr>
        <w:tc>
          <w:tcPr>
            <w:tcW w:type="dxa" w:w="2304"/>
            <w:shd w:val="clear" w:color="auto" w:fill="DEEAF6"/>
          </w:tcPr>
          <w:p>
            <w:r/>
            <w:r>
              <w:rPr>
                <w:b/>
                <w:i w:val="0"/>
                <w:sz w:val="18"/>
              </w:rPr>
              <w:t>Distribution note</w:t>
            </w:r>
          </w:p>
        </w:tc>
        <w:tc>
          <w:tcPr>
            <w:tcW w:type="dxa" w:w="7344"/>
          </w:tcPr>
          <w:p>
            <w:r/>
            <w:r>
              <w:rPr>
                <w:b w:val="0"/>
                <w:i w:val="0"/>
                <w:sz w:val="18"/>
              </w:rPr>
              <w:t>This draft contains candid internal assessments (including of the negotiation record). A Ridgeline-facing version should be derived from Sections 3, 4 and 6 after partner review; Section 5 commentary on negotiating leverage should not be forwarded.</w:t>
            </w:r>
          </w:p>
        </w:tc>
      </w:tr>
    </w:tbl>
    <w:p>
      <w:pPr>
        <w:spacing w:after="40"/>
      </w:pPr>
    </w:p>
    <w:p>
      <w:pPr>
        <w:pStyle w:val="Heading1"/>
      </w:pPr>
      <w:r>
        <w:t>1. Executive Summary</w:t>
      </w:r>
    </w:p>
    <w:p>
      <w:pPr>
        <w:spacing w:after="120"/>
      </w:pPr>
      <w:r>
        <w:rPr>
          <w:b/>
          <w:i w:val="0"/>
        </w:rPr>
        <w:t>Bottom line.</w:t>
      </w:r>
      <w:r>
        <w:rPr>
          <w:b w:val="0"/>
          <w:i w:val="0"/>
        </w:rPr>
        <w:t xml:space="preserve"> The executed PPA does </w:t>
      </w:r>
      <w:r>
        <w:rPr>
          <w:b/>
          <w:i w:val="0"/>
        </w:rPr>
        <w:t>not</w:t>
      </w:r>
      <w:r>
        <w:rPr>
          <w:b w:val="0"/>
          <w:i w:val="0"/>
        </w:rPr>
        <w:t xml:space="preserve"> conform to the Binding Term Sheet in all material respects, and Checklist Item 12 cannot be answered “consistent.” We identified </w:t>
      </w:r>
      <w:r>
        <w:rPr>
          <w:b/>
          <w:i w:val="0"/>
        </w:rPr>
        <w:t>26 deviations</w:t>
      </w:r>
      <w:r>
        <w:rPr>
          <w:b w:val="0"/>
          <w:i w:val="0"/>
        </w:rPr>
        <w:t xml:space="preserve"> plus a set of ancillary drafting inconsistencies. Only </w:t>
      </w:r>
      <w:r>
        <w:rPr>
          <w:b/>
          <w:i w:val="0"/>
        </w:rPr>
        <w:t>two</w:t>
      </w:r>
      <w:r>
        <w:rPr>
          <w:b w:val="0"/>
          <w:i w:val="0"/>
        </w:rPr>
        <w:t xml:space="preserve"> (the 75% performance guarantee threshold and the 50% shortfall LD rate) are deviations Seller actually agreed to; </w:t>
      </w:r>
      <w:r>
        <w:rPr>
          <w:b/>
          <w:i w:val="0"/>
        </w:rPr>
        <w:t>two more</w:t>
      </w:r>
      <w:r>
        <w:rPr>
          <w:b w:val="0"/>
          <w:i w:val="0"/>
        </w:rPr>
        <w:t xml:space="preserve"> (excess-REC retention and March 1, 2026 early COD) were still “being discussed” as of January 22 and appear in the executed PPA without any confirmed agreement trail. </w:t>
      </w:r>
      <w:r>
        <w:rPr>
          <w:b/>
          <w:i w:val="0"/>
        </w:rPr>
        <w:t>Every other deviation is either contrary to positions Seller expressly held in negotiations or a new term the Term Sheet did not contemplate</w:t>
      </w:r>
      <w:r>
        <w:rPr>
          <w:b w:val="0"/>
          <w:i w:val="0"/>
        </w:rPr>
        <w:t>, and nearly all of them cut against Seller.</w:t>
      </w:r>
    </w:p>
    <w:p>
      <w:pPr>
        <w:spacing w:after="120"/>
      </w:pPr>
      <w:r>
        <w:rPr>
          <w:b/>
          <w:i w:val="0"/>
        </w:rPr>
        <w:t>Financial close risk: RED (high).</w:t>
      </w:r>
      <w:r>
        <w:rPr>
          <w:b w:val="0"/>
          <w:i w:val="0"/>
        </w:rPr>
        <w:t xml:space="preserve"> As executed, the PPA will not support an April 15, 2025 close with Ridgeline. Three issues are, in our view, independently close-blocking:</w:t>
      </w:r>
    </w:p>
    <w:p>
      <w:pPr>
        <w:pStyle w:val="ListBullet"/>
        <w:spacing w:after="60"/>
      </w:pPr>
      <w:r>
        <w:rPr>
          <w:b/>
          <w:i w:val="0"/>
        </w:rPr>
        <w:t>Tax equity excluded from “Financing Party” (D-1/D-2).</w:t>
      </w:r>
      <w:r>
        <w:rPr>
          <w:b w:val="0"/>
          <w:i w:val="0"/>
        </w:rPr>
        <w:t xml:space="preserve"> Exhibit A limits “Financing Party” to senior secured lenders and their agents; Exhibit H §8 goes further and expressly states that any assignment to a “tax equity investor, partnership-flip partner, or similar equity investor” requires Buyer consent under §17.1(b). Ridgeline therefore has no consent-free collateral assignment, cure, step-in or replacement-PPA rights. Ms. Kowalski’s summary records Ridgeline’s position that this is non-negotiable (“Ridgeline won’t close”). This is directly contrary to Term Sheet §1 and §15.1 and to Mr. Langdon’s January 17 assurance.</w:t>
      </w:r>
    </w:p>
    <w:p>
      <w:pPr>
        <w:pStyle w:val="ListBullet"/>
        <w:spacing w:after="60"/>
      </w:pPr>
      <w:r>
        <w:rPr>
          <w:b/>
          <w:i w:val="0"/>
        </w:rPr>
        <w:t>Admitting Ridgeline as a member may itself breach the PPA (D-3).</w:t>
      </w:r>
      <w:r>
        <w:rPr>
          <w:b w:val="0"/>
          <w:i w:val="0"/>
        </w:rPr>
        <w:t xml:space="preserve"> The partnership-flip requires amending and restating Seller’s LLC Agreement (Checklist Item 2). PPA §17.1(b) requires Buyer consent for any “change of control of Seller” (Term Sheet §15.3 required notice only), and Seller’s §11.1(g) representation that “no other Person holds any ownership interest in Seller” is deemed repeated at COD — a false repetition is an Event of Default under §18.1(b). Without a fix, the flip structure itself creates default exposure.</w:t>
      </w:r>
    </w:p>
    <w:p>
      <w:pPr>
        <w:pStyle w:val="ListBullet"/>
        <w:spacing w:after="60"/>
      </w:pPr>
      <w:r>
        <w:rPr>
          <w:b/>
          <w:i w:val="0"/>
        </w:rPr>
        <w:t>Exhibit B price table does not tie to the 1.5% escalator (D-4).</w:t>
      </w:r>
      <w:r>
        <w:rPr>
          <w:b w:val="0"/>
          <w:i w:val="0"/>
        </w:rPr>
        <w:t xml:space="preserve"> Exhibit B is built on an approximately </w:t>
      </w:r>
      <w:r>
        <w:rPr>
          <w:b/>
          <w:i w:val="0"/>
        </w:rPr>
        <w:t>2.0%</w:t>
      </w:r>
      <w:r>
        <w:rPr>
          <w:b w:val="0"/>
          <w:i w:val="0"/>
        </w:rPr>
        <w:t xml:space="preserve"> escalator (Year 6 $39.27 vs. $39.08 under the formula; Year 20 $51.80 vs. $48.13). At the Contract Quantity the table overstates Years 6–20 revenue by </w:t>
      </w:r>
      <w:r>
        <w:rPr>
          <w:b/>
          <w:i w:val="0"/>
        </w:rPr>
        <w:t>~$23.18 million nominal (~$9.58 million PV at 6%)</w:t>
      </w:r>
      <w:r>
        <w:rPr>
          <w:b w:val="0"/>
          <w:i w:val="0"/>
        </w:rPr>
        <w:t>. Section 4.2(a) says prices “shall be as set forth in” Exhibit B while §4.2(b) states the formula and §1.3 makes the body control — an internal conflict that Ridgeline’s model (Item 40) and Elkhorn’s base case cannot underwrite. The table must be corrected by amendment.</w:t>
      </w:r>
    </w:p>
    <w:p>
      <w:pPr>
        <w:spacing w:after="120"/>
      </w:pPr>
      <w:r>
        <w:rPr>
          <w:b w:val="0"/>
          <w:i w:val="0"/>
        </w:rPr>
        <w:t xml:space="preserve">Several further deviations will be treated by Ridgeline/Elkhorn as material even if not individually close-blocking: litigation in Osage County District Court instead of confidential AAA arbitration (D-11; Item 43); omission of the Buyer-bears-100% new-transmission-charge carve-out (D-10; Item 22); economic curtailment compensation at 80% rather than 90% (D-5); Delay LDs of $175,000/month capped at $2.5M rather than $125,000/month capped at $1.5M (D-6), combined with an evergreen Outside Date and Event-of-Default/termination-damages exposure that eliminates the Term Sheet’s sole-remedy construct (D-7); a 12-month (not 18-month) force majeure termination right (D-8); Availability LDs at $65,000 (not $50,000) per point and outside the 20% combined LD cap (D-12/D-13); and a performance bond due within 30 days of the Effective Date (i.e., by </w:t>
      </w:r>
      <w:r>
        <w:rPr>
          <w:b/>
          <w:i w:val="0"/>
        </w:rPr>
        <w:t>March 6, 2025</w:t>
      </w:r>
      <w:r>
        <w:rPr>
          <w:b w:val="0"/>
          <w:i w:val="0"/>
        </w:rPr>
        <w:t>) with no step-down (D-21/D-22).</w:t>
      </w:r>
    </w:p>
    <w:p>
      <w:pPr>
        <w:spacing w:after="120"/>
      </w:pPr>
      <w:r>
        <w:rPr>
          <w:b/>
          <w:i w:val="0"/>
        </w:rPr>
        <w:t>Why this cannot be fixed by pointing to the Term Sheet.</w:t>
      </w:r>
      <w:r>
        <w:rPr>
          <w:b w:val="0"/>
          <w:i w:val="0"/>
        </w:rPr>
        <w:t xml:space="preserve"> PPA §20.3 supersedes the Term Sheet “to the extent inconsistent,” the PPA recitals say the same, and Term Sheet §18.5 itself provides that the Definitive PPA controls in any conflict (the Term Sheet survives only as an aid to interpreting genuine ambiguity). The Term Sheet is therefore useful for D-4 (where the PPA is internally ambiguous) but not for the clear textual deviations. Each must be remedied by a written amendment signed by both Parties (§20.4), which for Buyer will likely require Board of Trustees action and compliance with public-meeting requirements (§11.2(b), (g)). That process is the critical path to April 15.</w:t>
      </w:r>
    </w:p>
    <w:p>
      <w:pPr>
        <w:spacing w:after="120"/>
      </w:pPr>
      <w:r>
        <w:rPr>
          <w:b/>
          <w:i w:val="0"/>
        </w:rPr>
        <w:t>Recommended path.</w:t>
      </w:r>
      <w:r>
        <w:rPr>
          <w:b w:val="0"/>
          <w:i w:val="0"/>
        </w:rPr>
        <w:t xml:space="preserve"> Open a single “First Amendment to PPA” package with Prescott &amp; Hale immediately (target delivery of draft by March 7, 2025), anchored on (i) the Financing Party / Exhibit H / change-of-control / §11.1(g) fixes and (ii) restoring the Term Sheet terms for each non-agreed deviation. Seller holds real currency for the trade: correcting Exhibit B to the 1.5% formula is worth ~$23.2 million nominal to Buyer, and Seller can offer to document the agreed quarterly generation reports. In parallel, deliver this report (Ridgeline version) to Ridgeline on or before March 14 with the remediation plan, and confirm the performance bond is (or will be) delivered by March 6 to avoid an independent compliance problem. See Section 7.</w:t>
      </w:r>
    </w:p>
    <w:p>
      <w:pPr>
        <w:pStyle w:val="Heading1"/>
      </w:pPr>
      <w:r>
        <w:t>2. Scope, Documents and Method</w:t>
      </w:r>
    </w:p>
    <w:p>
      <w:pPr>
        <w:spacing w:after="120"/>
      </w:pPr>
      <w:r>
        <w:rPr>
          <w:b w:val="0"/>
          <w:i w:val="0"/>
        </w:rPr>
        <w:t>Documents reviewed in full:</w:t>
      </w:r>
    </w:p>
    <w:p>
      <w:pPr>
        <w:pStyle w:val="ListBullet"/>
        <w:spacing w:after="60"/>
      </w:pPr>
      <w:r>
        <w:rPr>
          <w:b w:val="0"/>
          <w:i w:val="0"/>
        </w:rPr>
        <w:t>Binding Term Sheet dated November 8, 2024, Seller/Buyer, 18 sections plus Annex A (Indicative Contract Price Schedule) (the “Term Sheet” or “TS”).</w:t>
      </w:r>
    </w:p>
    <w:p>
      <w:pPr>
        <w:pStyle w:val="ListBullet"/>
        <w:spacing w:after="60"/>
      </w:pPr>
      <w:r>
        <w:rPr>
          <w:b w:val="0"/>
          <w:i w:val="0"/>
        </w:rPr>
        <w:t>Power Purchase Agreement dated as of February 4, 2025, prepared by Prescott &amp; Hale LLP, Articles 1–20 and Exhibits A–H (the “PPA”).</w:t>
      </w:r>
    </w:p>
    <w:p>
      <w:pPr>
        <w:pStyle w:val="ListBullet"/>
        <w:spacing w:after="60"/>
      </w:pPr>
      <w:r>
        <w:rPr>
          <w:b w:val="0"/>
          <w:i w:val="0"/>
        </w:rPr>
        <w:t>Email from Dana Kowalski (Verdana) to Catherine Ainsworth, cc Ryan Matsuda and Marcus Ellington, dated January 22, 2025, “Re: Prairie Crest PPA — Negotiation Summary and Open Items” (the “Negotiation Summary”).</w:t>
      </w:r>
    </w:p>
    <w:p>
      <w:pPr>
        <w:pStyle w:val="ListBullet"/>
        <w:spacing w:after="60"/>
      </w:pPr>
      <w:r>
        <w:rPr>
          <w:b w:val="0"/>
          <w:i w:val="0"/>
        </w:rPr>
        <w:t>Ridgeline Tax Equity Due Diligence Checklist (45 items) and Status Tracker (the “Checklist”).</w:t>
      </w:r>
    </w:p>
    <w:p>
      <w:pPr>
        <w:spacing w:after="120"/>
      </w:pPr>
      <w:r>
        <w:rPr>
          <w:b w:val="0"/>
          <w:i w:val="0"/>
        </w:rPr>
        <w:t>Method: clause-by-clause comparison of every Term Sheet commercial term against the PPA body and exhibits; each difference classified by negotiation status (using the Negotiation Summary as the only record of agreement), direction of impact on Seller/financing parties, and severity for financial close; and mapped to the relevant Checklist item. Figures were recomputed independently (price tables, LD and curtailment exposure).</w:t>
      </w:r>
    </w:p>
    <w:p>
      <w:pPr>
        <w:spacing w:after="40"/>
      </w:pPr>
      <w:r>
        <w:rPr>
          <w:b/>
          <w:i w:val="0"/>
        </w:rPr>
        <w:t>Classification key:</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1872"/>
            <w:shd w:val="clear" w:color="auto" w:fill="1F3A5F"/>
          </w:tcPr>
          <w:p>
            <w:r/>
            <w:r>
              <w:rPr>
                <w:b/>
                <w:color w:val="FFFFFF"/>
                <w:sz w:val="17"/>
              </w:rPr>
              <w:t>Status code</w:t>
            </w:r>
          </w:p>
        </w:tc>
        <w:tc>
          <w:tcPr>
            <w:tcW w:type="dxa" w:w="7776"/>
            <w:shd w:val="clear" w:color="auto" w:fill="1F3A5F"/>
          </w:tcPr>
          <w:p>
            <w:r/>
            <w:r>
              <w:rPr>
                <w:b/>
                <w:color w:val="FFFFFF"/>
                <w:sz w:val="17"/>
              </w:rPr>
              <w:t>Meaning</w:t>
            </w:r>
          </w:p>
        </w:tc>
      </w:tr>
      <w:tr>
        <w:tc>
          <w:tcPr>
            <w:tcW w:type="dxa" w:w="1872"/>
          </w:tcPr>
          <w:p>
            <w:r/>
            <w:r>
              <w:rPr>
                <w:b w:val="0"/>
                <w:i w:val="0"/>
                <w:sz w:val="17"/>
              </w:rPr>
              <w:t>AGREED</w:t>
            </w:r>
          </w:p>
        </w:tc>
        <w:tc>
          <w:tcPr>
            <w:tcW w:type="dxa" w:w="7776"/>
          </w:tcPr>
          <w:p>
            <w:r/>
            <w:r>
              <w:rPr>
                <w:b w:val="0"/>
                <w:i w:val="0"/>
                <w:sz w:val="17"/>
              </w:rPr>
              <w:t>Departure Seller agreed to in negotiations (per Negotiation Summary §1). Not documented by Term Sheet amendment or side letter.</w:t>
            </w:r>
          </w:p>
        </w:tc>
      </w:tr>
      <w:tr>
        <w:tc>
          <w:tcPr>
            <w:tcW w:type="dxa" w:w="1872"/>
          </w:tcPr>
          <w:p>
            <w:r/>
            <w:r>
              <w:rPr>
                <w:b w:val="0"/>
                <w:i w:val="0"/>
                <w:sz w:val="17"/>
              </w:rPr>
              <w:t>OPEN-IN PPA</w:t>
            </w:r>
          </w:p>
        </w:tc>
        <w:tc>
          <w:tcPr>
            <w:tcW w:type="dxa" w:w="7776"/>
          </w:tcPr>
          <w:p>
            <w:r/>
            <w:r>
              <w:rPr>
                <w:b w:val="0"/>
                <w:i w:val="0"/>
                <w:sz w:val="17"/>
              </w:rPr>
              <w:t>Item listed as “still being discussed” in Negotiation Summary §4 that nonetheless appears in executed PPA; agreement trail must be confirmed.</w:t>
            </w:r>
          </w:p>
        </w:tc>
      </w:tr>
      <w:tr>
        <w:tc>
          <w:tcPr>
            <w:tcW w:type="dxa" w:w="1872"/>
          </w:tcPr>
          <w:p>
            <w:r/>
            <w:r>
              <w:rPr>
                <w:b w:val="0"/>
                <w:i w:val="0"/>
                <w:sz w:val="17"/>
              </w:rPr>
              <w:t>NOT AGREED</w:t>
            </w:r>
          </w:p>
        </w:tc>
        <w:tc>
          <w:tcPr>
            <w:tcW w:type="dxa" w:w="7776"/>
          </w:tcPr>
          <w:p>
            <w:r/>
            <w:r>
              <w:rPr>
                <w:b w:val="0"/>
                <w:i w:val="0"/>
                <w:sz w:val="17"/>
              </w:rPr>
              <w:t>Contrary to a term Seller expressly said must track the Term Sheet (Negotiation Summary §2–§3), or otherwise not agreed.</w:t>
            </w:r>
          </w:p>
        </w:tc>
      </w:tr>
      <w:tr>
        <w:tc>
          <w:tcPr>
            <w:tcW w:type="dxa" w:w="1872"/>
          </w:tcPr>
          <w:p>
            <w:r/>
            <w:r>
              <w:rPr>
                <w:b w:val="0"/>
                <w:i w:val="0"/>
                <w:sz w:val="17"/>
              </w:rPr>
              <w:t>NEW TERM</w:t>
            </w:r>
          </w:p>
        </w:tc>
        <w:tc>
          <w:tcPr>
            <w:tcW w:type="dxa" w:w="7776"/>
          </w:tcPr>
          <w:p>
            <w:r/>
            <w:r>
              <w:rPr>
                <w:b w:val="0"/>
                <w:i w:val="0"/>
                <w:sz w:val="17"/>
              </w:rPr>
              <w:t>PPA provision with no Term Sheet counterpart that changes the commercial risk allocation.</w:t>
            </w:r>
          </w:p>
        </w:tc>
      </w:tr>
      <w:tr>
        <w:tc>
          <w:tcPr>
            <w:tcW w:type="dxa" w:w="1872"/>
          </w:tcPr>
          <w:p>
            <w:r/>
            <w:r>
              <w:rPr>
                <w:b w:val="0"/>
                <w:i w:val="0"/>
                <w:sz w:val="17"/>
              </w:rPr>
              <w:t>DRAFTING</w:t>
            </w:r>
          </w:p>
        </w:tc>
        <w:tc>
          <w:tcPr>
            <w:tcW w:type="dxa" w:w="7776"/>
          </w:tcPr>
          <w:p>
            <w:r/>
            <w:r>
              <w:rPr>
                <w:b w:val="0"/>
                <w:i w:val="0"/>
                <w:sz w:val="17"/>
              </w:rPr>
              <w:t>Internal inconsistency, arithmetic or factual error.</w:t>
            </w:r>
          </w:p>
        </w:tc>
      </w:tr>
    </w:tbl>
    <w:p>
      <w:pPr>
        <w:spacing w:after="40"/>
      </w:pPr>
    </w:p>
    <w:p>
      <w:pPr>
        <w:spacing w:after="120"/>
      </w:pPr>
      <w:r>
        <w:rPr>
          <w:b w:val="0"/>
          <w:i w:val="0"/>
          <w:sz w:val="19"/>
        </w:rPr>
        <w:t xml:space="preserve">Severity: </w:t>
      </w:r>
      <w:r>
        <w:rPr>
          <w:b/>
          <w:i w:val="0"/>
          <w:sz w:val="19"/>
        </w:rPr>
        <w:t>Critical</w:t>
      </w:r>
      <w:r>
        <w:rPr>
          <w:b w:val="0"/>
          <w:i w:val="0"/>
          <w:sz w:val="19"/>
        </w:rPr>
        <w:t xml:space="preserve"> = close-blocking for Ridgeline absent cure; </w:t>
      </w:r>
      <w:r>
        <w:rPr>
          <w:b/>
          <w:i w:val="0"/>
          <w:sz w:val="19"/>
        </w:rPr>
        <w:t>High</w:t>
      </w:r>
      <w:r>
        <w:rPr>
          <w:b w:val="0"/>
          <w:i w:val="0"/>
          <w:sz w:val="19"/>
        </w:rPr>
        <w:t xml:space="preserve"> = material to Ridgeline/Elkhorn underwriting and should be fixed pre-close; </w:t>
      </w:r>
      <w:r>
        <w:rPr>
          <w:b/>
          <w:i w:val="0"/>
          <w:sz w:val="19"/>
        </w:rPr>
        <w:t>Medium</w:t>
      </w:r>
      <w:r>
        <w:rPr>
          <w:b w:val="0"/>
          <w:i w:val="0"/>
          <w:sz w:val="19"/>
        </w:rPr>
        <w:t xml:space="preserve"> = should be fixed or expressly disclosed/accepted; </w:t>
      </w:r>
      <w:r>
        <w:rPr>
          <w:b/>
          <w:i w:val="0"/>
          <w:sz w:val="19"/>
        </w:rPr>
        <w:t>Low</w:t>
      </w:r>
      <w:r>
        <w:rPr>
          <w:b w:val="0"/>
          <w:i w:val="0"/>
          <w:sz w:val="19"/>
        </w:rPr>
        <w:t xml:space="preserve"> = disclosure or clean-up.</w:t>
      </w:r>
    </w:p>
    <w:p>
      <w:pPr>
        <w:pStyle w:val="Heading1"/>
      </w:pPr>
      <w:r>
        <w:t>3. Deviation Register (Summary)</w:t>
      </w:r>
    </w:p>
    <w:p>
      <w:pPr>
        <w:spacing w:after="120"/>
      </w:pPr>
      <w:r>
        <w:rPr>
          <w:b w:val="0"/>
          <w:i w:val="0"/>
          <w:sz w:val="19"/>
        </w:rPr>
        <w:t>All 26 deviations, ordered by significance to financial close. Detailed analysis follows in Section 4.</w:t>
      </w:r>
    </w:p>
    <w:tbl>
      <w:tblPr>
        <w:tblStyle w:val="TableGrid"/>
        <w:tblW w:type="auto" w:w="0"/>
        <w:jc w:val="center"/>
        <w:tblLook w:firstColumn="1" w:firstRow="1" w:lastColumn="0" w:lastRow="0" w:noHBand="0" w:noVBand="1" w:val="04A0"/>
      </w:tblPr>
      <w:tblGrid>
        <w:gridCol w:w="1206"/>
        <w:gridCol w:w="1206"/>
        <w:gridCol w:w="1206"/>
        <w:gridCol w:w="1206"/>
        <w:gridCol w:w="1206"/>
        <w:gridCol w:w="1206"/>
        <w:gridCol w:w="1206"/>
        <w:gridCol w:w="1206"/>
      </w:tblGrid>
      <w:tr>
        <w:trPr>
          <w:tblHeader w:val="true"/>
        </w:trPr>
        <w:tc>
          <w:tcPr>
            <w:tcW w:type="dxa" w:w="576"/>
            <w:shd w:val="clear" w:color="auto" w:fill="1F3A5F"/>
          </w:tcPr>
          <w:p>
            <w:r/>
            <w:r>
              <w:rPr>
                <w:b/>
                <w:color w:val="FFFFFF"/>
                <w:sz w:val="15"/>
              </w:rPr>
              <w:t>#</w:t>
            </w:r>
          </w:p>
        </w:tc>
        <w:tc>
          <w:tcPr>
            <w:tcW w:type="dxa" w:w="2448"/>
            <w:shd w:val="clear" w:color="auto" w:fill="1F3A5F"/>
          </w:tcPr>
          <w:p>
            <w:r/>
            <w:r>
              <w:rPr>
                <w:b/>
                <w:color w:val="FFFFFF"/>
                <w:sz w:val="15"/>
              </w:rPr>
              <w:t>Issue</w:t>
            </w:r>
          </w:p>
        </w:tc>
        <w:tc>
          <w:tcPr>
            <w:tcW w:type="dxa" w:w="1224"/>
            <w:shd w:val="clear" w:color="auto" w:fill="1F3A5F"/>
          </w:tcPr>
          <w:p>
            <w:r/>
            <w:r>
              <w:rPr>
                <w:b/>
                <w:color w:val="FFFFFF"/>
                <w:sz w:val="15"/>
              </w:rPr>
              <w:t>Term Sheet</w:t>
            </w:r>
          </w:p>
        </w:tc>
        <w:tc>
          <w:tcPr>
            <w:tcW w:type="dxa" w:w="1440"/>
            <w:shd w:val="clear" w:color="auto" w:fill="1F3A5F"/>
          </w:tcPr>
          <w:p>
            <w:r/>
            <w:r>
              <w:rPr>
                <w:b/>
                <w:color w:val="FFFFFF"/>
                <w:sz w:val="15"/>
              </w:rPr>
              <w:t>PPA</w:t>
            </w:r>
          </w:p>
        </w:tc>
        <w:tc>
          <w:tcPr>
            <w:tcW w:type="dxa" w:w="1152"/>
            <w:shd w:val="clear" w:color="auto" w:fill="1F3A5F"/>
          </w:tcPr>
          <w:p>
            <w:r/>
            <w:r>
              <w:rPr>
                <w:b/>
                <w:color w:val="FFFFFF"/>
                <w:sz w:val="15"/>
              </w:rPr>
              <w:t>Status</w:t>
            </w:r>
          </w:p>
        </w:tc>
        <w:tc>
          <w:tcPr>
            <w:tcW w:type="dxa" w:w="1152"/>
            <w:shd w:val="clear" w:color="auto" w:fill="1F3A5F"/>
          </w:tcPr>
          <w:p>
            <w:r/>
            <w:r>
              <w:rPr>
                <w:b/>
                <w:color w:val="FFFFFF"/>
                <w:sz w:val="15"/>
              </w:rPr>
              <w:t>Effect on Seller</w:t>
            </w:r>
          </w:p>
        </w:tc>
        <w:tc>
          <w:tcPr>
            <w:tcW w:type="dxa" w:w="936"/>
            <w:shd w:val="clear" w:color="auto" w:fill="1F3A5F"/>
          </w:tcPr>
          <w:p>
            <w:r/>
            <w:r>
              <w:rPr>
                <w:b/>
                <w:color w:val="FFFFFF"/>
                <w:sz w:val="15"/>
              </w:rPr>
              <w:t>Severity</w:t>
            </w:r>
          </w:p>
        </w:tc>
        <w:tc>
          <w:tcPr>
            <w:tcW w:type="dxa" w:w="864"/>
            <w:shd w:val="clear" w:color="auto" w:fill="1F3A5F"/>
          </w:tcPr>
          <w:p>
            <w:r/>
            <w:r>
              <w:rPr>
                <w:b/>
                <w:color w:val="FFFFFF"/>
                <w:sz w:val="15"/>
              </w:rPr>
              <w:t>Checklist</w:t>
            </w:r>
          </w:p>
        </w:tc>
      </w:tr>
      <w:tr>
        <w:tc>
          <w:tcPr>
            <w:tcW w:type="dxa" w:w="576"/>
          </w:tcPr>
          <w:p>
            <w:r/>
            <w:r>
              <w:rPr>
                <w:b w:val="0"/>
                <w:i w:val="0"/>
                <w:sz w:val="15"/>
              </w:rPr>
              <w:t>D-1</w:t>
            </w:r>
          </w:p>
        </w:tc>
        <w:tc>
          <w:tcPr>
            <w:tcW w:type="dxa" w:w="2448"/>
          </w:tcPr>
          <w:p>
            <w:r/>
            <w:r>
              <w:rPr>
                <w:b w:val="0"/>
                <w:i w:val="0"/>
                <w:sz w:val="15"/>
              </w:rPr>
              <w:t>“Financing Party” excludes tax equity; consent-free collateral assignment limited to lenders</w:t>
            </w:r>
          </w:p>
        </w:tc>
        <w:tc>
          <w:tcPr>
            <w:tcW w:type="dxa" w:w="1224"/>
          </w:tcPr>
          <w:p>
            <w:r/>
            <w:r>
              <w:rPr>
                <w:b w:val="0"/>
                <w:i w:val="0"/>
                <w:sz w:val="15"/>
              </w:rPr>
              <w:t>TS §1 (“Financing Parties”), §15.1</w:t>
            </w:r>
          </w:p>
        </w:tc>
        <w:tc>
          <w:tcPr>
            <w:tcW w:type="dxa" w:w="1440"/>
          </w:tcPr>
          <w:p>
            <w:r/>
            <w:r>
              <w:rPr>
                <w:b w:val="0"/>
                <w:i w:val="0"/>
                <w:sz w:val="15"/>
              </w:rPr>
              <w:t>PPA Ex. A (“Financing Party”), §17.1(a), §17.1(b), Ex. H Recitals B–C and §8</w:t>
            </w:r>
          </w:p>
        </w:tc>
        <w:tc>
          <w:tcPr>
            <w:tcW w:type="dxa" w:w="1152"/>
          </w:tcPr>
          <w:p>
            <w:r/>
            <w:r>
              <w:rPr>
                <w:b w:val="0"/>
                <w:i w:val="0"/>
                <w:sz w:val="15"/>
              </w:rPr>
              <w:t>NOT AGREED</w:t>
            </w:r>
          </w:p>
        </w:tc>
        <w:tc>
          <w:tcPr>
            <w:tcW w:type="dxa" w:w="1152"/>
          </w:tcPr>
          <w:p>
            <w:r/>
            <w:r>
              <w:rPr>
                <w:b w:val="0"/>
                <w:i w:val="0"/>
                <w:sz w:val="15"/>
              </w:rPr>
              <w:t>Adverse to Seller and Ridgeline</w:t>
            </w:r>
          </w:p>
        </w:tc>
        <w:tc>
          <w:tcPr>
            <w:tcW w:type="dxa" w:w="936"/>
            <w:shd w:val="clear" w:color="auto" w:fill="C00000"/>
          </w:tcPr>
          <w:p>
            <w:r>
              <w:rPr>
                <w:b/>
                <w:color w:val="FFFFFF"/>
              </w:rPr>
            </w:r>
            <w:r>
              <w:rPr>
                <w:b/>
                <w:i w:val="0"/>
                <w:color w:val="FFFFFF"/>
                <w:sz w:val="15"/>
              </w:rPr>
              <w:t>Critical</w:t>
            </w:r>
          </w:p>
        </w:tc>
        <w:tc>
          <w:tcPr>
            <w:tcW w:type="dxa" w:w="864"/>
          </w:tcPr>
          <w:p>
            <w:r/>
            <w:r>
              <w:rPr>
                <w:b w:val="0"/>
                <w:i w:val="0"/>
                <w:sz w:val="15"/>
              </w:rPr>
              <w:t>12(vi), 18(a)–(c), 30, 31</w:t>
            </w:r>
          </w:p>
        </w:tc>
      </w:tr>
      <w:tr>
        <w:tc>
          <w:tcPr>
            <w:tcW w:type="dxa" w:w="576"/>
          </w:tcPr>
          <w:p>
            <w:r/>
            <w:r>
              <w:rPr>
                <w:b w:val="0"/>
                <w:i w:val="0"/>
                <w:sz w:val="15"/>
              </w:rPr>
              <w:t>D-2</w:t>
            </w:r>
          </w:p>
        </w:tc>
        <w:tc>
          <w:tcPr>
            <w:tcW w:type="dxa" w:w="2448"/>
          </w:tcPr>
          <w:p>
            <w:r/>
            <w:r>
              <w:rPr>
                <w:b w:val="0"/>
                <w:i w:val="0"/>
                <w:sz w:val="15"/>
              </w:rPr>
              <w:t>Cure, step-in and replacement-PPA rights unavailable to tax equity</w:t>
            </w:r>
          </w:p>
        </w:tc>
        <w:tc>
          <w:tcPr>
            <w:tcW w:type="dxa" w:w="1224"/>
          </w:tcPr>
          <w:p>
            <w:r/>
            <w:r>
              <w:rPr>
                <w:b w:val="0"/>
                <w:i w:val="0"/>
                <w:sz w:val="15"/>
              </w:rPr>
              <w:t>TS §15.1</w:t>
            </w:r>
          </w:p>
        </w:tc>
        <w:tc>
          <w:tcPr>
            <w:tcW w:type="dxa" w:w="1440"/>
          </w:tcPr>
          <w:p>
            <w:r/>
            <w:r>
              <w:rPr>
                <w:b w:val="0"/>
                <w:i w:val="0"/>
                <w:sz w:val="15"/>
              </w:rPr>
              <w:t>PPA §17.3, §18.4, §20.9, Ex. H §§3–6</w:t>
            </w:r>
          </w:p>
        </w:tc>
        <w:tc>
          <w:tcPr>
            <w:tcW w:type="dxa" w:w="1152"/>
          </w:tcPr>
          <w:p>
            <w:r/>
            <w:r>
              <w:rPr>
                <w:b w:val="0"/>
                <w:i w:val="0"/>
                <w:sz w:val="15"/>
              </w:rPr>
              <w:t>NOT AGREED</w:t>
            </w:r>
          </w:p>
        </w:tc>
        <w:tc>
          <w:tcPr>
            <w:tcW w:type="dxa" w:w="1152"/>
          </w:tcPr>
          <w:p>
            <w:r/>
            <w:r>
              <w:rPr>
                <w:b w:val="0"/>
                <w:i w:val="0"/>
                <w:sz w:val="15"/>
              </w:rPr>
              <w:t>Adverse</w:t>
            </w:r>
          </w:p>
        </w:tc>
        <w:tc>
          <w:tcPr>
            <w:tcW w:type="dxa" w:w="936"/>
            <w:shd w:val="clear" w:color="auto" w:fill="C00000"/>
          </w:tcPr>
          <w:p>
            <w:r>
              <w:rPr>
                <w:b/>
                <w:color w:val="FFFFFF"/>
              </w:rPr>
            </w:r>
            <w:r>
              <w:rPr>
                <w:b/>
                <w:i w:val="0"/>
                <w:color w:val="FFFFFF"/>
                <w:sz w:val="15"/>
              </w:rPr>
              <w:t>Critical</w:t>
            </w:r>
          </w:p>
        </w:tc>
        <w:tc>
          <w:tcPr>
            <w:tcW w:type="dxa" w:w="864"/>
          </w:tcPr>
          <w:p>
            <w:r/>
            <w:r>
              <w:rPr>
                <w:b w:val="0"/>
                <w:i w:val="0"/>
                <w:sz w:val="15"/>
              </w:rPr>
              <w:t>31(a)–(c), 29, 30</w:t>
            </w:r>
          </w:p>
        </w:tc>
      </w:tr>
      <w:tr>
        <w:tc>
          <w:tcPr>
            <w:tcW w:type="dxa" w:w="576"/>
          </w:tcPr>
          <w:p>
            <w:r/>
            <w:r>
              <w:rPr>
                <w:b w:val="0"/>
                <w:i w:val="0"/>
                <w:sz w:val="15"/>
              </w:rPr>
              <w:t>D-3</w:t>
            </w:r>
          </w:p>
        </w:tc>
        <w:tc>
          <w:tcPr>
            <w:tcW w:type="dxa" w:w="2448"/>
          </w:tcPr>
          <w:p>
            <w:r/>
            <w:r>
              <w:rPr>
                <w:b w:val="0"/>
                <w:i w:val="0"/>
                <w:sz w:val="15"/>
              </w:rPr>
              <w:t>Change of control requires Buyer consent; sole-ownership representation conflicts with partnership flip</w:t>
            </w:r>
          </w:p>
        </w:tc>
        <w:tc>
          <w:tcPr>
            <w:tcW w:type="dxa" w:w="1224"/>
          </w:tcPr>
          <w:p>
            <w:r/>
            <w:r>
              <w:rPr>
                <w:b w:val="0"/>
                <w:i w:val="0"/>
                <w:sz w:val="15"/>
              </w:rPr>
              <w:t>TS §15.3</w:t>
            </w:r>
          </w:p>
        </w:tc>
        <w:tc>
          <w:tcPr>
            <w:tcW w:type="dxa" w:w="1440"/>
          </w:tcPr>
          <w:p>
            <w:r/>
            <w:r>
              <w:rPr>
                <w:b w:val="0"/>
                <w:i w:val="0"/>
                <w:sz w:val="15"/>
              </w:rPr>
              <w:t>PPA §17.1(b), §11.1(g), §11.1 (repetition at COD), §18.1(b)</w:t>
            </w:r>
          </w:p>
        </w:tc>
        <w:tc>
          <w:tcPr>
            <w:tcW w:type="dxa" w:w="1152"/>
          </w:tcPr>
          <w:p>
            <w:r/>
            <w:r>
              <w:rPr>
                <w:b w:val="0"/>
                <w:i w:val="0"/>
                <w:sz w:val="15"/>
              </w:rPr>
              <w:t>NOT AGREED</w:t>
            </w:r>
          </w:p>
        </w:tc>
        <w:tc>
          <w:tcPr>
            <w:tcW w:type="dxa" w:w="1152"/>
          </w:tcPr>
          <w:p>
            <w:r/>
            <w:r>
              <w:rPr>
                <w:b w:val="0"/>
                <w:i w:val="0"/>
                <w:sz w:val="15"/>
              </w:rPr>
              <w:t>Adverse</w:t>
            </w:r>
          </w:p>
        </w:tc>
        <w:tc>
          <w:tcPr>
            <w:tcW w:type="dxa" w:w="936"/>
            <w:shd w:val="clear" w:color="auto" w:fill="F4B183"/>
          </w:tcPr>
          <w:p>
            <w:r/>
            <w:r>
              <w:rPr>
                <w:b w:val="0"/>
                <w:i w:val="0"/>
                <w:sz w:val="15"/>
              </w:rPr>
              <w:t>High</w:t>
            </w:r>
          </w:p>
        </w:tc>
        <w:tc>
          <w:tcPr>
            <w:tcW w:type="dxa" w:w="864"/>
          </w:tcPr>
          <w:p>
            <w:r/>
            <w:r>
              <w:rPr>
                <w:b w:val="0"/>
                <w:i w:val="0"/>
                <w:sz w:val="15"/>
              </w:rPr>
              <w:t>2, 18, 19, 45</w:t>
            </w:r>
          </w:p>
        </w:tc>
      </w:tr>
      <w:tr>
        <w:tc>
          <w:tcPr>
            <w:tcW w:type="dxa" w:w="576"/>
          </w:tcPr>
          <w:p>
            <w:r/>
            <w:r>
              <w:rPr>
                <w:b w:val="0"/>
                <w:i w:val="0"/>
                <w:sz w:val="15"/>
              </w:rPr>
              <w:t>D-4</w:t>
            </w:r>
          </w:p>
        </w:tc>
        <w:tc>
          <w:tcPr>
            <w:tcW w:type="dxa" w:w="2448"/>
          </w:tcPr>
          <w:p>
            <w:r/>
            <w:r>
              <w:rPr>
                <w:b w:val="0"/>
                <w:i w:val="0"/>
                <w:sz w:val="15"/>
              </w:rPr>
              <w:t>Exhibit B price table built on ~2.0% escalation, not 1.5%</w:t>
            </w:r>
          </w:p>
        </w:tc>
        <w:tc>
          <w:tcPr>
            <w:tcW w:type="dxa" w:w="1224"/>
          </w:tcPr>
          <w:p>
            <w:r/>
            <w:r>
              <w:rPr>
                <w:b w:val="0"/>
                <w:i w:val="0"/>
                <w:sz w:val="15"/>
              </w:rPr>
              <w:t>TS §5.2–5.6, Annex A</w:t>
            </w:r>
          </w:p>
        </w:tc>
        <w:tc>
          <w:tcPr>
            <w:tcW w:type="dxa" w:w="1440"/>
          </w:tcPr>
          <w:p>
            <w:r/>
            <w:r>
              <w:rPr>
                <w:b w:val="0"/>
                <w:i w:val="0"/>
                <w:sz w:val="15"/>
              </w:rPr>
              <w:t>PPA §4.2(a), §4.2(b), §1.3, Ex. B Parts 1–3</w:t>
            </w:r>
          </w:p>
        </w:tc>
        <w:tc>
          <w:tcPr>
            <w:tcW w:type="dxa" w:w="1152"/>
          </w:tcPr>
          <w:p>
            <w:r/>
            <w:r>
              <w:rPr>
                <w:b w:val="0"/>
                <w:i w:val="0"/>
                <w:sz w:val="15"/>
              </w:rPr>
              <w:t>NOT AGREED (DRAFTING)</w:t>
            </w:r>
          </w:p>
        </w:tc>
        <w:tc>
          <w:tcPr>
            <w:tcW w:type="dxa" w:w="1152"/>
          </w:tcPr>
          <w:p>
            <w:r/>
            <w:r>
              <w:rPr>
                <w:b w:val="0"/>
                <w:i w:val="0"/>
                <w:sz w:val="15"/>
              </w:rPr>
              <w:t>Facially Seller-favorable but unbankable; dispute risk</w:t>
            </w:r>
          </w:p>
        </w:tc>
        <w:tc>
          <w:tcPr>
            <w:tcW w:type="dxa" w:w="936"/>
            <w:shd w:val="clear" w:color="auto" w:fill="F4B183"/>
          </w:tcPr>
          <w:p>
            <w:r/>
            <w:r>
              <w:rPr>
                <w:b w:val="0"/>
                <w:i w:val="0"/>
                <w:sz w:val="15"/>
              </w:rPr>
              <w:t>High</w:t>
            </w:r>
          </w:p>
        </w:tc>
        <w:tc>
          <w:tcPr>
            <w:tcW w:type="dxa" w:w="864"/>
          </w:tcPr>
          <w:p>
            <w:r/>
            <w:r>
              <w:rPr>
                <w:b w:val="0"/>
                <w:i w:val="0"/>
                <w:sz w:val="15"/>
              </w:rPr>
              <w:t>12(i), 15, 40</w:t>
            </w:r>
          </w:p>
        </w:tc>
      </w:tr>
      <w:tr>
        <w:tc>
          <w:tcPr>
            <w:tcW w:type="dxa" w:w="576"/>
          </w:tcPr>
          <w:p>
            <w:r/>
            <w:r>
              <w:rPr>
                <w:b w:val="0"/>
                <w:i w:val="0"/>
                <w:sz w:val="15"/>
              </w:rPr>
              <w:t>D-5</w:t>
            </w:r>
          </w:p>
        </w:tc>
        <w:tc>
          <w:tcPr>
            <w:tcW w:type="dxa" w:w="2448"/>
          </w:tcPr>
          <w:p>
            <w:r/>
            <w:r>
              <w:rPr>
                <w:b w:val="0"/>
                <w:i w:val="0"/>
                <w:sz w:val="15"/>
              </w:rPr>
              <w:t>Economic curtailment compensated at 80% (not 90%) of Contract Price</w:t>
            </w:r>
          </w:p>
        </w:tc>
        <w:tc>
          <w:tcPr>
            <w:tcW w:type="dxa" w:w="1224"/>
          </w:tcPr>
          <w:p>
            <w:r/>
            <w:r>
              <w:rPr>
                <w:b w:val="0"/>
                <w:i w:val="0"/>
                <w:sz w:val="15"/>
              </w:rPr>
              <w:t>TS §6.1–6.3</w:t>
            </w:r>
          </w:p>
        </w:tc>
        <w:tc>
          <w:tcPr>
            <w:tcW w:type="dxa" w:w="1440"/>
          </w:tcPr>
          <w:p>
            <w:r/>
            <w:r>
              <w:rPr>
                <w:b w:val="0"/>
                <w:i w:val="0"/>
                <w:sz w:val="15"/>
              </w:rPr>
              <w:t>PPA §6.1(a), §6.2(a), §6.4</w:t>
            </w:r>
          </w:p>
        </w:tc>
        <w:tc>
          <w:tcPr>
            <w:tcW w:type="dxa" w:w="1152"/>
          </w:tcPr>
          <w:p>
            <w:r/>
            <w:r>
              <w:rPr>
                <w:b w:val="0"/>
                <w:i w:val="0"/>
                <w:sz w:val="15"/>
              </w:rPr>
              <w:t>NOT AGREED</w:t>
            </w:r>
          </w:p>
        </w:tc>
        <w:tc>
          <w:tcPr>
            <w:tcW w:type="dxa" w:w="1152"/>
          </w:tcPr>
          <w:p>
            <w:r/>
            <w:r>
              <w:rPr>
                <w:b w:val="0"/>
                <w:i w:val="0"/>
                <w:sz w:val="15"/>
              </w:rPr>
              <w:t>Adverse</w:t>
            </w:r>
          </w:p>
        </w:tc>
        <w:tc>
          <w:tcPr>
            <w:tcW w:type="dxa" w:w="936"/>
            <w:shd w:val="clear" w:color="auto" w:fill="F4B183"/>
          </w:tcPr>
          <w:p>
            <w:r/>
            <w:r>
              <w:rPr>
                <w:b w:val="0"/>
                <w:i w:val="0"/>
                <w:sz w:val="15"/>
              </w:rPr>
              <w:t>High</w:t>
            </w:r>
          </w:p>
        </w:tc>
        <w:tc>
          <w:tcPr>
            <w:tcW w:type="dxa" w:w="864"/>
          </w:tcPr>
          <w:p>
            <w:r/>
            <w:r>
              <w:rPr>
                <w:b w:val="0"/>
                <w:i w:val="0"/>
                <w:sz w:val="15"/>
              </w:rPr>
              <w:t>12(iv), 40</w:t>
            </w:r>
          </w:p>
        </w:tc>
      </w:tr>
      <w:tr>
        <w:tc>
          <w:tcPr>
            <w:tcW w:type="dxa" w:w="576"/>
          </w:tcPr>
          <w:p>
            <w:r/>
            <w:r>
              <w:rPr>
                <w:b w:val="0"/>
                <w:i w:val="0"/>
                <w:sz w:val="15"/>
              </w:rPr>
              <w:t>D-6</w:t>
            </w:r>
          </w:p>
        </w:tc>
        <w:tc>
          <w:tcPr>
            <w:tcW w:type="dxa" w:w="2448"/>
          </w:tcPr>
          <w:p>
            <w:r/>
            <w:r>
              <w:rPr>
                <w:b w:val="0"/>
                <w:i w:val="0"/>
                <w:sz w:val="15"/>
              </w:rPr>
              <w:t>Delay LDs increased to $175,000/month, cap $2.5M</w:t>
            </w:r>
          </w:p>
        </w:tc>
        <w:tc>
          <w:tcPr>
            <w:tcW w:type="dxa" w:w="1224"/>
          </w:tcPr>
          <w:p>
            <w:r/>
            <w:r>
              <w:rPr>
                <w:b w:val="0"/>
                <w:i w:val="0"/>
                <w:sz w:val="15"/>
              </w:rPr>
              <w:t>TS §7.1–7.2</w:t>
            </w:r>
          </w:p>
        </w:tc>
        <w:tc>
          <w:tcPr>
            <w:tcW w:type="dxa" w:w="1440"/>
          </w:tcPr>
          <w:p>
            <w:r/>
            <w:r>
              <w:rPr>
                <w:b w:val="0"/>
                <w:i w:val="0"/>
                <w:sz w:val="15"/>
              </w:rPr>
              <w:t>PPA §3.5(b)–(c); Ex. G Note 2</w:t>
            </w:r>
          </w:p>
        </w:tc>
        <w:tc>
          <w:tcPr>
            <w:tcW w:type="dxa" w:w="1152"/>
          </w:tcPr>
          <w:p>
            <w:r/>
            <w:r>
              <w:rPr>
                <w:b w:val="0"/>
                <w:i w:val="0"/>
                <w:sz w:val="15"/>
              </w:rPr>
              <w:t>NOT AGREED</w:t>
            </w:r>
          </w:p>
        </w:tc>
        <w:tc>
          <w:tcPr>
            <w:tcW w:type="dxa" w:w="1152"/>
          </w:tcPr>
          <w:p>
            <w:r/>
            <w:r>
              <w:rPr>
                <w:b w:val="0"/>
                <w:i w:val="0"/>
                <w:sz w:val="15"/>
              </w:rPr>
              <w:t>Adverse</w:t>
            </w:r>
          </w:p>
        </w:tc>
        <w:tc>
          <w:tcPr>
            <w:tcW w:type="dxa" w:w="936"/>
            <w:shd w:val="clear" w:color="auto" w:fill="F4B183"/>
          </w:tcPr>
          <w:p>
            <w:r/>
            <w:r>
              <w:rPr>
                <w:b w:val="0"/>
                <w:i w:val="0"/>
                <w:sz w:val="15"/>
              </w:rPr>
              <w:t>High</w:t>
            </w:r>
          </w:p>
        </w:tc>
        <w:tc>
          <w:tcPr>
            <w:tcW w:type="dxa" w:w="864"/>
          </w:tcPr>
          <w:p>
            <w:r/>
            <w:r>
              <w:rPr>
                <w:b w:val="0"/>
                <w:i w:val="0"/>
                <w:sz w:val="15"/>
              </w:rPr>
              <w:t>12(iii), 34</w:t>
            </w:r>
          </w:p>
        </w:tc>
      </w:tr>
      <w:tr>
        <w:tc>
          <w:tcPr>
            <w:tcW w:type="dxa" w:w="576"/>
          </w:tcPr>
          <w:p>
            <w:r/>
            <w:r>
              <w:rPr>
                <w:b w:val="0"/>
                <w:i w:val="0"/>
                <w:sz w:val="15"/>
              </w:rPr>
              <w:t>D-7</w:t>
            </w:r>
          </w:p>
        </w:tc>
        <w:tc>
          <w:tcPr>
            <w:tcW w:type="dxa" w:w="2448"/>
          </w:tcPr>
          <w:p>
            <w:r/>
            <w:r>
              <w:rPr>
                <w:b w:val="0"/>
                <w:i w:val="0"/>
                <w:sz w:val="15"/>
              </w:rPr>
              <w:t>Outside Date: evergreen extension, Event of Default and termination damages erode sole-remedy construct</w:t>
            </w:r>
          </w:p>
        </w:tc>
        <w:tc>
          <w:tcPr>
            <w:tcW w:type="dxa" w:w="1224"/>
          </w:tcPr>
          <w:p>
            <w:r/>
            <w:r>
              <w:rPr>
                <w:b w:val="0"/>
                <w:i w:val="0"/>
                <w:sz w:val="15"/>
              </w:rPr>
              <w:t>TS §3.5, §7.1, §7.3</w:t>
            </w:r>
          </w:p>
        </w:tc>
        <w:tc>
          <w:tcPr>
            <w:tcW w:type="dxa" w:w="1440"/>
          </w:tcPr>
          <w:p>
            <w:r/>
            <w:r>
              <w:rPr>
                <w:b w:val="0"/>
                <w:i w:val="0"/>
                <w:sz w:val="15"/>
              </w:rPr>
              <w:t>PPA §3.5(a), (c), (d); §3.6; §18.1(a); §18.3(b); Ex. G Note 3</w:t>
            </w:r>
          </w:p>
        </w:tc>
        <w:tc>
          <w:tcPr>
            <w:tcW w:type="dxa" w:w="1152"/>
          </w:tcPr>
          <w:p>
            <w:r/>
            <w:r>
              <w:rPr>
                <w:b w:val="0"/>
                <w:i w:val="0"/>
                <w:sz w:val="15"/>
              </w:rPr>
              <w:t>NOT AGREED / NEW TERM</w:t>
            </w:r>
          </w:p>
        </w:tc>
        <w:tc>
          <w:tcPr>
            <w:tcW w:type="dxa" w:w="1152"/>
          </w:tcPr>
          <w:p>
            <w:r/>
            <w:r>
              <w:rPr>
                <w:b w:val="0"/>
                <w:i w:val="0"/>
                <w:sz w:val="15"/>
              </w:rPr>
              <w:t>Adverse</w:t>
            </w:r>
          </w:p>
        </w:tc>
        <w:tc>
          <w:tcPr>
            <w:tcW w:type="dxa" w:w="936"/>
            <w:shd w:val="clear" w:color="auto" w:fill="F4B183"/>
          </w:tcPr>
          <w:p>
            <w:r/>
            <w:r>
              <w:rPr>
                <w:b w:val="0"/>
                <w:i w:val="0"/>
                <w:sz w:val="15"/>
              </w:rPr>
              <w:t>High</w:t>
            </w:r>
          </w:p>
        </w:tc>
        <w:tc>
          <w:tcPr>
            <w:tcW w:type="dxa" w:w="864"/>
          </w:tcPr>
          <w:p>
            <w:r/>
            <w:r>
              <w:rPr>
                <w:b w:val="0"/>
                <w:i w:val="0"/>
                <w:sz w:val="15"/>
              </w:rPr>
              <w:t>12(iii), 34</w:t>
            </w:r>
          </w:p>
        </w:tc>
      </w:tr>
      <w:tr>
        <w:tc>
          <w:tcPr>
            <w:tcW w:type="dxa" w:w="576"/>
          </w:tcPr>
          <w:p>
            <w:r/>
            <w:r>
              <w:rPr>
                <w:b w:val="0"/>
                <w:i w:val="0"/>
                <w:sz w:val="15"/>
              </w:rPr>
              <w:t>D-8</w:t>
            </w:r>
          </w:p>
        </w:tc>
        <w:tc>
          <w:tcPr>
            <w:tcW w:type="dxa" w:w="2448"/>
          </w:tcPr>
          <w:p>
            <w:r/>
            <w:r>
              <w:rPr>
                <w:b w:val="0"/>
                <w:i w:val="0"/>
                <w:sz w:val="15"/>
              </w:rPr>
              <w:t>Force majeure termination after 12 months (not 18), on 60 days’ notice</w:t>
            </w:r>
          </w:p>
        </w:tc>
        <w:tc>
          <w:tcPr>
            <w:tcW w:type="dxa" w:w="1224"/>
          </w:tcPr>
          <w:p>
            <w:r/>
            <w:r>
              <w:rPr>
                <w:b w:val="0"/>
                <w:i w:val="0"/>
                <w:sz w:val="15"/>
              </w:rPr>
              <w:t>TS §14.4</w:t>
            </w:r>
          </w:p>
        </w:tc>
        <w:tc>
          <w:tcPr>
            <w:tcW w:type="dxa" w:w="1440"/>
          </w:tcPr>
          <w:p>
            <w:r/>
            <w:r>
              <w:rPr>
                <w:b w:val="0"/>
                <w:i w:val="0"/>
                <w:sz w:val="15"/>
              </w:rPr>
              <w:t>PPA §12.4</w:t>
            </w:r>
          </w:p>
        </w:tc>
        <w:tc>
          <w:tcPr>
            <w:tcW w:type="dxa" w:w="1152"/>
          </w:tcPr>
          <w:p>
            <w:r/>
            <w:r>
              <w:rPr>
                <w:b w:val="0"/>
                <w:i w:val="0"/>
                <w:sz w:val="15"/>
              </w:rPr>
              <w:t>NOT AGREED</w:t>
            </w:r>
          </w:p>
        </w:tc>
        <w:tc>
          <w:tcPr>
            <w:tcW w:type="dxa" w:w="1152"/>
          </w:tcPr>
          <w:p>
            <w:r/>
            <w:r>
              <w:rPr>
                <w:b w:val="0"/>
                <w:i w:val="0"/>
                <w:sz w:val="15"/>
              </w:rPr>
              <w:t>Adverse</w:t>
            </w:r>
          </w:p>
        </w:tc>
        <w:tc>
          <w:tcPr>
            <w:tcW w:type="dxa" w:w="936"/>
            <w:shd w:val="clear" w:color="auto" w:fill="F4B183"/>
          </w:tcPr>
          <w:p>
            <w:r/>
            <w:r>
              <w:rPr>
                <w:b w:val="0"/>
                <w:i w:val="0"/>
                <w:sz w:val="15"/>
              </w:rPr>
              <w:t>High</w:t>
            </w:r>
          </w:p>
        </w:tc>
        <w:tc>
          <w:tcPr>
            <w:tcW w:type="dxa" w:w="864"/>
          </w:tcPr>
          <w:p>
            <w:r/>
            <w:r>
              <w:rPr>
                <w:b w:val="0"/>
                <w:i w:val="0"/>
                <w:sz w:val="15"/>
              </w:rPr>
              <w:t>12(v)</w:t>
            </w:r>
          </w:p>
        </w:tc>
      </w:tr>
      <w:tr>
        <w:tc>
          <w:tcPr>
            <w:tcW w:type="dxa" w:w="576"/>
          </w:tcPr>
          <w:p>
            <w:r/>
            <w:r>
              <w:rPr>
                <w:b w:val="0"/>
                <w:i w:val="0"/>
                <w:sz w:val="15"/>
              </w:rPr>
              <w:t>D-9</w:t>
            </w:r>
          </w:p>
        </w:tc>
        <w:tc>
          <w:tcPr>
            <w:tcW w:type="dxa" w:w="2448"/>
          </w:tcPr>
          <w:p>
            <w:r/>
            <w:r>
              <w:rPr>
                <w:b w:val="0"/>
                <w:i w:val="0"/>
                <w:sz w:val="15"/>
              </w:rPr>
              <w:t>Force majeure definition and conditions narrowed</w:t>
            </w:r>
          </w:p>
        </w:tc>
        <w:tc>
          <w:tcPr>
            <w:tcW w:type="dxa" w:w="1224"/>
          </w:tcPr>
          <w:p>
            <w:r/>
            <w:r>
              <w:rPr>
                <w:b w:val="0"/>
                <w:i w:val="0"/>
                <w:sz w:val="15"/>
              </w:rPr>
              <w:t>TS §14.1–14.3</w:t>
            </w:r>
          </w:p>
        </w:tc>
        <w:tc>
          <w:tcPr>
            <w:tcW w:type="dxa" w:w="1440"/>
          </w:tcPr>
          <w:p>
            <w:r/>
            <w:r>
              <w:rPr>
                <w:b w:val="0"/>
                <w:i w:val="0"/>
                <w:sz w:val="15"/>
              </w:rPr>
              <w:t>PPA §12.1–12.3</w:t>
            </w:r>
          </w:p>
        </w:tc>
        <w:tc>
          <w:tcPr>
            <w:tcW w:type="dxa" w:w="1152"/>
          </w:tcPr>
          <w:p>
            <w:r/>
            <w:r>
              <w:rPr>
                <w:b w:val="0"/>
                <w:i w:val="0"/>
                <w:sz w:val="15"/>
              </w:rPr>
              <w:t>NOT AGREED</w:t>
            </w:r>
          </w:p>
        </w:tc>
        <w:tc>
          <w:tcPr>
            <w:tcW w:type="dxa" w:w="1152"/>
          </w:tcPr>
          <w:p>
            <w:r/>
            <w:r>
              <w:rPr>
                <w:b w:val="0"/>
                <w:i w:val="0"/>
                <w:sz w:val="15"/>
              </w:rPr>
              <w:t>Mixed, net adverse</w:t>
            </w:r>
          </w:p>
        </w:tc>
        <w:tc>
          <w:tcPr>
            <w:tcW w:type="dxa" w:w="936"/>
            <w:shd w:val="clear" w:color="auto" w:fill="FFE699"/>
          </w:tcPr>
          <w:p>
            <w:r/>
            <w:r>
              <w:rPr>
                <w:b w:val="0"/>
                <w:i w:val="0"/>
                <w:sz w:val="15"/>
              </w:rPr>
              <w:t>Medium</w:t>
            </w:r>
          </w:p>
        </w:tc>
        <w:tc>
          <w:tcPr>
            <w:tcW w:type="dxa" w:w="864"/>
          </w:tcPr>
          <w:p>
            <w:r/>
            <w:r>
              <w:rPr>
                <w:b w:val="0"/>
                <w:i w:val="0"/>
                <w:sz w:val="15"/>
              </w:rPr>
              <w:t>12(v)</w:t>
            </w:r>
          </w:p>
        </w:tc>
      </w:tr>
      <w:tr>
        <w:tc>
          <w:tcPr>
            <w:tcW w:type="dxa" w:w="576"/>
          </w:tcPr>
          <w:p>
            <w:r/>
            <w:r>
              <w:rPr>
                <w:b w:val="0"/>
                <w:i w:val="0"/>
                <w:sz w:val="15"/>
              </w:rPr>
              <w:t>D-10</w:t>
            </w:r>
          </w:p>
        </w:tc>
        <w:tc>
          <w:tcPr>
            <w:tcW w:type="dxa" w:w="2448"/>
          </w:tcPr>
          <w:p>
            <w:r/>
            <w:r>
              <w:rPr>
                <w:b w:val="0"/>
                <w:i w:val="0"/>
                <w:sz w:val="15"/>
              </w:rPr>
              <w:t>Change of law: Buyer-bears-100% new transmission charges carve-out omitted</w:t>
            </w:r>
          </w:p>
        </w:tc>
        <w:tc>
          <w:tcPr>
            <w:tcW w:type="dxa" w:w="1224"/>
          </w:tcPr>
          <w:p>
            <w:r/>
            <w:r>
              <w:rPr>
                <w:b w:val="0"/>
                <w:i w:val="0"/>
                <w:sz w:val="15"/>
              </w:rPr>
              <w:t>TS §13.1–13.2</w:t>
            </w:r>
          </w:p>
        </w:tc>
        <w:tc>
          <w:tcPr>
            <w:tcW w:type="dxa" w:w="1440"/>
          </w:tcPr>
          <w:p>
            <w:r/>
            <w:r>
              <w:rPr>
                <w:b w:val="0"/>
                <w:i w:val="0"/>
                <w:sz w:val="15"/>
              </w:rPr>
              <w:t>PPA §14.1–14.2; §5.2; §5.3</w:t>
            </w:r>
          </w:p>
        </w:tc>
        <w:tc>
          <w:tcPr>
            <w:tcW w:type="dxa" w:w="1152"/>
          </w:tcPr>
          <w:p>
            <w:r/>
            <w:r>
              <w:rPr>
                <w:b w:val="0"/>
                <w:i w:val="0"/>
                <w:sz w:val="15"/>
              </w:rPr>
              <w:t>NOT AGREED</w:t>
            </w:r>
          </w:p>
        </w:tc>
        <w:tc>
          <w:tcPr>
            <w:tcW w:type="dxa" w:w="1152"/>
          </w:tcPr>
          <w:p>
            <w:r/>
            <w:r>
              <w:rPr>
                <w:b w:val="0"/>
                <w:i w:val="0"/>
                <w:sz w:val="15"/>
              </w:rPr>
              <w:t>Adverse</w:t>
            </w:r>
          </w:p>
        </w:tc>
        <w:tc>
          <w:tcPr>
            <w:tcW w:type="dxa" w:w="936"/>
            <w:shd w:val="clear" w:color="auto" w:fill="F4B183"/>
          </w:tcPr>
          <w:p>
            <w:r/>
            <w:r>
              <w:rPr>
                <w:b w:val="0"/>
                <w:i w:val="0"/>
                <w:sz w:val="15"/>
              </w:rPr>
              <w:t>High</w:t>
            </w:r>
          </w:p>
        </w:tc>
        <w:tc>
          <w:tcPr>
            <w:tcW w:type="dxa" w:w="864"/>
          </w:tcPr>
          <w:p>
            <w:r/>
            <w:r>
              <w:rPr>
                <w:b w:val="0"/>
                <w:i w:val="0"/>
                <w:sz w:val="15"/>
              </w:rPr>
              <w:t>22, 12</w:t>
            </w:r>
          </w:p>
        </w:tc>
      </w:tr>
      <w:tr>
        <w:tc>
          <w:tcPr>
            <w:tcW w:type="dxa" w:w="576"/>
          </w:tcPr>
          <w:p>
            <w:r/>
            <w:r>
              <w:rPr>
                <w:b w:val="0"/>
                <w:i w:val="0"/>
                <w:sz w:val="15"/>
              </w:rPr>
              <w:t>D-11</w:t>
            </w:r>
          </w:p>
        </w:tc>
        <w:tc>
          <w:tcPr>
            <w:tcW w:type="dxa" w:w="2448"/>
          </w:tcPr>
          <w:p>
            <w:r/>
            <w:r>
              <w:rPr>
                <w:b w:val="0"/>
                <w:i w:val="0"/>
                <w:sz w:val="15"/>
              </w:rPr>
              <w:t>Dispute resolution: litigation in Osage County District Court instead of mediation + AAA arbitration</w:t>
            </w:r>
          </w:p>
        </w:tc>
        <w:tc>
          <w:tcPr>
            <w:tcW w:type="dxa" w:w="1224"/>
          </w:tcPr>
          <w:p>
            <w:r/>
            <w:r>
              <w:rPr>
                <w:b w:val="0"/>
                <w:i w:val="0"/>
                <w:sz w:val="15"/>
              </w:rPr>
              <w:t>TS §17.1–17.5</w:t>
            </w:r>
          </w:p>
        </w:tc>
        <w:tc>
          <w:tcPr>
            <w:tcW w:type="dxa" w:w="1440"/>
          </w:tcPr>
          <w:p>
            <w:r/>
            <w:r>
              <w:rPr>
                <w:b w:val="0"/>
                <w:i w:val="0"/>
                <w:sz w:val="15"/>
              </w:rPr>
              <w:t>PPA §19.1–19.4</w:t>
            </w:r>
          </w:p>
        </w:tc>
        <w:tc>
          <w:tcPr>
            <w:tcW w:type="dxa" w:w="1152"/>
          </w:tcPr>
          <w:p>
            <w:r/>
            <w:r>
              <w:rPr>
                <w:b w:val="0"/>
                <w:i w:val="0"/>
                <w:sz w:val="15"/>
              </w:rPr>
              <w:t>NOT AGREED</w:t>
            </w:r>
          </w:p>
        </w:tc>
        <w:tc>
          <w:tcPr>
            <w:tcW w:type="dxa" w:w="1152"/>
          </w:tcPr>
          <w:p>
            <w:r/>
            <w:r>
              <w:rPr>
                <w:b w:val="0"/>
                <w:i w:val="0"/>
                <w:sz w:val="15"/>
              </w:rPr>
              <w:t>Adverse</w:t>
            </w:r>
          </w:p>
        </w:tc>
        <w:tc>
          <w:tcPr>
            <w:tcW w:type="dxa" w:w="936"/>
            <w:shd w:val="clear" w:color="auto" w:fill="F4B183"/>
          </w:tcPr>
          <w:p>
            <w:r/>
            <w:r>
              <w:rPr>
                <w:b w:val="0"/>
                <w:i w:val="0"/>
                <w:sz w:val="15"/>
              </w:rPr>
              <w:t>High</w:t>
            </w:r>
          </w:p>
        </w:tc>
        <w:tc>
          <w:tcPr>
            <w:tcW w:type="dxa" w:w="864"/>
          </w:tcPr>
          <w:p>
            <w:r/>
            <w:r>
              <w:rPr>
                <w:b w:val="0"/>
                <w:i w:val="0"/>
                <w:sz w:val="15"/>
              </w:rPr>
              <w:t>43, 12(vii)</w:t>
            </w:r>
          </w:p>
        </w:tc>
      </w:tr>
      <w:tr>
        <w:tc>
          <w:tcPr>
            <w:tcW w:type="dxa" w:w="576"/>
          </w:tcPr>
          <w:p>
            <w:r/>
            <w:r>
              <w:rPr>
                <w:b w:val="0"/>
                <w:i w:val="0"/>
                <w:sz w:val="15"/>
              </w:rPr>
              <w:t>D-12</w:t>
            </w:r>
          </w:p>
        </w:tc>
        <w:tc>
          <w:tcPr>
            <w:tcW w:type="dxa" w:w="2448"/>
          </w:tcPr>
          <w:p>
            <w:r/>
            <w:r>
              <w:rPr>
                <w:b w:val="0"/>
                <w:i w:val="0"/>
                <w:sz w:val="15"/>
              </w:rPr>
              <w:t>Mechanical Availability LD rate $65,000 (not $50,000) per percentage point</w:t>
            </w:r>
          </w:p>
        </w:tc>
        <w:tc>
          <w:tcPr>
            <w:tcW w:type="dxa" w:w="1224"/>
          </w:tcPr>
          <w:p>
            <w:r/>
            <w:r>
              <w:rPr>
                <w:b w:val="0"/>
                <w:i w:val="0"/>
                <w:sz w:val="15"/>
              </w:rPr>
              <w:t>TS §9.1–9.3</w:t>
            </w:r>
          </w:p>
        </w:tc>
        <w:tc>
          <w:tcPr>
            <w:tcW w:type="dxa" w:w="1440"/>
          </w:tcPr>
          <w:p>
            <w:r/>
            <w:r>
              <w:rPr>
                <w:b w:val="0"/>
                <w:i w:val="0"/>
                <w:sz w:val="15"/>
              </w:rPr>
              <w:t>PPA §8.7; Ex. C §3</w:t>
            </w:r>
          </w:p>
        </w:tc>
        <w:tc>
          <w:tcPr>
            <w:tcW w:type="dxa" w:w="1152"/>
          </w:tcPr>
          <w:p>
            <w:r/>
            <w:r>
              <w:rPr>
                <w:b w:val="0"/>
                <w:i w:val="0"/>
                <w:sz w:val="15"/>
              </w:rPr>
              <w:t>NOT AGREED</w:t>
            </w:r>
          </w:p>
        </w:tc>
        <w:tc>
          <w:tcPr>
            <w:tcW w:type="dxa" w:w="1152"/>
          </w:tcPr>
          <w:p>
            <w:r/>
            <w:r>
              <w:rPr>
                <w:b w:val="0"/>
                <w:i w:val="0"/>
                <w:sz w:val="15"/>
              </w:rPr>
              <w:t>Adverse</w:t>
            </w:r>
          </w:p>
        </w:tc>
        <w:tc>
          <w:tcPr>
            <w:tcW w:type="dxa" w:w="936"/>
            <w:shd w:val="clear" w:color="auto" w:fill="FFE699"/>
          </w:tcPr>
          <w:p>
            <w:r/>
            <w:r>
              <w:rPr>
                <w:b w:val="0"/>
                <w:i w:val="0"/>
                <w:sz w:val="15"/>
              </w:rPr>
              <w:t>Medium</w:t>
            </w:r>
          </w:p>
        </w:tc>
        <w:tc>
          <w:tcPr>
            <w:tcW w:type="dxa" w:w="864"/>
          </w:tcPr>
          <w:p>
            <w:r/>
            <w:r>
              <w:rPr>
                <w:b w:val="0"/>
                <w:i w:val="0"/>
                <w:sz w:val="15"/>
              </w:rPr>
              <w:t>37, 12(ii)</w:t>
            </w:r>
          </w:p>
        </w:tc>
      </w:tr>
      <w:tr>
        <w:tc>
          <w:tcPr>
            <w:tcW w:type="dxa" w:w="576"/>
          </w:tcPr>
          <w:p>
            <w:r/>
            <w:r>
              <w:rPr>
                <w:b w:val="0"/>
                <w:i w:val="0"/>
                <w:sz w:val="15"/>
              </w:rPr>
              <w:t>D-13</w:t>
            </w:r>
          </w:p>
        </w:tc>
        <w:tc>
          <w:tcPr>
            <w:tcW w:type="dxa" w:w="2448"/>
          </w:tcPr>
          <w:p>
            <w:r/>
            <w:r>
              <w:rPr>
                <w:b w:val="0"/>
                <w:i w:val="0"/>
                <w:sz w:val="15"/>
              </w:rPr>
              <w:t>20% annual LD cap no longer covers Availability LDs</w:t>
            </w:r>
          </w:p>
        </w:tc>
        <w:tc>
          <w:tcPr>
            <w:tcW w:type="dxa" w:w="1224"/>
          </w:tcPr>
          <w:p>
            <w:r/>
            <w:r>
              <w:rPr>
                <w:b w:val="0"/>
                <w:i w:val="0"/>
                <w:sz w:val="15"/>
              </w:rPr>
              <w:t>TS §9.4</w:t>
            </w:r>
          </w:p>
        </w:tc>
        <w:tc>
          <w:tcPr>
            <w:tcW w:type="dxa" w:w="1440"/>
          </w:tcPr>
          <w:p>
            <w:r/>
            <w:r>
              <w:rPr>
                <w:b w:val="0"/>
                <w:i w:val="0"/>
                <w:sz w:val="15"/>
              </w:rPr>
              <w:t>PPA §8.5, §8.7</w:t>
            </w:r>
          </w:p>
        </w:tc>
        <w:tc>
          <w:tcPr>
            <w:tcW w:type="dxa" w:w="1152"/>
          </w:tcPr>
          <w:p>
            <w:r/>
            <w:r>
              <w:rPr>
                <w:b w:val="0"/>
                <w:i w:val="0"/>
                <w:sz w:val="15"/>
              </w:rPr>
              <w:t>NOT AGREED</w:t>
            </w:r>
          </w:p>
        </w:tc>
        <w:tc>
          <w:tcPr>
            <w:tcW w:type="dxa" w:w="1152"/>
          </w:tcPr>
          <w:p>
            <w:r/>
            <w:r>
              <w:rPr>
                <w:b w:val="0"/>
                <w:i w:val="0"/>
                <w:sz w:val="15"/>
              </w:rPr>
              <w:t>Adverse</w:t>
            </w:r>
          </w:p>
        </w:tc>
        <w:tc>
          <w:tcPr>
            <w:tcW w:type="dxa" w:w="936"/>
            <w:shd w:val="clear" w:color="auto" w:fill="FFE699"/>
          </w:tcPr>
          <w:p>
            <w:r/>
            <w:r>
              <w:rPr>
                <w:b w:val="0"/>
                <w:i w:val="0"/>
                <w:sz w:val="15"/>
              </w:rPr>
              <w:t>Medium</w:t>
            </w:r>
          </w:p>
        </w:tc>
        <w:tc>
          <w:tcPr>
            <w:tcW w:type="dxa" w:w="864"/>
          </w:tcPr>
          <w:p>
            <w:r/>
            <w:r>
              <w:rPr>
                <w:b w:val="0"/>
                <w:i w:val="0"/>
                <w:sz w:val="15"/>
              </w:rPr>
              <w:t>12(ii), 40</w:t>
            </w:r>
          </w:p>
        </w:tc>
      </w:tr>
      <w:tr>
        <w:tc>
          <w:tcPr>
            <w:tcW w:type="dxa" w:w="576"/>
          </w:tcPr>
          <w:p>
            <w:r/>
            <w:r>
              <w:rPr>
                <w:b w:val="0"/>
                <w:i w:val="0"/>
                <w:sz w:val="15"/>
              </w:rPr>
              <w:t>D-14</w:t>
            </w:r>
          </w:p>
        </w:tc>
        <w:tc>
          <w:tcPr>
            <w:tcW w:type="dxa" w:w="2448"/>
          </w:tcPr>
          <w:p>
            <w:r/>
            <w:r>
              <w:rPr>
                <w:b w:val="0"/>
                <w:i w:val="0"/>
                <w:sz w:val="15"/>
              </w:rPr>
              <w:t>Performance LDs no longer a clean sole remedy</w:t>
            </w:r>
          </w:p>
        </w:tc>
        <w:tc>
          <w:tcPr>
            <w:tcW w:type="dxa" w:w="1224"/>
          </w:tcPr>
          <w:p>
            <w:r/>
            <w:r>
              <w:rPr>
                <w:b w:val="0"/>
                <w:i w:val="0"/>
                <w:sz w:val="15"/>
              </w:rPr>
              <w:t>TS §8.4</w:t>
            </w:r>
          </w:p>
        </w:tc>
        <w:tc>
          <w:tcPr>
            <w:tcW w:type="dxa" w:w="1440"/>
          </w:tcPr>
          <w:p>
            <w:r/>
            <w:r>
              <w:rPr>
                <w:b w:val="0"/>
                <w:i w:val="0"/>
                <w:sz w:val="15"/>
              </w:rPr>
              <w:t>PPA §8.1 (last sentence), §8.5</w:t>
            </w:r>
          </w:p>
        </w:tc>
        <w:tc>
          <w:tcPr>
            <w:tcW w:type="dxa" w:w="1152"/>
          </w:tcPr>
          <w:p>
            <w:r/>
            <w:r>
              <w:rPr>
                <w:b w:val="0"/>
                <w:i w:val="0"/>
                <w:sz w:val="15"/>
              </w:rPr>
              <w:t>NOT AGREED / NEW TERM</w:t>
            </w:r>
          </w:p>
        </w:tc>
        <w:tc>
          <w:tcPr>
            <w:tcW w:type="dxa" w:w="1152"/>
          </w:tcPr>
          <w:p>
            <w:r/>
            <w:r>
              <w:rPr>
                <w:b w:val="0"/>
                <w:i w:val="0"/>
                <w:sz w:val="15"/>
              </w:rPr>
              <w:t>Adverse</w:t>
            </w:r>
          </w:p>
        </w:tc>
        <w:tc>
          <w:tcPr>
            <w:tcW w:type="dxa" w:w="936"/>
            <w:shd w:val="clear" w:color="auto" w:fill="FFE699"/>
          </w:tcPr>
          <w:p>
            <w:r/>
            <w:r>
              <w:rPr>
                <w:b w:val="0"/>
                <w:i w:val="0"/>
                <w:sz w:val="15"/>
              </w:rPr>
              <w:t>Medium</w:t>
            </w:r>
          </w:p>
        </w:tc>
        <w:tc>
          <w:tcPr>
            <w:tcW w:type="dxa" w:w="864"/>
          </w:tcPr>
          <w:p>
            <w:r/>
            <w:r>
              <w:rPr>
                <w:b w:val="0"/>
                <w:i w:val="0"/>
                <w:sz w:val="15"/>
              </w:rPr>
              <w:t>12(ii)</w:t>
            </w:r>
          </w:p>
        </w:tc>
      </w:tr>
      <w:tr>
        <w:tc>
          <w:tcPr>
            <w:tcW w:type="dxa" w:w="576"/>
          </w:tcPr>
          <w:p>
            <w:r/>
            <w:r>
              <w:rPr>
                <w:b w:val="0"/>
                <w:i w:val="0"/>
                <w:sz w:val="15"/>
              </w:rPr>
              <w:t>D-15</w:t>
            </w:r>
          </w:p>
        </w:tc>
        <w:tc>
          <w:tcPr>
            <w:tcW w:type="dxa" w:w="2448"/>
          </w:tcPr>
          <w:p>
            <w:r/>
            <w:r>
              <w:rPr>
                <w:b w:val="0"/>
                <w:i w:val="0"/>
                <w:sz w:val="15"/>
              </w:rPr>
              <w:t>Minimum Annual Energy Production reduced to 75% of CQ (637,500 MWh)</w:t>
            </w:r>
          </w:p>
        </w:tc>
        <w:tc>
          <w:tcPr>
            <w:tcW w:type="dxa" w:w="1224"/>
          </w:tcPr>
          <w:p>
            <w:r/>
            <w:r>
              <w:rPr>
                <w:b w:val="0"/>
                <w:i w:val="0"/>
                <w:sz w:val="15"/>
              </w:rPr>
              <w:t>TS §8.1</w:t>
            </w:r>
          </w:p>
        </w:tc>
        <w:tc>
          <w:tcPr>
            <w:tcW w:type="dxa" w:w="1440"/>
          </w:tcPr>
          <w:p>
            <w:r/>
            <w:r>
              <w:rPr>
                <w:b w:val="0"/>
                <w:i w:val="0"/>
                <w:sz w:val="15"/>
              </w:rPr>
              <w:t>PPA §8.3; Ex. A (“MAEP”)</w:t>
            </w:r>
          </w:p>
        </w:tc>
        <w:tc>
          <w:tcPr>
            <w:tcW w:type="dxa" w:w="1152"/>
          </w:tcPr>
          <w:p>
            <w:r/>
            <w:r>
              <w:rPr>
                <w:b w:val="0"/>
                <w:i w:val="0"/>
                <w:sz w:val="15"/>
              </w:rPr>
              <w:t>AGREED</w:t>
            </w:r>
          </w:p>
        </w:tc>
        <w:tc>
          <w:tcPr>
            <w:tcW w:type="dxa" w:w="1152"/>
          </w:tcPr>
          <w:p>
            <w:r/>
            <w:r>
              <w:rPr>
                <w:b w:val="0"/>
                <w:i w:val="0"/>
                <w:sz w:val="15"/>
              </w:rPr>
              <w:t>Seller-favorable</w:t>
            </w:r>
          </w:p>
        </w:tc>
        <w:tc>
          <w:tcPr>
            <w:tcW w:type="dxa" w:w="936"/>
            <w:shd w:val="clear" w:color="auto" w:fill="C6E0B4"/>
          </w:tcPr>
          <w:p>
            <w:r/>
            <w:r>
              <w:rPr>
                <w:b w:val="0"/>
                <w:i w:val="0"/>
                <w:sz w:val="15"/>
              </w:rPr>
              <w:t>Low</w:t>
            </w:r>
          </w:p>
        </w:tc>
        <w:tc>
          <w:tcPr>
            <w:tcW w:type="dxa" w:w="864"/>
          </w:tcPr>
          <w:p>
            <w:r/>
            <w:r>
              <w:rPr>
                <w:b w:val="0"/>
                <w:i w:val="0"/>
                <w:sz w:val="15"/>
              </w:rPr>
              <w:t>12(ii)</w:t>
            </w:r>
          </w:p>
        </w:tc>
      </w:tr>
      <w:tr>
        <w:tc>
          <w:tcPr>
            <w:tcW w:type="dxa" w:w="576"/>
          </w:tcPr>
          <w:p>
            <w:r/>
            <w:r>
              <w:rPr>
                <w:b w:val="0"/>
                <w:i w:val="0"/>
                <w:sz w:val="15"/>
              </w:rPr>
              <w:t>D-16</w:t>
            </w:r>
          </w:p>
        </w:tc>
        <w:tc>
          <w:tcPr>
            <w:tcW w:type="dxa" w:w="2448"/>
          </w:tcPr>
          <w:p>
            <w:r/>
            <w:r>
              <w:rPr>
                <w:b w:val="0"/>
                <w:i w:val="0"/>
                <w:sz w:val="15"/>
              </w:rPr>
              <w:t>Shortfall LD rate reduced to 50% of Contract Price</w:t>
            </w:r>
          </w:p>
        </w:tc>
        <w:tc>
          <w:tcPr>
            <w:tcW w:type="dxa" w:w="1224"/>
          </w:tcPr>
          <w:p>
            <w:r/>
            <w:r>
              <w:rPr>
                <w:b w:val="0"/>
                <w:i w:val="0"/>
                <w:sz w:val="15"/>
              </w:rPr>
              <w:t>TS §8.2–8.3</w:t>
            </w:r>
          </w:p>
        </w:tc>
        <w:tc>
          <w:tcPr>
            <w:tcW w:type="dxa" w:w="1440"/>
          </w:tcPr>
          <w:p>
            <w:r/>
            <w:r>
              <w:rPr>
                <w:b w:val="0"/>
                <w:i w:val="0"/>
                <w:sz w:val="15"/>
              </w:rPr>
              <w:t>PPA §8.4</w:t>
            </w:r>
          </w:p>
        </w:tc>
        <w:tc>
          <w:tcPr>
            <w:tcW w:type="dxa" w:w="1152"/>
          </w:tcPr>
          <w:p>
            <w:r/>
            <w:r>
              <w:rPr>
                <w:b w:val="0"/>
                <w:i w:val="0"/>
                <w:sz w:val="15"/>
              </w:rPr>
              <w:t>AGREED</w:t>
            </w:r>
          </w:p>
        </w:tc>
        <w:tc>
          <w:tcPr>
            <w:tcW w:type="dxa" w:w="1152"/>
          </w:tcPr>
          <w:p>
            <w:r/>
            <w:r>
              <w:rPr>
                <w:b w:val="0"/>
                <w:i w:val="0"/>
                <w:sz w:val="15"/>
              </w:rPr>
              <w:t>Seller-favorable</w:t>
            </w:r>
          </w:p>
        </w:tc>
        <w:tc>
          <w:tcPr>
            <w:tcW w:type="dxa" w:w="936"/>
            <w:shd w:val="clear" w:color="auto" w:fill="C6E0B4"/>
          </w:tcPr>
          <w:p>
            <w:r/>
            <w:r>
              <w:rPr>
                <w:b w:val="0"/>
                <w:i w:val="0"/>
                <w:sz w:val="15"/>
              </w:rPr>
              <w:t>Low</w:t>
            </w:r>
          </w:p>
        </w:tc>
        <w:tc>
          <w:tcPr>
            <w:tcW w:type="dxa" w:w="864"/>
          </w:tcPr>
          <w:p>
            <w:r/>
            <w:r>
              <w:rPr>
                <w:b w:val="0"/>
                <w:i w:val="0"/>
                <w:sz w:val="15"/>
              </w:rPr>
              <w:t>12(ii)</w:t>
            </w:r>
          </w:p>
        </w:tc>
      </w:tr>
      <w:tr>
        <w:tc>
          <w:tcPr>
            <w:tcW w:type="dxa" w:w="576"/>
          </w:tcPr>
          <w:p>
            <w:r/>
            <w:r>
              <w:rPr>
                <w:b w:val="0"/>
                <w:i w:val="0"/>
                <w:sz w:val="15"/>
              </w:rPr>
              <w:t>D-17</w:t>
            </w:r>
          </w:p>
        </w:tc>
        <w:tc>
          <w:tcPr>
            <w:tcW w:type="dxa" w:w="2448"/>
          </w:tcPr>
          <w:p>
            <w:r/>
            <w:r>
              <w:rPr>
                <w:b w:val="0"/>
                <w:i w:val="0"/>
                <w:sz w:val="15"/>
              </w:rPr>
              <w:t>Quarterly generation reporting (consideration for D-15/D-16) not reflected</w:t>
            </w:r>
          </w:p>
        </w:tc>
        <w:tc>
          <w:tcPr>
            <w:tcW w:type="dxa" w:w="1224"/>
          </w:tcPr>
          <w:p>
            <w:r/>
            <w:r>
              <w:rPr>
                <w:b w:val="0"/>
                <w:i w:val="0"/>
                <w:sz w:val="15"/>
              </w:rPr>
              <w:t>N/A (consideration for agreed deviations)</w:t>
            </w:r>
          </w:p>
        </w:tc>
        <w:tc>
          <w:tcPr>
            <w:tcW w:type="dxa" w:w="1440"/>
          </w:tcPr>
          <w:p>
            <w:r/>
            <w:r>
              <w:rPr>
                <w:b w:val="0"/>
                <w:i w:val="0"/>
                <w:sz w:val="15"/>
              </w:rPr>
              <w:t>PPA §3.4 (construction progress only), §7.3 (monthly meter data)</w:t>
            </w:r>
          </w:p>
        </w:tc>
        <w:tc>
          <w:tcPr>
            <w:tcW w:type="dxa" w:w="1152"/>
          </w:tcPr>
          <w:p>
            <w:r/>
            <w:r>
              <w:rPr>
                <w:b w:val="0"/>
                <w:i w:val="0"/>
                <w:sz w:val="15"/>
              </w:rPr>
              <w:t>DRAFTING (documentation gap)</w:t>
            </w:r>
          </w:p>
        </w:tc>
        <w:tc>
          <w:tcPr>
            <w:tcW w:type="dxa" w:w="1152"/>
          </w:tcPr>
          <w:p>
            <w:r/>
            <w:r>
              <w:rPr>
                <w:b w:val="0"/>
                <w:i w:val="0"/>
                <w:sz w:val="15"/>
              </w:rPr>
              <w:t>Neutral; evidentiary</w:t>
            </w:r>
          </w:p>
        </w:tc>
        <w:tc>
          <w:tcPr>
            <w:tcW w:type="dxa" w:w="936"/>
            <w:shd w:val="clear" w:color="auto" w:fill="C6E0B4"/>
          </w:tcPr>
          <w:p>
            <w:r/>
            <w:r>
              <w:rPr>
                <w:b w:val="0"/>
                <w:i w:val="0"/>
                <w:sz w:val="15"/>
              </w:rPr>
              <w:t>Low</w:t>
            </w:r>
          </w:p>
        </w:tc>
        <w:tc>
          <w:tcPr>
            <w:tcW w:type="dxa" w:w="864"/>
          </w:tcPr>
          <w:p>
            <w:r/>
            <w:r>
              <w:rPr>
                <w:b w:val="0"/>
                <w:i w:val="0"/>
                <w:sz w:val="15"/>
              </w:rPr>
              <w:t>12(ii)</w:t>
            </w:r>
          </w:p>
        </w:tc>
      </w:tr>
      <w:tr>
        <w:tc>
          <w:tcPr>
            <w:tcW w:type="dxa" w:w="576"/>
          </w:tcPr>
          <w:p>
            <w:r/>
            <w:r>
              <w:rPr>
                <w:b w:val="0"/>
                <w:i w:val="0"/>
                <w:sz w:val="15"/>
              </w:rPr>
              <w:t>D-18</w:t>
            </w:r>
          </w:p>
        </w:tc>
        <w:tc>
          <w:tcPr>
            <w:tcW w:type="dxa" w:w="2448"/>
          </w:tcPr>
          <w:p>
            <w:r/>
            <w:r>
              <w:rPr>
                <w:b w:val="0"/>
                <w:i w:val="0"/>
                <w:sz w:val="15"/>
              </w:rPr>
              <w:t>Excess-generation RECs retained by Seller</w:t>
            </w:r>
          </w:p>
        </w:tc>
        <w:tc>
          <w:tcPr>
            <w:tcW w:type="dxa" w:w="1224"/>
          </w:tcPr>
          <w:p>
            <w:r/>
            <w:r>
              <w:rPr>
                <w:b w:val="0"/>
                <w:i w:val="0"/>
                <w:sz w:val="15"/>
              </w:rPr>
              <w:t>TS §10.1, §10.3</w:t>
            </w:r>
          </w:p>
        </w:tc>
        <w:tc>
          <w:tcPr>
            <w:tcW w:type="dxa" w:w="1440"/>
          </w:tcPr>
          <w:p>
            <w:r/>
            <w:r>
              <w:rPr>
                <w:b w:val="0"/>
                <w:i w:val="0"/>
                <w:sz w:val="15"/>
              </w:rPr>
              <w:t>PPA §10.1, §10.2; §8.6</w:t>
            </w:r>
          </w:p>
        </w:tc>
        <w:tc>
          <w:tcPr>
            <w:tcW w:type="dxa" w:w="1152"/>
          </w:tcPr>
          <w:p>
            <w:r/>
            <w:r>
              <w:rPr>
                <w:b w:val="0"/>
                <w:i w:val="0"/>
                <w:sz w:val="15"/>
              </w:rPr>
              <w:t>OPEN-IN PPA</w:t>
            </w:r>
          </w:p>
        </w:tc>
        <w:tc>
          <w:tcPr>
            <w:tcW w:type="dxa" w:w="1152"/>
          </w:tcPr>
          <w:p>
            <w:r/>
            <w:r>
              <w:rPr>
                <w:b w:val="0"/>
                <w:i w:val="0"/>
                <w:sz w:val="15"/>
              </w:rPr>
              <w:t>Seller-favorable</w:t>
            </w:r>
          </w:p>
        </w:tc>
        <w:tc>
          <w:tcPr>
            <w:tcW w:type="dxa" w:w="936"/>
            <w:shd w:val="clear" w:color="auto" w:fill="FFE699"/>
          </w:tcPr>
          <w:p>
            <w:r/>
            <w:r>
              <w:rPr>
                <w:b w:val="0"/>
                <w:i w:val="0"/>
                <w:sz w:val="15"/>
              </w:rPr>
              <w:t>Medium</w:t>
            </w:r>
          </w:p>
        </w:tc>
        <w:tc>
          <w:tcPr>
            <w:tcW w:type="dxa" w:w="864"/>
          </w:tcPr>
          <w:p>
            <w:r/>
            <w:r>
              <w:rPr>
                <w:b w:val="0"/>
                <w:i w:val="0"/>
                <w:sz w:val="15"/>
              </w:rPr>
              <w:t>12(viii)</w:t>
            </w:r>
          </w:p>
        </w:tc>
      </w:tr>
      <w:tr>
        <w:tc>
          <w:tcPr>
            <w:tcW w:type="dxa" w:w="576"/>
          </w:tcPr>
          <w:p>
            <w:r/>
            <w:r>
              <w:rPr>
                <w:b w:val="0"/>
                <w:i w:val="0"/>
                <w:sz w:val="15"/>
              </w:rPr>
              <w:t>D-19</w:t>
            </w:r>
          </w:p>
        </w:tc>
        <w:tc>
          <w:tcPr>
            <w:tcW w:type="dxa" w:w="2448"/>
          </w:tcPr>
          <w:p>
            <w:r/>
            <w:r>
              <w:rPr>
                <w:b w:val="0"/>
                <w:i w:val="0"/>
                <w:sz w:val="15"/>
              </w:rPr>
              <w:t>REC scope limited to delivered energy; tracking registry</w:t>
            </w:r>
          </w:p>
        </w:tc>
        <w:tc>
          <w:tcPr>
            <w:tcW w:type="dxa" w:w="1224"/>
          </w:tcPr>
          <w:p>
            <w:r/>
            <w:r>
              <w:rPr>
                <w:b w:val="0"/>
                <w:i w:val="0"/>
                <w:sz w:val="15"/>
              </w:rPr>
              <w:t>TS §10.1–10.2</w:t>
            </w:r>
          </w:p>
        </w:tc>
        <w:tc>
          <w:tcPr>
            <w:tcW w:type="dxa" w:w="1440"/>
          </w:tcPr>
          <w:p>
            <w:r/>
            <w:r>
              <w:rPr>
                <w:b w:val="0"/>
                <w:i w:val="0"/>
                <w:sz w:val="15"/>
              </w:rPr>
              <w:t>PPA §10.1–10.2; Ex. A (“REC”)</w:t>
            </w:r>
          </w:p>
        </w:tc>
        <w:tc>
          <w:tcPr>
            <w:tcW w:type="dxa" w:w="1152"/>
          </w:tcPr>
          <w:p>
            <w:r/>
            <w:r>
              <w:rPr>
                <w:b w:val="0"/>
                <w:i w:val="0"/>
                <w:sz w:val="15"/>
              </w:rPr>
              <w:t>NEW TERM</w:t>
            </w:r>
          </w:p>
        </w:tc>
        <w:tc>
          <w:tcPr>
            <w:tcW w:type="dxa" w:w="1152"/>
          </w:tcPr>
          <w:p>
            <w:r/>
            <w:r>
              <w:rPr>
                <w:b w:val="0"/>
                <w:i w:val="0"/>
                <w:sz w:val="15"/>
              </w:rPr>
              <w:t>Neutral</w:t>
            </w:r>
          </w:p>
        </w:tc>
        <w:tc>
          <w:tcPr>
            <w:tcW w:type="dxa" w:w="936"/>
            <w:shd w:val="clear" w:color="auto" w:fill="C6E0B4"/>
          </w:tcPr>
          <w:p>
            <w:r/>
            <w:r>
              <w:rPr>
                <w:b w:val="0"/>
                <w:i w:val="0"/>
                <w:sz w:val="15"/>
              </w:rPr>
              <w:t>Low</w:t>
            </w:r>
          </w:p>
        </w:tc>
        <w:tc>
          <w:tcPr>
            <w:tcW w:type="dxa" w:w="864"/>
          </w:tcPr>
          <w:p>
            <w:r/>
            <w:r>
              <w:rPr>
                <w:b w:val="0"/>
                <w:i w:val="0"/>
                <w:sz w:val="15"/>
              </w:rPr>
              <w:t>12(viii)</w:t>
            </w:r>
          </w:p>
        </w:tc>
      </w:tr>
      <w:tr>
        <w:tc>
          <w:tcPr>
            <w:tcW w:type="dxa" w:w="576"/>
          </w:tcPr>
          <w:p>
            <w:r/>
            <w:r>
              <w:rPr>
                <w:b w:val="0"/>
                <w:i w:val="0"/>
                <w:sz w:val="15"/>
              </w:rPr>
              <w:t>D-20</w:t>
            </w:r>
          </w:p>
        </w:tc>
        <w:tc>
          <w:tcPr>
            <w:tcW w:type="dxa" w:w="2448"/>
          </w:tcPr>
          <w:p>
            <w:r/>
            <w:r>
              <w:rPr>
                <w:b w:val="0"/>
                <w:i w:val="0"/>
                <w:sz w:val="15"/>
              </w:rPr>
              <w:t>Early COD permitted from March 1, 2026</w:t>
            </w:r>
          </w:p>
        </w:tc>
        <w:tc>
          <w:tcPr>
            <w:tcW w:type="dxa" w:w="1224"/>
          </w:tcPr>
          <w:p>
            <w:r/>
            <w:r>
              <w:rPr>
                <w:b w:val="0"/>
                <w:i w:val="0"/>
                <w:sz w:val="15"/>
              </w:rPr>
              <w:t>TS §3.4</w:t>
            </w:r>
          </w:p>
        </w:tc>
        <w:tc>
          <w:tcPr>
            <w:tcW w:type="dxa" w:w="1440"/>
          </w:tcPr>
          <w:p>
            <w:r/>
            <w:r>
              <w:rPr>
                <w:b w:val="0"/>
                <w:i w:val="0"/>
                <w:sz w:val="15"/>
              </w:rPr>
              <w:t>PPA §3.3; Ex. G</w:t>
            </w:r>
          </w:p>
        </w:tc>
        <w:tc>
          <w:tcPr>
            <w:tcW w:type="dxa" w:w="1152"/>
          </w:tcPr>
          <w:p>
            <w:r/>
            <w:r>
              <w:rPr>
                <w:b w:val="0"/>
                <w:i w:val="0"/>
                <w:sz w:val="15"/>
              </w:rPr>
              <w:t>OPEN-IN PPA</w:t>
            </w:r>
          </w:p>
        </w:tc>
        <w:tc>
          <w:tcPr>
            <w:tcW w:type="dxa" w:w="1152"/>
          </w:tcPr>
          <w:p>
            <w:r/>
            <w:r>
              <w:rPr>
                <w:b w:val="0"/>
                <w:i w:val="0"/>
                <w:sz w:val="15"/>
              </w:rPr>
              <w:t>Seller-favorable</w:t>
            </w:r>
          </w:p>
        </w:tc>
        <w:tc>
          <w:tcPr>
            <w:tcW w:type="dxa" w:w="936"/>
            <w:shd w:val="clear" w:color="auto" w:fill="C6E0B4"/>
          </w:tcPr>
          <w:p>
            <w:r/>
            <w:r>
              <w:rPr>
                <w:b w:val="0"/>
                <w:i w:val="0"/>
                <w:sz w:val="15"/>
              </w:rPr>
              <w:t>Low</w:t>
            </w:r>
          </w:p>
        </w:tc>
        <w:tc>
          <w:tcPr>
            <w:tcW w:type="dxa" w:w="864"/>
          </w:tcPr>
          <w:p>
            <w:r/>
            <w:r>
              <w:rPr>
                <w:b w:val="0"/>
                <w:i w:val="0"/>
                <w:sz w:val="15"/>
              </w:rPr>
              <w:t>34, 12</w:t>
            </w:r>
          </w:p>
        </w:tc>
      </w:tr>
      <w:tr>
        <w:tc>
          <w:tcPr>
            <w:tcW w:type="dxa" w:w="576"/>
          </w:tcPr>
          <w:p>
            <w:r/>
            <w:r>
              <w:rPr>
                <w:b w:val="0"/>
                <w:i w:val="0"/>
                <w:sz w:val="15"/>
              </w:rPr>
              <w:t>D-21</w:t>
            </w:r>
          </w:p>
        </w:tc>
        <w:tc>
          <w:tcPr>
            <w:tcW w:type="dxa" w:w="2448"/>
          </w:tcPr>
          <w:p>
            <w:r/>
            <w:r>
              <w:rPr>
                <w:b w:val="0"/>
                <w:i w:val="0"/>
                <w:sz w:val="15"/>
              </w:rPr>
              <w:t>Performance bond due within 30 days of Effective Date (not 30 days before construction)</w:t>
            </w:r>
          </w:p>
        </w:tc>
        <w:tc>
          <w:tcPr>
            <w:tcW w:type="dxa" w:w="1224"/>
          </w:tcPr>
          <w:p>
            <w:r/>
            <w:r>
              <w:rPr>
                <w:b w:val="0"/>
                <w:i w:val="0"/>
                <w:sz w:val="15"/>
              </w:rPr>
              <w:t>TS §11.1–11.2, §11.4</w:t>
            </w:r>
          </w:p>
        </w:tc>
        <w:tc>
          <w:tcPr>
            <w:tcW w:type="dxa" w:w="1440"/>
          </w:tcPr>
          <w:p>
            <w:r/>
            <w:r>
              <w:rPr>
                <w:b w:val="0"/>
                <w:i w:val="0"/>
                <w:sz w:val="15"/>
              </w:rPr>
              <w:t>PPA §13.1; §2.4(a); Ex. F §2</w:t>
            </w:r>
          </w:p>
        </w:tc>
        <w:tc>
          <w:tcPr>
            <w:tcW w:type="dxa" w:w="1152"/>
          </w:tcPr>
          <w:p>
            <w:r/>
            <w:r>
              <w:rPr>
                <w:b w:val="0"/>
                <w:i w:val="0"/>
                <w:sz w:val="15"/>
              </w:rPr>
              <w:t>NOT AGREED</w:t>
            </w:r>
          </w:p>
        </w:tc>
        <w:tc>
          <w:tcPr>
            <w:tcW w:type="dxa" w:w="1152"/>
          </w:tcPr>
          <w:p>
            <w:r/>
            <w:r>
              <w:rPr>
                <w:b w:val="0"/>
                <w:i w:val="0"/>
                <w:sz w:val="15"/>
              </w:rPr>
              <w:t>Adverse</w:t>
            </w:r>
          </w:p>
        </w:tc>
        <w:tc>
          <w:tcPr>
            <w:tcW w:type="dxa" w:w="936"/>
            <w:shd w:val="clear" w:color="auto" w:fill="FFE699"/>
          </w:tcPr>
          <w:p>
            <w:r/>
            <w:r>
              <w:rPr>
                <w:b w:val="0"/>
                <w:i w:val="0"/>
                <w:sz w:val="15"/>
              </w:rPr>
              <w:t>Medium</w:t>
            </w:r>
          </w:p>
        </w:tc>
        <w:tc>
          <w:tcPr>
            <w:tcW w:type="dxa" w:w="864"/>
          </w:tcPr>
          <w:p>
            <w:r/>
            <w:r>
              <w:rPr>
                <w:b w:val="0"/>
                <w:i w:val="0"/>
                <w:sz w:val="15"/>
              </w:rPr>
              <w:t>16</w:t>
            </w:r>
          </w:p>
        </w:tc>
      </w:tr>
      <w:tr>
        <w:tc>
          <w:tcPr>
            <w:tcW w:type="dxa" w:w="576"/>
          </w:tcPr>
          <w:p>
            <w:r/>
            <w:r>
              <w:rPr>
                <w:b w:val="0"/>
                <w:i w:val="0"/>
                <w:sz w:val="15"/>
              </w:rPr>
              <w:t>D-22</w:t>
            </w:r>
          </w:p>
        </w:tc>
        <w:tc>
          <w:tcPr>
            <w:tcW w:type="dxa" w:w="2448"/>
          </w:tcPr>
          <w:p>
            <w:r/>
            <w:r>
              <w:rPr>
                <w:b w:val="0"/>
                <w:i w:val="0"/>
                <w:sz w:val="15"/>
              </w:rPr>
              <w:t>Bond step-down omitted; bond covers all obligations for full Term on demand</w:t>
            </w:r>
          </w:p>
        </w:tc>
        <w:tc>
          <w:tcPr>
            <w:tcW w:type="dxa" w:w="1224"/>
          </w:tcPr>
          <w:p>
            <w:r/>
            <w:r>
              <w:rPr>
                <w:b w:val="0"/>
                <w:i w:val="0"/>
                <w:sz w:val="15"/>
              </w:rPr>
              <w:t>TS §11.3</w:t>
            </w:r>
          </w:p>
        </w:tc>
        <w:tc>
          <w:tcPr>
            <w:tcW w:type="dxa" w:w="1440"/>
          </w:tcPr>
          <w:p>
            <w:r/>
            <w:r>
              <w:rPr>
                <w:b w:val="0"/>
                <w:i w:val="0"/>
                <w:sz w:val="15"/>
              </w:rPr>
              <w:t>PPA §13.1; Ex. F §§1–3</w:t>
            </w:r>
          </w:p>
        </w:tc>
        <w:tc>
          <w:tcPr>
            <w:tcW w:type="dxa" w:w="1152"/>
          </w:tcPr>
          <w:p>
            <w:r/>
            <w:r>
              <w:rPr>
                <w:b w:val="0"/>
                <w:i w:val="0"/>
                <w:sz w:val="15"/>
              </w:rPr>
              <w:t>NOT AGREED</w:t>
            </w:r>
          </w:p>
        </w:tc>
        <w:tc>
          <w:tcPr>
            <w:tcW w:type="dxa" w:w="1152"/>
          </w:tcPr>
          <w:p>
            <w:r/>
            <w:r>
              <w:rPr>
                <w:b w:val="0"/>
                <w:i w:val="0"/>
                <w:sz w:val="15"/>
              </w:rPr>
              <w:t>Adverse</w:t>
            </w:r>
          </w:p>
        </w:tc>
        <w:tc>
          <w:tcPr>
            <w:tcW w:type="dxa" w:w="936"/>
            <w:shd w:val="clear" w:color="auto" w:fill="FFE699"/>
          </w:tcPr>
          <w:p>
            <w:r/>
            <w:r>
              <w:rPr>
                <w:b w:val="0"/>
                <w:i w:val="0"/>
                <w:sz w:val="15"/>
              </w:rPr>
              <w:t>Medium</w:t>
            </w:r>
          </w:p>
        </w:tc>
        <w:tc>
          <w:tcPr>
            <w:tcW w:type="dxa" w:w="864"/>
          </w:tcPr>
          <w:p>
            <w:r/>
            <w:r>
              <w:rPr>
                <w:b w:val="0"/>
                <w:i w:val="0"/>
                <w:sz w:val="15"/>
              </w:rPr>
              <w:t>16, 28</w:t>
            </w:r>
          </w:p>
        </w:tc>
      </w:tr>
      <w:tr>
        <w:tc>
          <w:tcPr>
            <w:tcW w:type="dxa" w:w="576"/>
          </w:tcPr>
          <w:p>
            <w:r/>
            <w:r>
              <w:rPr>
                <w:b w:val="0"/>
                <w:i w:val="0"/>
                <w:sz w:val="15"/>
              </w:rPr>
              <w:t>D-23</w:t>
            </w:r>
          </w:p>
        </w:tc>
        <w:tc>
          <w:tcPr>
            <w:tcW w:type="dxa" w:w="2448"/>
          </w:tcPr>
          <w:p>
            <w:r/>
            <w:r>
              <w:rPr>
                <w:b w:val="0"/>
                <w:i w:val="0"/>
                <w:sz w:val="15"/>
              </w:rPr>
              <w:t>COD conditions: 240 MW capacity test and Buyer confirmation process</w:t>
            </w:r>
          </w:p>
        </w:tc>
        <w:tc>
          <w:tcPr>
            <w:tcW w:type="dxa" w:w="1224"/>
          </w:tcPr>
          <w:p>
            <w:r/>
            <w:r>
              <w:rPr>
                <w:b w:val="0"/>
                <w:i w:val="0"/>
                <w:sz w:val="15"/>
              </w:rPr>
              <w:t>TS §1 (“COD”), §3</w:t>
            </w:r>
          </w:p>
        </w:tc>
        <w:tc>
          <w:tcPr>
            <w:tcW w:type="dxa" w:w="1440"/>
          </w:tcPr>
          <w:p>
            <w:r/>
            <w:r>
              <w:rPr>
                <w:b w:val="0"/>
                <w:i w:val="0"/>
                <w:sz w:val="15"/>
              </w:rPr>
              <w:t>PPA §3.2(i)–(vi); Ex. A (“Commercial Operation Date”); Ex. C §1</w:t>
            </w:r>
          </w:p>
        </w:tc>
        <w:tc>
          <w:tcPr>
            <w:tcW w:type="dxa" w:w="1152"/>
          </w:tcPr>
          <w:p>
            <w:r/>
            <w:r>
              <w:rPr>
                <w:b w:val="0"/>
                <w:i w:val="0"/>
                <w:sz w:val="15"/>
              </w:rPr>
              <w:t>NEW TERM</w:t>
            </w:r>
          </w:p>
        </w:tc>
        <w:tc>
          <w:tcPr>
            <w:tcW w:type="dxa" w:w="1152"/>
          </w:tcPr>
          <w:p>
            <w:r/>
            <w:r>
              <w:rPr>
                <w:b w:val="0"/>
                <w:i w:val="0"/>
                <w:sz w:val="15"/>
              </w:rPr>
              <w:t>Adverse</w:t>
            </w:r>
          </w:p>
        </w:tc>
        <w:tc>
          <w:tcPr>
            <w:tcW w:type="dxa" w:w="936"/>
            <w:shd w:val="clear" w:color="auto" w:fill="FFE699"/>
          </w:tcPr>
          <w:p>
            <w:r/>
            <w:r>
              <w:rPr>
                <w:b w:val="0"/>
                <w:i w:val="0"/>
                <w:sz w:val="15"/>
              </w:rPr>
              <w:t>Medium</w:t>
            </w:r>
          </w:p>
        </w:tc>
        <w:tc>
          <w:tcPr>
            <w:tcW w:type="dxa" w:w="864"/>
          </w:tcPr>
          <w:p>
            <w:r/>
            <w:r>
              <w:rPr>
                <w:b w:val="0"/>
                <w:i w:val="0"/>
                <w:sz w:val="15"/>
              </w:rPr>
              <w:t>34, 36</w:t>
            </w:r>
          </w:p>
        </w:tc>
      </w:tr>
      <w:tr>
        <w:tc>
          <w:tcPr>
            <w:tcW w:type="dxa" w:w="576"/>
          </w:tcPr>
          <w:p>
            <w:r/>
            <w:r>
              <w:rPr>
                <w:b w:val="0"/>
                <w:i w:val="0"/>
                <w:sz w:val="15"/>
              </w:rPr>
              <w:t>D-24</w:t>
            </w:r>
          </w:p>
        </w:tc>
        <w:tc>
          <w:tcPr>
            <w:tcW w:type="dxa" w:w="2448"/>
          </w:tcPr>
          <w:p>
            <w:r/>
            <w:r>
              <w:rPr>
                <w:b w:val="0"/>
                <w:i w:val="0"/>
                <w:sz w:val="15"/>
              </w:rPr>
              <w:t>Buyer credit support conditional; downgrade collateral</w:t>
            </w:r>
          </w:p>
        </w:tc>
        <w:tc>
          <w:tcPr>
            <w:tcW w:type="dxa" w:w="1224"/>
          </w:tcPr>
          <w:p>
            <w:r/>
            <w:r>
              <w:rPr>
                <w:b w:val="0"/>
                <w:i w:val="0"/>
                <w:sz w:val="15"/>
              </w:rPr>
              <w:t>TS §12.1–12.2</w:t>
            </w:r>
          </w:p>
        </w:tc>
        <w:tc>
          <w:tcPr>
            <w:tcW w:type="dxa" w:w="1440"/>
          </w:tcPr>
          <w:p>
            <w:r/>
            <w:r>
              <w:rPr>
                <w:b w:val="0"/>
                <w:i w:val="0"/>
                <w:sz w:val="15"/>
              </w:rPr>
              <w:t>PPA §13.2, §13.3; §2.3(e)</w:t>
            </w:r>
          </w:p>
        </w:tc>
        <w:tc>
          <w:tcPr>
            <w:tcW w:type="dxa" w:w="1152"/>
          </w:tcPr>
          <w:p>
            <w:r/>
            <w:r>
              <w:rPr>
                <w:b w:val="0"/>
                <w:i w:val="0"/>
                <w:sz w:val="15"/>
              </w:rPr>
              <w:t>NEW TERM</w:t>
            </w:r>
          </w:p>
        </w:tc>
        <w:tc>
          <w:tcPr>
            <w:tcW w:type="dxa" w:w="1152"/>
          </w:tcPr>
          <w:p>
            <w:r/>
            <w:r>
              <w:rPr>
                <w:b w:val="0"/>
                <w:i w:val="0"/>
                <w:sz w:val="15"/>
              </w:rPr>
              <w:t>Seller-favorable</w:t>
            </w:r>
          </w:p>
        </w:tc>
        <w:tc>
          <w:tcPr>
            <w:tcW w:type="dxa" w:w="936"/>
            <w:shd w:val="clear" w:color="auto" w:fill="C6E0B4"/>
          </w:tcPr>
          <w:p>
            <w:r/>
            <w:r>
              <w:rPr>
                <w:b w:val="0"/>
                <w:i w:val="0"/>
                <w:sz w:val="15"/>
              </w:rPr>
              <w:t>Low</w:t>
            </w:r>
          </w:p>
        </w:tc>
        <w:tc>
          <w:tcPr>
            <w:tcW w:type="dxa" w:w="864"/>
          </w:tcPr>
          <w:p>
            <w:r/>
            <w:r>
              <w:rPr>
                <w:b w:val="0"/>
                <w:i w:val="0"/>
                <w:sz w:val="15"/>
              </w:rPr>
              <w:t>13</w:t>
            </w:r>
          </w:p>
        </w:tc>
      </w:tr>
      <w:tr>
        <w:tc>
          <w:tcPr>
            <w:tcW w:type="dxa" w:w="576"/>
          </w:tcPr>
          <w:p>
            <w:r/>
            <w:r>
              <w:rPr>
                <w:b w:val="0"/>
                <w:i w:val="0"/>
                <w:sz w:val="15"/>
              </w:rPr>
              <w:t>D-25</w:t>
            </w:r>
          </w:p>
        </w:tc>
        <w:tc>
          <w:tcPr>
            <w:tcW w:type="dxa" w:w="2448"/>
          </w:tcPr>
          <w:p>
            <w:r/>
            <w:r>
              <w:rPr>
                <w:b w:val="0"/>
                <w:i w:val="0"/>
                <w:sz w:val="15"/>
              </w:rPr>
              <w:t>Termination damages formula and aggregate liability cap</w:t>
            </w:r>
          </w:p>
        </w:tc>
        <w:tc>
          <w:tcPr>
            <w:tcW w:type="dxa" w:w="1224"/>
          </w:tcPr>
          <w:p>
            <w:r/>
            <w:r>
              <w:rPr>
                <w:b w:val="0"/>
                <w:i w:val="0"/>
                <w:sz w:val="15"/>
              </w:rPr>
              <w:t>No TS counterpart (TS §3.5, §7.3, §8.4 sole remedies)</w:t>
            </w:r>
          </w:p>
        </w:tc>
        <w:tc>
          <w:tcPr>
            <w:tcW w:type="dxa" w:w="1440"/>
          </w:tcPr>
          <w:p>
            <w:r/>
            <w:r>
              <w:rPr>
                <w:b w:val="0"/>
                <w:i w:val="0"/>
                <w:sz w:val="15"/>
              </w:rPr>
              <w:t>PPA §18.3(b); §16.2; §16.3</w:t>
            </w:r>
          </w:p>
        </w:tc>
        <w:tc>
          <w:tcPr>
            <w:tcW w:type="dxa" w:w="1152"/>
          </w:tcPr>
          <w:p>
            <w:r/>
            <w:r>
              <w:rPr>
                <w:b w:val="0"/>
                <w:i w:val="0"/>
                <w:sz w:val="15"/>
              </w:rPr>
              <w:t>NEW TERM</w:t>
            </w:r>
          </w:p>
        </w:tc>
        <w:tc>
          <w:tcPr>
            <w:tcW w:type="dxa" w:w="1152"/>
          </w:tcPr>
          <w:p>
            <w:r/>
            <w:r>
              <w:rPr>
                <w:b w:val="0"/>
                <w:i w:val="0"/>
                <w:sz w:val="15"/>
              </w:rPr>
              <w:t>Adverse / ambiguous</w:t>
            </w:r>
          </w:p>
        </w:tc>
        <w:tc>
          <w:tcPr>
            <w:tcW w:type="dxa" w:w="936"/>
            <w:shd w:val="clear" w:color="auto" w:fill="FFE699"/>
          </w:tcPr>
          <w:p>
            <w:r/>
            <w:r>
              <w:rPr>
                <w:b w:val="0"/>
                <w:i w:val="0"/>
                <w:sz w:val="15"/>
              </w:rPr>
              <w:t>Medium</w:t>
            </w:r>
          </w:p>
        </w:tc>
        <w:tc>
          <w:tcPr>
            <w:tcW w:type="dxa" w:w="864"/>
          </w:tcPr>
          <w:p>
            <w:r/>
            <w:r>
              <w:rPr>
                <w:b w:val="0"/>
                <w:i w:val="0"/>
                <w:sz w:val="15"/>
              </w:rPr>
              <w:t>12, 40</w:t>
            </w:r>
          </w:p>
        </w:tc>
      </w:tr>
      <w:tr>
        <w:tc>
          <w:tcPr>
            <w:tcW w:type="dxa" w:w="576"/>
          </w:tcPr>
          <w:p>
            <w:r/>
            <w:r>
              <w:rPr>
                <w:b w:val="0"/>
                <w:i w:val="0"/>
                <w:sz w:val="15"/>
              </w:rPr>
              <w:t>D-26</w:t>
            </w:r>
          </w:p>
        </w:tc>
        <w:tc>
          <w:tcPr>
            <w:tcW w:type="dxa" w:w="2448"/>
          </w:tcPr>
          <w:p>
            <w:r/>
            <w:r>
              <w:rPr>
                <w:b w:val="0"/>
                <w:i w:val="0"/>
                <w:sz w:val="15"/>
              </w:rPr>
              <w:t>Assignment mechanics: Buyer conditions and Buyer assignment</w:t>
            </w:r>
          </w:p>
        </w:tc>
        <w:tc>
          <w:tcPr>
            <w:tcW w:type="dxa" w:w="1224"/>
          </w:tcPr>
          <w:p>
            <w:r/>
            <w:r>
              <w:rPr>
                <w:b w:val="0"/>
                <w:i w:val="0"/>
                <w:sz w:val="15"/>
              </w:rPr>
              <w:t>TS §15.2</w:t>
            </w:r>
          </w:p>
        </w:tc>
        <w:tc>
          <w:tcPr>
            <w:tcW w:type="dxa" w:w="1440"/>
          </w:tcPr>
          <w:p>
            <w:r/>
            <w:r>
              <w:rPr>
                <w:b w:val="0"/>
                <w:i w:val="0"/>
                <w:sz w:val="15"/>
              </w:rPr>
              <w:t>PPA §17.1(b) conditions; §17.2</w:t>
            </w:r>
          </w:p>
        </w:tc>
        <w:tc>
          <w:tcPr>
            <w:tcW w:type="dxa" w:w="1152"/>
          </w:tcPr>
          <w:p>
            <w:r/>
            <w:r>
              <w:rPr>
                <w:b w:val="0"/>
                <w:i w:val="0"/>
                <w:sz w:val="15"/>
              </w:rPr>
              <w:t>NEW TERM</w:t>
            </w:r>
          </w:p>
        </w:tc>
        <w:tc>
          <w:tcPr>
            <w:tcW w:type="dxa" w:w="1152"/>
          </w:tcPr>
          <w:p>
            <w:r/>
            <w:r>
              <w:rPr>
                <w:b w:val="0"/>
                <w:i w:val="0"/>
                <w:sz w:val="15"/>
              </w:rPr>
              <w:t>Adverse (moderate)</w:t>
            </w:r>
          </w:p>
        </w:tc>
        <w:tc>
          <w:tcPr>
            <w:tcW w:type="dxa" w:w="936"/>
            <w:shd w:val="clear" w:color="auto" w:fill="C6E0B4"/>
          </w:tcPr>
          <w:p>
            <w:r/>
            <w:r>
              <w:rPr>
                <w:b w:val="0"/>
                <w:i w:val="0"/>
                <w:sz w:val="15"/>
              </w:rPr>
              <w:t>Low</w:t>
            </w:r>
          </w:p>
        </w:tc>
        <w:tc>
          <w:tcPr>
            <w:tcW w:type="dxa" w:w="864"/>
          </w:tcPr>
          <w:p>
            <w:r/>
            <w:r>
              <w:rPr>
                <w:b w:val="0"/>
                <w:i w:val="0"/>
                <w:sz w:val="15"/>
              </w:rPr>
              <w:t>18(c)</w:t>
            </w:r>
          </w:p>
        </w:tc>
      </w:tr>
    </w:tbl>
    <w:p>
      <w:pPr>
        <w:spacing w:after="40"/>
      </w:pPr>
    </w:p>
    <w:p>
      <w:pPr>
        <w:spacing w:after="120"/>
      </w:pPr>
      <w:r>
        <w:rPr>
          <w:b w:val="0"/>
          <w:i w:val="0"/>
          <w:sz w:val="18"/>
        </w:rPr>
        <w:t>Totals by severity: Critical 2; High 8; Medium 9; Low 7.  By status: NOT AGREED 13; NOT AGREED (DRAFTING) 1; NOT AGREED / NEW TERM 2; AGREED 2; DRAFTING (documentation gap) 1; OPEN-IN PPA 2; NEW TERM 5.</w:t>
      </w:r>
    </w:p>
    <w:p>
      <w:pPr>
        <w:pStyle w:val="Heading1"/>
      </w:pPr>
      <w:r>
        <w:t>4. Detailed Deviation Analysis</w:t>
      </w:r>
    </w:p>
    <w:p>
      <w:pPr>
        <w:pStyle w:val="Heading2"/>
      </w:pPr>
      <w:r>
        <w:t>4.1 Financing, assignment and tax equity</w:t>
      </w:r>
    </w:p>
    <w:p>
      <w:pPr>
        <w:pStyle w:val="Heading3"/>
      </w:pPr>
      <w:r>
        <w:t>D-1  “Financing Party” excludes tax equity; consent-free collateral assignment limited to lenders</w:t>
      </w:r>
    </w:p>
    <w:tbl>
      <w:tblPr>
        <w:tblStyle w:val="TableGrid"/>
        <w:tblW w:type="auto" w:w="0"/>
        <w:tblLook w:firstColumn="1" w:firstRow="1" w:lastColumn="0" w:lastRow="0" w:noHBand="0" w:noVBand="1" w:val="04A0"/>
      </w:tblPr>
      <w:tblGrid>
        <w:gridCol w:w="4824"/>
        <w:gridCol w:w="4824"/>
      </w:tblGrid>
      <w:tr>
        <w:tc>
          <w:tcPr>
            <w:tcW w:type="dxa" w:w="1944"/>
            <w:shd w:val="clear" w:color="auto" w:fill="DEEAF6"/>
          </w:tcPr>
          <w:p>
            <w:r/>
            <w:r>
              <w:rPr>
                <w:b/>
                <w:i w:val="0"/>
                <w:sz w:val="17"/>
              </w:rPr>
              <w:t>References</w:t>
            </w:r>
          </w:p>
        </w:tc>
        <w:tc>
          <w:tcPr>
            <w:tcW w:type="dxa" w:w="7704"/>
          </w:tcPr>
          <w:p>
            <w:r/>
            <w:r>
              <w:rPr>
                <w:b w:val="0"/>
                <w:i w:val="0"/>
                <w:sz w:val="17"/>
              </w:rPr>
              <w:t>TS: TS §1 (“Financing Parties”), §15.1  |  PPA: PPA Ex. A (“Financing Party”), §17.1(a), §17.1(b), Ex. H Recitals B–C and §8</w:t>
            </w:r>
          </w:p>
        </w:tc>
      </w:tr>
      <w:tr>
        <w:tc>
          <w:tcPr>
            <w:tcW w:type="dxa" w:w="1944"/>
            <w:shd w:val="clear" w:color="auto" w:fill="DEEAF6"/>
          </w:tcPr>
          <w:p>
            <w:r/>
            <w:r>
              <w:rPr>
                <w:b/>
                <w:i w:val="0"/>
                <w:sz w:val="17"/>
              </w:rPr>
              <w:t>Term Sheet</w:t>
            </w:r>
          </w:p>
        </w:tc>
        <w:tc>
          <w:tcPr>
            <w:tcW w:type="dxa" w:w="7704"/>
          </w:tcPr>
          <w:p>
            <w:r/>
            <w:r>
              <w:rPr>
                <w:b w:val="0"/>
                <w:i w:val="0"/>
                <w:sz w:val="17"/>
              </w:rPr>
              <w:t>“Financing Parties” = senior secured lenders AND “tax equity investors providing equity financing.” Seller may collaterally assign to Financing Parties “(including senior secured lenders and tax equity investors)” without Buyer consent; Buyer must deliver a consent with step-in/cure rights “at no cost to Buyer”; that obligation is a “material covenant.”</w:t>
            </w:r>
          </w:p>
        </w:tc>
      </w:tr>
      <w:tr>
        <w:tc>
          <w:tcPr>
            <w:tcW w:type="dxa" w:w="1944"/>
            <w:shd w:val="clear" w:color="auto" w:fill="DEEAF6"/>
          </w:tcPr>
          <w:p>
            <w:r/>
            <w:r>
              <w:rPr>
                <w:b/>
                <w:i w:val="0"/>
                <w:sz w:val="17"/>
              </w:rPr>
              <w:t>Executed PPA</w:t>
            </w:r>
          </w:p>
        </w:tc>
        <w:tc>
          <w:tcPr>
            <w:tcW w:type="dxa" w:w="7704"/>
          </w:tcPr>
          <w:p>
            <w:r/>
            <w:r>
              <w:rPr>
                <w:b w:val="0"/>
                <w:i w:val="0"/>
                <w:sz w:val="17"/>
              </w:rPr>
              <w:t>“Financing Party” = “any senior secured lender providing construction financing or term debt financing … and any trustee or agent acting on behalf of such lenders.” Tax equity omitted. Collateral assignment to any non-Financing Party requires Buyer consent (§17.1(b)), which Buyer may condition on technical capability, creditworthiness and replacement credit support. Ex. H §8: assignment to “any tax equity investor, partnership-flip partner, or similar equity investor” requires Buyer’s prior written consent. “No cost to Buyer” and “material covenant” language dropped; new 15-Business-Day post-assignment notice with copy of the collateral assignment.</w:t>
            </w:r>
          </w:p>
        </w:tc>
      </w:tr>
      <w:tr>
        <w:tc>
          <w:tcPr>
            <w:tcW w:type="dxa" w:w="1944"/>
            <w:shd w:val="clear" w:color="auto" w:fill="DEEAF6"/>
          </w:tcPr>
          <w:p>
            <w:r/>
            <w:r>
              <w:rPr>
                <w:b/>
                <w:i w:val="0"/>
                <w:sz w:val="17"/>
              </w:rPr>
              <w:t>Status / effect / severity</w:t>
            </w:r>
          </w:p>
        </w:tc>
        <w:tc>
          <w:tcPr>
            <w:tcW w:type="dxa" w:w="7704"/>
          </w:tcPr>
          <w:p>
            <w:r/>
            <w:r>
              <w:rPr>
                <w:b w:val="0"/>
                <w:i w:val="0"/>
                <w:sz w:val="17"/>
              </w:rPr>
              <w:t xml:space="preserve">NOT AGREED  |  Adverse to Seller and Ridgeline  |  </w:t>
            </w:r>
            <w:r>
              <w:rPr>
                <w:b/>
                <w:i w:val="0"/>
                <w:sz w:val="17"/>
              </w:rPr>
              <w:t>Critical</w:t>
            </w:r>
            <w:r>
              <w:rPr>
                <w:b w:val="0"/>
                <w:i w:val="0"/>
                <w:sz w:val="17"/>
              </w:rPr>
              <w:t xml:space="preserve">  |  Checklist Item(s) 12(vi), 18(a)–(c), 30, 31</w:t>
            </w:r>
          </w:p>
        </w:tc>
      </w:tr>
      <w:tr>
        <w:tc>
          <w:tcPr>
            <w:tcW w:type="dxa" w:w="1944"/>
            <w:shd w:val="clear" w:color="auto" w:fill="DEEAF6"/>
          </w:tcPr>
          <w:p>
            <w:r/>
            <w:r>
              <w:rPr>
                <w:b/>
                <w:i w:val="0"/>
                <w:sz w:val="17"/>
              </w:rPr>
              <w:t>Negotiation record</w:t>
            </w:r>
          </w:p>
        </w:tc>
        <w:tc>
          <w:tcPr>
            <w:tcW w:type="dxa" w:w="7704"/>
          </w:tcPr>
          <w:p>
            <w:r/>
            <w:r>
              <w:rPr>
                <w:b w:val="0"/>
                <w:i w:val="0"/>
                <w:sz w:val="17"/>
              </w:rPr>
              <w:t>Negotiation Summary §3: raised with Mr. Langdon on the January 17 call; he “confirmed that Prescott &amp; Hale would define ‘Financing Parties’ broadly enough to include tax equity investors in a partnership-flip structure.” Ridgeline’s January 10 commitment letter makes consent-free collateral assignment and step-in rights non-negotiable. The executed PPA reflects the opposite, and Ex. H §8 affirmatively carves tax equity out — this was not a drafting oversight that a court would likely cure by construction.</w:t>
            </w:r>
          </w:p>
        </w:tc>
      </w:tr>
      <w:tr>
        <w:tc>
          <w:tcPr>
            <w:tcW w:type="dxa" w:w="1944"/>
            <w:shd w:val="clear" w:color="auto" w:fill="DEEAF6"/>
          </w:tcPr>
          <w:p>
            <w:r/>
            <w:r>
              <w:rPr>
                <w:b/>
                <w:i w:val="0"/>
                <w:sz w:val="17"/>
              </w:rPr>
              <w:t>Impact</w:t>
            </w:r>
          </w:p>
        </w:tc>
        <w:tc>
          <w:tcPr>
            <w:tcW w:type="dxa" w:w="7704"/>
          </w:tcPr>
          <w:p>
            <w:r/>
            <w:r>
              <w:rPr>
                <w:b w:val="0"/>
                <w:i w:val="0"/>
                <w:sz w:val="17"/>
              </w:rPr>
              <w:t>Answers to Checklist Item 18: (a) No — limited to senior secured lenders/agents; (b) No — §17.1(a) consent-free right runs only to that narrow class; (c) Yes — §17.1(b) requires Buyer consent, subject to a “not unreasonably withheld, conditioned, or delayed” standard but with express permissive conditions (technical capability, creditworthiness ≥ Seller, replacement credit support) that give Buyer leverage. Per Negotiation Summary, Ridgeline will not close on this basis. The Checklist also flags the point as relevant to Ridgeline’s tax position under Rev. Proc. 2007-65 (as modified); tax counsel should confirm the precise safe-harbor consequence, but the commercial consequence (no close) does not depend on it.</w:t>
            </w:r>
          </w:p>
        </w:tc>
      </w:tr>
      <w:tr>
        <w:tc>
          <w:tcPr>
            <w:tcW w:type="dxa" w:w="1944"/>
            <w:shd w:val="clear" w:color="auto" w:fill="DEEAF6"/>
          </w:tcPr>
          <w:p>
            <w:r/>
            <w:r>
              <w:rPr>
                <w:b/>
                <w:i w:val="0"/>
                <w:sz w:val="17"/>
              </w:rPr>
              <w:t>Recommendation</w:t>
            </w:r>
          </w:p>
        </w:tc>
        <w:tc>
          <w:tcPr>
            <w:tcW w:type="dxa" w:w="7704"/>
          </w:tcPr>
          <w:p>
            <w:r/>
            <w:r>
              <w:rPr>
                <w:b w:val="0"/>
                <w:i w:val="0"/>
                <w:sz w:val="17"/>
              </w:rPr>
              <w:t>First Amendment: (1) redefine “Financing Party” to include any lender, tax equity investor (including any partnership-flip investor or class of membership interests in Seller or any upstream owner), lessor, or agent/trustee for any of them, mirroring TS §1; (2) conform §17.1(a), §17.3, §18.4, §20.9; (3) delete Ex. H §8 second and third sentences and revise Ex. H so it can be executed in favor of Ridgeline (a tax-equity-specific consent form or a form usable by “Financing Party” generally); (4) reinstate “at no cost to Buyer” and “material covenant.” Fallback if Buyer refuses to amend the definition before April 15: a direct Buyer consent and estoppel in favor of Ridgeline executed at close, expressly granting §17.3 rights — only if Ridgeline confirms that is acceptable.</w:t>
            </w:r>
          </w:p>
        </w:tc>
      </w:tr>
    </w:tbl>
    <w:p>
      <w:pPr>
        <w:spacing w:after="40"/>
      </w:pPr>
    </w:p>
    <w:p>
      <w:pPr>
        <w:pStyle w:val="Heading3"/>
      </w:pPr>
      <w:r>
        <w:t>D-2  Cure, step-in and replacement-PPA rights unavailable to tax equity</w:t>
      </w:r>
    </w:p>
    <w:tbl>
      <w:tblPr>
        <w:tblStyle w:val="TableGrid"/>
        <w:tblW w:type="auto" w:w="0"/>
        <w:tblLook w:firstColumn="1" w:firstRow="1" w:lastColumn="0" w:lastRow="0" w:noHBand="0" w:noVBand="1" w:val="04A0"/>
      </w:tblPr>
      <w:tblGrid>
        <w:gridCol w:w="4824"/>
        <w:gridCol w:w="4824"/>
      </w:tblGrid>
      <w:tr>
        <w:tc>
          <w:tcPr>
            <w:tcW w:type="dxa" w:w="1944"/>
            <w:shd w:val="clear" w:color="auto" w:fill="DEEAF6"/>
          </w:tcPr>
          <w:p>
            <w:r/>
            <w:r>
              <w:rPr>
                <w:b/>
                <w:i w:val="0"/>
                <w:sz w:val="17"/>
              </w:rPr>
              <w:t>References</w:t>
            </w:r>
          </w:p>
        </w:tc>
        <w:tc>
          <w:tcPr>
            <w:tcW w:type="dxa" w:w="7704"/>
          </w:tcPr>
          <w:p>
            <w:r/>
            <w:r>
              <w:rPr>
                <w:b w:val="0"/>
                <w:i w:val="0"/>
                <w:sz w:val="17"/>
              </w:rPr>
              <w:t>TS: TS §15.1  |  PPA: PPA §17.3, §18.4, §20.9, Ex. H §§3–6</w:t>
            </w:r>
          </w:p>
        </w:tc>
      </w:tr>
      <w:tr>
        <w:tc>
          <w:tcPr>
            <w:tcW w:type="dxa" w:w="1944"/>
            <w:shd w:val="clear" w:color="auto" w:fill="DEEAF6"/>
          </w:tcPr>
          <w:p>
            <w:r/>
            <w:r>
              <w:rPr>
                <w:b/>
                <w:i w:val="0"/>
                <w:sz w:val="17"/>
              </w:rPr>
              <w:t>Term Sheet</w:t>
            </w:r>
          </w:p>
        </w:tc>
        <w:tc>
          <w:tcPr>
            <w:tcW w:type="dxa" w:w="7704"/>
          </w:tcPr>
          <w:p>
            <w:r/>
            <w:r>
              <w:rPr>
                <w:b w:val="0"/>
                <w:i w:val="0"/>
                <w:sz w:val="17"/>
              </w:rPr>
              <w:t>Financing Parties (expressly including tax equity) receive “customary step-in rights, cure rights, and other lender or investor protections.”</w:t>
            </w:r>
          </w:p>
        </w:tc>
      </w:tr>
      <w:tr>
        <w:tc>
          <w:tcPr>
            <w:tcW w:type="dxa" w:w="1944"/>
            <w:shd w:val="clear" w:color="auto" w:fill="DEEAF6"/>
          </w:tcPr>
          <w:p>
            <w:r/>
            <w:r>
              <w:rPr>
                <w:b/>
                <w:i w:val="0"/>
                <w:sz w:val="17"/>
              </w:rPr>
              <w:t>Executed PPA</w:t>
            </w:r>
          </w:p>
        </w:tc>
        <w:tc>
          <w:tcPr>
            <w:tcW w:type="dxa" w:w="7704"/>
          </w:tcPr>
          <w:p>
            <w:r/>
            <w:r>
              <w:rPr>
                <w:b w:val="0"/>
                <w:i w:val="0"/>
                <w:sz w:val="17"/>
              </w:rPr>
              <w:t>180-day additional cure, step-in, replacement PPA and default-notice rights run to “Financing Parties” only (i.e., lenders); Ex. H is drafted for a lender “Agent” under a “credit agreement.” Third-party-beneficiary status (§20.9) likewise limited.</w:t>
            </w:r>
          </w:p>
        </w:tc>
      </w:tr>
      <w:tr>
        <w:tc>
          <w:tcPr>
            <w:tcW w:type="dxa" w:w="1944"/>
            <w:shd w:val="clear" w:color="auto" w:fill="DEEAF6"/>
          </w:tcPr>
          <w:p>
            <w:r/>
            <w:r>
              <w:rPr>
                <w:b/>
                <w:i w:val="0"/>
                <w:sz w:val="17"/>
              </w:rPr>
              <w:t>Status / effect / severity</w:t>
            </w:r>
          </w:p>
        </w:tc>
        <w:tc>
          <w:tcPr>
            <w:tcW w:type="dxa" w:w="7704"/>
          </w:tcPr>
          <w:p>
            <w:r/>
            <w:r>
              <w:rPr>
                <w:b w:val="0"/>
                <w:i w:val="0"/>
                <w:sz w:val="17"/>
              </w:rPr>
              <w:t xml:space="preserve">NOT AGREED  |  Adverse  |  </w:t>
            </w:r>
            <w:r>
              <w:rPr>
                <w:b/>
                <w:i w:val="0"/>
                <w:sz w:val="17"/>
              </w:rPr>
              <w:t>Critical</w:t>
            </w:r>
            <w:r>
              <w:rPr>
                <w:b w:val="0"/>
                <w:i w:val="0"/>
                <w:sz w:val="17"/>
              </w:rPr>
              <w:t xml:space="preserve">  |  Checklist Item(s) 31(a)–(c), 29, 30</w:t>
            </w:r>
          </w:p>
        </w:tc>
      </w:tr>
      <w:tr>
        <w:tc>
          <w:tcPr>
            <w:tcW w:type="dxa" w:w="1944"/>
            <w:shd w:val="clear" w:color="auto" w:fill="DEEAF6"/>
          </w:tcPr>
          <w:p>
            <w:r/>
            <w:r>
              <w:rPr>
                <w:b/>
                <w:i w:val="0"/>
                <w:sz w:val="17"/>
              </w:rPr>
              <w:t>Negotiation record</w:t>
            </w:r>
          </w:p>
        </w:tc>
        <w:tc>
          <w:tcPr>
            <w:tcW w:type="dxa" w:w="7704"/>
          </w:tcPr>
          <w:p>
            <w:r/>
            <w:r>
              <w:rPr>
                <w:b w:val="0"/>
                <w:i w:val="0"/>
                <w:sz w:val="17"/>
              </w:rPr>
              <w:t>Consequence of D-1; same negotiation history.</w:t>
            </w:r>
          </w:p>
        </w:tc>
      </w:tr>
      <w:tr>
        <w:tc>
          <w:tcPr>
            <w:tcW w:type="dxa" w:w="1944"/>
            <w:shd w:val="clear" w:color="auto" w:fill="DEEAF6"/>
          </w:tcPr>
          <w:p>
            <w:r/>
            <w:r>
              <w:rPr>
                <w:b/>
                <w:i w:val="0"/>
                <w:sz w:val="17"/>
              </w:rPr>
              <w:t>Impact</w:t>
            </w:r>
          </w:p>
        </w:tc>
        <w:tc>
          <w:tcPr>
            <w:tcW w:type="dxa" w:w="7704"/>
          </w:tcPr>
          <w:p>
            <w:r/>
            <w:r>
              <w:rPr>
                <w:b w:val="0"/>
                <w:i w:val="0"/>
                <w:sz w:val="17"/>
              </w:rPr>
              <w:t>Ridgeline would have no contractual right to receive default notices, cure, or step in on a Seller default (e.g., a performance bond failure or flip-related representation breach). Elkhorn’s rights are intact, so the intercreditor (Item 29) would be negotiated with only the lender holding PPA protections — a structural imbalance Ridgeline will not accept.</w:t>
            </w:r>
          </w:p>
        </w:tc>
      </w:tr>
      <w:tr>
        <w:tc>
          <w:tcPr>
            <w:tcW w:type="dxa" w:w="1944"/>
            <w:shd w:val="clear" w:color="auto" w:fill="DEEAF6"/>
          </w:tcPr>
          <w:p>
            <w:r/>
            <w:r>
              <w:rPr>
                <w:b/>
                <w:i w:val="0"/>
                <w:sz w:val="17"/>
              </w:rPr>
              <w:t>Recommendation</w:t>
            </w:r>
          </w:p>
        </w:tc>
        <w:tc>
          <w:tcPr>
            <w:tcW w:type="dxa" w:w="7704"/>
          </w:tcPr>
          <w:p>
            <w:r/>
            <w:r>
              <w:rPr>
                <w:b w:val="0"/>
                <w:i w:val="0"/>
                <w:sz w:val="17"/>
              </w:rPr>
              <w:t>Cured by D-1 amendment; additionally, provide that Buyer will deliver notices to each Financing Party identified by Seller and will recognize priority as agreed among Financing Parties in their intercreditor arrangements.</w:t>
            </w:r>
          </w:p>
        </w:tc>
      </w:tr>
    </w:tbl>
    <w:p>
      <w:pPr>
        <w:spacing w:after="40"/>
      </w:pPr>
    </w:p>
    <w:p>
      <w:pPr>
        <w:pStyle w:val="Heading3"/>
      </w:pPr>
      <w:r>
        <w:t>D-3  Change of control requires Buyer consent; sole-ownership representation conflicts with partnership flip</w:t>
      </w:r>
    </w:p>
    <w:tbl>
      <w:tblPr>
        <w:tblStyle w:val="TableGrid"/>
        <w:tblW w:type="auto" w:w="0"/>
        <w:tblLook w:firstColumn="1" w:firstRow="1" w:lastColumn="0" w:lastRow="0" w:noHBand="0" w:noVBand="1" w:val="04A0"/>
      </w:tblPr>
      <w:tblGrid>
        <w:gridCol w:w="4824"/>
        <w:gridCol w:w="4824"/>
      </w:tblGrid>
      <w:tr>
        <w:tc>
          <w:tcPr>
            <w:tcW w:type="dxa" w:w="1944"/>
            <w:shd w:val="clear" w:color="auto" w:fill="DEEAF6"/>
          </w:tcPr>
          <w:p>
            <w:r/>
            <w:r>
              <w:rPr>
                <w:b/>
                <w:i w:val="0"/>
                <w:sz w:val="17"/>
              </w:rPr>
              <w:t>References</w:t>
            </w:r>
          </w:p>
        </w:tc>
        <w:tc>
          <w:tcPr>
            <w:tcW w:type="dxa" w:w="7704"/>
          </w:tcPr>
          <w:p>
            <w:r/>
            <w:r>
              <w:rPr>
                <w:b w:val="0"/>
                <w:i w:val="0"/>
                <w:sz w:val="17"/>
              </w:rPr>
              <w:t>TS: TS §15.3  |  PPA: PPA §17.1(b), §11.1(g), §11.1 (repetition at COD), §18.1(b)</w:t>
            </w:r>
          </w:p>
        </w:tc>
      </w:tr>
      <w:tr>
        <w:tc>
          <w:tcPr>
            <w:tcW w:type="dxa" w:w="1944"/>
            <w:shd w:val="clear" w:color="auto" w:fill="DEEAF6"/>
          </w:tcPr>
          <w:p>
            <w:r/>
            <w:r>
              <w:rPr>
                <w:b/>
                <w:i w:val="0"/>
                <w:sz w:val="17"/>
              </w:rPr>
              <w:t>Term Sheet</w:t>
            </w:r>
          </w:p>
        </w:tc>
        <w:tc>
          <w:tcPr>
            <w:tcW w:type="dxa" w:w="7704"/>
          </w:tcPr>
          <w:p>
            <w:r/>
            <w:r>
              <w:rPr>
                <w:b w:val="0"/>
                <w:i w:val="0"/>
                <w:sz w:val="17"/>
              </w:rPr>
              <w:t>Change of control of Seller is NOT an assignment requiring consent, provided 30 days’ prior notice and written assumption by the surviving/acquiring entity.</w:t>
            </w:r>
          </w:p>
        </w:tc>
      </w:tr>
      <w:tr>
        <w:tc>
          <w:tcPr>
            <w:tcW w:type="dxa" w:w="1944"/>
            <w:shd w:val="clear" w:color="auto" w:fill="DEEAF6"/>
          </w:tcPr>
          <w:p>
            <w:r/>
            <w:r>
              <w:rPr>
                <w:b/>
                <w:i w:val="0"/>
                <w:sz w:val="17"/>
              </w:rPr>
              <w:t>Executed PPA</w:t>
            </w:r>
          </w:p>
        </w:tc>
        <w:tc>
          <w:tcPr>
            <w:tcW w:type="dxa" w:w="7704"/>
          </w:tcPr>
          <w:p>
            <w:r/>
            <w:r>
              <w:rPr>
                <w:b w:val="0"/>
                <w:i w:val="0"/>
                <w:sz w:val="17"/>
              </w:rPr>
              <w:t>Any assignment “in connection with … a change of control of Seller” requires Buyer consent (not unreasonably withheld), with Buyer’s conditions. “Change of control” is undefined. Seller represents (repeated at COD) that it is wholly owned by Verdana and “no other Person holds any ownership interest in Seller”; a materially false repetition is an Event of Default (§18.1(b)) with no cure period.</w:t>
            </w:r>
          </w:p>
        </w:tc>
      </w:tr>
      <w:tr>
        <w:tc>
          <w:tcPr>
            <w:tcW w:type="dxa" w:w="1944"/>
            <w:shd w:val="clear" w:color="auto" w:fill="DEEAF6"/>
          </w:tcPr>
          <w:p>
            <w:r/>
            <w:r>
              <w:rPr>
                <w:b/>
                <w:i w:val="0"/>
                <w:sz w:val="17"/>
              </w:rPr>
              <w:t>Status / effect / severity</w:t>
            </w:r>
          </w:p>
        </w:tc>
        <w:tc>
          <w:tcPr>
            <w:tcW w:type="dxa" w:w="7704"/>
          </w:tcPr>
          <w:p>
            <w:r/>
            <w:r>
              <w:rPr>
                <w:b w:val="0"/>
                <w:i w:val="0"/>
                <w:sz w:val="17"/>
              </w:rPr>
              <w:t xml:space="preserve">NOT AGREED  |  Adverse  |  </w:t>
            </w:r>
            <w:r>
              <w:rPr>
                <w:b/>
                <w:i w:val="0"/>
                <w:sz w:val="17"/>
              </w:rPr>
              <w:t>High (Critical in combination with D-1)</w:t>
            </w:r>
            <w:r>
              <w:rPr>
                <w:b w:val="0"/>
                <w:i w:val="0"/>
                <w:sz w:val="17"/>
              </w:rPr>
              <w:t xml:space="preserve">  |  Checklist Item(s) 2, 18, 19, 45</w:t>
            </w:r>
          </w:p>
        </w:tc>
      </w:tr>
      <w:tr>
        <w:tc>
          <w:tcPr>
            <w:tcW w:type="dxa" w:w="1944"/>
            <w:shd w:val="clear" w:color="auto" w:fill="DEEAF6"/>
          </w:tcPr>
          <w:p>
            <w:r/>
            <w:r>
              <w:rPr>
                <w:b/>
                <w:i w:val="0"/>
                <w:sz w:val="17"/>
              </w:rPr>
              <w:t>Negotiation record</w:t>
            </w:r>
          </w:p>
        </w:tc>
        <w:tc>
          <w:tcPr>
            <w:tcW w:type="dxa" w:w="7704"/>
          </w:tcPr>
          <w:p>
            <w:r/>
            <w:r>
              <w:rPr>
                <w:b w:val="0"/>
                <w:i w:val="0"/>
                <w:sz w:val="17"/>
              </w:rPr>
              <w:t>Not addressed in Negotiation Summary; the Term Sheet position was settled.</w:t>
            </w:r>
          </w:p>
        </w:tc>
      </w:tr>
      <w:tr>
        <w:tc>
          <w:tcPr>
            <w:tcW w:type="dxa" w:w="1944"/>
            <w:shd w:val="clear" w:color="auto" w:fill="DEEAF6"/>
          </w:tcPr>
          <w:p>
            <w:r/>
            <w:r>
              <w:rPr>
                <w:b/>
                <w:i w:val="0"/>
                <w:sz w:val="17"/>
              </w:rPr>
              <w:t>Impact</w:t>
            </w:r>
          </w:p>
        </w:tc>
        <w:tc>
          <w:tcPr>
            <w:tcW w:type="dxa" w:w="7704"/>
          </w:tcPr>
          <w:p>
            <w:r/>
            <w:r>
              <w:rPr>
                <w:b w:val="0"/>
                <w:i w:val="0"/>
                <w:sz w:val="17"/>
              </w:rPr>
              <w:t>The flip requires Seller’s LLC Agreement to be amended/restated to admit Ridgeline (Checklist Item 2). Admission of Ridgeline before COD (expected June 1, 2026) will make the §11.1(g) representation untrue when repeated at COD, and Buyer may argue the admission (and any later flip or Verdana sale) is a “change of control” requiring consent. This also complicates the bring-down certificate (Item 45).</w:t>
            </w:r>
          </w:p>
        </w:tc>
      </w:tr>
      <w:tr>
        <w:tc>
          <w:tcPr>
            <w:tcW w:type="dxa" w:w="1944"/>
            <w:shd w:val="clear" w:color="auto" w:fill="DEEAF6"/>
          </w:tcPr>
          <w:p>
            <w:r/>
            <w:r>
              <w:rPr>
                <w:b/>
                <w:i w:val="0"/>
                <w:sz w:val="17"/>
              </w:rPr>
              <w:t>Recommendation</w:t>
            </w:r>
          </w:p>
        </w:tc>
        <w:tc>
          <w:tcPr>
            <w:tcW w:type="dxa" w:w="7704"/>
          </w:tcPr>
          <w:p>
            <w:r/>
            <w:r>
              <w:rPr>
                <w:b w:val="0"/>
                <w:i w:val="0"/>
                <w:sz w:val="17"/>
              </w:rPr>
              <w:t>Amend §17.1(b) to restore TS §15.3 (notice-only for change of control) and expressly provide that (i) admission of, and transfers among, tax equity investors and the occurrence of any allocation “flip” and (ii) any foreclosure/transfer to a Financing Party are not assignments or changes of control requiring consent. Amend §11.1(g) to permit ownership by Verdana and Financing Parties (or limit the representation to the Effective Date).</w:t>
            </w:r>
          </w:p>
        </w:tc>
      </w:tr>
    </w:tbl>
    <w:p>
      <w:pPr>
        <w:spacing w:after="40"/>
      </w:pPr>
    </w:p>
    <w:p>
      <w:pPr>
        <w:pStyle w:val="Heading3"/>
      </w:pPr>
      <w:r>
        <w:t>D-26  Assignment mechanics: Buyer conditions and Buyer assignment</w:t>
      </w:r>
    </w:p>
    <w:tbl>
      <w:tblPr>
        <w:tblStyle w:val="TableGrid"/>
        <w:tblW w:type="auto" w:w="0"/>
        <w:tblLook w:firstColumn="1" w:firstRow="1" w:lastColumn="0" w:lastRow="0" w:noHBand="0" w:noVBand="1" w:val="04A0"/>
      </w:tblPr>
      <w:tblGrid>
        <w:gridCol w:w="4824"/>
        <w:gridCol w:w="4824"/>
      </w:tblGrid>
      <w:tr>
        <w:tc>
          <w:tcPr>
            <w:tcW w:type="dxa" w:w="1944"/>
            <w:shd w:val="clear" w:color="auto" w:fill="DEEAF6"/>
          </w:tcPr>
          <w:p>
            <w:r/>
            <w:r>
              <w:rPr>
                <w:b/>
                <w:i w:val="0"/>
                <w:sz w:val="17"/>
              </w:rPr>
              <w:t>References</w:t>
            </w:r>
          </w:p>
        </w:tc>
        <w:tc>
          <w:tcPr>
            <w:tcW w:type="dxa" w:w="7704"/>
          </w:tcPr>
          <w:p>
            <w:r/>
            <w:r>
              <w:rPr>
                <w:b w:val="0"/>
                <w:i w:val="0"/>
                <w:sz w:val="17"/>
              </w:rPr>
              <w:t>TS: TS §15.2  |  PPA: PPA §17.1(b) conditions; §17.2</w:t>
            </w:r>
          </w:p>
        </w:tc>
      </w:tr>
      <w:tr>
        <w:tc>
          <w:tcPr>
            <w:tcW w:type="dxa" w:w="1944"/>
            <w:shd w:val="clear" w:color="auto" w:fill="DEEAF6"/>
          </w:tcPr>
          <w:p>
            <w:r/>
            <w:r>
              <w:rPr>
                <w:b/>
                <w:i w:val="0"/>
                <w:sz w:val="17"/>
              </w:rPr>
              <w:t>Term Sheet</w:t>
            </w:r>
          </w:p>
        </w:tc>
        <w:tc>
          <w:tcPr>
            <w:tcW w:type="dxa" w:w="7704"/>
          </w:tcPr>
          <w:p>
            <w:r/>
            <w:r>
              <w:rPr>
                <w:b w:val="0"/>
                <w:i w:val="0"/>
                <w:sz w:val="17"/>
              </w:rPr>
              <w:t>Full assignment by either Party requires consent not unreasonably withheld, conditioned or delayed.</w:t>
            </w:r>
          </w:p>
        </w:tc>
      </w:tr>
      <w:tr>
        <w:tc>
          <w:tcPr>
            <w:tcW w:type="dxa" w:w="1944"/>
            <w:shd w:val="clear" w:color="auto" w:fill="DEEAF6"/>
          </w:tcPr>
          <w:p>
            <w:r/>
            <w:r>
              <w:rPr>
                <w:b/>
                <w:i w:val="0"/>
                <w:sz w:val="17"/>
              </w:rPr>
              <w:t>Executed PPA</w:t>
            </w:r>
          </w:p>
        </w:tc>
        <w:tc>
          <w:tcPr>
            <w:tcW w:type="dxa" w:w="7704"/>
          </w:tcPr>
          <w:p>
            <w:r/>
            <w:r>
              <w:rPr>
                <w:b w:val="0"/>
                <w:i w:val="0"/>
                <w:sz w:val="17"/>
              </w:rPr>
              <w:t>Seller assignments: consent not unreasonably withheld but Buyer may condition on technical capability, creditworthiness ≥ Seller and replacement credit support; Seller not released until assumption acceptable to Buyer. Buyer may assign without consent to a successor municipal entity with equivalent rating or acceptable credit support.</w:t>
            </w:r>
          </w:p>
        </w:tc>
      </w:tr>
      <w:tr>
        <w:tc>
          <w:tcPr>
            <w:tcW w:type="dxa" w:w="1944"/>
            <w:shd w:val="clear" w:color="auto" w:fill="DEEAF6"/>
          </w:tcPr>
          <w:p>
            <w:r/>
            <w:r>
              <w:rPr>
                <w:b/>
                <w:i w:val="0"/>
                <w:sz w:val="17"/>
              </w:rPr>
              <w:t>Status / effect / severity</w:t>
            </w:r>
          </w:p>
        </w:tc>
        <w:tc>
          <w:tcPr>
            <w:tcW w:type="dxa" w:w="7704"/>
          </w:tcPr>
          <w:p>
            <w:r/>
            <w:r>
              <w:rPr>
                <w:b w:val="0"/>
                <w:i w:val="0"/>
                <w:sz w:val="17"/>
              </w:rPr>
              <w:t xml:space="preserve">NEW TERM  |  Adverse (moderate)  |  </w:t>
            </w:r>
            <w:r>
              <w:rPr>
                <w:b/>
                <w:i w:val="0"/>
                <w:sz w:val="17"/>
              </w:rPr>
              <w:t>Low</w:t>
            </w:r>
            <w:r>
              <w:rPr>
                <w:b w:val="0"/>
                <w:i w:val="0"/>
                <w:sz w:val="17"/>
              </w:rPr>
              <w:t xml:space="preserve">  |  Checklist Item(s) 18(c)</w:t>
            </w:r>
          </w:p>
        </w:tc>
      </w:tr>
      <w:tr>
        <w:tc>
          <w:tcPr>
            <w:tcW w:type="dxa" w:w="1944"/>
            <w:shd w:val="clear" w:color="auto" w:fill="DEEAF6"/>
          </w:tcPr>
          <w:p>
            <w:r/>
            <w:r>
              <w:rPr>
                <w:b/>
                <w:i w:val="0"/>
                <w:sz w:val="17"/>
              </w:rPr>
              <w:t>Negotiation record</w:t>
            </w:r>
          </w:p>
        </w:tc>
        <w:tc>
          <w:tcPr>
            <w:tcW w:type="dxa" w:w="7704"/>
          </w:tcPr>
          <w:p>
            <w:r/>
            <w:r>
              <w:rPr>
                <w:b w:val="0"/>
                <w:i w:val="0"/>
                <w:sz w:val="17"/>
              </w:rPr>
              <w:t>Not discussed.</w:t>
            </w:r>
          </w:p>
        </w:tc>
      </w:tr>
      <w:tr>
        <w:tc>
          <w:tcPr>
            <w:tcW w:type="dxa" w:w="1944"/>
            <w:shd w:val="clear" w:color="auto" w:fill="DEEAF6"/>
          </w:tcPr>
          <w:p>
            <w:r/>
            <w:r>
              <w:rPr>
                <w:b/>
                <w:i w:val="0"/>
                <w:sz w:val="17"/>
              </w:rPr>
              <w:t>Impact</w:t>
            </w:r>
          </w:p>
        </w:tc>
        <w:tc>
          <w:tcPr>
            <w:tcW w:type="dxa" w:w="7704"/>
          </w:tcPr>
          <w:p>
            <w:r/>
            <w:r>
              <w:rPr>
                <w:b w:val="0"/>
                <w:i w:val="0"/>
                <w:sz w:val="17"/>
              </w:rPr>
              <w:t>Expands Buyer’s consent leverage on any Facility sale or Verdana-level transaction; Buyer’s consent-free successor assignment is customary.</w:t>
            </w:r>
          </w:p>
        </w:tc>
      </w:tr>
      <w:tr>
        <w:tc>
          <w:tcPr>
            <w:tcW w:type="dxa" w:w="1944"/>
            <w:shd w:val="clear" w:color="auto" w:fill="DEEAF6"/>
          </w:tcPr>
          <w:p>
            <w:r/>
            <w:r>
              <w:rPr>
                <w:b/>
                <w:i w:val="0"/>
                <w:sz w:val="17"/>
              </w:rPr>
              <w:t>Recommendation</w:t>
            </w:r>
          </w:p>
        </w:tc>
        <w:tc>
          <w:tcPr>
            <w:tcW w:type="dxa" w:w="7704"/>
          </w:tcPr>
          <w:p>
            <w:r/>
            <w:r>
              <w:rPr>
                <w:b w:val="0"/>
                <w:i w:val="0"/>
                <w:sz w:val="17"/>
              </w:rPr>
              <w:t>Address with D-1/D-3 amendments; otherwise disclose.</w:t>
            </w:r>
          </w:p>
        </w:tc>
      </w:tr>
    </w:tbl>
    <w:p>
      <w:pPr>
        <w:spacing w:after="40"/>
      </w:pPr>
    </w:p>
    <w:p>
      <w:pPr>
        <w:pStyle w:val="Heading2"/>
      </w:pPr>
      <w:r>
        <w:t>4.2 Pricing and revenue</w:t>
      </w:r>
    </w:p>
    <w:p>
      <w:pPr>
        <w:pStyle w:val="Heading3"/>
      </w:pPr>
      <w:r>
        <w:t>D-4  Exhibit B price table built on ~2.0% escalation, not 1.5%</w:t>
      </w:r>
    </w:p>
    <w:tbl>
      <w:tblPr>
        <w:tblStyle w:val="TableGrid"/>
        <w:tblW w:type="auto" w:w="0"/>
        <w:tblLook w:firstColumn="1" w:firstRow="1" w:lastColumn="0" w:lastRow="0" w:noHBand="0" w:noVBand="1" w:val="04A0"/>
      </w:tblPr>
      <w:tblGrid>
        <w:gridCol w:w="4824"/>
        <w:gridCol w:w="4824"/>
      </w:tblGrid>
      <w:tr>
        <w:tc>
          <w:tcPr>
            <w:tcW w:type="dxa" w:w="1944"/>
            <w:shd w:val="clear" w:color="auto" w:fill="DEEAF6"/>
          </w:tcPr>
          <w:p>
            <w:r/>
            <w:r>
              <w:rPr>
                <w:b/>
                <w:i w:val="0"/>
                <w:sz w:val="17"/>
              </w:rPr>
              <w:t>References</w:t>
            </w:r>
          </w:p>
        </w:tc>
        <w:tc>
          <w:tcPr>
            <w:tcW w:type="dxa" w:w="7704"/>
          </w:tcPr>
          <w:p>
            <w:r/>
            <w:r>
              <w:rPr>
                <w:b w:val="0"/>
                <w:i w:val="0"/>
                <w:sz w:val="17"/>
              </w:rPr>
              <w:t>TS: TS §5.2–5.6, Annex A  |  PPA: PPA §4.2(a), §4.2(b), §1.3, Ex. B Parts 1–3</w:t>
            </w:r>
          </w:p>
        </w:tc>
      </w:tr>
      <w:tr>
        <w:tc>
          <w:tcPr>
            <w:tcW w:type="dxa" w:w="1944"/>
            <w:shd w:val="clear" w:color="auto" w:fill="DEEAF6"/>
          </w:tcPr>
          <w:p>
            <w:r/>
            <w:r>
              <w:rPr>
                <w:b/>
                <w:i w:val="0"/>
                <w:sz w:val="17"/>
              </w:rPr>
              <w:t>Term Sheet</w:t>
            </w:r>
          </w:p>
        </w:tc>
        <w:tc>
          <w:tcPr>
            <w:tcW w:type="dxa" w:w="7704"/>
          </w:tcPr>
          <w:p>
            <w:r/>
            <w:r>
              <w:rPr>
                <w:b w:val="0"/>
                <w:i w:val="0"/>
                <w:sz w:val="17"/>
              </w:rPr>
              <w:t>$38.50/MWh fixed for CY1–5; 1.5% compounding from CY6: P(N) = $38.50 × 1.015^(N–5), rounded to cent. CY6 $39.08 … CY20 $48.11 (Annex A).</w:t>
            </w:r>
          </w:p>
        </w:tc>
      </w:tr>
      <w:tr>
        <w:tc>
          <w:tcPr>
            <w:tcW w:type="dxa" w:w="1944"/>
            <w:shd w:val="clear" w:color="auto" w:fill="DEEAF6"/>
          </w:tcPr>
          <w:p>
            <w:r/>
            <w:r>
              <w:rPr>
                <w:b/>
                <w:i w:val="0"/>
                <w:sz w:val="17"/>
              </w:rPr>
              <w:t>Executed PPA</w:t>
            </w:r>
          </w:p>
        </w:tc>
        <w:tc>
          <w:tcPr>
            <w:tcW w:type="dxa" w:w="7704"/>
          </w:tcPr>
          <w:p>
            <w:r/>
            <w:r>
              <w:rPr>
                <w:b w:val="0"/>
                <w:i w:val="0"/>
                <w:sz w:val="17"/>
              </w:rPr>
              <w:t>Body text and Ex. B Part 1 recite 1.5% and the same formula, but Ex. B Part 2 table shows CY6 $39.27 … CY20 $51.80 (consistent with 2.0% compounding, with additional anomalies in CY14, CY15 and CY20). Ex. B Part 3 sample CY6 revenue $33,379,500 (TS Annex A: $33,218,000). §4.2(a) states prices “shall be as set forth in the price table in Exhibit B”; §4.2(b) points discrepancies to §1.3 (body controls).</w:t>
            </w:r>
          </w:p>
        </w:tc>
      </w:tr>
      <w:tr>
        <w:tc>
          <w:tcPr>
            <w:tcW w:type="dxa" w:w="1944"/>
            <w:shd w:val="clear" w:color="auto" w:fill="DEEAF6"/>
          </w:tcPr>
          <w:p>
            <w:r/>
            <w:r>
              <w:rPr>
                <w:b/>
                <w:i w:val="0"/>
                <w:sz w:val="17"/>
              </w:rPr>
              <w:t>Status / effect / severity</w:t>
            </w:r>
          </w:p>
        </w:tc>
        <w:tc>
          <w:tcPr>
            <w:tcW w:type="dxa" w:w="7704"/>
          </w:tcPr>
          <w:p>
            <w:r/>
            <w:r>
              <w:rPr>
                <w:b w:val="0"/>
                <w:i w:val="0"/>
                <w:sz w:val="17"/>
              </w:rPr>
              <w:t xml:space="preserve">NOT AGREED (DRAFTING)  |  Facially Seller-favorable but unbankable; dispute risk  |  </w:t>
            </w:r>
            <w:r>
              <w:rPr>
                <w:b/>
                <w:i w:val="0"/>
                <w:sz w:val="17"/>
              </w:rPr>
              <w:t>High</w:t>
            </w:r>
            <w:r>
              <w:rPr>
                <w:b w:val="0"/>
                <w:i w:val="0"/>
                <w:sz w:val="17"/>
              </w:rPr>
              <w:t xml:space="preserve">  |  Checklist Item(s) 12(i), 15, 40</w:t>
            </w:r>
          </w:p>
        </w:tc>
      </w:tr>
      <w:tr>
        <w:tc>
          <w:tcPr>
            <w:tcW w:type="dxa" w:w="1944"/>
            <w:shd w:val="clear" w:color="auto" w:fill="DEEAF6"/>
          </w:tcPr>
          <w:p>
            <w:r/>
            <w:r>
              <w:rPr>
                <w:b/>
                <w:i w:val="0"/>
                <w:sz w:val="17"/>
              </w:rPr>
              <w:t>Negotiation record</w:t>
            </w:r>
          </w:p>
        </w:tc>
        <w:tc>
          <w:tcPr>
            <w:tcW w:type="dxa" w:w="7704"/>
          </w:tcPr>
          <w:p>
            <w:r/>
            <w:r>
              <w:rPr>
                <w:b w:val="0"/>
                <w:i w:val="0"/>
                <w:sz w:val="17"/>
              </w:rPr>
              <w:t>Negotiation Summary §2: escalation “was not discussed as a point of negotiation — both sides accepted the term sheet pricing formula.” Ms. Kowalski specifically asked that Exhibit B be tied out to 1.5%.</w:t>
            </w:r>
          </w:p>
        </w:tc>
      </w:tr>
      <w:tr>
        <w:tc>
          <w:tcPr>
            <w:tcW w:type="dxa" w:w="1944"/>
            <w:shd w:val="clear" w:color="auto" w:fill="DEEAF6"/>
          </w:tcPr>
          <w:p>
            <w:r/>
            <w:r>
              <w:rPr>
                <w:b/>
                <w:i w:val="0"/>
                <w:sz w:val="17"/>
              </w:rPr>
              <w:t>Impact</w:t>
            </w:r>
          </w:p>
        </w:tc>
        <w:tc>
          <w:tcPr>
            <w:tcW w:type="dxa" w:w="7704"/>
          </w:tcPr>
          <w:p>
            <w:r/>
            <w:r>
              <w:rPr>
                <w:b w:val="0"/>
                <w:i w:val="0"/>
                <w:sz w:val="17"/>
              </w:rPr>
              <w:t xml:space="preserve">Overstatement vs. formula at Contract Quantity: ~$0.19/MWh in CY6 rising to ~$3.67/MWh in CY20; </w:t>
            </w:r>
            <w:r>
              <w:rPr>
                <w:b/>
                <w:i w:val="0"/>
                <w:sz w:val="17"/>
              </w:rPr>
              <w:t>~$23.18M nominal over CY6–20 (~$9.58M PV at 6%), ~3.2% of total contract revenue.</w:t>
            </w:r>
            <w:r>
              <w:rPr>
                <w:b w:val="0"/>
                <w:i w:val="0"/>
                <w:sz w:val="17"/>
              </w:rPr>
              <w:t xml:space="preserve"> Under §1.3 the body (formula) should prevail, and TS §18.5 permits use of the Term Sheet to resolve ambiguity — so the higher table prices are unlikely to be enforceable and would invite a billing dispute (and, as drafted, Osage County litigation). Ridgeline’s model must use 1.5% (Item 40); Elkhorn will size debt on the formula. Leaving the conflict in place is a diligence finding in itself. See Schedule 1.</w:t>
            </w:r>
          </w:p>
        </w:tc>
      </w:tr>
      <w:tr>
        <w:tc>
          <w:tcPr>
            <w:tcW w:type="dxa" w:w="1944"/>
            <w:shd w:val="clear" w:color="auto" w:fill="DEEAF6"/>
          </w:tcPr>
          <w:p>
            <w:r/>
            <w:r>
              <w:rPr>
                <w:b/>
                <w:i w:val="0"/>
                <w:sz w:val="17"/>
              </w:rPr>
              <w:t>Recommendation</w:t>
            </w:r>
          </w:p>
        </w:tc>
        <w:tc>
          <w:tcPr>
            <w:tcW w:type="dxa" w:w="7704"/>
          </w:tcPr>
          <w:p>
            <w:r/>
            <w:r>
              <w:rPr>
                <w:b w:val="0"/>
                <w:i w:val="0"/>
                <w:sz w:val="17"/>
              </w:rPr>
              <w:t>Replace Ex. B Part 2 and Part 3 with formula-derived values (Schedule 1, column “Formula”) and delete the “shall be as set forth in the price table” clause or make the formula expressly control. Note that TS Annex A itself contains $0.01–$0.02 rounding variances from its own formula (CY7 and CY9–20); use formula values, not Annex A.</w:t>
            </w:r>
          </w:p>
        </w:tc>
      </w:tr>
    </w:tbl>
    <w:p>
      <w:pPr>
        <w:spacing w:after="40"/>
      </w:pPr>
    </w:p>
    <w:p>
      <w:pPr>
        <w:pStyle w:val="Heading3"/>
      </w:pPr>
      <w:r>
        <w:t>D-5  Economic curtailment compensated at 80% (not 90%) of Contract Price</w:t>
      </w:r>
    </w:p>
    <w:tbl>
      <w:tblPr>
        <w:tblStyle w:val="TableGrid"/>
        <w:tblW w:type="auto" w:w="0"/>
        <w:tblLook w:firstColumn="1" w:firstRow="1" w:lastColumn="0" w:lastRow="0" w:noHBand="0" w:noVBand="1" w:val="04A0"/>
      </w:tblPr>
      <w:tblGrid>
        <w:gridCol w:w="4824"/>
        <w:gridCol w:w="4824"/>
      </w:tblGrid>
      <w:tr>
        <w:tc>
          <w:tcPr>
            <w:tcW w:type="dxa" w:w="1944"/>
            <w:shd w:val="clear" w:color="auto" w:fill="DEEAF6"/>
          </w:tcPr>
          <w:p>
            <w:r/>
            <w:r>
              <w:rPr>
                <w:b/>
                <w:i w:val="0"/>
                <w:sz w:val="17"/>
              </w:rPr>
              <w:t>References</w:t>
            </w:r>
          </w:p>
        </w:tc>
        <w:tc>
          <w:tcPr>
            <w:tcW w:type="dxa" w:w="7704"/>
          </w:tcPr>
          <w:p>
            <w:r/>
            <w:r>
              <w:rPr>
                <w:b w:val="0"/>
                <w:i w:val="0"/>
                <w:sz w:val="17"/>
              </w:rPr>
              <w:t>TS: TS §6.1–6.3  |  PPA: PPA §6.1(a), §6.2(a), §6.4</w:t>
            </w:r>
          </w:p>
        </w:tc>
      </w:tr>
      <w:tr>
        <w:tc>
          <w:tcPr>
            <w:tcW w:type="dxa" w:w="1944"/>
            <w:shd w:val="clear" w:color="auto" w:fill="DEEAF6"/>
          </w:tcPr>
          <w:p>
            <w:r/>
            <w:r>
              <w:rPr>
                <w:b/>
                <w:i w:val="0"/>
                <w:sz w:val="17"/>
              </w:rPr>
              <w:t>Term Sheet</w:t>
            </w:r>
          </w:p>
        </w:tc>
        <w:tc>
          <w:tcPr>
            <w:tcW w:type="dxa" w:w="7704"/>
          </w:tcPr>
          <w:p>
            <w:r/>
            <w:r>
              <w:rPr>
                <w:b w:val="0"/>
                <w:i w:val="0"/>
                <w:sz w:val="17"/>
              </w:rPr>
              <w:t>90% of then-applicable Contract Price per curtailed MWh; cap 5% of CQ (42,500 MWh/CY). Covers curtailment by Buyer or Buyer’s balancing authority “acting at Buyer’s direction or for Buyer’s economic benefit.”</w:t>
            </w:r>
          </w:p>
        </w:tc>
      </w:tr>
      <w:tr>
        <w:tc>
          <w:tcPr>
            <w:tcW w:type="dxa" w:w="1944"/>
            <w:shd w:val="clear" w:color="auto" w:fill="DEEAF6"/>
          </w:tcPr>
          <w:p>
            <w:r/>
            <w:r>
              <w:rPr>
                <w:b/>
                <w:i w:val="0"/>
                <w:sz w:val="17"/>
              </w:rPr>
              <w:t>Executed PPA</w:t>
            </w:r>
          </w:p>
        </w:tc>
        <w:tc>
          <w:tcPr>
            <w:tcW w:type="dxa" w:w="7704"/>
          </w:tcPr>
          <w:p>
            <w:r/>
            <w:r>
              <w:rPr>
                <w:b w:val="0"/>
                <w:i w:val="0"/>
                <w:sz w:val="17"/>
              </w:rPr>
              <w:t>80% of Contract Price; cap 42,500 MWh/CY (conforms). Definition limited to curtailment “initiated at the direction of Buyer or Buyer’s designee.” Seller need not accept uncompensated economic curtailment above cap (Seller-favorable addition).</w:t>
            </w:r>
          </w:p>
        </w:tc>
      </w:tr>
      <w:tr>
        <w:tc>
          <w:tcPr>
            <w:tcW w:type="dxa" w:w="1944"/>
            <w:shd w:val="clear" w:color="auto" w:fill="DEEAF6"/>
          </w:tcPr>
          <w:p>
            <w:r/>
            <w:r>
              <w:rPr>
                <w:b/>
                <w:i w:val="0"/>
                <w:sz w:val="17"/>
              </w:rPr>
              <w:t>Status / effect / severity</w:t>
            </w:r>
          </w:p>
        </w:tc>
        <w:tc>
          <w:tcPr>
            <w:tcW w:type="dxa" w:w="7704"/>
          </w:tcPr>
          <w:p>
            <w:r/>
            <w:r>
              <w:rPr>
                <w:b w:val="0"/>
                <w:i w:val="0"/>
                <w:sz w:val="17"/>
              </w:rPr>
              <w:t xml:space="preserve">NOT AGREED  |  Adverse  |  </w:t>
            </w:r>
            <w:r>
              <w:rPr>
                <w:b/>
                <w:i w:val="0"/>
                <w:sz w:val="17"/>
              </w:rPr>
              <w:t>High</w:t>
            </w:r>
            <w:r>
              <w:rPr>
                <w:b w:val="0"/>
                <w:i w:val="0"/>
                <w:sz w:val="17"/>
              </w:rPr>
              <w:t xml:space="preserve">  |  Checklist Item(s) 12(iv), 40</w:t>
            </w:r>
          </w:p>
        </w:tc>
      </w:tr>
      <w:tr>
        <w:tc>
          <w:tcPr>
            <w:tcW w:type="dxa" w:w="1944"/>
            <w:shd w:val="clear" w:color="auto" w:fill="DEEAF6"/>
          </w:tcPr>
          <w:p>
            <w:r/>
            <w:r>
              <w:rPr>
                <w:b/>
                <w:i w:val="0"/>
                <w:sz w:val="17"/>
              </w:rPr>
              <w:t>Negotiation record</w:t>
            </w:r>
          </w:p>
        </w:tc>
        <w:tc>
          <w:tcPr>
            <w:tcW w:type="dxa" w:w="7704"/>
          </w:tcPr>
          <w:p>
            <w:r/>
            <w:r>
              <w:rPr>
                <w:b w:val="0"/>
                <w:i w:val="0"/>
                <w:sz w:val="17"/>
              </w:rPr>
              <w:t>Negotiation Summary §2: Mr. Langdon floated 80% in his first markup; Seller “pushed back” and Ms. Kowalski believed Ms. Nouri confirmed Buyer would hold at 90%. The executed text reflects Buyer’s rejected markup.</w:t>
            </w:r>
          </w:p>
        </w:tc>
      </w:tr>
      <w:tr>
        <w:tc>
          <w:tcPr>
            <w:tcW w:type="dxa" w:w="1944"/>
            <w:shd w:val="clear" w:color="auto" w:fill="DEEAF6"/>
          </w:tcPr>
          <w:p>
            <w:r/>
            <w:r>
              <w:rPr>
                <w:b/>
                <w:i w:val="0"/>
                <w:sz w:val="17"/>
              </w:rPr>
              <w:t>Impact</w:t>
            </w:r>
          </w:p>
        </w:tc>
        <w:tc>
          <w:tcPr>
            <w:tcW w:type="dxa" w:w="7704"/>
          </w:tcPr>
          <w:p>
            <w:r/>
            <w:r>
              <w:rPr>
                <w:b w:val="0"/>
                <w:i w:val="0"/>
                <w:sz w:val="17"/>
              </w:rPr>
              <w:t>At the cap: $163,625 lost in CY1 (42,500 × $38.50 × 10%), ~$3.59M over the Term (formula prices). The narrower definition drops curtailment “for Buyer’s economic benefit,” which could leave some balancing-authority curtailments uncompensated.</w:t>
            </w:r>
          </w:p>
        </w:tc>
      </w:tr>
      <w:tr>
        <w:tc>
          <w:tcPr>
            <w:tcW w:type="dxa" w:w="1944"/>
            <w:shd w:val="clear" w:color="auto" w:fill="DEEAF6"/>
          </w:tcPr>
          <w:p>
            <w:r/>
            <w:r>
              <w:rPr>
                <w:b/>
                <w:i w:val="0"/>
                <w:sz w:val="17"/>
              </w:rPr>
              <w:t>Recommendation</w:t>
            </w:r>
          </w:p>
        </w:tc>
        <w:tc>
          <w:tcPr>
            <w:tcW w:type="dxa" w:w="7704"/>
          </w:tcPr>
          <w:p>
            <w:r/>
            <w:r>
              <w:rPr>
                <w:b w:val="0"/>
                <w:i w:val="0"/>
                <w:sz w:val="17"/>
              </w:rPr>
              <w:t>Restore 90% and the TS §6.1 “or for Buyer’s economic benefit” formulation; keep the favorable §6.4 last sentence and §8.2(d).</w:t>
            </w:r>
          </w:p>
        </w:tc>
      </w:tr>
    </w:tbl>
    <w:p>
      <w:pPr>
        <w:spacing w:after="40"/>
      </w:pPr>
    </w:p>
    <w:p>
      <w:pPr>
        <w:pStyle w:val="Heading3"/>
      </w:pPr>
      <w:r>
        <w:t>D-18  Excess-generation RECs retained by Seller</w:t>
      </w:r>
    </w:p>
    <w:tbl>
      <w:tblPr>
        <w:tblStyle w:val="TableGrid"/>
        <w:tblW w:type="auto" w:w="0"/>
        <w:tblLook w:firstColumn="1" w:firstRow="1" w:lastColumn="0" w:lastRow="0" w:noHBand="0" w:noVBand="1" w:val="04A0"/>
      </w:tblPr>
      <w:tblGrid>
        <w:gridCol w:w="4824"/>
        <w:gridCol w:w="4824"/>
      </w:tblGrid>
      <w:tr>
        <w:tc>
          <w:tcPr>
            <w:tcW w:type="dxa" w:w="1944"/>
            <w:shd w:val="clear" w:color="auto" w:fill="DEEAF6"/>
          </w:tcPr>
          <w:p>
            <w:r/>
            <w:r>
              <w:rPr>
                <w:b/>
                <w:i w:val="0"/>
                <w:sz w:val="17"/>
              </w:rPr>
              <w:t>References</w:t>
            </w:r>
          </w:p>
        </w:tc>
        <w:tc>
          <w:tcPr>
            <w:tcW w:type="dxa" w:w="7704"/>
          </w:tcPr>
          <w:p>
            <w:r/>
            <w:r>
              <w:rPr>
                <w:b w:val="0"/>
                <w:i w:val="0"/>
                <w:sz w:val="17"/>
              </w:rPr>
              <w:t>TS: TS §10.1, §10.3  |  PPA: PPA §10.1, §10.2; §8.6</w:t>
            </w:r>
          </w:p>
        </w:tc>
      </w:tr>
      <w:tr>
        <w:tc>
          <w:tcPr>
            <w:tcW w:type="dxa" w:w="1944"/>
            <w:shd w:val="clear" w:color="auto" w:fill="DEEAF6"/>
          </w:tcPr>
          <w:p>
            <w:r/>
            <w:r>
              <w:rPr>
                <w:b/>
                <w:i w:val="0"/>
                <w:sz w:val="17"/>
              </w:rPr>
              <w:t>Term Sheet</w:t>
            </w:r>
          </w:p>
        </w:tc>
        <w:tc>
          <w:tcPr>
            <w:tcW w:type="dxa" w:w="7704"/>
          </w:tcPr>
          <w:p>
            <w:r/>
            <w:r>
              <w:rPr>
                <w:b w:val="0"/>
                <w:i w:val="0"/>
                <w:sz w:val="17"/>
              </w:rPr>
              <w:t>ALL RECs from every MWh generated during the Term transfer to Buyer, bundled, whether delivered at, above or below CQ; Seller has no interest in any REC.</w:t>
            </w:r>
          </w:p>
        </w:tc>
      </w:tr>
      <w:tr>
        <w:tc>
          <w:tcPr>
            <w:tcW w:type="dxa" w:w="1944"/>
            <w:shd w:val="clear" w:color="auto" w:fill="DEEAF6"/>
          </w:tcPr>
          <w:p>
            <w:r/>
            <w:r>
              <w:rPr>
                <w:b/>
                <w:i w:val="0"/>
                <w:sz w:val="17"/>
              </w:rPr>
              <w:t>Executed PPA</w:t>
            </w:r>
          </w:p>
        </w:tc>
        <w:tc>
          <w:tcPr>
            <w:tcW w:type="dxa" w:w="7704"/>
          </w:tcPr>
          <w:p>
            <w:r/>
            <w:r>
              <w:rPr>
                <w:b w:val="0"/>
                <w:i w:val="0"/>
                <w:sz w:val="17"/>
              </w:rPr>
              <w:t>RECs on Net Energy Output above 100% of CQ in a Contract Year are retained by Seller, who may sell them; monthly transfers to Buyer “up to the Contract Quantity, on a cumulative annual basis.” Buyer still buys all excess energy at the full (bundled) Contract Price (§8.6).</w:t>
            </w:r>
          </w:p>
        </w:tc>
      </w:tr>
      <w:tr>
        <w:tc>
          <w:tcPr>
            <w:tcW w:type="dxa" w:w="1944"/>
            <w:shd w:val="clear" w:color="auto" w:fill="DEEAF6"/>
          </w:tcPr>
          <w:p>
            <w:r/>
            <w:r>
              <w:rPr>
                <w:b/>
                <w:i w:val="0"/>
                <w:sz w:val="17"/>
              </w:rPr>
              <w:t>Status / effect / severity</w:t>
            </w:r>
          </w:p>
        </w:tc>
        <w:tc>
          <w:tcPr>
            <w:tcW w:type="dxa" w:w="7704"/>
          </w:tcPr>
          <w:p>
            <w:r/>
            <w:r>
              <w:rPr>
                <w:b w:val="0"/>
                <w:i w:val="0"/>
                <w:sz w:val="17"/>
              </w:rPr>
              <w:t xml:space="preserve">OPEN-IN PPA  |  Seller-favorable  |  </w:t>
            </w:r>
            <w:r>
              <w:rPr>
                <w:b/>
                <w:i w:val="0"/>
                <w:sz w:val="17"/>
              </w:rPr>
              <w:t>Medium (documentation/ambiguity)</w:t>
            </w:r>
            <w:r>
              <w:rPr>
                <w:b w:val="0"/>
                <w:i w:val="0"/>
                <w:sz w:val="17"/>
              </w:rPr>
              <w:t xml:space="preserve">  |  Checklist Item(s) 12(viii)</w:t>
            </w:r>
          </w:p>
        </w:tc>
      </w:tr>
      <w:tr>
        <w:tc>
          <w:tcPr>
            <w:tcW w:type="dxa" w:w="1944"/>
            <w:shd w:val="clear" w:color="auto" w:fill="DEEAF6"/>
          </w:tcPr>
          <w:p>
            <w:r/>
            <w:r>
              <w:rPr>
                <w:b/>
                <w:i w:val="0"/>
                <w:sz w:val="17"/>
              </w:rPr>
              <w:t>Negotiation record</w:t>
            </w:r>
          </w:p>
        </w:tc>
        <w:tc>
          <w:tcPr>
            <w:tcW w:type="dxa" w:w="7704"/>
          </w:tcPr>
          <w:p>
            <w:r/>
            <w:r>
              <w:rPr>
                <w:b w:val="0"/>
                <w:i w:val="0"/>
                <w:sz w:val="17"/>
              </w:rPr>
              <w:t>Negotiation Summary §4: raised by Tamara Nouri; “still being discussed”; Seller inclined to accept “if they offer it,” and asked that the bundled/unbundled boundary be cleanly drafted. No record of final agreement before execution.</w:t>
            </w:r>
          </w:p>
        </w:tc>
      </w:tr>
      <w:tr>
        <w:tc>
          <w:tcPr>
            <w:tcW w:type="dxa" w:w="1944"/>
            <w:shd w:val="clear" w:color="auto" w:fill="DEEAF6"/>
          </w:tcPr>
          <w:p>
            <w:r/>
            <w:r>
              <w:rPr>
                <w:b/>
                <w:i w:val="0"/>
                <w:sz w:val="17"/>
              </w:rPr>
              <w:t>Impact</w:t>
            </w:r>
          </w:p>
        </w:tc>
        <w:tc>
          <w:tcPr>
            <w:tcW w:type="dxa" w:w="7704"/>
          </w:tcPr>
          <w:p>
            <w:r/>
            <w:r>
              <w:rPr>
                <w:b w:val="0"/>
                <w:i w:val="0"/>
                <w:sz w:val="17"/>
              </w:rPr>
              <w:t>Upside for Seller (P50 876,000 MWh implies ~26,000 excess RECs/yr). Risks: (i) Buyer pays the bundled price for excess energy that no longer carries RECs — Buyer may later argue mistake or seek a price reduction for excess MWh; (ii) month-by-month allocation versus annual true-up is not fully specified (e.g., RECs already transferred in a year where output later falls short, or partial first/last CY proration under §8.8); (iii) M-RETS vintage/serial number allocation mechanics are absent.</w:t>
            </w:r>
          </w:p>
        </w:tc>
      </w:tr>
      <w:tr>
        <w:tc>
          <w:tcPr>
            <w:tcW w:type="dxa" w:w="1944"/>
            <w:shd w:val="clear" w:color="auto" w:fill="DEEAF6"/>
          </w:tcPr>
          <w:p>
            <w:r/>
            <w:r>
              <w:rPr>
                <w:b/>
                <w:i w:val="0"/>
                <w:sz w:val="17"/>
              </w:rPr>
              <w:t>Recommendation</w:t>
            </w:r>
          </w:p>
        </w:tc>
        <w:tc>
          <w:tcPr>
            <w:tcW w:type="dxa" w:w="7704"/>
          </w:tcPr>
          <w:p>
            <w:r/>
            <w:r>
              <w:rPr>
                <w:b w:val="0"/>
                <w:i w:val="0"/>
                <w:sz w:val="17"/>
              </w:rPr>
              <w:t>Confirm agreement status with Buyer in writing; add mechanics (annual true-up, serial-number allocation, proration) and consider an express excess-energy price (or confirm full price) to foreclose a later challenge. Disclose to Ridgeline as a deviation (Item 12(viii)).</w:t>
            </w:r>
          </w:p>
        </w:tc>
      </w:tr>
    </w:tbl>
    <w:p>
      <w:pPr>
        <w:spacing w:after="40"/>
      </w:pPr>
    </w:p>
    <w:p>
      <w:pPr>
        <w:pStyle w:val="Heading3"/>
      </w:pPr>
      <w:r>
        <w:t>D-19  REC scope limited to delivered energy; tracking registry</w:t>
      </w:r>
    </w:p>
    <w:tbl>
      <w:tblPr>
        <w:tblStyle w:val="TableGrid"/>
        <w:tblW w:type="auto" w:w="0"/>
        <w:tblLook w:firstColumn="1" w:firstRow="1" w:lastColumn="0" w:lastRow="0" w:noHBand="0" w:noVBand="1" w:val="04A0"/>
      </w:tblPr>
      <w:tblGrid>
        <w:gridCol w:w="4824"/>
        <w:gridCol w:w="4824"/>
      </w:tblGrid>
      <w:tr>
        <w:tc>
          <w:tcPr>
            <w:tcW w:type="dxa" w:w="1944"/>
            <w:shd w:val="clear" w:color="auto" w:fill="DEEAF6"/>
          </w:tcPr>
          <w:p>
            <w:r/>
            <w:r>
              <w:rPr>
                <w:b/>
                <w:i w:val="0"/>
                <w:sz w:val="17"/>
              </w:rPr>
              <w:t>References</w:t>
            </w:r>
          </w:p>
        </w:tc>
        <w:tc>
          <w:tcPr>
            <w:tcW w:type="dxa" w:w="7704"/>
          </w:tcPr>
          <w:p>
            <w:r/>
            <w:r>
              <w:rPr>
                <w:b w:val="0"/>
                <w:i w:val="0"/>
                <w:sz w:val="17"/>
              </w:rPr>
              <w:t>TS: TS §10.1–10.2  |  PPA: PPA §10.1–10.2; Ex. A (“REC”)</w:t>
            </w:r>
          </w:p>
        </w:tc>
      </w:tr>
      <w:tr>
        <w:tc>
          <w:tcPr>
            <w:tcW w:type="dxa" w:w="1944"/>
            <w:shd w:val="clear" w:color="auto" w:fill="DEEAF6"/>
          </w:tcPr>
          <w:p>
            <w:r/>
            <w:r>
              <w:rPr>
                <w:b/>
                <w:i w:val="0"/>
                <w:sz w:val="17"/>
              </w:rPr>
              <w:t>Term Sheet</w:t>
            </w:r>
          </w:p>
        </w:tc>
        <w:tc>
          <w:tcPr>
            <w:tcW w:type="dxa" w:w="7704"/>
          </w:tcPr>
          <w:p>
            <w:r/>
            <w:r>
              <w:rPr>
                <w:b w:val="0"/>
                <w:i w:val="0"/>
                <w:sz w:val="17"/>
              </w:rPr>
              <w:t>“All RECs” includes RECs attributable to energy curtailed, spilled or not delivered; registration via SPP’s environmental attribute tracking system (or successor).</w:t>
            </w:r>
          </w:p>
        </w:tc>
      </w:tr>
      <w:tr>
        <w:tc>
          <w:tcPr>
            <w:tcW w:type="dxa" w:w="1944"/>
            <w:shd w:val="clear" w:color="auto" w:fill="DEEAF6"/>
          </w:tcPr>
          <w:p>
            <w:r/>
            <w:r>
              <w:rPr>
                <w:b/>
                <w:i w:val="0"/>
                <w:sz w:val="17"/>
              </w:rPr>
              <w:t>Executed PPA</w:t>
            </w:r>
          </w:p>
        </w:tc>
        <w:tc>
          <w:tcPr>
            <w:tcW w:type="dxa" w:w="7704"/>
          </w:tcPr>
          <w:p>
            <w:r/>
            <w:r>
              <w:rPr>
                <w:b w:val="0"/>
                <w:i w:val="0"/>
                <w:sz w:val="17"/>
              </w:rPr>
              <w:t>Transfer limited to RECs associated with Net Energy Output delivered; registration with M-RETS (or successor designated by Buyer).</w:t>
            </w:r>
          </w:p>
        </w:tc>
      </w:tr>
      <w:tr>
        <w:tc>
          <w:tcPr>
            <w:tcW w:type="dxa" w:w="1944"/>
            <w:shd w:val="clear" w:color="auto" w:fill="DEEAF6"/>
          </w:tcPr>
          <w:p>
            <w:r/>
            <w:r>
              <w:rPr>
                <w:b/>
                <w:i w:val="0"/>
                <w:sz w:val="17"/>
              </w:rPr>
              <w:t>Status / effect / severity</w:t>
            </w:r>
          </w:p>
        </w:tc>
        <w:tc>
          <w:tcPr>
            <w:tcW w:type="dxa" w:w="7704"/>
          </w:tcPr>
          <w:p>
            <w:r/>
            <w:r>
              <w:rPr>
                <w:b w:val="0"/>
                <w:i w:val="0"/>
                <w:sz w:val="17"/>
              </w:rPr>
              <w:t xml:space="preserve">NEW TERM  |  Neutral  |  </w:t>
            </w:r>
            <w:r>
              <w:rPr>
                <w:b/>
                <w:i w:val="0"/>
                <w:sz w:val="17"/>
              </w:rPr>
              <w:t>Low</w:t>
            </w:r>
            <w:r>
              <w:rPr>
                <w:b w:val="0"/>
                <w:i w:val="0"/>
                <w:sz w:val="17"/>
              </w:rPr>
              <w:t xml:space="preserve">  |  Checklist Item(s) 12(viii)</w:t>
            </w:r>
          </w:p>
        </w:tc>
      </w:tr>
      <w:tr>
        <w:tc>
          <w:tcPr>
            <w:tcW w:type="dxa" w:w="1944"/>
            <w:shd w:val="clear" w:color="auto" w:fill="DEEAF6"/>
          </w:tcPr>
          <w:p>
            <w:r/>
            <w:r>
              <w:rPr>
                <w:b/>
                <w:i w:val="0"/>
                <w:sz w:val="17"/>
              </w:rPr>
              <w:t>Negotiation record</w:t>
            </w:r>
          </w:p>
        </w:tc>
        <w:tc>
          <w:tcPr>
            <w:tcW w:type="dxa" w:w="7704"/>
          </w:tcPr>
          <w:p>
            <w:r/>
            <w:r>
              <w:rPr>
                <w:b w:val="0"/>
                <w:i w:val="0"/>
                <w:sz w:val="17"/>
              </w:rPr>
              <w:t>Not discussed.</w:t>
            </w:r>
          </w:p>
        </w:tc>
      </w:tr>
      <w:tr>
        <w:tc>
          <w:tcPr>
            <w:tcW w:type="dxa" w:w="1944"/>
            <w:shd w:val="clear" w:color="auto" w:fill="DEEAF6"/>
          </w:tcPr>
          <w:p>
            <w:r/>
            <w:r>
              <w:rPr>
                <w:b/>
                <w:i w:val="0"/>
                <w:sz w:val="17"/>
              </w:rPr>
              <w:t>Impact</w:t>
            </w:r>
          </w:p>
        </w:tc>
        <w:tc>
          <w:tcPr>
            <w:tcW w:type="dxa" w:w="7704"/>
          </w:tcPr>
          <w:p>
            <w:r/>
            <w:r>
              <w:rPr>
                <w:b w:val="0"/>
                <w:i w:val="0"/>
                <w:sz w:val="17"/>
              </w:rPr>
              <w:t>Practical effect limited (undelivered MWh generally create no RECs), and M-RETS is the market-standard registry for SPP-region wind. Note for completeness only.</w:t>
            </w:r>
          </w:p>
        </w:tc>
      </w:tr>
      <w:tr>
        <w:tc>
          <w:tcPr>
            <w:tcW w:type="dxa" w:w="1944"/>
            <w:shd w:val="clear" w:color="auto" w:fill="DEEAF6"/>
          </w:tcPr>
          <w:p>
            <w:r/>
            <w:r>
              <w:rPr>
                <w:b/>
                <w:i w:val="0"/>
                <w:sz w:val="17"/>
              </w:rPr>
              <w:t>Recommendation</w:t>
            </w:r>
          </w:p>
        </w:tc>
        <w:tc>
          <w:tcPr>
            <w:tcW w:type="dxa" w:w="7704"/>
          </w:tcPr>
          <w:p>
            <w:r/>
            <w:r>
              <w:rPr>
                <w:b w:val="0"/>
                <w:i w:val="0"/>
                <w:sz w:val="17"/>
              </w:rPr>
              <w:t>No action other than disclosure.</w:t>
            </w:r>
          </w:p>
        </w:tc>
      </w:tr>
    </w:tbl>
    <w:p>
      <w:pPr>
        <w:spacing w:after="40"/>
      </w:pPr>
    </w:p>
    <w:p>
      <w:pPr>
        <w:pStyle w:val="Heading2"/>
      </w:pPr>
      <w:r>
        <w:t>4.3 COD, delay and termination</w:t>
      </w:r>
    </w:p>
    <w:p>
      <w:pPr>
        <w:pStyle w:val="Heading3"/>
      </w:pPr>
      <w:r>
        <w:t>D-6  Delay LDs increased to $175,000/month, cap $2.5M</w:t>
      </w:r>
    </w:p>
    <w:tbl>
      <w:tblPr>
        <w:tblStyle w:val="TableGrid"/>
        <w:tblW w:type="auto" w:w="0"/>
        <w:tblLook w:firstColumn="1" w:firstRow="1" w:lastColumn="0" w:lastRow="0" w:noHBand="0" w:noVBand="1" w:val="04A0"/>
      </w:tblPr>
      <w:tblGrid>
        <w:gridCol w:w="4824"/>
        <w:gridCol w:w="4824"/>
      </w:tblGrid>
      <w:tr>
        <w:tc>
          <w:tcPr>
            <w:tcW w:type="dxa" w:w="1944"/>
            <w:shd w:val="clear" w:color="auto" w:fill="DEEAF6"/>
          </w:tcPr>
          <w:p>
            <w:r/>
            <w:r>
              <w:rPr>
                <w:b/>
                <w:i w:val="0"/>
                <w:sz w:val="17"/>
              </w:rPr>
              <w:t>References</w:t>
            </w:r>
          </w:p>
        </w:tc>
        <w:tc>
          <w:tcPr>
            <w:tcW w:type="dxa" w:w="7704"/>
          </w:tcPr>
          <w:p>
            <w:r/>
            <w:r>
              <w:rPr>
                <w:b w:val="0"/>
                <w:i w:val="0"/>
                <w:sz w:val="17"/>
              </w:rPr>
              <w:t>TS: TS §7.1–7.2  |  PPA: PPA §3.5(b)–(c); Ex. G Note 2</w:t>
            </w:r>
          </w:p>
        </w:tc>
      </w:tr>
      <w:tr>
        <w:tc>
          <w:tcPr>
            <w:tcW w:type="dxa" w:w="1944"/>
            <w:shd w:val="clear" w:color="auto" w:fill="DEEAF6"/>
          </w:tcPr>
          <w:p>
            <w:r/>
            <w:r>
              <w:rPr>
                <w:b/>
                <w:i w:val="0"/>
                <w:sz w:val="17"/>
              </w:rPr>
              <w:t>Term Sheet</w:t>
            </w:r>
          </w:p>
        </w:tc>
        <w:tc>
          <w:tcPr>
            <w:tcW w:type="dxa" w:w="7704"/>
          </w:tcPr>
          <w:p>
            <w:r/>
            <w:r>
              <w:rPr>
                <w:b w:val="0"/>
                <w:i w:val="0"/>
                <w:sz w:val="17"/>
              </w:rPr>
              <w:t>$125,000/month (pro rata), capped at 12 months = $1,500,000.</w:t>
            </w:r>
          </w:p>
        </w:tc>
      </w:tr>
      <w:tr>
        <w:tc>
          <w:tcPr>
            <w:tcW w:type="dxa" w:w="1944"/>
            <w:shd w:val="clear" w:color="auto" w:fill="DEEAF6"/>
          </w:tcPr>
          <w:p>
            <w:r/>
            <w:r>
              <w:rPr>
                <w:b/>
                <w:i w:val="0"/>
                <w:sz w:val="17"/>
              </w:rPr>
              <w:t>Executed PPA</w:t>
            </w:r>
          </w:p>
        </w:tc>
        <w:tc>
          <w:tcPr>
            <w:tcW w:type="dxa" w:w="7704"/>
          </w:tcPr>
          <w:p>
            <w:r/>
            <w:r>
              <w:rPr>
                <w:b w:val="0"/>
                <w:i w:val="0"/>
                <w:sz w:val="17"/>
              </w:rPr>
              <w:t>$175,000/month (pro rata), aggregate cap $2,500,000 (reached after ~14.3 months).</w:t>
            </w:r>
          </w:p>
        </w:tc>
      </w:tr>
      <w:tr>
        <w:tc>
          <w:tcPr>
            <w:tcW w:type="dxa" w:w="1944"/>
            <w:shd w:val="clear" w:color="auto" w:fill="DEEAF6"/>
          </w:tcPr>
          <w:p>
            <w:r/>
            <w:r>
              <w:rPr>
                <w:b/>
                <w:i w:val="0"/>
                <w:sz w:val="17"/>
              </w:rPr>
              <w:t>Status / effect / severity</w:t>
            </w:r>
          </w:p>
        </w:tc>
        <w:tc>
          <w:tcPr>
            <w:tcW w:type="dxa" w:w="7704"/>
          </w:tcPr>
          <w:p>
            <w:r/>
            <w:r>
              <w:rPr>
                <w:b w:val="0"/>
                <w:i w:val="0"/>
                <w:sz w:val="17"/>
              </w:rPr>
              <w:t xml:space="preserve">NOT AGREED  |  Adverse  |  </w:t>
            </w:r>
            <w:r>
              <w:rPr>
                <w:b/>
                <w:i w:val="0"/>
                <w:sz w:val="17"/>
              </w:rPr>
              <w:t>High</w:t>
            </w:r>
            <w:r>
              <w:rPr>
                <w:b w:val="0"/>
                <w:i w:val="0"/>
                <w:sz w:val="17"/>
              </w:rPr>
              <w:t xml:space="preserve">  |  Checklist Item(s) 12(iii), 34</w:t>
            </w:r>
          </w:p>
        </w:tc>
      </w:tr>
      <w:tr>
        <w:tc>
          <w:tcPr>
            <w:tcW w:type="dxa" w:w="1944"/>
            <w:shd w:val="clear" w:color="auto" w:fill="DEEAF6"/>
          </w:tcPr>
          <w:p>
            <w:r/>
            <w:r>
              <w:rPr>
                <w:b/>
                <w:i w:val="0"/>
                <w:sz w:val="17"/>
              </w:rPr>
              <w:t>Negotiation record</w:t>
            </w:r>
          </w:p>
        </w:tc>
        <w:tc>
          <w:tcPr>
            <w:tcW w:type="dxa" w:w="7704"/>
          </w:tcPr>
          <w:p>
            <w:r/>
            <w:r>
              <w:rPr>
                <w:b w:val="0"/>
                <w:i w:val="0"/>
                <w:sz w:val="17"/>
              </w:rPr>
              <w:t>Negotiation Summary §2: Delay LDs “should carry over from the term sheet as-is. We didn’t negotiate any changes here.”</w:t>
            </w:r>
          </w:p>
        </w:tc>
      </w:tr>
      <w:tr>
        <w:tc>
          <w:tcPr>
            <w:tcW w:type="dxa" w:w="1944"/>
            <w:shd w:val="clear" w:color="auto" w:fill="DEEAF6"/>
          </w:tcPr>
          <w:p>
            <w:r/>
            <w:r>
              <w:rPr>
                <w:b/>
                <w:i w:val="0"/>
                <w:sz w:val="17"/>
              </w:rPr>
              <w:t>Impact</w:t>
            </w:r>
          </w:p>
        </w:tc>
        <w:tc>
          <w:tcPr>
            <w:tcW w:type="dxa" w:w="7704"/>
          </w:tcPr>
          <w:p>
            <w:r/>
            <w:r>
              <w:rPr>
                <w:b w:val="0"/>
                <w:i w:val="0"/>
                <w:sz w:val="17"/>
              </w:rPr>
              <w:t>Maximum exposure +$1.0M (+67%); at 12 months of delay $2.1M vs. $1.5M. Combined with D-7, LDs can continue accruing after the Outside Date. Relevant to EPC delay-LD back-to-back (Item 9) and sources/uses contingency.</w:t>
            </w:r>
          </w:p>
        </w:tc>
      </w:tr>
      <w:tr>
        <w:tc>
          <w:tcPr>
            <w:tcW w:type="dxa" w:w="1944"/>
            <w:shd w:val="clear" w:color="auto" w:fill="DEEAF6"/>
          </w:tcPr>
          <w:p>
            <w:r/>
            <w:r>
              <w:rPr>
                <w:b/>
                <w:i w:val="0"/>
                <w:sz w:val="17"/>
              </w:rPr>
              <w:t>Recommendation</w:t>
            </w:r>
          </w:p>
        </w:tc>
        <w:tc>
          <w:tcPr>
            <w:tcW w:type="dxa" w:w="7704"/>
          </w:tcPr>
          <w:p>
            <w:r/>
            <w:r>
              <w:rPr>
                <w:b w:val="0"/>
                <w:i w:val="0"/>
                <w:sz w:val="17"/>
              </w:rPr>
              <w:t>Restore $125,000/month and a $1.5M (12-month) cap; conform Ex. G Note 2.</w:t>
            </w:r>
          </w:p>
        </w:tc>
      </w:tr>
    </w:tbl>
    <w:p>
      <w:pPr>
        <w:spacing w:after="40"/>
      </w:pPr>
    </w:p>
    <w:p>
      <w:pPr>
        <w:pStyle w:val="Heading3"/>
      </w:pPr>
      <w:r>
        <w:t>D-7  Outside Date: evergreen extension, Event of Default and termination damages erode sole-remedy construct</w:t>
      </w:r>
    </w:p>
    <w:tbl>
      <w:tblPr>
        <w:tblStyle w:val="TableGrid"/>
        <w:tblW w:type="auto" w:w="0"/>
        <w:tblLook w:firstColumn="1" w:firstRow="1" w:lastColumn="0" w:lastRow="0" w:noHBand="0" w:noVBand="1" w:val="04A0"/>
      </w:tblPr>
      <w:tblGrid>
        <w:gridCol w:w="4824"/>
        <w:gridCol w:w="4824"/>
      </w:tblGrid>
      <w:tr>
        <w:tc>
          <w:tcPr>
            <w:tcW w:type="dxa" w:w="1944"/>
            <w:shd w:val="clear" w:color="auto" w:fill="DEEAF6"/>
          </w:tcPr>
          <w:p>
            <w:r/>
            <w:r>
              <w:rPr>
                <w:b/>
                <w:i w:val="0"/>
                <w:sz w:val="17"/>
              </w:rPr>
              <w:t>References</w:t>
            </w:r>
          </w:p>
        </w:tc>
        <w:tc>
          <w:tcPr>
            <w:tcW w:type="dxa" w:w="7704"/>
          </w:tcPr>
          <w:p>
            <w:r/>
            <w:r>
              <w:rPr>
                <w:b w:val="0"/>
                <w:i w:val="0"/>
                <w:sz w:val="17"/>
              </w:rPr>
              <w:t>TS: TS §3.5, §7.1, §7.3  |  PPA: PPA §3.5(a), (c), (d); §3.6; §18.1(a); §18.3(b); Ex. G Note 3</w:t>
            </w:r>
          </w:p>
        </w:tc>
      </w:tr>
      <w:tr>
        <w:tc>
          <w:tcPr>
            <w:tcW w:type="dxa" w:w="1944"/>
            <w:shd w:val="clear" w:color="auto" w:fill="DEEAF6"/>
          </w:tcPr>
          <w:p>
            <w:r/>
            <w:r>
              <w:rPr>
                <w:b/>
                <w:i w:val="0"/>
                <w:sz w:val="17"/>
              </w:rPr>
              <w:t>Term Sheet</w:t>
            </w:r>
          </w:p>
        </w:tc>
        <w:tc>
          <w:tcPr>
            <w:tcW w:type="dxa" w:w="7704"/>
          </w:tcPr>
          <w:p>
            <w:r/>
            <w:r>
              <w:rPr>
                <w:b w:val="0"/>
                <w:i w:val="0"/>
                <w:sz w:val="17"/>
              </w:rPr>
              <w:t>If no COD by Sept. 1, 2027, either Party may terminate by notice within 30 days, “without further liability … except for any accrued and unpaid delay liquidated damages.” Delay LDs (plus that termination right) are Buyer’s sole and exclusive remedy for delay.</w:t>
            </w:r>
          </w:p>
        </w:tc>
      </w:tr>
      <w:tr>
        <w:tc>
          <w:tcPr>
            <w:tcW w:type="dxa" w:w="1944"/>
            <w:shd w:val="clear" w:color="auto" w:fill="DEEAF6"/>
          </w:tcPr>
          <w:p>
            <w:r/>
            <w:r>
              <w:rPr>
                <w:b/>
                <w:i w:val="0"/>
                <w:sz w:val="17"/>
              </w:rPr>
              <w:t>Executed PPA</w:t>
            </w:r>
          </w:p>
        </w:tc>
        <w:tc>
          <w:tcPr>
            <w:tcW w:type="dxa" w:w="7704"/>
          </w:tcPr>
          <w:p>
            <w:r/>
            <w:r>
              <w:rPr>
                <w:b w:val="0"/>
                <w:i w:val="0"/>
                <w:sz w:val="17"/>
              </w:rPr>
              <w:t>Same Outside Date, but (i) Outside Date auto-extends in successive 90-day periods if no notice within 90 days (§3.6); (ii) Delay LDs accrue until COD or a §3.6 termination, so they continue past Sept. 1, 2027 until the cap; (iii) §3.5(c) says reaching the cap does not relieve Seller of its obligation to achieve COD by the Outside Date; (iv) failure to achieve COD by the Outside Date is a Seller Event of Default (§18.1(a)), opening §18.3(b) termination damages and a draw on the $7.5M bond (Ex. F).</w:t>
            </w:r>
          </w:p>
        </w:tc>
      </w:tr>
      <w:tr>
        <w:tc>
          <w:tcPr>
            <w:tcW w:type="dxa" w:w="1944"/>
            <w:shd w:val="clear" w:color="auto" w:fill="DEEAF6"/>
          </w:tcPr>
          <w:p>
            <w:r/>
            <w:r>
              <w:rPr>
                <w:b/>
                <w:i w:val="0"/>
                <w:sz w:val="17"/>
              </w:rPr>
              <w:t>Status / effect / severity</w:t>
            </w:r>
          </w:p>
        </w:tc>
        <w:tc>
          <w:tcPr>
            <w:tcW w:type="dxa" w:w="7704"/>
          </w:tcPr>
          <w:p>
            <w:r/>
            <w:r>
              <w:rPr>
                <w:b w:val="0"/>
                <w:i w:val="0"/>
                <w:sz w:val="17"/>
              </w:rPr>
              <w:t xml:space="preserve">NOT AGREED / NEW TERM  |  Adverse  |  </w:t>
            </w:r>
            <w:r>
              <w:rPr>
                <w:b/>
                <w:i w:val="0"/>
                <w:sz w:val="17"/>
              </w:rPr>
              <w:t>High</w:t>
            </w:r>
            <w:r>
              <w:rPr>
                <w:b w:val="0"/>
                <w:i w:val="0"/>
                <w:sz w:val="17"/>
              </w:rPr>
              <w:t xml:space="preserve">  |  Checklist Item(s) 12(iii), 34</w:t>
            </w:r>
          </w:p>
        </w:tc>
      </w:tr>
      <w:tr>
        <w:tc>
          <w:tcPr>
            <w:tcW w:type="dxa" w:w="1944"/>
            <w:shd w:val="clear" w:color="auto" w:fill="DEEAF6"/>
          </w:tcPr>
          <w:p>
            <w:r/>
            <w:r>
              <w:rPr>
                <w:b/>
                <w:i w:val="0"/>
                <w:sz w:val="17"/>
              </w:rPr>
              <w:t>Negotiation record</w:t>
            </w:r>
          </w:p>
        </w:tc>
        <w:tc>
          <w:tcPr>
            <w:tcW w:type="dxa" w:w="7704"/>
          </w:tcPr>
          <w:p>
            <w:r/>
            <w:r>
              <w:rPr>
                <w:b w:val="0"/>
                <w:i w:val="0"/>
                <w:sz w:val="17"/>
              </w:rPr>
              <w:t>Not specifically discussed; the Term Sheet’s sole-remedy and no-further-liability construct was settled.</w:t>
            </w:r>
          </w:p>
        </w:tc>
      </w:tr>
      <w:tr>
        <w:tc>
          <w:tcPr>
            <w:tcW w:type="dxa" w:w="1944"/>
            <w:shd w:val="clear" w:color="auto" w:fill="DEEAF6"/>
          </w:tcPr>
          <w:p>
            <w:r/>
            <w:r>
              <w:rPr>
                <w:b/>
                <w:i w:val="0"/>
                <w:sz w:val="17"/>
              </w:rPr>
              <w:t>Impact</w:t>
            </w:r>
          </w:p>
        </w:tc>
        <w:tc>
          <w:tcPr>
            <w:tcW w:type="dxa" w:w="7704"/>
          </w:tcPr>
          <w:p>
            <w:r/>
            <w:r>
              <w:rPr>
                <w:b w:val="0"/>
                <w:i w:val="0"/>
                <w:sz w:val="17"/>
              </w:rPr>
              <w:t>Converts a capped, liquidated delay exposure into potential uncapped expectation damages (subject only to the §16.3 cap, which equals aggregate contract revenue, ~$718M — effectively no cap). §18.1(a) also refers to “extension for Force Majeure events as provided in this Agreement,” but no provision actually extends the Guaranteed COD or Outside Date for FM (§12.3 and Ex. G Note 6 point back to §3.5, which contains none) — an ambiguity adverse to Seller.</w:t>
            </w:r>
          </w:p>
        </w:tc>
      </w:tr>
      <w:tr>
        <w:tc>
          <w:tcPr>
            <w:tcW w:type="dxa" w:w="1944"/>
            <w:shd w:val="clear" w:color="auto" w:fill="DEEAF6"/>
          </w:tcPr>
          <w:p>
            <w:r/>
            <w:r>
              <w:rPr>
                <w:b/>
                <w:i w:val="0"/>
                <w:sz w:val="17"/>
              </w:rPr>
              <w:t>Recommendation</w:t>
            </w:r>
          </w:p>
        </w:tc>
        <w:tc>
          <w:tcPr>
            <w:tcW w:type="dxa" w:w="7704"/>
          </w:tcPr>
          <w:p>
            <w:r/>
            <w:r>
              <w:rPr>
                <w:b w:val="0"/>
                <w:i w:val="0"/>
                <w:sz w:val="17"/>
              </w:rPr>
              <w:t>Delete §18.1(a) (or make the §3.6 termination the exclusive remedy, with no termination damages); restore TS §3.5 notice window; limit Delay LD accrual to the Outside Date; add express day-for-day FM extension of Guaranteed COD and Outside Date (capped) to fill the gap.</w:t>
            </w:r>
          </w:p>
        </w:tc>
      </w:tr>
    </w:tbl>
    <w:p>
      <w:pPr>
        <w:spacing w:after="40"/>
      </w:pPr>
    </w:p>
    <w:p>
      <w:pPr>
        <w:pStyle w:val="Heading3"/>
      </w:pPr>
      <w:r>
        <w:t>D-20  Early COD permitted from March 1, 2026</w:t>
      </w:r>
    </w:p>
    <w:tbl>
      <w:tblPr>
        <w:tblStyle w:val="TableGrid"/>
        <w:tblW w:type="auto" w:w="0"/>
        <w:tblLook w:firstColumn="1" w:firstRow="1" w:lastColumn="0" w:lastRow="0" w:noHBand="0" w:noVBand="1" w:val="04A0"/>
      </w:tblPr>
      <w:tblGrid>
        <w:gridCol w:w="4824"/>
        <w:gridCol w:w="4824"/>
      </w:tblGrid>
      <w:tr>
        <w:tc>
          <w:tcPr>
            <w:tcW w:type="dxa" w:w="1944"/>
            <w:shd w:val="clear" w:color="auto" w:fill="DEEAF6"/>
          </w:tcPr>
          <w:p>
            <w:r/>
            <w:r>
              <w:rPr>
                <w:b/>
                <w:i w:val="0"/>
                <w:sz w:val="17"/>
              </w:rPr>
              <w:t>References</w:t>
            </w:r>
          </w:p>
        </w:tc>
        <w:tc>
          <w:tcPr>
            <w:tcW w:type="dxa" w:w="7704"/>
          </w:tcPr>
          <w:p>
            <w:r/>
            <w:r>
              <w:rPr>
                <w:b w:val="0"/>
                <w:i w:val="0"/>
                <w:sz w:val="17"/>
              </w:rPr>
              <w:t>TS: TS §3.4  |  PPA: PPA §3.3; Ex. G</w:t>
            </w:r>
          </w:p>
        </w:tc>
      </w:tr>
      <w:tr>
        <w:tc>
          <w:tcPr>
            <w:tcW w:type="dxa" w:w="1944"/>
            <w:shd w:val="clear" w:color="auto" w:fill="DEEAF6"/>
          </w:tcPr>
          <w:p>
            <w:r/>
            <w:r>
              <w:rPr>
                <w:b/>
                <w:i w:val="0"/>
                <w:sz w:val="17"/>
              </w:rPr>
              <w:t>Term Sheet</w:t>
            </w:r>
          </w:p>
        </w:tc>
        <w:tc>
          <w:tcPr>
            <w:tcW w:type="dxa" w:w="7704"/>
          </w:tcPr>
          <w:p>
            <w:r/>
            <w:r>
              <w:rPr>
                <w:b w:val="0"/>
                <w:i w:val="0"/>
                <w:sz w:val="17"/>
              </w:rPr>
              <w:t>Seller may achieve COD up to 3 months before Guaranteed COD (i.e., as early as June 1, 2026) on 60 days’ notice; Buyer to use commercially reasonable efforts to accept.</w:t>
            </w:r>
          </w:p>
        </w:tc>
      </w:tr>
      <w:tr>
        <w:tc>
          <w:tcPr>
            <w:tcW w:type="dxa" w:w="1944"/>
            <w:shd w:val="clear" w:color="auto" w:fill="DEEAF6"/>
          </w:tcPr>
          <w:p>
            <w:r/>
            <w:r>
              <w:rPr>
                <w:b/>
                <w:i w:val="0"/>
                <w:sz w:val="17"/>
              </w:rPr>
              <w:t>Executed PPA</w:t>
            </w:r>
          </w:p>
        </w:tc>
        <w:tc>
          <w:tcPr>
            <w:tcW w:type="dxa" w:w="7704"/>
          </w:tcPr>
          <w:p>
            <w:r/>
            <w:r>
              <w:rPr>
                <w:b w:val="0"/>
                <w:i w:val="0"/>
                <w:sz w:val="17"/>
              </w:rPr>
              <w:t>Seller may declare COD as early as March 1, 2026 on 60 days’ notice, if all §3.2 conditions satisfied; Contract Year 1 and the Term run from actual COD; Buyer to “cooperate in good faith.”</w:t>
            </w:r>
          </w:p>
        </w:tc>
      </w:tr>
      <w:tr>
        <w:tc>
          <w:tcPr>
            <w:tcW w:type="dxa" w:w="1944"/>
            <w:shd w:val="clear" w:color="auto" w:fill="DEEAF6"/>
          </w:tcPr>
          <w:p>
            <w:r/>
            <w:r>
              <w:rPr>
                <w:b/>
                <w:i w:val="0"/>
                <w:sz w:val="17"/>
              </w:rPr>
              <w:t>Status / effect / severity</w:t>
            </w:r>
          </w:p>
        </w:tc>
        <w:tc>
          <w:tcPr>
            <w:tcW w:type="dxa" w:w="7704"/>
          </w:tcPr>
          <w:p>
            <w:r/>
            <w:r>
              <w:rPr>
                <w:b w:val="0"/>
                <w:i w:val="0"/>
                <w:sz w:val="17"/>
              </w:rPr>
              <w:t xml:space="preserve">OPEN-IN PPA  |  Seller-favorable  |  </w:t>
            </w:r>
            <w:r>
              <w:rPr>
                <w:b/>
                <w:i w:val="0"/>
                <w:sz w:val="17"/>
              </w:rPr>
              <w:t>Low</w:t>
            </w:r>
            <w:r>
              <w:rPr>
                <w:b w:val="0"/>
                <w:i w:val="0"/>
                <w:sz w:val="17"/>
              </w:rPr>
              <w:t xml:space="preserve">  |  Checklist Item(s) 34, 12</w:t>
            </w:r>
          </w:p>
        </w:tc>
      </w:tr>
      <w:tr>
        <w:tc>
          <w:tcPr>
            <w:tcW w:type="dxa" w:w="1944"/>
            <w:shd w:val="clear" w:color="auto" w:fill="DEEAF6"/>
          </w:tcPr>
          <w:p>
            <w:r/>
            <w:r>
              <w:rPr>
                <w:b/>
                <w:i w:val="0"/>
                <w:sz w:val="17"/>
              </w:rPr>
              <w:t>Negotiation record</w:t>
            </w:r>
          </w:p>
        </w:tc>
        <w:tc>
          <w:tcPr>
            <w:tcW w:type="dxa" w:w="7704"/>
          </w:tcPr>
          <w:p>
            <w:r/>
            <w:r>
              <w:rPr>
                <w:b w:val="0"/>
                <w:i w:val="0"/>
                <w:sz w:val="17"/>
              </w:rPr>
              <w:t>Negotiation Summary §4: “Lakeshore is fine with” March 1, 2026; listed as still under discussion.</w:t>
            </w:r>
          </w:p>
        </w:tc>
      </w:tr>
      <w:tr>
        <w:tc>
          <w:tcPr>
            <w:tcW w:type="dxa" w:w="1944"/>
            <w:shd w:val="clear" w:color="auto" w:fill="DEEAF6"/>
          </w:tcPr>
          <w:p>
            <w:r/>
            <w:r>
              <w:rPr>
                <w:b/>
                <w:i w:val="0"/>
                <w:sz w:val="17"/>
              </w:rPr>
              <w:t>Impact</w:t>
            </w:r>
          </w:p>
        </w:tc>
        <w:tc>
          <w:tcPr>
            <w:tcW w:type="dxa" w:w="7704"/>
          </w:tcPr>
          <w:p>
            <w:r/>
            <w:r>
              <w:rPr>
                <w:b w:val="0"/>
                <w:i w:val="0"/>
                <w:sz w:val="17"/>
              </w:rPr>
              <w:t>Scheduling flexibility; an earlier COD also starts the 5-year fixed-price period and later escalation earlier. Interacts with D-23 (Buyer’s 10-BD COD review) and Ex. G milestones (turbine delivery complete Jan. 31, 2026).</w:t>
            </w:r>
          </w:p>
        </w:tc>
      </w:tr>
      <w:tr>
        <w:tc>
          <w:tcPr>
            <w:tcW w:type="dxa" w:w="1944"/>
            <w:shd w:val="clear" w:color="auto" w:fill="DEEAF6"/>
          </w:tcPr>
          <w:p>
            <w:r/>
            <w:r>
              <w:rPr>
                <w:b/>
                <w:i w:val="0"/>
                <w:sz w:val="17"/>
              </w:rPr>
              <w:t>Recommendation</w:t>
            </w:r>
          </w:p>
        </w:tc>
        <w:tc>
          <w:tcPr>
            <w:tcW w:type="dxa" w:w="7704"/>
          </w:tcPr>
          <w:p>
            <w:r/>
            <w:r>
              <w:rPr>
                <w:b w:val="0"/>
                <w:i w:val="0"/>
                <w:sz w:val="17"/>
              </w:rPr>
              <w:t>Disclose as agreed improvement; obtain Buyer acknowledgment in the First Amendment.</w:t>
            </w:r>
          </w:p>
        </w:tc>
      </w:tr>
    </w:tbl>
    <w:p>
      <w:pPr>
        <w:spacing w:after="40"/>
      </w:pPr>
    </w:p>
    <w:p>
      <w:pPr>
        <w:pStyle w:val="Heading3"/>
      </w:pPr>
      <w:r>
        <w:t>D-23  COD conditions: 240 MW capacity test and Buyer confirmation process</w:t>
      </w:r>
    </w:p>
    <w:tbl>
      <w:tblPr>
        <w:tblStyle w:val="TableGrid"/>
        <w:tblW w:type="auto" w:w="0"/>
        <w:tblLook w:firstColumn="1" w:firstRow="1" w:lastColumn="0" w:lastRow="0" w:noHBand="0" w:noVBand="1" w:val="04A0"/>
      </w:tblPr>
      <w:tblGrid>
        <w:gridCol w:w="4824"/>
        <w:gridCol w:w="4824"/>
      </w:tblGrid>
      <w:tr>
        <w:tc>
          <w:tcPr>
            <w:tcW w:type="dxa" w:w="1944"/>
            <w:shd w:val="clear" w:color="auto" w:fill="DEEAF6"/>
          </w:tcPr>
          <w:p>
            <w:r/>
            <w:r>
              <w:rPr>
                <w:b/>
                <w:i w:val="0"/>
                <w:sz w:val="17"/>
              </w:rPr>
              <w:t>References</w:t>
            </w:r>
          </w:p>
        </w:tc>
        <w:tc>
          <w:tcPr>
            <w:tcW w:type="dxa" w:w="7704"/>
          </w:tcPr>
          <w:p>
            <w:r/>
            <w:r>
              <w:rPr>
                <w:b w:val="0"/>
                <w:i w:val="0"/>
                <w:sz w:val="17"/>
              </w:rPr>
              <w:t>TS: TS §1 (“COD”), §3  |  PPA: PPA §3.2(i)–(vi); Ex. A (“Commercial Operation Date”); Ex. C §1</w:t>
            </w:r>
          </w:p>
        </w:tc>
      </w:tr>
      <w:tr>
        <w:tc>
          <w:tcPr>
            <w:tcW w:type="dxa" w:w="1944"/>
            <w:shd w:val="clear" w:color="auto" w:fill="DEEAF6"/>
          </w:tcPr>
          <w:p>
            <w:r/>
            <w:r>
              <w:rPr>
                <w:b/>
                <w:i w:val="0"/>
                <w:sz w:val="17"/>
              </w:rPr>
              <w:t>Term Sheet</w:t>
            </w:r>
          </w:p>
        </w:tc>
        <w:tc>
          <w:tcPr>
            <w:tcW w:type="dxa" w:w="7704"/>
          </w:tcPr>
          <w:p>
            <w:r/>
            <w:r>
              <w:rPr>
                <w:b w:val="0"/>
                <w:i w:val="0"/>
                <w:sz w:val="17"/>
              </w:rPr>
              <w:t>COD per Section 3 requirements (no capacity test or Buyer acceptance specified).</w:t>
            </w:r>
          </w:p>
        </w:tc>
      </w:tr>
      <w:tr>
        <w:tc>
          <w:tcPr>
            <w:tcW w:type="dxa" w:w="1944"/>
            <w:shd w:val="clear" w:color="auto" w:fill="DEEAF6"/>
          </w:tcPr>
          <w:p>
            <w:r/>
            <w:r>
              <w:rPr>
                <w:b/>
                <w:i w:val="0"/>
                <w:sz w:val="17"/>
              </w:rPr>
              <w:t>Executed PPA</w:t>
            </w:r>
          </w:p>
        </w:tc>
        <w:tc>
          <w:tcPr>
            <w:tcW w:type="dxa" w:w="7704"/>
          </w:tcPr>
          <w:p>
            <w:r/>
            <w:r>
              <w:rPr>
                <w:b w:val="0"/>
                <w:i w:val="0"/>
                <w:sz w:val="17"/>
              </w:rPr>
              <w:t>COD requires a capacity test of ≥240 MW (96% of 250 MW nameplate), LGIA in effect, all permits, metering certified, COD Notice and a ≥10-Business-Day Buyer review/objection period; COD defined by reference to Buyer’s acceptance or deemed acceptance.</w:t>
            </w:r>
          </w:p>
        </w:tc>
      </w:tr>
      <w:tr>
        <w:tc>
          <w:tcPr>
            <w:tcW w:type="dxa" w:w="1944"/>
            <w:shd w:val="clear" w:color="auto" w:fill="DEEAF6"/>
          </w:tcPr>
          <w:p>
            <w:r/>
            <w:r>
              <w:rPr>
                <w:b/>
                <w:i w:val="0"/>
                <w:sz w:val="17"/>
              </w:rPr>
              <w:t>Status / effect / severity</w:t>
            </w:r>
          </w:p>
        </w:tc>
        <w:tc>
          <w:tcPr>
            <w:tcW w:type="dxa" w:w="7704"/>
          </w:tcPr>
          <w:p>
            <w:r/>
            <w:r>
              <w:rPr>
                <w:b w:val="0"/>
                <w:i w:val="0"/>
                <w:sz w:val="17"/>
              </w:rPr>
              <w:t xml:space="preserve">NEW TERM  |  Adverse  |  </w:t>
            </w:r>
            <w:r>
              <w:rPr>
                <w:b/>
                <w:i w:val="0"/>
                <w:sz w:val="17"/>
              </w:rPr>
              <w:t>Medium</w:t>
            </w:r>
            <w:r>
              <w:rPr>
                <w:b w:val="0"/>
                <w:i w:val="0"/>
                <w:sz w:val="17"/>
              </w:rPr>
              <w:t xml:space="preserve">  |  Checklist Item(s) 34, 36</w:t>
            </w:r>
          </w:p>
        </w:tc>
      </w:tr>
      <w:tr>
        <w:tc>
          <w:tcPr>
            <w:tcW w:type="dxa" w:w="1944"/>
            <w:shd w:val="clear" w:color="auto" w:fill="DEEAF6"/>
          </w:tcPr>
          <w:p>
            <w:r/>
            <w:r>
              <w:rPr>
                <w:b/>
                <w:i w:val="0"/>
                <w:sz w:val="17"/>
              </w:rPr>
              <w:t>Negotiation record</w:t>
            </w:r>
          </w:p>
        </w:tc>
        <w:tc>
          <w:tcPr>
            <w:tcW w:type="dxa" w:w="7704"/>
          </w:tcPr>
          <w:p>
            <w:r/>
            <w:r>
              <w:rPr>
                <w:b w:val="0"/>
                <w:i w:val="0"/>
                <w:sz w:val="17"/>
              </w:rPr>
              <w:t>Not discussed.</w:t>
            </w:r>
          </w:p>
        </w:tc>
      </w:tr>
      <w:tr>
        <w:tc>
          <w:tcPr>
            <w:tcW w:type="dxa" w:w="1944"/>
            <w:shd w:val="clear" w:color="auto" w:fill="DEEAF6"/>
          </w:tcPr>
          <w:p>
            <w:r/>
            <w:r>
              <w:rPr>
                <w:b/>
                <w:i w:val="0"/>
                <w:sz w:val="17"/>
              </w:rPr>
              <w:t>Impact</w:t>
            </w:r>
          </w:p>
        </w:tc>
        <w:tc>
          <w:tcPr>
            <w:tcW w:type="dxa" w:w="7704"/>
          </w:tcPr>
          <w:p>
            <w:r/>
            <w:r>
              <w:rPr>
                <w:b w:val="0"/>
                <w:i w:val="0"/>
                <w:sz w:val="17"/>
              </w:rPr>
              <w:t>Ex. C states installed capacity is 62 × 4.0 MW = 248 MW, so the 240 MW test effectively requires 60 of 62 turbines on test day; the Buyer review period can push COD past Sept. 1, 2026 and trigger Delay LDs even where the Facility is complete. Item 36 (COD testing protocol) must be built to this definition; EPC substantial completion tests should be aligned.</w:t>
            </w:r>
          </w:p>
        </w:tc>
      </w:tr>
      <w:tr>
        <w:tc>
          <w:tcPr>
            <w:tcW w:type="dxa" w:w="1944"/>
            <w:shd w:val="clear" w:color="auto" w:fill="DEEAF6"/>
          </w:tcPr>
          <w:p>
            <w:r/>
            <w:r>
              <w:rPr>
                <w:b/>
                <w:i w:val="0"/>
                <w:sz w:val="17"/>
              </w:rPr>
              <w:t>Recommendation</w:t>
            </w:r>
          </w:p>
        </w:tc>
        <w:tc>
          <w:tcPr>
            <w:tcW w:type="dxa" w:w="7704"/>
          </w:tcPr>
          <w:p>
            <w:r/>
            <w:r>
              <w:rPr>
                <w:b w:val="0"/>
                <w:i w:val="0"/>
                <w:sz w:val="17"/>
              </w:rPr>
              <w:t>Make COD effective as of the date of the COD Notice if confirmed (relation-back); limit Buyer objection to manifest error; add partial-COD/punch-list mechanics; consider a lower threshold or MW-pro-rata COD.</w:t>
            </w:r>
          </w:p>
        </w:tc>
      </w:tr>
    </w:tbl>
    <w:p>
      <w:pPr>
        <w:spacing w:after="40"/>
      </w:pPr>
    </w:p>
    <w:p>
      <w:pPr>
        <w:pStyle w:val="Heading3"/>
      </w:pPr>
      <w:r>
        <w:t>D-25  Termination damages formula and aggregate liability cap</w:t>
      </w:r>
    </w:p>
    <w:tbl>
      <w:tblPr>
        <w:tblStyle w:val="TableGrid"/>
        <w:tblW w:type="auto" w:w="0"/>
        <w:tblLook w:firstColumn="1" w:firstRow="1" w:lastColumn="0" w:lastRow="0" w:noHBand="0" w:noVBand="1" w:val="04A0"/>
      </w:tblPr>
      <w:tblGrid>
        <w:gridCol w:w="4824"/>
        <w:gridCol w:w="4824"/>
      </w:tblGrid>
      <w:tr>
        <w:tc>
          <w:tcPr>
            <w:tcW w:type="dxa" w:w="1944"/>
            <w:shd w:val="clear" w:color="auto" w:fill="DEEAF6"/>
          </w:tcPr>
          <w:p>
            <w:r/>
            <w:r>
              <w:rPr>
                <w:b/>
                <w:i w:val="0"/>
                <w:sz w:val="17"/>
              </w:rPr>
              <w:t>References</w:t>
            </w:r>
          </w:p>
        </w:tc>
        <w:tc>
          <w:tcPr>
            <w:tcW w:type="dxa" w:w="7704"/>
          </w:tcPr>
          <w:p>
            <w:r/>
            <w:r>
              <w:rPr>
                <w:b w:val="0"/>
                <w:i w:val="0"/>
                <w:sz w:val="17"/>
              </w:rPr>
              <w:t>TS: No TS counterpart (TS §3.5, §7.3, §8.4 sole remedies)  |  PPA: PPA §18.3(b); §16.2; §16.3</w:t>
            </w:r>
          </w:p>
        </w:tc>
      </w:tr>
      <w:tr>
        <w:tc>
          <w:tcPr>
            <w:tcW w:type="dxa" w:w="1944"/>
            <w:shd w:val="clear" w:color="auto" w:fill="DEEAF6"/>
          </w:tcPr>
          <w:p>
            <w:r/>
            <w:r>
              <w:rPr>
                <w:b/>
                <w:i w:val="0"/>
                <w:sz w:val="17"/>
              </w:rPr>
              <w:t>Term Sheet</w:t>
            </w:r>
          </w:p>
        </w:tc>
        <w:tc>
          <w:tcPr>
            <w:tcW w:type="dxa" w:w="7704"/>
          </w:tcPr>
          <w:p>
            <w:r/>
            <w:r>
              <w:rPr>
                <w:b w:val="0"/>
                <w:i w:val="0"/>
                <w:sz w:val="17"/>
              </w:rPr>
              <w:t>Liability for delay and underperformance limited to liquidated amounts.</w:t>
            </w:r>
          </w:p>
        </w:tc>
      </w:tr>
      <w:tr>
        <w:tc>
          <w:tcPr>
            <w:tcW w:type="dxa" w:w="1944"/>
            <w:shd w:val="clear" w:color="auto" w:fill="DEEAF6"/>
          </w:tcPr>
          <w:p>
            <w:r/>
            <w:r>
              <w:rPr>
                <w:b/>
                <w:i w:val="0"/>
                <w:sz w:val="17"/>
              </w:rPr>
              <w:t>Executed PPA</w:t>
            </w:r>
          </w:p>
        </w:tc>
        <w:tc>
          <w:tcPr>
            <w:tcW w:type="dxa" w:w="7704"/>
          </w:tcPr>
          <w:p>
            <w:r/>
            <w:r>
              <w:rPr>
                <w:b w:val="0"/>
                <w:i w:val="0"/>
                <w:sz w:val="17"/>
              </w:rPr>
              <w:t>Termination damages = PV at 6% of (expected revenue for remaining Term at CQ × Contract Price) minus (market value of a replacement contract), “as reasonably determined by the non-defaulting Party”; aggregate liability cap equals total Term revenue (~$718M at formula prices).</w:t>
            </w:r>
          </w:p>
        </w:tc>
      </w:tr>
      <w:tr>
        <w:tc>
          <w:tcPr>
            <w:tcW w:type="dxa" w:w="1944"/>
            <w:shd w:val="clear" w:color="auto" w:fill="DEEAF6"/>
          </w:tcPr>
          <w:p>
            <w:r/>
            <w:r>
              <w:rPr>
                <w:b/>
                <w:i w:val="0"/>
                <w:sz w:val="17"/>
              </w:rPr>
              <w:t>Status / effect / severity</w:t>
            </w:r>
          </w:p>
        </w:tc>
        <w:tc>
          <w:tcPr>
            <w:tcW w:type="dxa" w:w="7704"/>
          </w:tcPr>
          <w:p>
            <w:r/>
            <w:r>
              <w:rPr>
                <w:b w:val="0"/>
                <w:i w:val="0"/>
                <w:sz w:val="17"/>
              </w:rPr>
              <w:t xml:space="preserve">NEW TERM  |  Adverse / ambiguous  |  </w:t>
            </w:r>
            <w:r>
              <w:rPr>
                <w:b/>
                <w:i w:val="0"/>
                <w:sz w:val="17"/>
              </w:rPr>
              <w:t>Medium</w:t>
            </w:r>
            <w:r>
              <w:rPr>
                <w:b w:val="0"/>
                <w:i w:val="0"/>
                <w:sz w:val="17"/>
              </w:rPr>
              <w:t xml:space="preserve">  |  Checklist Item(s) 12, 40</w:t>
            </w:r>
          </w:p>
        </w:tc>
      </w:tr>
      <w:tr>
        <w:tc>
          <w:tcPr>
            <w:tcW w:type="dxa" w:w="1944"/>
            <w:shd w:val="clear" w:color="auto" w:fill="DEEAF6"/>
          </w:tcPr>
          <w:p>
            <w:r/>
            <w:r>
              <w:rPr>
                <w:b/>
                <w:i w:val="0"/>
                <w:sz w:val="17"/>
              </w:rPr>
              <w:t>Negotiation record</w:t>
            </w:r>
          </w:p>
        </w:tc>
        <w:tc>
          <w:tcPr>
            <w:tcW w:type="dxa" w:w="7704"/>
          </w:tcPr>
          <w:p>
            <w:r/>
            <w:r>
              <w:rPr>
                <w:b w:val="0"/>
                <w:i w:val="0"/>
                <w:sz w:val="17"/>
              </w:rPr>
              <w:t>Not discussed.</w:t>
            </w:r>
          </w:p>
        </w:tc>
      </w:tr>
      <w:tr>
        <w:tc>
          <w:tcPr>
            <w:tcW w:type="dxa" w:w="1944"/>
            <w:shd w:val="clear" w:color="auto" w:fill="DEEAF6"/>
          </w:tcPr>
          <w:p>
            <w:r/>
            <w:r>
              <w:rPr>
                <w:b/>
                <w:i w:val="0"/>
                <w:sz w:val="17"/>
              </w:rPr>
              <w:t>Impact</w:t>
            </w:r>
          </w:p>
        </w:tc>
        <w:tc>
          <w:tcPr>
            <w:tcW w:type="dxa" w:w="7704"/>
          </w:tcPr>
          <w:p>
            <w:r/>
            <w:r>
              <w:rPr>
                <w:b w:val="0"/>
                <w:i w:val="0"/>
                <w:sz w:val="17"/>
              </w:rPr>
              <w:t>The formula is one-directional and, as drafted, measures a Seller-side loss (contract value above market) even when Buyer is the non-defaulting Party — producing a nonsensical or disputable result in a Seller-default scenario; the non-defaulting Party’s unilateral determination of market value invites disputes. The liability cap provides no practical protection.</w:t>
            </w:r>
          </w:p>
        </w:tc>
      </w:tr>
      <w:tr>
        <w:tc>
          <w:tcPr>
            <w:tcW w:type="dxa" w:w="1944"/>
            <w:shd w:val="clear" w:color="auto" w:fill="DEEAF6"/>
          </w:tcPr>
          <w:p>
            <w:r/>
            <w:r>
              <w:rPr>
                <w:b/>
                <w:i w:val="0"/>
                <w:sz w:val="17"/>
              </w:rPr>
              <w:t>Recommendation</w:t>
            </w:r>
          </w:p>
        </w:tc>
        <w:tc>
          <w:tcPr>
            <w:tcW w:type="dxa" w:w="7704"/>
          </w:tcPr>
          <w:p>
            <w:r/>
            <w:r>
              <w:rPr>
                <w:b w:val="0"/>
                <w:i w:val="0"/>
                <w:sz w:val="17"/>
              </w:rPr>
              <w:t>Replace with a symmetrical market-standard settlement amount (gains and losses, commercially reasonable quotations, Financing Party protections) and a meaningful Seller liability cap (e.g., tied to the performance bond amount or a fixed $/kW).</w:t>
            </w:r>
          </w:p>
        </w:tc>
      </w:tr>
    </w:tbl>
    <w:p>
      <w:pPr>
        <w:spacing w:after="40"/>
      </w:pPr>
    </w:p>
    <w:p>
      <w:pPr>
        <w:pStyle w:val="Heading2"/>
      </w:pPr>
      <w:r>
        <w:t>4.4 Performance guarantees</w:t>
      </w:r>
    </w:p>
    <w:p>
      <w:pPr>
        <w:pStyle w:val="Heading3"/>
      </w:pPr>
      <w:r>
        <w:t>D-15  Minimum Annual Energy Production reduced to 75% of CQ (637,500 MWh)</w:t>
      </w:r>
    </w:p>
    <w:tbl>
      <w:tblPr>
        <w:tblStyle w:val="TableGrid"/>
        <w:tblW w:type="auto" w:w="0"/>
        <w:tblLook w:firstColumn="1" w:firstRow="1" w:lastColumn="0" w:lastRow="0" w:noHBand="0" w:noVBand="1" w:val="04A0"/>
      </w:tblPr>
      <w:tblGrid>
        <w:gridCol w:w="4824"/>
        <w:gridCol w:w="4824"/>
      </w:tblGrid>
      <w:tr>
        <w:tc>
          <w:tcPr>
            <w:tcW w:type="dxa" w:w="1944"/>
            <w:shd w:val="clear" w:color="auto" w:fill="DEEAF6"/>
          </w:tcPr>
          <w:p>
            <w:r/>
            <w:r>
              <w:rPr>
                <w:b/>
                <w:i w:val="0"/>
                <w:sz w:val="17"/>
              </w:rPr>
              <w:t>References</w:t>
            </w:r>
          </w:p>
        </w:tc>
        <w:tc>
          <w:tcPr>
            <w:tcW w:type="dxa" w:w="7704"/>
          </w:tcPr>
          <w:p>
            <w:r/>
            <w:r>
              <w:rPr>
                <w:b w:val="0"/>
                <w:i w:val="0"/>
                <w:sz w:val="17"/>
              </w:rPr>
              <w:t>TS: TS §8.1  |  PPA: PPA §8.3; Ex. A (“MAEP”)</w:t>
            </w:r>
          </w:p>
        </w:tc>
      </w:tr>
      <w:tr>
        <w:tc>
          <w:tcPr>
            <w:tcW w:type="dxa" w:w="1944"/>
            <w:shd w:val="clear" w:color="auto" w:fill="DEEAF6"/>
          </w:tcPr>
          <w:p>
            <w:r/>
            <w:r>
              <w:rPr>
                <w:b/>
                <w:i w:val="0"/>
                <w:sz w:val="17"/>
              </w:rPr>
              <w:t>Term Sheet</w:t>
            </w:r>
          </w:p>
        </w:tc>
        <w:tc>
          <w:tcPr>
            <w:tcW w:type="dxa" w:w="7704"/>
          </w:tcPr>
          <w:p>
            <w:r/>
            <w:r>
              <w:rPr>
                <w:b w:val="0"/>
                <w:i w:val="0"/>
                <w:sz w:val="17"/>
              </w:rPr>
              <w:t>80% of CQ = 680,000 MWh.</w:t>
            </w:r>
          </w:p>
        </w:tc>
      </w:tr>
      <w:tr>
        <w:tc>
          <w:tcPr>
            <w:tcW w:type="dxa" w:w="1944"/>
            <w:shd w:val="clear" w:color="auto" w:fill="DEEAF6"/>
          </w:tcPr>
          <w:p>
            <w:r/>
            <w:r>
              <w:rPr>
                <w:b/>
                <w:i w:val="0"/>
                <w:sz w:val="17"/>
              </w:rPr>
              <w:t>Executed PPA</w:t>
            </w:r>
          </w:p>
        </w:tc>
        <w:tc>
          <w:tcPr>
            <w:tcW w:type="dxa" w:w="7704"/>
          </w:tcPr>
          <w:p>
            <w:r/>
            <w:r>
              <w:rPr>
                <w:b w:val="0"/>
                <w:i w:val="0"/>
                <w:sz w:val="17"/>
              </w:rPr>
              <w:t>75% of CQ = 637,500 MWh.</w:t>
            </w:r>
          </w:p>
        </w:tc>
      </w:tr>
      <w:tr>
        <w:tc>
          <w:tcPr>
            <w:tcW w:type="dxa" w:w="1944"/>
            <w:shd w:val="clear" w:color="auto" w:fill="DEEAF6"/>
          </w:tcPr>
          <w:p>
            <w:r/>
            <w:r>
              <w:rPr>
                <w:b/>
                <w:i w:val="0"/>
                <w:sz w:val="17"/>
              </w:rPr>
              <w:t>Status / effect / severity</w:t>
            </w:r>
          </w:p>
        </w:tc>
        <w:tc>
          <w:tcPr>
            <w:tcW w:type="dxa" w:w="7704"/>
          </w:tcPr>
          <w:p>
            <w:r/>
            <w:r>
              <w:rPr>
                <w:b w:val="0"/>
                <w:i w:val="0"/>
                <w:sz w:val="17"/>
              </w:rPr>
              <w:t xml:space="preserve">AGREED  |  Seller-favorable  |  </w:t>
            </w:r>
            <w:r>
              <w:rPr>
                <w:b/>
                <w:i w:val="0"/>
                <w:sz w:val="17"/>
              </w:rPr>
              <w:t>Low (documentation)</w:t>
            </w:r>
            <w:r>
              <w:rPr>
                <w:b w:val="0"/>
                <w:i w:val="0"/>
                <w:sz w:val="17"/>
              </w:rPr>
              <w:t xml:space="preserve">  |  Checklist Item(s) 12(ii)</w:t>
            </w:r>
          </w:p>
        </w:tc>
      </w:tr>
      <w:tr>
        <w:tc>
          <w:tcPr>
            <w:tcW w:type="dxa" w:w="1944"/>
            <w:shd w:val="clear" w:color="auto" w:fill="DEEAF6"/>
          </w:tcPr>
          <w:p>
            <w:r/>
            <w:r>
              <w:rPr>
                <w:b/>
                <w:i w:val="0"/>
                <w:sz w:val="17"/>
              </w:rPr>
              <w:t>Negotiation record</w:t>
            </w:r>
          </w:p>
        </w:tc>
        <w:tc>
          <w:tcPr>
            <w:tcW w:type="dxa" w:w="7704"/>
          </w:tcPr>
          <w:p>
            <w:r/>
            <w:r>
              <w:rPr>
                <w:b w:val="0"/>
                <w:i w:val="0"/>
                <w:sz w:val="17"/>
              </w:rPr>
              <w:t>Agreed orally with Tamara Nouri and Howard Bledsoe in mid-January in exchange for Seller providing quarterly (rather than annual) generation reports; rationale: early-year production variability from wake effects of a neighboring wind farm that entered the planning picture after the Term Sheet. No TS amendment or side letter.</w:t>
            </w:r>
          </w:p>
        </w:tc>
      </w:tr>
      <w:tr>
        <w:tc>
          <w:tcPr>
            <w:tcW w:type="dxa" w:w="1944"/>
            <w:shd w:val="clear" w:color="auto" w:fill="DEEAF6"/>
          </w:tcPr>
          <w:p>
            <w:r/>
            <w:r>
              <w:rPr>
                <w:b/>
                <w:i w:val="0"/>
                <w:sz w:val="17"/>
              </w:rPr>
              <w:t>Impact</w:t>
            </w:r>
          </w:p>
        </w:tc>
        <w:tc>
          <w:tcPr>
            <w:tcW w:type="dxa" w:w="7704"/>
          </w:tcPr>
          <w:p>
            <w:r/>
            <w:r>
              <w:rPr>
                <w:b w:val="0"/>
                <w:i w:val="0"/>
                <w:sz w:val="17"/>
              </w:rPr>
              <w:t>Legally effective: the PPA is a signed writing that supersedes the TS (PPA §20.3; TS §18.5), so the TS §18.6 written-amendment requirement is satisfied by the PPA itself and no TS amendment is needed. Diligence sensitivity: Ridgeline will view it as loosened performance discipline, and the stated rationale (new neighboring-wind-farm wake losses) must be reconciled with the independent engineer’s P50 of 876,000 MWh (Item 7), which may not yet reflect the new wake source.</w:t>
            </w:r>
          </w:p>
        </w:tc>
      </w:tr>
      <w:tr>
        <w:tc>
          <w:tcPr>
            <w:tcW w:type="dxa" w:w="1944"/>
            <w:shd w:val="clear" w:color="auto" w:fill="DEEAF6"/>
          </w:tcPr>
          <w:p>
            <w:r/>
            <w:r>
              <w:rPr>
                <w:b/>
                <w:i w:val="0"/>
                <w:sz w:val="17"/>
              </w:rPr>
              <w:t>Recommendation</w:t>
            </w:r>
          </w:p>
        </w:tc>
        <w:tc>
          <w:tcPr>
            <w:tcW w:type="dxa" w:w="7704"/>
          </w:tcPr>
          <w:p>
            <w:r/>
            <w:r>
              <w:rPr>
                <w:b w:val="0"/>
                <w:i w:val="0"/>
                <w:sz w:val="17"/>
              </w:rPr>
              <w:t>Disclose as an agreed deviation with rationale; confirm IE report models the neighboring project’s wake; obtain written Buyer acknowledgment in the First Amendment recitals.</w:t>
            </w:r>
          </w:p>
        </w:tc>
      </w:tr>
    </w:tbl>
    <w:p>
      <w:pPr>
        <w:spacing w:after="40"/>
      </w:pPr>
    </w:p>
    <w:p>
      <w:pPr>
        <w:pStyle w:val="Heading3"/>
      </w:pPr>
      <w:r>
        <w:t>D-16  Shortfall LD rate reduced to 50% of Contract Price</w:t>
      </w:r>
    </w:p>
    <w:tbl>
      <w:tblPr>
        <w:tblStyle w:val="TableGrid"/>
        <w:tblW w:type="auto" w:w="0"/>
        <w:tblLook w:firstColumn="1" w:firstRow="1" w:lastColumn="0" w:lastRow="0" w:noHBand="0" w:noVBand="1" w:val="04A0"/>
      </w:tblPr>
      <w:tblGrid>
        <w:gridCol w:w="4824"/>
        <w:gridCol w:w="4824"/>
      </w:tblGrid>
      <w:tr>
        <w:tc>
          <w:tcPr>
            <w:tcW w:type="dxa" w:w="1944"/>
            <w:shd w:val="clear" w:color="auto" w:fill="DEEAF6"/>
          </w:tcPr>
          <w:p>
            <w:r/>
            <w:r>
              <w:rPr>
                <w:b/>
                <w:i w:val="0"/>
                <w:sz w:val="17"/>
              </w:rPr>
              <w:t>References</w:t>
            </w:r>
          </w:p>
        </w:tc>
        <w:tc>
          <w:tcPr>
            <w:tcW w:type="dxa" w:w="7704"/>
          </w:tcPr>
          <w:p>
            <w:r/>
            <w:r>
              <w:rPr>
                <w:b w:val="0"/>
                <w:i w:val="0"/>
                <w:sz w:val="17"/>
              </w:rPr>
              <w:t>TS: TS §8.2–8.3  |  PPA: PPA §8.4</w:t>
            </w:r>
          </w:p>
        </w:tc>
      </w:tr>
      <w:tr>
        <w:tc>
          <w:tcPr>
            <w:tcW w:type="dxa" w:w="1944"/>
            <w:shd w:val="clear" w:color="auto" w:fill="DEEAF6"/>
          </w:tcPr>
          <w:p>
            <w:r/>
            <w:r>
              <w:rPr>
                <w:b/>
                <w:i w:val="0"/>
                <w:sz w:val="17"/>
              </w:rPr>
              <w:t>Term Sheet</w:t>
            </w:r>
          </w:p>
        </w:tc>
        <w:tc>
          <w:tcPr>
            <w:tcW w:type="dxa" w:w="7704"/>
          </w:tcPr>
          <w:p>
            <w:r/>
            <w:r>
              <w:rPr>
                <w:b w:val="0"/>
                <w:i w:val="0"/>
                <w:sz w:val="17"/>
              </w:rPr>
              <w:t>75% of then-applicable Contract Price per MWh below 680,000 MWh.</w:t>
            </w:r>
          </w:p>
        </w:tc>
      </w:tr>
      <w:tr>
        <w:tc>
          <w:tcPr>
            <w:tcW w:type="dxa" w:w="1944"/>
            <w:shd w:val="clear" w:color="auto" w:fill="DEEAF6"/>
          </w:tcPr>
          <w:p>
            <w:r/>
            <w:r>
              <w:rPr>
                <w:b/>
                <w:i w:val="0"/>
                <w:sz w:val="17"/>
              </w:rPr>
              <w:t>Executed PPA</w:t>
            </w:r>
          </w:p>
        </w:tc>
        <w:tc>
          <w:tcPr>
            <w:tcW w:type="dxa" w:w="7704"/>
          </w:tcPr>
          <w:p>
            <w:r/>
            <w:r>
              <w:rPr>
                <w:b w:val="0"/>
                <w:i w:val="0"/>
                <w:sz w:val="17"/>
              </w:rPr>
              <w:t>50% of then-applicable Contract Price per MWh below 637,500 MWh. Illustration recomputes correctly: (637,500 – 600,000) × 50% × $38.50 = $721,875.</w:t>
            </w:r>
          </w:p>
        </w:tc>
      </w:tr>
      <w:tr>
        <w:tc>
          <w:tcPr>
            <w:tcW w:type="dxa" w:w="1944"/>
            <w:shd w:val="clear" w:color="auto" w:fill="DEEAF6"/>
          </w:tcPr>
          <w:p>
            <w:r/>
            <w:r>
              <w:rPr>
                <w:b/>
                <w:i w:val="0"/>
                <w:sz w:val="17"/>
              </w:rPr>
              <w:t>Status / effect / severity</w:t>
            </w:r>
          </w:p>
        </w:tc>
        <w:tc>
          <w:tcPr>
            <w:tcW w:type="dxa" w:w="7704"/>
          </w:tcPr>
          <w:p>
            <w:r/>
            <w:r>
              <w:rPr>
                <w:b w:val="0"/>
                <w:i w:val="0"/>
                <w:sz w:val="17"/>
              </w:rPr>
              <w:t xml:space="preserve">AGREED  |  Seller-favorable  |  </w:t>
            </w:r>
            <w:r>
              <w:rPr>
                <w:b/>
                <w:i w:val="0"/>
                <w:sz w:val="17"/>
              </w:rPr>
              <w:t>Low (documentation)</w:t>
            </w:r>
            <w:r>
              <w:rPr>
                <w:b w:val="0"/>
                <w:i w:val="0"/>
                <w:sz w:val="17"/>
              </w:rPr>
              <w:t xml:space="preserve">  |  Checklist Item(s) 12(ii)</w:t>
            </w:r>
          </w:p>
        </w:tc>
      </w:tr>
      <w:tr>
        <w:tc>
          <w:tcPr>
            <w:tcW w:type="dxa" w:w="1944"/>
            <w:shd w:val="clear" w:color="auto" w:fill="DEEAF6"/>
          </w:tcPr>
          <w:p>
            <w:r/>
            <w:r>
              <w:rPr>
                <w:b/>
                <w:i w:val="0"/>
                <w:sz w:val="17"/>
              </w:rPr>
              <w:t>Negotiation record</w:t>
            </w:r>
          </w:p>
        </w:tc>
        <w:tc>
          <w:tcPr>
            <w:tcW w:type="dxa" w:w="7704"/>
          </w:tcPr>
          <w:p>
            <w:r/>
            <w:r>
              <w:rPr>
                <w:b w:val="0"/>
                <w:i w:val="0"/>
                <w:sz w:val="17"/>
              </w:rPr>
              <w:t>Same package as D-15; agreed verbally with Ms. Nouri and Mr. Bledsoe; Mr. Langdon’s January 15 markup confirmed it would be reflected. No side letter.</w:t>
            </w:r>
          </w:p>
        </w:tc>
      </w:tr>
      <w:tr>
        <w:tc>
          <w:tcPr>
            <w:tcW w:type="dxa" w:w="1944"/>
            <w:shd w:val="clear" w:color="auto" w:fill="DEEAF6"/>
          </w:tcPr>
          <w:p>
            <w:r/>
            <w:r>
              <w:rPr>
                <w:b/>
                <w:i w:val="0"/>
                <w:sz w:val="17"/>
              </w:rPr>
              <w:t>Impact</w:t>
            </w:r>
          </w:p>
        </w:tc>
        <w:tc>
          <w:tcPr>
            <w:tcW w:type="dxa" w:w="7704"/>
          </w:tcPr>
          <w:p>
            <w:r/>
            <w:r>
              <w:rPr>
                <w:b w:val="0"/>
                <w:i w:val="0"/>
                <w:sz w:val="17"/>
              </w:rPr>
              <w:t>Example (CY1, 600,000 MWh adjusted output): TS terms 80,000 MWh × $28.875 = $2,310,000; PPA $721,875. At 670,000 MWh: TS $288,750; PPA $0. Ridgeline’s model and Elkhorn’s downside case should use the PPA terms.</w:t>
            </w:r>
          </w:p>
        </w:tc>
      </w:tr>
      <w:tr>
        <w:tc>
          <w:tcPr>
            <w:tcW w:type="dxa" w:w="1944"/>
            <w:shd w:val="clear" w:color="auto" w:fill="DEEAF6"/>
          </w:tcPr>
          <w:p>
            <w:r/>
            <w:r>
              <w:rPr>
                <w:b/>
                <w:i w:val="0"/>
                <w:sz w:val="17"/>
              </w:rPr>
              <w:t>Recommendation</w:t>
            </w:r>
          </w:p>
        </w:tc>
        <w:tc>
          <w:tcPr>
            <w:tcW w:type="dxa" w:w="7704"/>
          </w:tcPr>
          <w:p>
            <w:r/>
            <w:r>
              <w:rPr>
                <w:b w:val="0"/>
                <w:i w:val="0"/>
                <w:sz w:val="17"/>
              </w:rPr>
              <w:t>Disclose as agreed; same documentation approach as D-15.</w:t>
            </w:r>
          </w:p>
        </w:tc>
      </w:tr>
    </w:tbl>
    <w:p>
      <w:pPr>
        <w:spacing w:after="40"/>
      </w:pPr>
    </w:p>
    <w:p>
      <w:pPr>
        <w:pStyle w:val="Heading3"/>
      </w:pPr>
      <w:r>
        <w:t>D-17  Quarterly generation reporting (consideration for D-15/D-16) not reflected</w:t>
      </w:r>
    </w:p>
    <w:tbl>
      <w:tblPr>
        <w:tblStyle w:val="TableGrid"/>
        <w:tblW w:type="auto" w:w="0"/>
        <w:tblLook w:firstColumn="1" w:firstRow="1" w:lastColumn="0" w:lastRow="0" w:noHBand="0" w:noVBand="1" w:val="04A0"/>
      </w:tblPr>
      <w:tblGrid>
        <w:gridCol w:w="4824"/>
        <w:gridCol w:w="4824"/>
      </w:tblGrid>
      <w:tr>
        <w:tc>
          <w:tcPr>
            <w:tcW w:type="dxa" w:w="1944"/>
            <w:shd w:val="clear" w:color="auto" w:fill="DEEAF6"/>
          </w:tcPr>
          <w:p>
            <w:r/>
            <w:r>
              <w:rPr>
                <w:b/>
                <w:i w:val="0"/>
                <w:sz w:val="17"/>
              </w:rPr>
              <w:t>References</w:t>
            </w:r>
          </w:p>
        </w:tc>
        <w:tc>
          <w:tcPr>
            <w:tcW w:type="dxa" w:w="7704"/>
          </w:tcPr>
          <w:p>
            <w:r/>
            <w:r>
              <w:rPr>
                <w:b w:val="0"/>
                <w:i w:val="0"/>
                <w:sz w:val="17"/>
              </w:rPr>
              <w:t>TS: N/A (consideration for agreed deviations)  |  PPA: PPA §3.4 (construction progress only), §7.3 (monthly meter data)</w:t>
            </w:r>
          </w:p>
        </w:tc>
      </w:tr>
      <w:tr>
        <w:tc>
          <w:tcPr>
            <w:tcW w:type="dxa" w:w="1944"/>
            <w:shd w:val="clear" w:color="auto" w:fill="DEEAF6"/>
          </w:tcPr>
          <w:p>
            <w:r/>
            <w:r>
              <w:rPr>
                <w:b/>
                <w:i w:val="0"/>
                <w:sz w:val="17"/>
              </w:rPr>
              <w:t>Term Sheet</w:t>
            </w:r>
          </w:p>
        </w:tc>
        <w:tc>
          <w:tcPr>
            <w:tcW w:type="dxa" w:w="7704"/>
          </w:tcPr>
          <w:p>
            <w:r/>
            <w:r>
              <w:rPr>
                <w:b w:val="0"/>
                <w:i w:val="0"/>
                <w:sz w:val="17"/>
              </w:rPr>
              <w:t>N/A</w:t>
            </w:r>
          </w:p>
        </w:tc>
      </w:tr>
      <w:tr>
        <w:tc>
          <w:tcPr>
            <w:tcW w:type="dxa" w:w="1944"/>
            <w:shd w:val="clear" w:color="auto" w:fill="DEEAF6"/>
          </w:tcPr>
          <w:p>
            <w:r/>
            <w:r>
              <w:rPr>
                <w:b/>
                <w:i w:val="0"/>
                <w:sz w:val="17"/>
              </w:rPr>
              <w:t>Executed PPA</w:t>
            </w:r>
          </w:p>
        </w:tc>
        <w:tc>
          <w:tcPr>
            <w:tcW w:type="dxa" w:w="7704"/>
          </w:tcPr>
          <w:p>
            <w:r/>
            <w:r>
              <w:rPr>
                <w:b w:val="0"/>
                <w:i w:val="0"/>
                <w:sz w:val="17"/>
              </w:rPr>
              <w:t>No quarterly generation report covenant. §3.4 quarterly reports cover construction only; §7.3 already requires monthly meter data reports and real-time access.</w:t>
            </w:r>
          </w:p>
        </w:tc>
      </w:tr>
      <w:tr>
        <w:tc>
          <w:tcPr>
            <w:tcW w:type="dxa" w:w="1944"/>
            <w:shd w:val="clear" w:color="auto" w:fill="DEEAF6"/>
          </w:tcPr>
          <w:p>
            <w:r/>
            <w:r>
              <w:rPr>
                <w:b/>
                <w:i w:val="0"/>
                <w:sz w:val="17"/>
              </w:rPr>
              <w:t>Status / effect / severity</w:t>
            </w:r>
          </w:p>
        </w:tc>
        <w:tc>
          <w:tcPr>
            <w:tcW w:type="dxa" w:w="7704"/>
          </w:tcPr>
          <w:p>
            <w:r/>
            <w:r>
              <w:rPr>
                <w:b w:val="0"/>
                <w:i w:val="0"/>
                <w:sz w:val="17"/>
              </w:rPr>
              <w:t xml:space="preserve">DRAFTING (documentation gap)  |  Neutral; evidentiary  |  </w:t>
            </w:r>
            <w:r>
              <w:rPr>
                <w:b/>
                <w:i w:val="0"/>
                <w:sz w:val="17"/>
              </w:rPr>
              <w:t>Low</w:t>
            </w:r>
            <w:r>
              <w:rPr>
                <w:b w:val="0"/>
                <w:i w:val="0"/>
                <w:sz w:val="17"/>
              </w:rPr>
              <w:t xml:space="preserve">  |  Checklist Item(s) 12(ii)</w:t>
            </w:r>
          </w:p>
        </w:tc>
      </w:tr>
      <w:tr>
        <w:tc>
          <w:tcPr>
            <w:tcW w:type="dxa" w:w="1944"/>
            <w:shd w:val="clear" w:color="auto" w:fill="DEEAF6"/>
          </w:tcPr>
          <w:p>
            <w:r/>
            <w:r>
              <w:rPr>
                <w:b/>
                <w:i w:val="0"/>
                <w:sz w:val="17"/>
              </w:rPr>
              <w:t>Negotiation record</w:t>
            </w:r>
          </w:p>
        </w:tc>
        <w:tc>
          <w:tcPr>
            <w:tcW w:type="dxa" w:w="7704"/>
          </w:tcPr>
          <w:p>
            <w:r/>
            <w:r>
              <w:rPr>
                <w:b w:val="0"/>
                <w:i w:val="0"/>
                <w:sz w:val="17"/>
              </w:rPr>
              <w:t>Negotiation Summary §1 records the trade.</w:t>
            </w:r>
          </w:p>
        </w:tc>
      </w:tr>
      <w:tr>
        <w:tc>
          <w:tcPr>
            <w:tcW w:type="dxa" w:w="1944"/>
            <w:shd w:val="clear" w:color="auto" w:fill="DEEAF6"/>
          </w:tcPr>
          <w:p>
            <w:r/>
            <w:r>
              <w:rPr>
                <w:b/>
                <w:i w:val="0"/>
                <w:sz w:val="17"/>
              </w:rPr>
              <w:t>Impact</w:t>
            </w:r>
          </w:p>
        </w:tc>
        <w:tc>
          <w:tcPr>
            <w:tcW w:type="dxa" w:w="7704"/>
          </w:tcPr>
          <w:p>
            <w:r/>
            <w:r>
              <w:rPr>
                <w:b w:val="0"/>
                <w:i w:val="0"/>
                <w:sz w:val="17"/>
              </w:rPr>
              <w:t>Absence of the agreed quid pro quo weakens the paper trail showing the 75%/50% terms were a bargained-for exchange and leaves room for Buyer to claim an unperformed side commitment.</w:t>
            </w:r>
          </w:p>
        </w:tc>
      </w:tr>
      <w:tr>
        <w:tc>
          <w:tcPr>
            <w:tcW w:type="dxa" w:w="1944"/>
            <w:shd w:val="clear" w:color="auto" w:fill="DEEAF6"/>
          </w:tcPr>
          <w:p>
            <w:r/>
            <w:r>
              <w:rPr>
                <w:b/>
                <w:i w:val="0"/>
                <w:sz w:val="17"/>
              </w:rPr>
              <w:t>Recommendation</w:t>
            </w:r>
          </w:p>
        </w:tc>
        <w:tc>
          <w:tcPr>
            <w:tcW w:type="dxa" w:w="7704"/>
          </w:tcPr>
          <w:p>
            <w:r/>
            <w:r>
              <w:rPr>
                <w:b w:val="0"/>
                <w:i w:val="0"/>
                <w:sz w:val="17"/>
              </w:rPr>
              <w:t>Offer to add a quarterly operating report covenant in the First Amendment (low operational cost given §7.3) — useful goodwill currency.</w:t>
            </w:r>
          </w:p>
        </w:tc>
      </w:tr>
    </w:tbl>
    <w:p>
      <w:pPr>
        <w:spacing w:after="40"/>
      </w:pPr>
    </w:p>
    <w:p>
      <w:pPr>
        <w:pStyle w:val="Heading3"/>
      </w:pPr>
      <w:r>
        <w:t>D-12  Mechanical Availability LD rate $65,000 (not $50,000) per percentage point</w:t>
      </w:r>
    </w:p>
    <w:tbl>
      <w:tblPr>
        <w:tblStyle w:val="TableGrid"/>
        <w:tblW w:type="auto" w:w="0"/>
        <w:tblLook w:firstColumn="1" w:firstRow="1" w:lastColumn="0" w:lastRow="0" w:noHBand="0" w:noVBand="1" w:val="04A0"/>
      </w:tblPr>
      <w:tblGrid>
        <w:gridCol w:w="4824"/>
        <w:gridCol w:w="4824"/>
      </w:tblGrid>
      <w:tr>
        <w:tc>
          <w:tcPr>
            <w:tcW w:type="dxa" w:w="1944"/>
            <w:shd w:val="clear" w:color="auto" w:fill="DEEAF6"/>
          </w:tcPr>
          <w:p>
            <w:r/>
            <w:r>
              <w:rPr>
                <w:b/>
                <w:i w:val="0"/>
                <w:sz w:val="17"/>
              </w:rPr>
              <w:t>References</w:t>
            </w:r>
          </w:p>
        </w:tc>
        <w:tc>
          <w:tcPr>
            <w:tcW w:type="dxa" w:w="7704"/>
          </w:tcPr>
          <w:p>
            <w:r/>
            <w:r>
              <w:rPr>
                <w:b w:val="0"/>
                <w:i w:val="0"/>
                <w:sz w:val="17"/>
              </w:rPr>
              <w:t>TS: TS §9.1–9.3  |  PPA: PPA §8.7; Ex. C §3</w:t>
            </w:r>
          </w:p>
        </w:tc>
      </w:tr>
      <w:tr>
        <w:tc>
          <w:tcPr>
            <w:tcW w:type="dxa" w:w="1944"/>
            <w:shd w:val="clear" w:color="auto" w:fill="DEEAF6"/>
          </w:tcPr>
          <w:p>
            <w:r/>
            <w:r>
              <w:rPr>
                <w:b/>
                <w:i w:val="0"/>
                <w:sz w:val="17"/>
              </w:rPr>
              <w:t>Term Sheet</w:t>
            </w:r>
          </w:p>
        </w:tc>
        <w:tc>
          <w:tcPr>
            <w:tcW w:type="dxa" w:w="7704"/>
          </w:tcPr>
          <w:p>
            <w:r/>
            <w:r>
              <w:rPr>
                <w:b w:val="0"/>
                <w:i w:val="0"/>
                <w:sz w:val="17"/>
              </w:rPr>
              <w:t>95% guarantee; $50,000 per point (pro rata). Example: 93% → $100,000.</w:t>
            </w:r>
          </w:p>
        </w:tc>
      </w:tr>
      <w:tr>
        <w:tc>
          <w:tcPr>
            <w:tcW w:type="dxa" w:w="1944"/>
            <w:shd w:val="clear" w:color="auto" w:fill="DEEAF6"/>
          </w:tcPr>
          <w:p>
            <w:r/>
            <w:r>
              <w:rPr>
                <w:b/>
                <w:i w:val="0"/>
                <w:sz w:val="17"/>
              </w:rPr>
              <w:t>Executed PPA</w:t>
            </w:r>
          </w:p>
        </w:tc>
        <w:tc>
          <w:tcPr>
            <w:tcW w:type="dxa" w:w="7704"/>
          </w:tcPr>
          <w:p>
            <w:r/>
            <w:r>
              <w:rPr>
                <w:b w:val="0"/>
                <w:i w:val="0"/>
                <w:sz w:val="17"/>
              </w:rPr>
              <w:t>95% guarantee; $65,000 per point. Example: 93% → $130,000. Adds a no-double-recovery rule vs. Shortfall LDs (favorable). Methodology in Ex. C §3 is consistent with TS §1 exclusions.</w:t>
            </w:r>
          </w:p>
        </w:tc>
      </w:tr>
      <w:tr>
        <w:tc>
          <w:tcPr>
            <w:tcW w:type="dxa" w:w="1944"/>
            <w:shd w:val="clear" w:color="auto" w:fill="DEEAF6"/>
          </w:tcPr>
          <w:p>
            <w:r/>
            <w:r>
              <w:rPr>
                <w:b/>
                <w:i w:val="0"/>
                <w:sz w:val="17"/>
              </w:rPr>
              <w:t>Status / effect / severity</w:t>
            </w:r>
          </w:p>
        </w:tc>
        <w:tc>
          <w:tcPr>
            <w:tcW w:type="dxa" w:w="7704"/>
          </w:tcPr>
          <w:p>
            <w:r/>
            <w:r>
              <w:rPr>
                <w:b w:val="0"/>
                <w:i w:val="0"/>
                <w:sz w:val="17"/>
              </w:rPr>
              <w:t xml:space="preserve">NOT AGREED  |  Adverse  |  </w:t>
            </w:r>
            <w:r>
              <w:rPr>
                <w:b/>
                <w:i w:val="0"/>
                <w:sz w:val="17"/>
              </w:rPr>
              <w:t>Medium</w:t>
            </w:r>
            <w:r>
              <w:rPr>
                <w:b w:val="0"/>
                <w:i w:val="0"/>
                <w:sz w:val="17"/>
              </w:rPr>
              <w:t xml:space="preserve">  |  Checklist Item(s) 37, 12(ii)</w:t>
            </w:r>
          </w:p>
        </w:tc>
      </w:tr>
      <w:tr>
        <w:tc>
          <w:tcPr>
            <w:tcW w:type="dxa" w:w="1944"/>
            <w:shd w:val="clear" w:color="auto" w:fill="DEEAF6"/>
          </w:tcPr>
          <w:p>
            <w:r/>
            <w:r>
              <w:rPr>
                <w:b/>
                <w:i w:val="0"/>
                <w:sz w:val="17"/>
              </w:rPr>
              <w:t>Negotiation record</w:t>
            </w:r>
          </w:p>
        </w:tc>
        <w:tc>
          <w:tcPr>
            <w:tcW w:type="dxa" w:w="7704"/>
          </w:tcPr>
          <w:p>
            <w:r/>
            <w:r>
              <w:rPr>
                <w:b w:val="0"/>
                <w:i w:val="0"/>
                <w:sz w:val="17"/>
              </w:rPr>
              <w:t>Negotiation Summary §2: rate “should carry forward unchanged.” Checklist Item 37 specifically flags this for review against $50,000.</w:t>
            </w:r>
          </w:p>
        </w:tc>
      </w:tr>
      <w:tr>
        <w:tc>
          <w:tcPr>
            <w:tcW w:type="dxa" w:w="1944"/>
            <w:shd w:val="clear" w:color="auto" w:fill="DEEAF6"/>
          </w:tcPr>
          <w:p>
            <w:r/>
            <w:r>
              <w:rPr>
                <w:b/>
                <w:i w:val="0"/>
                <w:sz w:val="17"/>
              </w:rPr>
              <w:t>Impact</w:t>
            </w:r>
          </w:p>
        </w:tc>
        <w:tc>
          <w:tcPr>
            <w:tcW w:type="dxa" w:w="7704"/>
          </w:tcPr>
          <w:p>
            <w:r/>
            <w:r>
              <w:rPr>
                <w:b w:val="0"/>
                <w:i w:val="0"/>
                <w:sz w:val="17"/>
              </w:rPr>
              <w:t>+30% per point. The Nordex LTSA (Item 37) availability guarantee/LDs must back-to-back the PPA rate; a mismatch leaves Seller with unhedged exposure.</w:t>
            </w:r>
          </w:p>
        </w:tc>
      </w:tr>
      <w:tr>
        <w:tc>
          <w:tcPr>
            <w:tcW w:type="dxa" w:w="1944"/>
            <w:shd w:val="clear" w:color="auto" w:fill="DEEAF6"/>
          </w:tcPr>
          <w:p>
            <w:r/>
            <w:r>
              <w:rPr>
                <w:b/>
                <w:i w:val="0"/>
                <w:sz w:val="17"/>
              </w:rPr>
              <w:t>Recommendation</w:t>
            </w:r>
          </w:p>
        </w:tc>
        <w:tc>
          <w:tcPr>
            <w:tcW w:type="dxa" w:w="7704"/>
          </w:tcPr>
          <w:p>
            <w:r/>
            <w:r>
              <w:rPr>
                <w:b w:val="0"/>
                <w:i w:val="0"/>
                <w:sz w:val="17"/>
              </w:rPr>
              <w:t>Restore $50,000 per point; conform the illustration.</w:t>
            </w:r>
          </w:p>
        </w:tc>
      </w:tr>
    </w:tbl>
    <w:p>
      <w:pPr>
        <w:spacing w:after="40"/>
      </w:pPr>
    </w:p>
    <w:p>
      <w:pPr>
        <w:pStyle w:val="Heading3"/>
      </w:pPr>
      <w:r>
        <w:t>D-13  20% annual LD cap no longer covers Availability LDs</w:t>
      </w:r>
    </w:p>
    <w:tbl>
      <w:tblPr>
        <w:tblStyle w:val="TableGrid"/>
        <w:tblW w:type="auto" w:w="0"/>
        <w:tblLook w:firstColumn="1" w:firstRow="1" w:lastColumn="0" w:lastRow="0" w:noHBand="0" w:noVBand="1" w:val="04A0"/>
      </w:tblPr>
      <w:tblGrid>
        <w:gridCol w:w="4824"/>
        <w:gridCol w:w="4824"/>
      </w:tblGrid>
      <w:tr>
        <w:tc>
          <w:tcPr>
            <w:tcW w:type="dxa" w:w="1944"/>
            <w:shd w:val="clear" w:color="auto" w:fill="DEEAF6"/>
          </w:tcPr>
          <w:p>
            <w:r/>
            <w:r>
              <w:rPr>
                <w:b/>
                <w:i w:val="0"/>
                <w:sz w:val="17"/>
              </w:rPr>
              <w:t>References</w:t>
            </w:r>
          </w:p>
        </w:tc>
        <w:tc>
          <w:tcPr>
            <w:tcW w:type="dxa" w:w="7704"/>
          </w:tcPr>
          <w:p>
            <w:r/>
            <w:r>
              <w:rPr>
                <w:b w:val="0"/>
                <w:i w:val="0"/>
                <w:sz w:val="17"/>
              </w:rPr>
              <w:t>TS: TS §9.4  |  PPA: PPA §8.5, §8.7</w:t>
            </w:r>
          </w:p>
        </w:tc>
      </w:tr>
      <w:tr>
        <w:tc>
          <w:tcPr>
            <w:tcW w:type="dxa" w:w="1944"/>
            <w:shd w:val="clear" w:color="auto" w:fill="DEEAF6"/>
          </w:tcPr>
          <w:p>
            <w:r/>
            <w:r>
              <w:rPr>
                <w:b/>
                <w:i w:val="0"/>
                <w:sz w:val="17"/>
              </w:rPr>
              <w:t>Term Sheet</w:t>
            </w:r>
          </w:p>
        </w:tc>
        <w:tc>
          <w:tcPr>
            <w:tcW w:type="dxa" w:w="7704"/>
          </w:tcPr>
          <w:p>
            <w:r/>
            <w:r>
              <w:rPr>
                <w:b w:val="0"/>
                <w:i w:val="0"/>
                <w:sz w:val="17"/>
              </w:rPr>
              <w:t>Total aggregate LDs under §8 (Shortfall) and §9 (Availability) combined capped at 20% of annual revenue at CQ × Contract Price.</w:t>
            </w:r>
          </w:p>
        </w:tc>
      </w:tr>
      <w:tr>
        <w:tc>
          <w:tcPr>
            <w:tcW w:type="dxa" w:w="1944"/>
            <w:shd w:val="clear" w:color="auto" w:fill="DEEAF6"/>
          </w:tcPr>
          <w:p>
            <w:r/>
            <w:r>
              <w:rPr>
                <w:b/>
                <w:i w:val="0"/>
                <w:sz w:val="17"/>
              </w:rPr>
              <w:t>Executed PPA</w:t>
            </w:r>
          </w:p>
        </w:tc>
        <w:tc>
          <w:tcPr>
            <w:tcW w:type="dxa" w:w="7704"/>
          </w:tcPr>
          <w:p>
            <w:r/>
            <w:r>
              <w:rPr>
                <w:b w:val="0"/>
                <w:i w:val="0"/>
                <w:sz w:val="17"/>
              </w:rPr>
              <w:t>§8.5 caps only “aggregate Shortfall LDs”; Availability LDs are outside the cap (subject only to the §16.3 aggregate-Term cap).</w:t>
            </w:r>
          </w:p>
        </w:tc>
      </w:tr>
      <w:tr>
        <w:tc>
          <w:tcPr>
            <w:tcW w:type="dxa" w:w="1944"/>
            <w:shd w:val="clear" w:color="auto" w:fill="DEEAF6"/>
          </w:tcPr>
          <w:p>
            <w:r/>
            <w:r>
              <w:rPr>
                <w:b/>
                <w:i w:val="0"/>
                <w:sz w:val="17"/>
              </w:rPr>
              <w:t>Status / effect / severity</w:t>
            </w:r>
          </w:p>
        </w:tc>
        <w:tc>
          <w:tcPr>
            <w:tcW w:type="dxa" w:w="7704"/>
          </w:tcPr>
          <w:p>
            <w:r/>
            <w:r>
              <w:rPr>
                <w:b w:val="0"/>
                <w:i w:val="0"/>
                <w:sz w:val="17"/>
              </w:rPr>
              <w:t xml:space="preserve">NOT AGREED  |  Adverse  |  </w:t>
            </w:r>
            <w:r>
              <w:rPr>
                <w:b/>
                <w:i w:val="0"/>
                <w:sz w:val="17"/>
              </w:rPr>
              <w:t>Medium</w:t>
            </w:r>
            <w:r>
              <w:rPr>
                <w:b w:val="0"/>
                <w:i w:val="0"/>
                <w:sz w:val="17"/>
              </w:rPr>
              <w:t xml:space="preserve">  |  Checklist Item(s) 12(ii), 40</w:t>
            </w:r>
          </w:p>
        </w:tc>
      </w:tr>
      <w:tr>
        <w:tc>
          <w:tcPr>
            <w:tcW w:type="dxa" w:w="1944"/>
            <w:shd w:val="clear" w:color="auto" w:fill="DEEAF6"/>
          </w:tcPr>
          <w:p>
            <w:r/>
            <w:r>
              <w:rPr>
                <w:b/>
                <w:i w:val="0"/>
                <w:sz w:val="17"/>
              </w:rPr>
              <w:t>Negotiation record</w:t>
            </w:r>
          </w:p>
        </w:tc>
        <w:tc>
          <w:tcPr>
            <w:tcW w:type="dxa" w:w="7704"/>
          </w:tcPr>
          <w:p>
            <w:r/>
            <w:r>
              <w:rPr>
                <w:b w:val="0"/>
                <w:i w:val="0"/>
                <w:sz w:val="17"/>
              </w:rPr>
              <w:t>Not discussed; Term Sheet position settled.</w:t>
            </w:r>
          </w:p>
        </w:tc>
      </w:tr>
      <w:tr>
        <w:tc>
          <w:tcPr>
            <w:tcW w:type="dxa" w:w="1944"/>
            <w:shd w:val="clear" w:color="auto" w:fill="DEEAF6"/>
          </w:tcPr>
          <w:p>
            <w:r/>
            <w:r>
              <w:rPr>
                <w:b/>
                <w:i w:val="0"/>
                <w:sz w:val="17"/>
              </w:rPr>
              <w:t>Impact</w:t>
            </w:r>
          </w:p>
        </w:tc>
        <w:tc>
          <w:tcPr>
            <w:tcW w:type="dxa" w:w="7704"/>
          </w:tcPr>
          <w:p>
            <w:r/>
            <w:r>
              <w:rPr>
                <w:b w:val="0"/>
                <w:i w:val="0"/>
                <w:sz w:val="17"/>
              </w:rPr>
              <w:t>Theoretical uncapped Availability LD exposure (e.g., a fleet-wide serial defect) on top of a 20% Shortfall cap (~$6.5M in CY1).</w:t>
            </w:r>
          </w:p>
        </w:tc>
      </w:tr>
      <w:tr>
        <w:tc>
          <w:tcPr>
            <w:tcW w:type="dxa" w:w="1944"/>
            <w:shd w:val="clear" w:color="auto" w:fill="DEEAF6"/>
          </w:tcPr>
          <w:p>
            <w:r/>
            <w:r>
              <w:rPr>
                <w:b/>
                <w:i w:val="0"/>
                <w:sz w:val="17"/>
              </w:rPr>
              <w:t>Recommendation</w:t>
            </w:r>
          </w:p>
        </w:tc>
        <w:tc>
          <w:tcPr>
            <w:tcW w:type="dxa" w:w="7704"/>
          </w:tcPr>
          <w:p>
            <w:r/>
            <w:r>
              <w:rPr>
                <w:b w:val="0"/>
                <w:i w:val="0"/>
                <w:sz w:val="17"/>
              </w:rPr>
              <w:t>Amend §8.5 to cap Shortfall LDs and Availability LDs combined at 20% of annual revenue, per TS §9.4.</w:t>
            </w:r>
          </w:p>
        </w:tc>
      </w:tr>
    </w:tbl>
    <w:p>
      <w:pPr>
        <w:spacing w:after="40"/>
      </w:pPr>
    </w:p>
    <w:p>
      <w:pPr>
        <w:pStyle w:val="Heading3"/>
      </w:pPr>
      <w:r>
        <w:t>D-14  Performance LDs no longer a clean sole remedy</w:t>
      </w:r>
    </w:p>
    <w:tbl>
      <w:tblPr>
        <w:tblStyle w:val="TableGrid"/>
        <w:tblW w:type="auto" w:w="0"/>
        <w:tblLook w:firstColumn="1" w:firstRow="1" w:lastColumn="0" w:lastRow="0" w:noHBand="0" w:noVBand="1" w:val="04A0"/>
      </w:tblPr>
      <w:tblGrid>
        <w:gridCol w:w="4824"/>
        <w:gridCol w:w="4824"/>
      </w:tblGrid>
      <w:tr>
        <w:tc>
          <w:tcPr>
            <w:tcW w:type="dxa" w:w="1944"/>
            <w:shd w:val="clear" w:color="auto" w:fill="DEEAF6"/>
          </w:tcPr>
          <w:p>
            <w:r/>
            <w:r>
              <w:rPr>
                <w:b/>
                <w:i w:val="0"/>
                <w:sz w:val="17"/>
              </w:rPr>
              <w:t>References</w:t>
            </w:r>
          </w:p>
        </w:tc>
        <w:tc>
          <w:tcPr>
            <w:tcW w:type="dxa" w:w="7704"/>
          </w:tcPr>
          <w:p>
            <w:r/>
            <w:r>
              <w:rPr>
                <w:b w:val="0"/>
                <w:i w:val="0"/>
                <w:sz w:val="17"/>
              </w:rPr>
              <w:t>TS: TS §8.4  |  PPA: PPA §8.1 (last sentence), §8.5</w:t>
            </w:r>
          </w:p>
        </w:tc>
      </w:tr>
      <w:tr>
        <w:tc>
          <w:tcPr>
            <w:tcW w:type="dxa" w:w="1944"/>
            <w:shd w:val="clear" w:color="auto" w:fill="DEEAF6"/>
          </w:tcPr>
          <w:p>
            <w:r/>
            <w:r>
              <w:rPr>
                <w:b/>
                <w:i w:val="0"/>
                <w:sz w:val="17"/>
              </w:rPr>
              <w:t>Term Sheet</w:t>
            </w:r>
          </w:p>
        </w:tc>
        <w:tc>
          <w:tcPr>
            <w:tcW w:type="dxa" w:w="7704"/>
          </w:tcPr>
          <w:p>
            <w:r/>
            <w:r>
              <w:rPr>
                <w:b w:val="0"/>
                <w:i w:val="0"/>
                <w:sz w:val="17"/>
              </w:rPr>
              <w:t>Shortfall LDs are Buyer’s sole and exclusive remedy for failure to achieve MAEP, subject only to FM adjustment.</w:t>
            </w:r>
          </w:p>
        </w:tc>
      </w:tr>
      <w:tr>
        <w:tc>
          <w:tcPr>
            <w:tcW w:type="dxa" w:w="1944"/>
            <w:shd w:val="clear" w:color="auto" w:fill="DEEAF6"/>
          </w:tcPr>
          <w:p>
            <w:r/>
            <w:r>
              <w:rPr>
                <w:b/>
                <w:i w:val="0"/>
                <w:sz w:val="17"/>
              </w:rPr>
              <w:t>Executed PPA</w:t>
            </w:r>
          </w:p>
        </w:tc>
        <w:tc>
          <w:tcPr>
            <w:tcW w:type="dxa" w:w="7704"/>
          </w:tcPr>
          <w:p>
            <w:r/>
            <w:r>
              <w:rPr>
                <w:b w:val="0"/>
                <w:i w:val="0"/>
                <w:sz w:val="17"/>
              </w:rPr>
              <w:t>Sole remedy “except for Buyer’s termination rights under Article 18 in the event of repeated material shortfalls constituting a material breach,” and §8.1 adds “Nothing in this Article 8 shall limit Buyer’s rights under any other provision.”</w:t>
            </w:r>
          </w:p>
        </w:tc>
      </w:tr>
      <w:tr>
        <w:tc>
          <w:tcPr>
            <w:tcW w:type="dxa" w:w="1944"/>
            <w:shd w:val="clear" w:color="auto" w:fill="DEEAF6"/>
          </w:tcPr>
          <w:p>
            <w:r/>
            <w:r>
              <w:rPr>
                <w:b/>
                <w:i w:val="0"/>
                <w:sz w:val="17"/>
              </w:rPr>
              <w:t>Status / effect / severity</w:t>
            </w:r>
          </w:p>
        </w:tc>
        <w:tc>
          <w:tcPr>
            <w:tcW w:type="dxa" w:w="7704"/>
          </w:tcPr>
          <w:p>
            <w:r/>
            <w:r>
              <w:rPr>
                <w:b w:val="0"/>
                <w:i w:val="0"/>
                <w:sz w:val="17"/>
              </w:rPr>
              <w:t xml:space="preserve">NOT AGREED / NEW TERM  |  Adverse  |  </w:t>
            </w:r>
            <w:r>
              <w:rPr>
                <w:b/>
                <w:i w:val="0"/>
                <w:sz w:val="17"/>
              </w:rPr>
              <w:t>Medium</w:t>
            </w:r>
            <w:r>
              <w:rPr>
                <w:b w:val="0"/>
                <w:i w:val="0"/>
                <w:sz w:val="17"/>
              </w:rPr>
              <w:t xml:space="preserve">  |  Checklist Item(s) 12(ii)</w:t>
            </w:r>
          </w:p>
        </w:tc>
      </w:tr>
      <w:tr>
        <w:tc>
          <w:tcPr>
            <w:tcW w:type="dxa" w:w="1944"/>
            <w:shd w:val="clear" w:color="auto" w:fill="DEEAF6"/>
          </w:tcPr>
          <w:p>
            <w:r/>
            <w:r>
              <w:rPr>
                <w:b/>
                <w:i w:val="0"/>
                <w:sz w:val="17"/>
              </w:rPr>
              <w:t>Negotiation record</w:t>
            </w:r>
          </w:p>
        </w:tc>
        <w:tc>
          <w:tcPr>
            <w:tcW w:type="dxa" w:w="7704"/>
          </w:tcPr>
          <w:p>
            <w:r/>
            <w:r>
              <w:rPr>
                <w:b w:val="0"/>
                <w:i w:val="0"/>
                <w:sz w:val="17"/>
              </w:rPr>
              <w:t>Not discussed.</w:t>
            </w:r>
          </w:p>
        </w:tc>
      </w:tr>
      <w:tr>
        <w:tc>
          <w:tcPr>
            <w:tcW w:type="dxa" w:w="1944"/>
            <w:shd w:val="clear" w:color="auto" w:fill="DEEAF6"/>
          </w:tcPr>
          <w:p>
            <w:r/>
            <w:r>
              <w:rPr>
                <w:b/>
                <w:i w:val="0"/>
                <w:sz w:val="17"/>
              </w:rPr>
              <w:t>Impact</w:t>
            </w:r>
          </w:p>
        </w:tc>
        <w:tc>
          <w:tcPr>
            <w:tcW w:type="dxa" w:w="7704"/>
          </w:tcPr>
          <w:p>
            <w:r/>
            <w:r>
              <w:rPr>
                <w:b w:val="0"/>
                <w:i w:val="0"/>
                <w:sz w:val="17"/>
              </w:rPr>
              <w:t>Opens a path to termination and §18.3(b) termination damages for underperformance, undermining the economic benefit of the agreed 75%/50% concession (D-15/D-16). “Repeated material shortfalls” is undefined.</w:t>
            </w:r>
          </w:p>
        </w:tc>
      </w:tr>
      <w:tr>
        <w:tc>
          <w:tcPr>
            <w:tcW w:type="dxa" w:w="1944"/>
            <w:shd w:val="clear" w:color="auto" w:fill="DEEAF6"/>
          </w:tcPr>
          <w:p>
            <w:r/>
            <w:r>
              <w:rPr>
                <w:b/>
                <w:i w:val="0"/>
                <w:sz w:val="17"/>
              </w:rPr>
              <w:t>Recommendation</w:t>
            </w:r>
          </w:p>
        </w:tc>
        <w:tc>
          <w:tcPr>
            <w:tcW w:type="dxa" w:w="7704"/>
          </w:tcPr>
          <w:p>
            <w:r/>
            <w:r>
              <w:rPr>
                <w:b w:val="0"/>
                <w:i w:val="0"/>
                <w:sz w:val="17"/>
              </w:rPr>
              <w:t>Delete §8.1 last sentence; either delete the Article 18 carve-out or define an objective termination trigger (e.g., output below a stated % of MAEP in two consecutive CYs, net of FM/System Curtailment, after Financing Party cure).</w:t>
            </w:r>
          </w:p>
        </w:tc>
      </w:tr>
    </w:tbl>
    <w:p>
      <w:pPr>
        <w:spacing w:after="40"/>
      </w:pPr>
    </w:p>
    <w:p>
      <w:pPr>
        <w:pStyle w:val="Heading2"/>
      </w:pPr>
      <w:r>
        <w:t>4.5 Force majeure, change of law and disputes</w:t>
      </w:r>
    </w:p>
    <w:p>
      <w:pPr>
        <w:pStyle w:val="Heading3"/>
      </w:pPr>
      <w:r>
        <w:t>D-8  Force majeure termination after 12 months (not 18), on 60 days’ notice</w:t>
      </w:r>
    </w:p>
    <w:tbl>
      <w:tblPr>
        <w:tblStyle w:val="TableGrid"/>
        <w:tblW w:type="auto" w:w="0"/>
        <w:tblLook w:firstColumn="1" w:firstRow="1" w:lastColumn="0" w:lastRow="0" w:noHBand="0" w:noVBand="1" w:val="04A0"/>
      </w:tblPr>
      <w:tblGrid>
        <w:gridCol w:w="4824"/>
        <w:gridCol w:w="4824"/>
      </w:tblGrid>
      <w:tr>
        <w:tc>
          <w:tcPr>
            <w:tcW w:type="dxa" w:w="1944"/>
            <w:shd w:val="clear" w:color="auto" w:fill="DEEAF6"/>
          </w:tcPr>
          <w:p>
            <w:r/>
            <w:r>
              <w:rPr>
                <w:b/>
                <w:i w:val="0"/>
                <w:sz w:val="17"/>
              </w:rPr>
              <w:t>References</w:t>
            </w:r>
          </w:p>
        </w:tc>
        <w:tc>
          <w:tcPr>
            <w:tcW w:type="dxa" w:w="7704"/>
          </w:tcPr>
          <w:p>
            <w:r/>
            <w:r>
              <w:rPr>
                <w:b w:val="0"/>
                <w:i w:val="0"/>
                <w:sz w:val="17"/>
              </w:rPr>
              <w:t>TS: TS §14.4  |  PPA: PPA §12.4</w:t>
            </w:r>
          </w:p>
        </w:tc>
      </w:tr>
      <w:tr>
        <w:tc>
          <w:tcPr>
            <w:tcW w:type="dxa" w:w="1944"/>
            <w:shd w:val="clear" w:color="auto" w:fill="DEEAF6"/>
          </w:tcPr>
          <w:p>
            <w:r/>
            <w:r>
              <w:rPr>
                <w:b/>
                <w:i w:val="0"/>
                <w:sz w:val="17"/>
              </w:rPr>
              <w:t>Term Sheet</w:t>
            </w:r>
          </w:p>
        </w:tc>
        <w:tc>
          <w:tcPr>
            <w:tcW w:type="dxa" w:w="7704"/>
          </w:tcPr>
          <w:p>
            <w:r/>
            <w:r>
              <w:rPr>
                <w:b w:val="0"/>
                <w:i w:val="0"/>
                <w:sz w:val="17"/>
              </w:rPr>
              <w:t>Either Party may terminate if FM continues 18 continuous months and prevents a material portion of performance; 30 days’ notice, delivered no earlier than expiry of the 18 months.</w:t>
            </w:r>
          </w:p>
        </w:tc>
      </w:tr>
      <w:tr>
        <w:tc>
          <w:tcPr>
            <w:tcW w:type="dxa" w:w="1944"/>
            <w:shd w:val="clear" w:color="auto" w:fill="DEEAF6"/>
          </w:tcPr>
          <w:p>
            <w:r/>
            <w:r>
              <w:rPr>
                <w:b/>
                <w:i w:val="0"/>
                <w:sz w:val="17"/>
              </w:rPr>
              <w:t>Executed PPA</w:t>
            </w:r>
          </w:p>
        </w:tc>
        <w:tc>
          <w:tcPr>
            <w:tcW w:type="dxa" w:w="7704"/>
          </w:tcPr>
          <w:p>
            <w:r/>
            <w:r>
              <w:rPr>
                <w:b w:val="0"/>
                <w:i w:val="0"/>
                <w:sz w:val="17"/>
              </w:rPr>
              <w:t>Either Party may terminate if FM continues 12 consecutive months, on 60 days’ notice; no “material portion of performance” qualifier.</w:t>
            </w:r>
          </w:p>
        </w:tc>
      </w:tr>
      <w:tr>
        <w:tc>
          <w:tcPr>
            <w:tcW w:type="dxa" w:w="1944"/>
            <w:shd w:val="clear" w:color="auto" w:fill="DEEAF6"/>
          </w:tcPr>
          <w:p>
            <w:r/>
            <w:r>
              <w:rPr>
                <w:b/>
                <w:i w:val="0"/>
                <w:sz w:val="17"/>
              </w:rPr>
              <w:t>Status / effect / severity</w:t>
            </w:r>
          </w:p>
        </w:tc>
        <w:tc>
          <w:tcPr>
            <w:tcW w:type="dxa" w:w="7704"/>
          </w:tcPr>
          <w:p>
            <w:r/>
            <w:r>
              <w:rPr>
                <w:b w:val="0"/>
                <w:i w:val="0"/>
                <w:sz w:val="17"/>
              </w:rPr>
              <w:t xml:space="preserve">NOT AGREED  |  Adverse  |  </w:t>
            </w:r>
            <w:r>
              <w:rPr>
                <w:b/>
                <w:i w:val="0"/>
                <w:sz w:val="17"/>
              </w:rPr>
              <w:t>High</w:t>
            </w:r>
            <w:r>
              <w:rPr>
                <w:b w:val="0"/>
                <w:i w:val="0"/>
                <w:sz w:val="17"/>
              </w:rPr>
              <w:t xml:space="preserve">  |  Checklist Item(s) 12(v)</w:t>
            </w:r>
          </w:p>
        </w:tc>
      </w:tr>
      <w:tr>
        <w:tc>
          <w:tcPr>
            <w:tcW w:type="dxa" w:w="1944"/>
            <w:shd w:val="clear" w:color="auto" w:fill="DEEAF6"/>
          </w:tcPr>
          <w:p>
            <w:r/>
            <w:r>
              <w:rPr>
                <w:b/>
                <w:i w:val="0"/>
                <w:sz w:val="17"/>
              </w:rPr>
              <w:t>Negotiation record</w:t>
            </w:r>
          </w:p>
        </w:tc>
        <w:tc>
          <w:tcPr>
            <w:tcW w:type="dxa" w:w="7704"/>
          </w:tcPr>
          <w:p>
            <w:r/>
            <w:r>
              <w:rPr>
                <w:b w:val="0"/>
                <w:i w:val="0"/>
                <w:sz w:val="17"/>
              </w:rPr>
              <w:t>Negotiation Summary §2: the 18-month period “was important to us and we did not agree to shorten it.”</w:t>
            </w:r>
          </w:p>
        </w:tc>
      </w:tr>
      <w:tr>
        <w:tc>
          <w:tcPr>
            <w:tcW w:type="dxa" w:w="1944"/>
            <w:shd w:val="clear" w:color="auto" w:fill="DEEAF6"/>
          </w:tcPr>
          <w:p>
            <w:r/>
            <w:r>
              <w:rPr>
                <w:b/>
                <w:i w:val="0"/>
                <w:sz w:val="17"/>
              </w:rPr>
              <w:t>Impact</w:t>
            </w:r>
          </w:p>
        </w:tc>
        <w:tc>
          <w:tcPr>
            <w:tcW w:type="dxa" w:w="7704"/>
          </w:tcPr>
          <w:p>
            <w:r/>
            <w:r>
              <w:rPr>
                <w:b w:val="0"/>
                <w:i w:val="0"/>
                <w:sz w:val="17"/>
              </w:rPr>
              <w:t>Shorter tail increases risk that a prolonged outage (e.g., a major tornado/ice event or interconnection failure) ends the offtake before insurance-funded repair is complete; business interruption cover is only 12 months (§15.1(f)). Lenders and tax equity size termination risk on this period. Loss of the materiality qualifier means a minor FM affecting a small obligation could support termination.</w:t>
            </w:r>
          </w:p>
        </w:tc>
      </w:tr>
      <w:tr>
        <w:tc>
          <w:tcPr>
            <w:tcW w:type="dxa" w:w="1944"/>
            <w:shd w:val="clear" w:color="auto" w:fill="DEEAF6"/>
          </w:tcPr>
          <w:p>
            <w:r/>
            <w:r>
              <w:rPr>
                <w:b/>
                <w:i w:val="0"/>
                <w:sz w:val="17"/>
              </w:rPr>
              <w:t>Recommendation</w:t>
            </w:r>
          </w:p>
        </w:tc>
        <w:tc>
          <w:tcPr>
            <w:tcW w:type="dxa" w:w="7704"/>
          </w:tcPr>
          <w:p>
            <w:r/>
            <w:r>
              <w:rPr>
                <w:b w:val="0"/>
                <w:i w:val="0"/>
                <w:sz w:val="17"/>
              </w:rPr>
              <w:t>Restore 18 months, 30 days’ notice, and the “material portion” qualifier.</w:t>
            </w:r>
          </w:p>
        </w:tc>
      </w:tr>
    </w:tbl>
    <w:p>
      <w:pPr>
        <w:spacing w:after="40"/>
      </w:pPr>
    </w:p>
    <w:p>
      <w:pPr>
        <w:pStyle w:val="Heading3"/>
      </w:pPr>
      <w:r>
        <w:t>D-9  Force majeure definition and conditions narrowed</w:t>
      </w:r>
    </w:p>
    <w:tbl>
      <w:tblPr>
        <w:tblStyle w:val="TableGrid"/>
        <w:tblW w:type="auto" w:w="0"/>
        <w:tblLook w:firstColumn="1" w:firstRow="1" w:lastColumn="0" w:lastRow="0" w:noHBand="0" w:noVBand="1" w:val="04A0"/>
      </w:tblPr>
      <w:tblGrid>
        <w:gridCol w:w="4824"/>
        <w:gridCol w:w="4824"/>
      </w:tblGrid>
      <w:tr>
        <w:tc>
          <w:tcPr>
            <w:tcW w:type="dxa" w:w="1944"/>
            <w:shd w:val="clear" w:color="auto" w:fill="DEEAF6"/>
          </w:tcPr>
          <w:p>
            <w:r/>
            <w:r>
              <w:rPr>
                <w:b/>
                <w:i w:val="0"/>
                <w:sz w:val="17"/>
              </w:rPr>
              <w:t>References</w:t>
            </w:r>
          </w:p>
        </w:tc>
        <w:tc>
          <w:tcPr>
            <w:tcW w:type="dxa" w:w="7704"/>
          </w:tcPr>
          <w:p>
            <w:r/>
            <w:r>
              <w:rPr>
                <w:b w:val="0"/>
                <w:i w:val="0"/>
                <w:sz w:val="17"/>
              </w:rPr>
              <w:t>TS: TS §14.1–14.3  |  PPA: PPA §12.1–12.3</w:t>
            </w:r>
          </w:p>
        </w:tc>
      </w:tr>
      <w:tr>
        <w:tc>
          <w:tcPr>
            <w:tcW w:type="dxa" w:w="1944"/>
            <w:shd w:val="clear" w:color="auto" w:fill="DEEAF6"/>
          </w:tcPr>
          <w:p>
            <w:r/>
            <w:r>
              <w:rPr>
                <w:b/>
                <w:i w:val="0"/>
                <w:sz w:val="17"/>
              </w:rPr>
              <w:t>Term Sheet</w:t>
            </w:r>
          </w:p>
        </w:tc>
        <w:tc>
          <w:tcPr>
            <w:tcW w:type="dxa" w:w="7704"/>
          </w:tcPr>
          <w:p>
            <w:r/>
            <w:r>
              <w:rPr>
                <w:b w:val="0"/>
                <w:i w:val="0"/>
                <w:sz w:val="17"/>
              </w:rPr>
              <w:t>Includes “equipment failure not attributable to the negligence of the affected Party” and “labor strikes or lockouts affecting the Project or critical suppliers”; grid emergencies; governmental actions. Prompt notice.</w:t>
            </w:r>
          </w:p>
        </w:tc>
      </w:tr>
      <w:tr>
        <w:tc>
          <w:tcPr>
            <w:tcW w:type="dxa" w:w="1944"/>
            <w:shd w:val="clear" w:color="auto" w:fill="DEEAF6"/>
          </w:tcPr>
          <w:p>
            <w:r/>
            <w:r>
              <w:rPr>
                <w:b/>
                <w:i w:val="0"/>
                <w:sz w:val="17"/>
              </w:rPr>
              <w:t>Executed PPA</w:t>
            </w:r>
          </w:p>
        </w:tc>
        <w:tc>
          <w:tcPr>
            <w:tcW w:type="dxa" w:w="7704"/>
          </w:tcPr>
          <w:p>
            <w:r/>
            <w:r>
              <w:rPr>
                <w:b w:val="0"/>
                <w:i w:val="0"/>
                <w:sz w:val="17"/>
              </w:rPr>
              <w:t>Omits equipment failure; excludes strikes involving Seller’s own employees or contractors at the Facility; excludes “normal wear and tear or equipment degradation” and permit failures; FM relief conditioned on notice within 5 Business Days (§12.3). Adds denial/revocation of permits and SPP system failure (favorable).</w:t>
            </w:r>
          </w:p>
        </w:tc>
      </w:tr>
      <w:tr>
        <w:tc>
          <w:tcPr>
            <w:tcW w:type="dxa" w:w="1944"/>
            <w:shd w:val="clear" w:color="auto" w:fill="DEEAF6"/>
          </w:tcPr>
          <w:p>
            <w:r/>
            <w:r>
              <w:rPr>
                <w:b/>
                <w:i w:val="0"/>
                <w:sz w:val="17"/>
              </w:rPr>
              <w:t>Status / effect / severity</w:t>
            </w:r>
          </w:p>
        </w:tc>
        <w:tc>
          <w:tcPr>
            <w:tcW w:type="dxa" w:w="7704"/>
          </w:tcPr>
          <w:p>
            <w:r/>
            <w:r>
              <w:rPr>
                <w:b w:val="0"/>
                <w:i w:val="0"/>
                <w:sz w:val="17"/>
              </w:rPr>
              <w:t xml:space="preserve">NOT AGREED  |  Mixed, net adverse  |  </w:t>
            </w:r>
            <w:r>
              <w:rPr>
                <w:b/>
                <w:i w:val="0"/>
                <w:sz w:val="17"/>
              </w:rPr>
              <w:t>Medium</w:t>
            </w:r>
            <w:r>
              <w:rPr>
                <w:b w:val="0"/>
                <w:i w:val="0"/>
                <w:sz w:val="17"/>
              </w:rPr>
              <w:t xml:space="preserve">  |  Checklist Item(s) 12(v)</w:t>
            </w:r>
          </w:p>
        </w:tc>
      </w:tr>
      <w:tr>
        <w:tc>
          <w:tcPr>
            <w:tcW w:type="dxa" w:w="1944"/>
            <w:shd w:val="clear" w:color="auto" w:fill="DEEAF6"/>
          </w:tcPr>
          <w:p>
            <w:r/>
            <w:r>
              <w:rPr>
                <w:b/>
                <w:i w:val="0"/>
                <w:sz w:val="17"/>
              </w:rPr>
              <w:t>Negotiation record</w:t>
            </w:r>
          </w:p>
        </w:tc>
        <w:tc>
          <w:tcPr>
            <w:tcW w:type="dxa" w:w="7704"/>
          </w:tcPr>
          <w:p>
            <w:r/>
            <w:r>
              <w:rPr>
                <w:b w:val="0"/>
                <w:i w:val="0"/>
                <w:sz w:val="17"/>
              </w:rPr>
              <w:t>Not discussed in Negotiation Summary.</w:t>
            </w:r>
          </w:p>
        </w:tc>
      </w:tr>
      <w:tr>
        <w:tc>
          <w:tcPr>
            <w:tcW w:type="dxa" w:w="1944"/>
            <w:shd w:val="clear" w:color="auto" w:fill="DEEAF6"/>
          </w:tcPr>
          <w:p>
            <w:r/>
            <w:r>
              <w:rPr>
                <w:b/>
                <w:i w:val="0"/>
                <w:sz w:val="17"/>
              </w:rPr>
              <w:t>Impact</w:t>
            </w:r>
          </w:p>
        </w:tc>
        <w:tc>
          <w:tcPr>
            <w:tcW w:type="dxa" w:w="7704"/>
          </w:tcPr>
          <w:p>
            <w:r/>
            <w:r>
              <w:rPr>
                <w:b w:val="0"/>
                <w:i w:val="0"/>
                <w:sz w:val="17"/>
              </w:rPr>
              <w:t>Non-negligent serial defects or catastrophic component failures would no longer excuse performance; strict 5-BD notice creates a forfeiture trap.</w:t>
            </w:r>
          </w:p>
        </w:tc>
      </w:tr>
      <w:tr>
        <w:tc>
          <w:tcPr>
            <w:tcW w:type="dxa" w:w="1944"/>
            <w:shd w:val="clear" w:color="auto" w:fill="DEEAF6"/>
          </w:tcPr>
          <w:p>
            <w:r/>
            <w:r>
              <w:rPr>
                <w:b/>
                <w:i w:val="0"/>
                <w:sz w:val="17"/>
              </w:rPr>
              <w:t>Recommendation</w:t>
            </w:r>
          </w:p>
        </w:tc>
        <w:tc>
          <w:tcPr>
            <w:tcW w:type="dxa" w:w="7704"/>
          </w:tcPr>
          <w:p>
            <w:r/>
            <w:r>
              <w:rPr>
                <w:b w:val="0"/>
                <w:i w:val="0"/>
                <w:sz w:val="17"/>
              </w:rPr>
              <w:t>Restore TS equipment-failure and labor language; change notice to “prompt” or “as soon as practicable, and in any event within 10 Business Days” without forfeiture.</w:t>
            </w:r>
          </w:p>
        </w:tc>
      </w:tr>
    </w:tbl>
    <w:p>
      <w:pPr>
        <w:spacing w:after="40"/>
      </w:pPr>
    </w:p>
    <w:p>
      <w:pPr>
        <w:pStyle w:val="Heading3"/>
      </w:pPr>
      <w:r>
        <w:t>D-10  Change of law: Buyer-bears-100% new transmission charges carve-out omitted</w:t>
      </w:r>
    </w:p>
    <w:tbl>
      <w:tblPr>
        <w:tblStyle w:val="TableGrid"/>
        <w:tblW w:type="auto" w:w="0"/>
        <w:tblLook w:firstColumn="1" w:firstRow="1" w:lastColumn="0" w:lastRow="0" w:noHBand="0" w:noVBand="1" w:val="04A0"/>
      </w:tblPr>
      <w:tblGrid>
        <w:gridCol w:w="4824"/>
        <w:gridCol w:w="4824"/>
      </w:tblGrid>
      <w:tr>
        <w:tc>
          <w:tcPr>
            <w:tcW w:type="dxa" w:w="1944"/>
            <w:shd w:val="clear" w:color="auto" w:fill="DEEAF6"/>
          </w:tcPr>
          <w:p>
            <w:r/>
            <w:r>
              <w:rPr>
                <w:b/>
                <w:i w:val="0"/>
                <w:sz w:val="17"/>
              </w:rPr>
              <w:t>References</w:t>
            </w:r>
          </w:p>
        </w:tc>
        <w:tc>
          <w:tcPr>
            <w:tcW w:type="dxa" w:w="7704"/>
          </w:tcPr>
          <w:p>
            <w:r/>
            <w:r>
              <w:rPr>
                <w:b w:val="0"/>
                <w:i w:val="0"/>
                <w:sz w:val="17"/>
              </w:rPr>
              <w:t>TS: TS §13.1–13.2  |  PPA: PPA §14.1–14.2; §5.2; §5.3</w:t>
            </w:r>
          </w:p>
        </w:tc>
      </w:tr>
      <w:tr>
        <w:tc>
          <w:tcPr>
            <w:tcW w:type="dxa" w:w="1944"/>
            <w:shd w:val="clear" w:color="auto" w:fill="DEEAF6"/>
          </w:tcPr>
          <w:p>
            <w:r/>
            <w:r>
              <w:rPr>
                <w:b/>
                <w:i w:val="0"/>
                <w:sz w:val="17"/>
              </w:rPr>
              <w:t>Term Sheet</w:t>
            </w:r>
          </w:p>
        </w:tc>
        <w:tc>
          <w:tcPr>
            <w:tcW w:type="dxa" w:w="7704"/>
          </w:tcPr>
          <w:p>
            <w:r/>
            <w:r>
              <w:rPr>
                <w:b w:val="0"/>
                <w:i w:val="0"/>
                <w:sz w:val="17"/>
              </w:rPr>
              <w:t>Each Party bears own change-of-law costs, EXCEPT Buyer bears 100% of new transmission charges, access fees, ancillary charges or other transmission-related costs imposed on the Project or on delivery to the Delivery Point by any authority/RTO/SPP after execution.</w:t>
            </w:r>
          </w:p>
        </w:tc>
      </w:tr>
      <w:tr>
        <w:tc>
          <w:tcPr>
            <w:tcW w:type="dxa" w:w="1944"/>
            <w:shd w:val="clear" w:color="auto" w:fill="DEEAF6"/>
          </w:tcPr>
          <w:p>
            <w:r/>
            <w:r>
              <w:rPr>
                <w:b/>
                <w:i w:val="0"/>
                <w:sz w:val="17"/>
              </w:rPr>
              <w:t>Executed PPA</w:t>
            </w:r>
          </w:p>
        </w:tc>
        <w:tc>
          <w:tcPr>
            <w:tcW w:type="dxa" w:w="7704"/>
          </w:tcPr>
          <w:p>
            <w:r/>
            <w:r>
              <w:rPr>
                <w:b w:val="0"/>
                <w:i w:val="0"/>
                <w:sz w:val="17"/>
              </w:rPr>
              <w:t>Generic “each Party bears its own increased costs” clause, triggered only by a “material increase” of &gt;$500,000 per Contract Year, with non-binding good-faith renegotiation. No transmission carve-out. §5.2 puts all costs to deliver to the Delivery Point (including network upgrades and maintaining the LGIA) on Seller; §5.3 only allocates charges from the Delivery Point to Buyer’s load to Buyer.</w:t>
            </w:r>
          </w:p>
        </w:tc>
      </w:tr>
      <w:tr>
        <w:tc>
          <w:tcPr>
            <w:tcW w:type="dxa" w:w="1944"/>
            <w:shd w:val="clear" w:color="auto" w:fill="DEEAF6"/>
          </w:tcPr>
          <w:p>
            <w:r/>
            <w:r>
              <w:rPr>
                <w:b/>
                <w:i w:val="0"/>
                <w:sz w:val="17"/>
              </w:rPr>
              <w:t>Status / effect / severity</w:t>
            </w:r>
          </w:p>
        </w:tc>
        <w:tc>
          <w:tcPr>
            <w:tcW w:type="dxa" w:w="7704"/>
          </w:tcPr>
          <w:p>
            <w:r/>
            <w:r>
              <w:rPr>
                <w:b w:val="0"/>
                <w:i w:val="0"/>
                <w:sz w:val="17"/>
              </w:rPr>
              <w:t xml:space="preserve">NOT AGREED  |  Adverse  |  </w:t>
            </w:r>
            <w:r>
              <w:rPr>
                <w:b/>
                <w:i w:val="0"/>
                <w:sz w:val="17"/>
              </w:rPr>
              <w:t>High</w:t>
            </w:r>
            <w:r>
              <w:rPr>
                <w:b w:val="0"/>
                <w:i w:val="0"/>
                <w:sz w:val="17"/>
              </w:rPr>
              <w:t xml:space="preserve">  |  Checklist Item(s) 22, 12</w:t>
            </w:r>
          </w:p>
        </w:tc>
      </w:tr>
      <w:tr>
        <w:tc>
          <w:tcPr>
            <w:tcW w:type="dxa" w:w="1944"/>
            <w:shd w:val="clear" w:color="auto" w:fill="DEEAF6"/>
          </w:tcPr>
          <w:p>
            <w:r/>
            <w:r>
              <w:rPr>
                <w:b/>
                <w:i w:val="0"/>
                <w:sz w:val="17"/>
              </w:rPr>
              <w:t>Negotiation record</w:t>
            </w:r>
          </w:p>
        </w:tc>
        <w:tc>
          <w:tcPr>
            <w:tcW w:type="dxa" w:w="7704"/>
          </w:tcPr>
          <w:p>
            <w:r/>
            <w:r>
              <w:rPr>
                <w:b w:val="0"/>
                <w:i w:val="0"/>
                <w:sz w:val="17"/>
              </w:rPr>
              <w:t>Negotiation Summary §2: Mr. Langdon’s initial draft had the generic clause; Seller “pushed back” in its first comments and required the specific carve-out. The executed text is the initial draft position.</w:t>
            </w:r>
          </w:p>
        </w:tc>
      </w:tr>
      <w:tr>
        <w:tc>
          <w:tcPr>
            <w:tcW w:type="dxa" w:w="1944"/>
            <w:shd w:val="clear" w:color="auto" w:fill="DEEAF6"/>
          </w:tcPr>
          <w:p>
            <w:r/>
            <w:r>
              <w:rPr>
                <w:b/>
                <w:i w:val="0"/>
                <w:sz w:val="17"/>
              </w:rPr>
              <w:t>Impact</w:t>
            </w:r>
          </w:p>
        </w:tc>
        <w:tc>
          <w:tcPr>
            <w:tcW w:type="dxa" w:w="7704"/>
          </w:tcPr>
          <w:p>
            <w:r/>
            <w:r>
              <w:rPr>
                <w:b w:val="0"/>
                <w:i w:val="0"/>
                <w:sz w:val="17"/>
              </w:rPr>
              <w:t>New SPP transmission/ancillary charges imposed on generators (a live SPP policy area) would fall on Seller for 20 years with no price relief — an unquantified, uncapped revenue risk that Ridgeline and Elkhorn will stress in the model (Items 22, 40).</w:t>
            </w:r>
          </w:p>
        </w:tc>
      </w:tr>
      <w:tr>
        <w:tc>
          <w:tcPr>
            <w:tcW w:type="dxa" w:w="1944"/>
            <w:shd w:val="clear" w:color="auto" w:fill="DEEAF6"/>
          </w:tcPr>
          <w:p>
            <w:r/>
            <w:r>
              <w:rPr>
                <w:b/>
                <w:i w:val="0"/>
                <w:sz w:val="17"/>
              </w:rPr>
              <w:t>Recommendation</w:t>
            </w:r>
          </w:p>
        </w:tc>
        <w:tc>
          <w:tcPr>
            <w:tcW w:type="dxa" w:w="7704"/>
          </w:tcPr>
          <w:p>
            <w:r/>
            <w:r>
              <w:rPr>
                <w:b w:val="0"/>
                <w:i w:val="0"/>
                <w:sz w:val="17"/>
              </w:rPr>
              <w:t>Insert TS §13.2 verbatim as new §14.2(b), and make clear §5.2 does not allocate post-execution new transmission-related charges to Seller.</w:t>
            </w:r>
          </w:p>
        </w:tc>
      </w:tr>
    </w:tbl>
    <w:p>
      <w:pPr>
        <w:spacing w:after="40"/>
      </w:pPr>
    </w:p>
    <w:p>
      <w:pPr>
        <w:pStyle w:val="Heading3"/>
      </w:pPr>
      <w:r>
        <w:t>D-11  Dispute resolution: litigation in Osage County District Court instead of mediation + AAA arbitration</w:t>
      </w:r>
    </w:p>
    <w:tbl>
      <w:tblPr>
        <w:tblStyle w:val="TableGrid"/>
        <w:tblW w:type="auto" w:w="0"/>
        <w:tblLook w:firstColumn="1" w:firstRow="1" w:lastColumn="0" w:lastRow="0" w:noHBand="0" w:noVBand="1" w:val="04A0"/>
      </w:tblPr>
      <w:tblGrid>
        <w:gridCol w:w="4824"/>
        <w:gridCol w:w="4824"/>
      </w:tblGrid>
      <w:tr>
        <w:tc>
          <w:tcPr>
            <w:tcW w:type="dxa" w:w="1944"/>
            <w:shd w:val="clear" w:color="auto" w:fill="DEEAF6"/>
          </w:tcPr>
          <w:p>
            <w:r/>
            <w:r>
              <w:rPr>
                <w:b/>
                <w:i w:val="0"/>
                <w:sz w:val="17"/>
              </w:rPr>
              <w:t>References</w:t>
            </w:r>
          </w:p>
        </w:tc>
        <w:tc>
          <w:tcPr>
            <w:tcW w:type="dxa" w:w="7704"/>
          </w:tcPr>
          <w:p>
            <w:r/>
            <w:r>
              <w:rPr>
                <w:b w:val="0"/>
                <w:i w:val="0"/>
                <w:sz w:val="17"/>
              </w:rPr>
              <w:t>TS: TS §17.1–17.5  |  PPA: PPA §19.1–19.4</w:t>
            </w:r>
          </w:p>
        </w:tc>
      </w:tr>
      <w:tr>
        <w:tc>
          <w:tcPr>
            <w:tcW w:type="dxa" w:w="1944"/>
            <w:shd w:val="clear" w:color="auto" w:fill="DEEAF6"/>
          </w:tcPr>
          <w:p>
            <w:r/>
            <w:r>
              <w:rPr>
                <w:b/>
                <w:i w:val="0"/>
                <w:sz w:val="17"/>
              </w:rPr>
              <w:t>Term Sheet</w:t>
            </w:r>
          </w:p>
        </w:tc>
        <w:tc>
          <w:tcPr>
            <w:tcW w:type="dxa" w:w="7704"/>
          </w:tcPr>
          <w:p>
            <w:r/>
            <w:r>
              <w:rPr>
                <w:b w:val="0"/>
                <w:i w:val="0"/>
                <w:sz w:val="17"/>
              </w:rPr>
              <w:t>Non-binding AAA mediation (Oklahoma City); then binding AAA Commercial arbitration, three arbitrators, seated in Oklahoma City, reasoned award; confidential; costs shared.</w:t>
            </w:r>
          </w:p>
        </w:tc>
      </w:tr>
      <w:tr>
        <w:tc>
          <w:tcPr>
            <w:tcW w:type="dxa" w:w="1944"/>
            <w:shd w:val="clear" w:color="auto" w:fill="DEEAF6"/>
          </w:tcPr>
          <w:p>
            <w:r/>
            <w:r>
              <w:rPr>
                <w:b/>
                <w:i w:val="0"/>
                <w:sz w:val="17"/>
              </w:rPr>
              <w:t>Executed PPA</w:t>
            </w:r>
          </w:p>
        </w:tc>
        <w:tc>
          <w:tcPr>
            <w:tcW w:type="dxa" w:w="7704"/>
          </w:tcPr>
          <w:p>
            <w:r/>
            <w:r>
              <w:rPr>
                <w:b w:val="0"/>
                <w:i w:val="0"/>
                <w:sz w:val="17"/>
              </w:rPr>
              <w:t>30-day executive negotiation; non-AAA mediation in Oklahoma City (60 days); then exclusive jurisdiction of the District Court of Osage County; no arbitration; no confidentiality of proceedings (only mediation statements); waiver of fee recovery.</w:t>
            </w:r>
          </w:p>
        </w:tc>
      </w:tr>
      <w:tr>
        <w:tc>
          <w:tcPr>
            <w:tcW w:type="dxa" w:w="1944"/>
            <w:shd w:val="clear" w:color="auto" w:fill="DEEAF6"/>
          </w:tcPr>
          <w:p>
            <w:r/>
            <w:r>
              <w:rPr>
                <w:b/>
                <w:i w:val="0"/>
                <w:sz w:val="17"/>
              </w:rPr>
              <w:t>Status / effect / severity</w:t>
            </w:r>
          </w:p>
        </w:tc>
        <w:tc>
          <w:tcPr>
            <w:tcW w:type="dxa" w:w="7704"/>
          </w:tcPr>
          <w:p>
            <w:r/>
            <w:r>
              <w:rPr>
                <w:b w:val="0"/>
                <w:i w:val="0"/>
                <w:sz w:val="17"/>
              </w:rPr>
              <w:t xml:space="preserve">NOT AGREED  |  Adverse  |  </w:t>
            </w:r>
            <w:r>
              <w:rPr>
                <w:b/>
                <w:i w:val="0"/>
                <w:sz w:val="17"/>
              </w:rPr>
              <w:t>High</w:t>
            </w:r>
            <w:r>
              <w:rPr>
                <w:b w:val="0"/>
                <w:i w:val="0"/>
                <w:sz w:val="17"/>
              </w:rPr>
              <w:t xml:space="preserve">  |  Checklist Item(s) 43, 12(vii)</w:t>
            </w:r>
          </w:p>
        </w:tc>
      </w:tr>
      <w:tr>
        <w:tc>
          <w:tcPr>
            <w:tcW w:type="dxa" w:w="1944"/>
            <w:shd w:val="clear" w:color="auto" w:fill="DEEAF6"/>
          </w:tcPr>
          <w:p>
            <w:r/>
            <w:r>
              <w:rPr>
                <w:b/>
                <w:i w:val="0"/>
                <w:sz w:val="17"/>
              </w:rPr>
              <w:t>Negotiation record</w:t>
            </w:r>
          </w:p>
        </w:tc>
        <w:tc>
          <w:tcPr>
            <w:tcW w:type="dxa" w:w="7704"/>
          </w:tcPr>
          <w:p>
            <w:r/>
            <w:r>
              <w:rPr>
                <w:b w:val="0"/>
                <w:i w:val="0"/>
                <w:sz w:val="17"/>
              </w:rPr>
              <w:t>Negotiation Summary §2: Mr. Langdon’s first draft had Osage County litigation; Seller flagged it “as unacceptable” and believed he agreed to revert to arbitration.</w:t>
            </w:r>
          </w:p>
        </w:tc>
      </w:tr>
      <w:tr>
        <w:tc>
          <w:tcPr>
            <w:tcW w:type="dxa" w:w="1944"/>
            <w:shd w:val="clear" w:color="auto" w:fill="DEEAF6"/>
          </w:tcPr>
          <w:p>
            <w:r/>
            <w:r>
              <w:rPr>
                <w:b/>
                <w:i w:val="0"/>
                <w:sz w:val="17"/>
              </w:rPr>
              <w:t>Impact</w:t>
            </w:r>
          </w:p>
        </w:tc>
        <w:tc>
          <w:tcPr>
            <w:tcW w:type="dxa" w:w="7704"/>
          </w:tcPr>
          <w:p>
            <w:r/>
            <w:r>
              <w:rPr>
                <w:b w:val="0"/>
                <w:i w:val="0"/>
                <w:sz w:val="17"/>
              </w:rPr>
              <w:t>Public proceedings in the Buyer’s home-county court, before local jurors, against a municipal utility serving the region; loss of confidentiality (which the Checklist notes is relevant to tax equity); no specialist tribunal for curtailment/SCADA measurement disputes (§6.3) or the Exhibit B pricing conflict.</w:t>
            </w:r>
          </w:p>
        </w:tc>
      </w:tr>
      <w:tr>
        <w:tc>
          <w:tcPr>
            <w:tcW w:type="dxa" w:w="1944"/>
            <w:shd w:val="clear" w:color="auto" w:fill="DEEAF6"/>
          </w:tcPr>
          <w:p>
            <w:r/>
            <w:r>
              <w:rPr>
                <w:b/>
                <w:i w:val="0"/>
                <w:sz w:val="17"/>
              </w:rPr>
              <w:t>Recommendation</w:t>
            </w:r>
          </w:p>
        </w:tc>
        <w:tc>
          <w:tcPr>
            <w:tcW w:type="dxa" w:w="7704"/>
          </w:tcPr>
          <w:p>
            <w:r/>
            <w:r>
              <w:rPr>
                <w:b w:val="0"/>
                <w:i w:val="0"/>
                <w:sz w:val="17"/>
              </w:rPr>
              <w:t>Replace Article 19 with TS §17 (AAA mediation, three-arbitrator AAA arbitration seated in Oklahoma City, confidentiality per TS §17.4 including disclosure to Financing Parties).</w:t>
            </w:r>
          </w:p>
        </w:tc>
      </w:tr>
    </w:tbl>
    <w:p>
      <w:pPr>
        <w:spacing w:after="40"/>
      </w:pPr>
    </w:p>
    <w:p>
      <w:pPr>
        <w:pStyle w:val="Heading2"/>
      </w:pPr>
      <w:r>
        <w:t>4.6 Credit support</w:t>
      </w:r>
    </w:p>
    <w:p>
      <w:pPr>
        <w:pStyle w:val="Heading3"/>
      </w:pPr>
      <w:r>
        <w:t>D-21  Performance bond due within 30 days of Effective Date (not 30 days before construction)</w:t>
      </w:r>
    </w:p>
    <w:tbl>
      <w:tblPr>
        <w:tblStyle w:val="TableGrid"/>
        <w:tblW w:type="auto" w:w="0"/>
        <w:tblLook w:firstColumn="1" w:firstRow="1" w:lastColumn="0" w:lastRow="0" w:noHBand="0" w:noVBand="1" w:val="04A0"/>
      </w:tblPr>
      <w:tblGrid>
        <w:gridCol w:w="4824"/>
        <w:gridCol w:w="4824"/>
      </w:tblGrid>
      <w:tr>
        <w:tc>
          <w:tcPr>
            <w:tcW w:type="dxa" w:w="1944"/>
            <w:shd w:val="clear" w:color="auto" w:fill="DEEAF6"/>
          </w:tcPr>
          <w:p>
            <w:r/>
            <w:r>
              <w:rPr>
                <w:b/>
                <w:i w:val="0"/>
                <w:sz w:val="17"/>
              </w:rPr>
              <w:t>References</w:t>
            </w:r>
          </w:p>
        </w:tc>
        <w:tc>
          <w:tcPr>
            <w:tcW w:type="dxa" w:w="7704"/>
          </w:tcPr>
          <w:p>
            <w:r/>
            <w:r>
              <w:rPr>
                <w:b w:val="0"/>
                <w:i w:val="0"/>
                <w:sz w:val="17"/>
              </w:rPr>
              <w:t>TS: TS §11.1–11.2, §11.4  |  PPA: PPA §13.1; §2.4(a); Ex. F §2</w:t>
            </w:r>
          </w:p>
        </w:tc>
      </w:tr>
      <w:tr>
        <w:tc>
          <w:tcPr>
            <w:tcW w:type="dxa" w:w="1944"/>
            <w:shd w:val="clear" w:color="auto" w:fill="DEEAF6"/>
          </w:tcPr>
          <w:p>
            <w:r/>
            <w:r>
              <w:rPr>
                <w:b/>
                <w:i w:val="0"/>
                <w:sz w:val="17"/>
              </w:rPr>
              <w:t>Term Sheet</w:t>
            </w:r>
          </w:p>
        </w:tc>
        <w:tc>
          <w:tcPr>
            <w:tcW w:type="dxa" w:w="7704"/>
          </w:tcPr>
          <w:p>
            <w:r/>
            <w:r>
              <w:rPr>
                <w:b w:val="0"/>
                <w:i w:val="0"/>
                <w:sz w:val="17"/>
              </w:rPr>
              <w:t>$7.5M bond, surety rated ≥ A– (Atlas or equivalent NRSRO), posted no later than 30 days prior to commencement of construction.</w:t>
            </w:r>
          </w:p>
        </w:tc>
      </w:tr>
      <w:tr>
        <w:tc>
          <w:tcPr>
            <w:tcW w:type="dxa" w:w="1944"/>
            <w:shd w:val="clear" w:color="auto" w:fill="DEEAF6"/>
          </w:tcPr>
          <w:p>
            <w:r/>
            <w:r>
              <w:rPr>
                <w:b/>
                <w:i w:val="0"/>
                <w:sz w:val="17"/>
              </w:rPr>
              <w:t>Executed PPA</w:t>
            </w:r>
          </w:p>
        </w:tc>
        <w:tc>
          <w:tcPr>
            <w:tcW w:type="dxa" w:w="7704"/>
          </w:tcPr>
          <w:p>
            <w:r/>
            <w:r>
              <w:rPr>
                <w:b w:val="0"/>
                <w:i w:val="0"/>
                <w:sz w:val="17"/>
              </w:rPr>
              <w:t xml:space="preserve">$7.5M bond, surety rated ≥ A– by Atlas Credit Services only, delivered within 30 days of the Effective Date (i.e., by </w:t>
            </w:r>
            <w:r>
              <w:rPr>
                <w:b/>
                <w:i w:val="0"/>
                <w:sz w:val="17"/>
              </w:rPr>
              <w:t>March 6, 2025</w:t>
            </w:r>
            <w:r>
              <w:rPr>
                <w:b w:val="0"/>
                <w:i w:val="0"/>
                <w:sz w:val="17"/>
              </w:rPr>
              <w:t>); effective from the Effective Date; failure is an Event of Default after 30 days’ notice (§18.1(c)).</w:t>
            </w:r>
          </w:p>
        </w:tc>
      </w:tr>
      <w:tr>
        <w:tc>
          <w:tcPr>
            <w:tcW w:type="dxa" w:w="1944"/>
            <w:shd w:val="clear" w:color="auto" w:fill="DEEAF6"/>
          </w:tcPr>
          <w:p>
            <w:r/>
            <w:r>
              <w:rPr>
                <w:b/>
                <w:i w:val="0"/>
                <w:sz w:val="17"/>
              </w:rPr>
              <w:t>Status / effect / severity</w:t>
            </w:r>
          </w:p>
        </w:tc>
        <w:tc>
          <w:tcPr>
            <w:tcW w:type="dxa" w:w="7704"/>
          </w:tcPr>
          <w:p>
            <w:r/>
            <w:r>
              <w:rPr>
                <w:b w:val="0"/>
                <w:i w:val="0"/>
                <w:sz w:val="17"/>
              </w:rPr>
              <w:t xml:space="preserve">NOT AGREED  |  Adverse  |  </w:t>
            </w:r>
            <w:r>
              <w:rPr>
                <w:b/>
                <w:i w:val="0"/>
                <w:sz w:val="17"/>
              </w:rPr>
              <w:t>Medium (urgent)</w:t>
            </w:r>
            <w:r>
              <w:rPr>
                <w:b w:val="0"/>
                <w:i w:val="0"/>
                <w:sz w:val="17"/>
              </w:rPr>
              <w:t xml:space="preserve">  |  Checklist Item(s) 16</w:t>
            </w:r>
          </w:p>
        </w:tc>
      </w:tr>
      <w:tr>
        <w:tc>
          <w:tcPr>
            <w:tcW w:type="dxa" w:w="1944"/>
            <w:shd w:val="clear" w:color="auto" w:fill="DEEAF6"/>
          </w:tcPr>
          <w:p>
            <w:r/>
            <w:r>
              <w:rPr>
                <w:b/>
                <w:i w:val="0"/>
                <w:sz w:val="17"/>
              </w:rPr>
              <w:t>Negotiation record</w:t>
            </w:r>
          </w:p>
        </w:tc>
        <w:tc>
          <w:tcPr>
            <w:tcW w:type="dxa" w:w="7704"/>
          </w:tcPr>
          <w:p>
            <w:r/>
            <w:r>
              <w:rPr>
                <w:b w:val="0"/>
                <w:i w:val="0"/>
                <w:sz w:val="17"/>
              </w:rPr>
              <w:t>Not discussed.</w:t>
            </w:r>
          </w:p>
        </w:tc>
      </w:tr>
      <w:tr>
        <w:tc>
          <w:tcPr>
            <w:tcW w:type="dxa" w:w="1944"/>
            <w:shd w:val="clear" w:color="auto" w:fill="DEEAF6"/>
          </w:tcPr>
          <w:p>
            <w:r/>
            <w:r>
              <w:rPr>
                <w:b/>
                <w:i w:val="0"/>
                <w:sz w:val="17"/>
              </w:rPr>
              <w:t>Impact</w:t>
            </w:r>
          </w:p>
        </w:tc>
        <w:tc>
          <w:tcPr>
            <w:tcW w:type="dxa" w:w="7704"/>
          </w:tcPr>
          <w:p>
            <w:r/>
            <w:r>
              <w:rPr>
                <w:b w:val="0"/>
                <w:i w:val="0"/>
                <w:sz w:val="17"/>
              </w:rPr>
              <w:t>Checklist Item 16 shows Highpoint Surety &amp; Hartleigh Co. rating confirmation still pending as of late February. If not delivered by March 6, 2025, Buyer can serve notice starting the 30-day clock to an Event of Default — weeks before close. Rating requirement narrowed to Atlas only (TS allowed equivalent rating from another agency).</w:t>
            </w:r>
          </w:p>
        </w:tc>
      </w:tr>
      <w:tr>
        <w:tc>
          <w:tcPr>
            <w:tcW w:type="dxa" w:w="1944"/>
            <w:shd w:val="clear" w:color="auto" w:fill="DEEAF6"/>
          </w:tcPr>
          <w:p>
            <w:r/>
            <w:r>
              <w:rPr>
                <w:b/>
                <w:i w:val="0"/>
                <w:sz w:val="17"/>
              </w:rPr>
              <w:t>Recommendation</w:t>
            </w:r>
          </w:p>
        </w:tc>
        <w:tc>
          <w:tcPr>
            <w:tcW w:type="dxa" w:w="7704"/>
          </w:tcPr>
          <w:p>
            <w:r/>
            <w:r>
              <w:rPr>
                <w:b w:val="0"/>
                <w:i w:val="0"/>
                <w:sz w:val="17"/>
              </w:rPr>
              <w:t>Confirm bond delivery status immediately; if not delivered, either deliver now or obtain Buyer’s written extension; restore TS timing and “or equivalent rating” language in the First Amendment.</w:t>
            </w:r>
          </w:p>
        </w:tc>
      </w:tr>
    </w:tbl>
    <w:p>
      <w:pPr>
        <w:spacing w:after="40"/>
      </w:pPr>
    </w:p>
    <w:p>
      <w:pPr>
        <w:pStyle w:val="Heading3"/>
      </w:pPr>
      <w:r>
        <w:t>D-22  Bond step-down omitted; bond covers all obligations for full Term on demand</w:t>
      </w:r>
    </w:p>
    <w:tbl>
      <w:tblPr>
        <w:tblStyle w:val="TableGrid"/>
        <w:tblW w:type="auto" w:w="0"/>
        <w:tblLook w:firstColumn="1" w:firstRow="1" w:lastColumn="0" w:lastRow="0" w:noHBand="0" w:noVBand="1" w:val="04A0"/>
      </w:tblPr>
      <w:tblGrid>
        <w:gridCol w:w="4824"/>
        <w:gridCol w:w="4824"/>
      </w:tblGrid>
      <w:tr>
        <w:tc>
          <w:tcPr>
            <w:tcW w:type="dxa" w:w="1944"/>
            <w:shd w:val="clear" w:color="auto" w:fill="DEEAF6"/>
          </w:tcPr>
          <w:p>
            <w:r/>
            <w:r>
              <w:rPr>
                <w:b/>
                <w:i w:val="0"/>
                <w:sz w:val="17"/>
              </w:rPr>
              <w:t>References</w:t>
            </w:r>
          </w:p>
        </w:tc>
        <w:tc>
          <w:tcPr>
            <w:tcW w:type="dxa" w:w="7704"/>
          </w:tcPr>
          <w:p>
            <w:r/>
            <w:r>
              <w:rPr>
                <w:b w:val="0"/>
                <w:i w:val="0"/>
                <w:sz w:val="17"/>
              </w:rPr>
              <w:t>TS: TS §11.3  |  PPA: PPA §13.1; Ex. F §§1–3</w:t>
            </w:r>
          </w:p>
        </w:tc>
      </w:tr>
      <w:tr>
        <w:tc>
          <w:tcPr>
            <w:tcW w:type="dxa" w:w="1944"/>
            <w:shd w:val="clear" w:color="auto" w:fill="DEEAF6"/>
          </w:tcPr>
          <w:p>
            <w:r/>
            <w:r>
              <w:rPr>
                <w:b/>
                <w:i w:val="0"/>
                <w:sz w:val="17"/>
              </w:rPr>
              <w:t>Term Sheet</w:t>
            </w:r>
          </w:p>
        </w:tc>
        <w:tc>
          <w:tcPr>
            <w:tcW w:type="dxa" w:w="7704"/>
          </w:tcPr>
          <w:p>
            <w:r/>
            <w:r>
              <w:rPr>
                <w:b w:val="0"/>
                <w:i w:val="0"/>
                <w:sz w:val="17"/>
              </w:rPr>
              <w:t>Full amount for first 5 Contract Years after COD, then reduced to $3,750,000 for remainder of Term (or other agreed schedule).</w:t>
            </w:r>
          </w:p>
        </w:tc>
      </w:tr>
      <w:tr>
        <w:tc>
          <w:tcPr>
            <w:tcW w:type="dxa" w:w="1944"/>
            <w:shd w:val="clear" w:color="auto" w:fill="DEEAF6"/>
          </w:tcPr>
          <w:p>
            <w:r/>
            <w:r>
              <w:rPr>
                <w:b/>
                <w:i w:val="0"/>
                <w:sz w:val="17"/>
              </w:rPr>
              <w:t>Executed PPA</w:t>
            </w:r>
          </w:p>
        </w:tc>
        <w:tc>
          <w:tcPr>
            <w:tcW w:type="dxa" w:w="7704"/>
          </w:tcPr>
          <w:p>
            <w:r/>
            <w:r>
              <w:rPr>
                <w:b w:val="0"/>
                <w:i w:val="0"/>
                <w:sz w:val="17"/>
              </w:rPr>
              <w:t>Full $7.5M for the entire Term, renewable annually, with replacement within 30 days of surety downgrade; Ex. F guarantees “all” Seller obligations and is payable on Buyer’s certification of default, without exhaustion.</w:t>
            </w:r>
          </w:p>
        </w:tc>
      </w:tr>
      <w:tr>
        <w:tc>
          <w:tcPr>
            <w:tcW w:type="dxa" w:w="1944"/>
            <w:shd w:val="clear" w:color="auto" w:fill="DEEAF6"/>
          </w:tcPr>
          <w:p>
            <w:r/>
            <w:r>
              <w:rPr>
                <w:b/>
                <w:i w:val="0"/>
                <w:sz w:val="17"/>
              </w:rPr>
              <w:t>Status / effect / severity</w:t>
            </w:r>
          </w:p>
        </w:tc>
        <w:tc>
          <w:tcPr>
            <w:tcW w:type="dxa" w:w="7704"/>
          </w:tcPr>
          <w:p>
            <w:r/>
            <w:r>
              <w:rPr>
                <w:b w:val="0"/>
                <w:i w:val="0"/>
                <w:sz w:val="17"/>
              </w:rPr>
              <w:t xml:space="preserve">NOT AGREED  |  Adverse  |  </w:t>
            </w:r>
            <w:r>
              <w:rPr>
                <w:b/>
                <w:i w:val="0"/>
                <w:sz w:val="17"/>
              </w:rPr>
              <w:t>Medium</w:t>
            </w:r>
            <w:r>
              <w:rPr>
                <w:b w:val="0"/>
                <w:i w:val="0"/>
                <w:sz w:val="17"/>
              </w:rPr>
              <w:t xml:space="preserve">  |  Checklist Item(s) 16, 28</w:t>
            </w:r>
          </w:p>
        </w:tc>
      </w:tr>
      <w:tr>
        <w:tc>
          <w:tcPr>
            <w:tcW w:type="dxa" w:w="1944"/>
            <w:shd w:val="clear" w:color="auto" w:fill="DEEAF6"/>
          </w:tcPr>
          <w:p>
            <w:r/>
            <w:r>
              <w:rPr>
                <w:b/>
                <w:i w:val="0"/>
                <w:sz w:val="17"/>
              </w:rPr>
              <w:t>Negotiation record</w:t>
            </w:r>
          </w:p>
        </w:tc>
        <w:tc>
          <w:tcPr>
            <w:tcW w:type="dxa" w:w="7704"/>
          </w:tcPr>
          <w:p>
            <w:r/>
            <w:r>
              <w:rPr>
                <w:b w:val="0"/>
                <w:i w:val="0"/>
                <w:sz w:val="17"/>
              </w:rPr>
              <w:t>Not discussed.</w:t>
            </w:r>
          </w:p>
        </w:tc>
      </w:tr>
      <w:tr>
        <w:tc>
          <w:tcPr>
            <w:tcW w:type="dxa" w:w="1944"/>
            <w:shd w:val="clear" w:color="auto" w:fill="DEEAF6"/>
          </w:tcPr>
          <w:p>
            <w:r/>
            <w:r>
              <w:rPr>
                <w:b/>
                <w:i w:val="0"/>
                <w:sz w:val="17"/>
              </w:rPr>
              <w:t>Impact</w:t>
            </w:r>
          </w:p>
        </w:tc>
        <w:tc>
          <w:tcPr>
            <w:tcW w:type="dxa" w:w="7704"/>
          </w:tcPr>
          <w:p>
            <w:r/>
            <w:r>
              <w:rPr>
                <w:b w:val="0"/>
                <w:i w:val="0"/>
                <w:sz w:val="17"/>
              </w:rPr>
              <w:t>Higher bonding cost and capacity usage for ~15 additional years at the full amount; on-demand certification feature behaves closer to a letter of credit and increases draw risk (e.g., in combination with D-7 and D-14).</w:t>
            </w:r>
          </w:p>
        </w:tc>
      </w:tr>
      <w:tr>
        <w:tc>
          <w:tcPr>
            <w:tcW w:type="dxa" w:w="1944"/>
            <w:shd w:val="clear" w:color="auto" w:fill="DEEAF6"/>
          </w:tcPr>
          <w:p>
            <w:r/>
            <w:r>
              <w:rPr>
                <w:b/>
                <w:i w:val="0"/>
                <w:sz w:val="17"/>
              </w:rPr>
              <w:t>Recommendation</w:t>
            </w:r>
          </w:p>
        </w:tc>
        <w:tc>
          <w:tcPr>
            <w:tcW w:type="dxa" w:w="7704"/>
          </w:tcPr>
          <w:p>
            <w:r/>
            <w:r>
              <w:rPr>
                <w:b w:val="0"/>
                <w:i w:val="0"/>
                <w:sz w:val="17"/>
              </w:rPr>
              <w:t>Restore step-down to $3.75M after CY5; limit bond scope to Delay LDs, Shortfall/Availability LDs and termination payments as capped; require a final, non-appealable determination or a cure period before draw.</w:t>
            </w:r>
          </w:p>
        </w:tc>
      </w:tr>
    </w:tbl>
    <w:p>
      <w:pPr>
        <w:spacing w:after="40"/>
      </w:pPr>
    </w:p>
    <w:p>
      <w:pPr>
        <w:pStyle w:val="Heading3"/>
      </w:pPr>
      <w:r>
        <w:t>D-24  Buyer credit support conditional; downgrade collateral</w:t>
      </w:r>
    </w:p>
    <w:tbl>
      <w:tblPr>
        <w:tblStyle w:val="TableGrid"/>
        <w:tblW w:type="auto" w:w="0"/>
        <w:tblLook w:firstColumn="1" w:firstRow="1" w:lastColumn="0" w:lastRow="0" w:noHBand="0" w:noVBand="1" w:val="04A0"/>
      </w:tblPr>
      <w:tblGrid>
        <w:gridCol w:w="4824"/>
        <w:gridCol w:w="4824"/>
      </w:tblGrid>
      <w:tr>
        <w:tc>
          <w:tcPr>
            <w:tcW w:type="dxa" w:w="1944"/>
            <w:shd w:val="clear" w:color="auto" w:fill="DEEAF6"/>
          </w:tcPr>
          <w:p>
            <w:r/>
            <w:r>
              <w:rPr>
                <w:b/>
                <w:i w:val="0"/>
                <w:sz w:val="17"/>
              </w:rPr>
              <w:t>References</w:t>
            </w:r>
          </w:p>
        </w:tc>
        <w:tc>
          <w:tcPr>
            <w:tcW w:type="dxa" w:w="7704"/>
          </w:tcPr>
          <w:p>
            <w:r/>
            <w:r>
              <w:rPr>
                <w:b w:val="0"/>
                <w:i w:val="0"/>
                <w:sz w:val="17"/>
              </w:rPr>
              <w:t>TS: TS §12.1–12.2  |  PPA: PPA §13.2, §13.3; §2.3(e)</w:t>
            </w:r>
          </w:p>
        </w:tc>
      </w:tr>
      <w:tr>
        <w:tc>
          <w:tcPr>
            <w:tcW w:type="dxa" w:w="1944"/>
            <w:shd w:val="clear" w:color="auto" w:fill="DEEAF6"/>
          </w:tcPr>
          <w:p>
            <w:r/>
            <w:r>
              <w:rPr>
                <w:b/>
                <w:i w:val="0"/>
                <w:sz w:val="17"/>
              </w:rPr>
              <w:t>Term Sheet</w:t>
            </w:r>
          </w:p>
        </w:tc>
        <w:tc>
          <w:tcPr>
            <w:tcW w:type="dxa" w:w="7704"/>
          </w:tcPr>
          <w:p>
            <w:r/>
            <w:r>
              <w:rPr>
                <w:b w:val="0"/>
                <w:i w:val="0"/>
                <w:sz w:val="17"/>
              </w:rPr>
              <w:t>No Buyer credit support required.</w:t>
            </w:r>
          </w:p>
        </w:tc>
      </w:tr>
      <w:tr>
        <w:tc>
          <w:tcPr>
            <w:tcW w:type="dxa" w:w="1944"/>
            <w:shd w:val="clear" w:color="auto" w:fill="DEEAF6"/>
          </w:tcPr>
          <w:p>
            <w:r/>
            <w:r>
              <w:rPr>
                <w:b/>
                <w:i w:val="0"/>
                <w:sz w:val="17"/>
              </w:rPr>
              <w:t>Executed PPA</w:t>
            </w:r>
          </w:p>
        </w:tc>
        <w:tc>
          <w:tcPr>
            <w:tcW w:type="dxa" w:w="7704"/>
          </w:tcPr>
          <w:p>
            <w:r/>
            <w:r>
              <w:rPr>
                <w:b w:val="0"/>
                <w:i w:val="0"/>
                <w:sz w:val="17"/>
              </w:rPr>
              <w:t>None required so long as Buyer keeps one investment-grade rating; if both agencies downgrade below investment grade, Seller may require 3 months’ expected revenue as cash collateral; MAC CP tied to sub-IG downgrade.</w:t>
            </w:r>
          </w:p>
        </w:tc>
      </w:tr>
      <w:tr>
        <w:tc>
          <w:tcPr>
            <w:tcW w:type="dxa" w:w="1944"/>
            <w:shd w:val="clear" w:color="auto" w:fill="DEEAF6"/>
          </w:tcPr>
          <w:p>
            <w:r/>
            <w:r>
              <w:rPr>
                <w:b/>
                <w:i w:val="0"/>
                <w:sz w:val="17"/>
              </w:rPr>
              <w:t>Status / effect / severity</w:t>
            </w:r>
          </w:p>
        </w:tc>
        <w:tc>
          <w:tcPr>
            <w:tcW w:type="dxa" w:w="7704"/>
          </w:tcPr>
          <w:p>
            <w:r/>
            <w:r>
              <w:rPr>
                <w:b w:val="0"/>
                <w:i w:val="0"/>
                <w:sz w:val="17"/>
              </w:rPr>
              <w:t xml:space="preserve">NEW TERM  |  Seller-favorable  |  </w:t>
            </w:r>
            <w:r>
              <w:rPr>
                <w:b/>
                <w:i w:val="0"/>
                <w:sz w:val="17"/>
              </w:rPr>
              <w:t>Low</w:t>
            </w:r>
            <w:r>
              <w:rPr>
                <w:b w:val="0"/>
                <w:i w:val="0"/>
                <w:sz w:val="17"/>
              </w:rPr>
              <w:t xml:space="preserve">  |  Checklist Item(s) 13</w:t>
            </w:r>
          </w:p>
        </w:tc>
      </w:tr>
      <w:tr>
        <w:tc>
          <w:tcPr>
            <w:tcW w:type="dxa" w:w="1944"/>
            <w:shd w:val="clear" w:color="auto" w:fill="DEEAF6"/>
          </w:tcPr>
          <w:p>
            <w:r/>
            <w:r>
              <w:rPr>
                <w:b/>
                <w:i w:val="0"/>
                <w:sz w:val="17"/>
              </w:rPr>
              <w:t>Negotiation record</w:t>
            </w:r>
          </w:p>
        </w:tc>
        <w:tc>
          <w:tcPr>
            <w:tcW w:type="dxa" w:w="7704"/>
          </w:tcPr>
          <w:p>
            <w:r/>
            <w:r>
              <w:rPr>
                <w:b w:val="0"/>
                <w:i w:val="0"/>
                <w:sz w:val="17"/>
              </w:rPr>
              <w:t>Not discussed.</w:t>
            </w:r>
          </w:p>
        </w:tc>
      </w:tr>
      <w:tr>
        <w:tc>
          <w:tcPr>
            <w:tcW w:type="dxa" w:w="1944"/>
            <w:shd w:val="clear" w:color="auto" w:fill="DEEAF6"/>
          </w:tcPr>
          <w:p>
            <w:r/>
            <w:r>
              <w:rPr>
                <w:b/>
                <w:i w:val="0"/>
                <w:sz w:val="17"/>
              </w:rPr>
              <w:t>Impact</w:t>
            </w:r>
          </w:p>
        </w:tc>
        <w:tc>
          <w:tcPr>
            <w:tcW w:type="dxa" w:w="7704"/>
          </w:tcPr>
          <w:p>
            <w:r/>
            <w:r>
              <w:rPr>
                <w:b w:val="0"/>
                <w:i w:val="0"/>
                <w:sz w:val="17"/>
              </w:rPr>
              <w:t>Improves Seller/financing position; supports Item 13 Buyer credit analysis.</w:t>
            </w:r>
          </w:p>
        </w:tc>
      </w:tr>
      <w:tr>
        <w:tc>
          <w:tcPr>
            <w:tcW w:type="dxa" w:w="1944"/>
            <w:shd w:val="clear" w:color="auto" w:fill="DEEAF6"/>
          </w:tcPr>
          <w:p>
            <w:r/>
            <w:r>
              <w:rPr>
                <w:b/>
                <w:i w:val="0"/>
                <w:sz w:val="17"/>
              </w:rPr>
              <w:t>Recommendation</w:t>
            </w:r>
          </w:p>
        </w:tc>
        <w:tc>
          <w:tcPr>
            <w:tcW w:type="dxa" w:w="7704"/>
          </w:tcPr>
          <w:p>
            <w:r/>
            <w:r>
              <w:rPr>
                <w:b w:val="0"/>
                <w:i w:val="0"/>
                <w:sz w:val="17"/>
              </w:rPr>
              <w:t>Disclose; no change needed.</w:t>
            </w:r>
          </w:p>
        </w:tc>
      </w:tr>
    </w:tbl>
    <w:p>
      <w:pPr>
        <w:spacing w:after="40"/>
      </w:pPr>
    </w:p>
    <w:p>
      <w:pPr>
        <w:pStyle w:val="Heading1"/>
      </w:pPr>
      <w:r>
        <w:t>5. Observations on the Negotiation Record</w:t>
      </w:r>
    </w:p>
    <w:p>
      <w:pPr>
        <w:pStyle w:val="ListBullet"/>
        <w:spacing w:after="60"/>
      </w:pPr>
      <w:r>
        <w:rPr>
          <w:b/>
          <w:i w:val="0"/>
        </w:rPr>
        <w:t>Pattern.</w:t>
      </w:r>
      <w:r>
        <w:rPr>
          <w:b w:val="0"/>
          <w:i w:val="0"/>
        </w:rPr>
        <w:t xml:space="preserve"> Four items Seller recorded as rejected or walked back in negotiations (80% curtailment compensation, Osage County litigation, the generic change-of-law clause, and a lender-only “Financing Party”) appear in the executed PPA in Buyer’s initial-draft form, and three items Seller said must carry over unchanged (Delay LDs, 18-month FM termination, $50,000 Availability LDs) were changed. This suggests that the near-final Prescott &amp; Hale draft expected January 27–28 was executed on February 4 (two days before the TS §18.2 February 6 deadline) without a full tie-out against the Term Sheet. We should establish the drafting history (Langdon markups of January 15 and later, Seller comments, any execution-version redline) before engaging Buyer, because it determines how we frame the amendment request.</w:t>
      </w:r>
    </w:p>
    <w:p>
      <w:pPr>
        <w:pStyle w:val="ListBullet"/>
        <w:spacing w:after="60"/>
      </w:pPr>
      <w:r>
        <w:rPr>
          <w:b/>
          <w:i w:val="0"/>
        </w:rPr>
        <w:t>Legal leverage is limited.</w:t>
      </w:r>
      <w:r>
        <w:rPr>
          <w:b w:val="0"/>
          <w:i w:val="0"/>
        </w:rPr>
        <w:t xml:space="preserve"> Because PPA §20.3 and TS §18.5 give the PPA priority, Seller’s realistic remedies are commercial (amendment) rather than legal. Reformation for mutual mistake is conceivable where Buyer’s counsel gave contrary assurances (D-1, D-5, D-11), but the evidence is Seller-side recollection, the clauses are unambiguous, and the forum would be Osage County District Court under the very clause in dispute; it is not a viable path to an April 15 close. The Term Sheet remains useful for D-4, where the PPA is internally ambiguous (§4.2(a) vs. §4.2(b)/§1.3).</w:t>
      </w:r>
    </w:p>
    <w:p>
      <w:pPr>
        <w:pStyle w:val="ListBullet"/>
        <w:spacing w:after="60"/>
      </w:pPr>
      <w:r>
        <w:rPr>
          <w:b/>
          <w:i w:val="0"/>
        </w:rPr>
        <w:t>Trading currency.</w:t>
      </w:r>
      <w:r>
        <w:rPr>
          <w:b w:val="0"/>
          <w:i w:val="0"/>
        </w:rPr>
        <w:t xml:space="preserve"> (i) Correcting Exhibit B to 1.5% (worth ~$23.18M nominal to Buyer and something Buyer will want for its own audit and rate purposes); (ii) adding the agreed quarterly generation reports; (iii) confirming the excess-REC and early-COD items with clean mechanics. None of these costs Seller value it can realistically keep.</w:t>
      </w:r>
    </w:p>
    <w:p>
      <w:pPr>
        <w:pStyle w:val="ListBullet"/>
        <w:spacing w:after="60"/>
      </w:pPr>
      <w:r>
        <w:rPr>
          <w:b/>
          <w:i w:val="0"/>
        </w:rPr>
        <w:t>Agreed deviations do not need a Term Sheet amendment.</w:t>
      </w:r>
      <w:r>
        <w:rPr>
          <w:b w:val="0"/>
          <w:i w:val="0"/>
        </w:rPr>
        <w:t xml:space="preserve"> Ms. Kowalski’s question is answered: the signed PPA supersedes the Term Sheet for the 75% MAEP and 50% Shortfall LD terms, and TS §18.6’s writing requirement is satisfied by the PPA itself. Ridgeline will nonetheless want to see Buyer’s acknowledgment; recite it in the First Amendment.</w:t>
      </w:r>
    </w:p>
    <w:p>
      <w:pPr>
        <w:pStyle w:val="ListBullet"/>
        <w:spacing w:after="60"/>
      </w:pPr>
      <w:r>
        <w:rPr>
          <w:b/>
          <w:i w:val="0"/>
        </w:rPr>
        <w:t>Authority and counterparty details.</w:t>
      </w:r>
      <w:r>
        <w:rPr>
          <w:b w:val="0"/>
          <w:i w:val="0"/>
        </w:rPr>
        <w:t xml:space="preserve"> PPA signature block shows Ms. Kowalski signing for Seller as authorized signatory of Verdana as sole member; obtain the Verdana consent/incumbency for the closing set (Items 1–3, 45). Buyer Board of Trustees approval (TS §18.3(b); PPA §11.2(b), (g)) should be evidenced in the Prescott &amp; Hale confirmation letter (Item 14), which is not started.</w:t>
      </w:r>
    </w:p>
    <w:p>
      <w:pPr>
        <w:pStyle w:val="Heading1"/>
      </w:pPr>
      <w:r>
        <w:t>6. Financial Close Risk Assessment (Tax Equity DD Checklist)</w:t>
      </w:r>
    </w:p>
    <w:p>
      <w:pPr>
        <w:spacing w:after="120"/>
      </w:pPr>
      <w:r>
        <w:rPr>
          <w:b w:val="0"/>
          <w:i w:val="0"/>
        </w:rPr>
        <w:t xml:space="preserve">Overall assessment: </w:t>
      </w:r>
      <w:r>
        <w:rPr>
          <w:b/>
          <w:i w:val="0"/>
        </w:rPr>
        <w:t>RED — financial close on April 15, 2025 is at high risk</w:t>
      </w:r>
      <w:r>
        <w:rPr>
          <w:b w:val="0"/>
          <w:i w:val="0"/>
        </w:rPr>
        <w:t xml:space="preserve"> unless a First Amendment (or, for D-1/D-2 only, a Ridgeline-acceptable direct consent) is executed before close. The four Checklist items flagged “Requires Attention” (12, 18, 31, 43) all resolve adversely on the executed PPA. RAG reflects the PPA as executed, before remediation.</w:t>
      </w:r>
    </w:p>
    <w:tbl>
      <w:tblPr>
        <w:tblStyle w:val="TableGrid"/>
        <w:tblW w:type="auto" w:w="0"/>
        <w:jc w:val="center"/>
        <w:tblLook w:firstColumn="1" w:firstRow="1" w:lastColumn="0" w:lastRow="0" w:noHBand="0" w:noVBand="1" w:val="04A0"/>
      </w:tblPr>
      <w:tblGrid>
        <w:gridCol w:w="1930"/>
        <w:gridCol w:w="1930"/>
        <w:gridCol w:w="1930"/>
        <w:gridCol w:w="1930"/>
        <w:gridCol w:w="1930"/>
      </w:tblGrid>
      <w:tr>
        <w:trPr>
          <w:tblHeader w:val="true"/>
        </w:trPr>
        <w:tc>
          <w:tcPr>
            <w:tcW w:type="dxa" w:w="792"/>
            <w:shd w:val="clear" w:color="auto" w:fill="1F3A5F"/>
          </w:tcPr>
          <w:p>
            <w:r/>
            <w:r>
              <w:rPr>
                <w:b/>
                <w:color w:val="FFFFFF"/>
                <w:sz w:val="15"/>
              </w:rPr>
              <w:t>Item</w:t>
            </w:r>
          </w:p>
        </w:tc>
        <w:tc>
          <w:tcPr>
            <w:tcW w:type="dxa" w:w="2088"/>
            <w:shd w:val="clear" w:color="auto" w:fill="1F3A5F"/>
          </w:tcPr>
          <w:p>
            <w:r/>
            <w:r>
              <w:rPr>
                <w:b/>
                <w:color w:val="FFFFFF"/>
                <w:sz w:val="15"/>
              </w:rPr>
              <w:t>Checklist requirement</w:t>
            </w:r>
          </w:p>
        </w:tc>
        <w:tc>
          <w:tcPr>
            <w:tcW w:type="dxa" w:w="3240"/>
            <w:shd w:val="clear" w:color="auto" w:fill="1F3A5F"/>
          </w:tcPr>
          <w:p>
            <w:r/>
            <w:r>
              <w:rPr>
                <w:b/>
                <w:color w:val="FFFFFF"/>
                <w:sz w:val="15"/>
              </w:rPr>
              <w:t>Finding on executed PPA</w:t>
            </w:r>
          </w:p>
        </w:tc>
        <w:tc>
          <w:tcPr>
            <w:tcW w:type="dxa" w:w="792"/>
            <w:shd w:val="clear" w:color="auto" w:fill="1F3A5F"/>
          </w:tcPr>
          <w:p>
            <w:r/>
            <w:r>
              <w:rPr>
                <w:b/>
                <w:color w:val="FFFFFF"/>
                <w:sz w:val="15"/>
              </w:rPr>
              <w:t>RAG</w:t>
            </w:r>
          </w:p>
        </w:tc>
        <w:tc>
          <w:tcPr>
            <w:tcW w:type="dxa" w:w="2736"/>
            <w:shd w:val="clear" w:color="auto" w:fill="1F3A5F"/>
          </w:tcPr>
          <w:p>
            <w:r/>
            <w:r>
              <w:rPr>
                <w:b/>
                <w:color w:val="FFFFFF"/>
                <w:sz w:val="15"/>
              </w:rPr>
              <w:t>Required before close</w:t>
            </w:r>
          </w:p>
        </w:tc>
      </w:tr>
      <w:tr>
        <w:tc>
          <w:tcPr>
            <w:tcW w:type="dxa" w:w="792"/>
          </w:tcPr>
          <w:p>
            <w:r/>
            <w:r>
              <w:rPr>
                <w:b w:val="0"/>
                <w:i w:val="0"/>
                <w:sz w:val="15"/>
              </w:rPr>
              <w:t>12</w:t>
            </w:r>
          </w:p>
        </w:tc>
        <w:tc>
          <w:tcPr>
            <w:tcW w:type="dxa" w:w="2088"/>
          </w:tcPr>
          <w:p>
            <w:r/>
            <w:r>
              <w:rPr>
                <w:b w:val="0"/>
                <w:i w:val="0"/>
                <w:sz w:val="15"/>
              </w:rPr>
              <w:t>PPA consistent with TS in all material respects (pricing, escalation, PG, LDs, curtailment, FM, assignment, disputes, RECs)</w:t>
            </w:r>
          </w:p>
        </w:tc>
        <w:tc>
          <w:tcPr>
            <w:tcW w:type="dxa" w:w="3240"/>
          </w:tcPr>
          <w:p>
            <w:r/>
            <w:r>
              <w:rPr>
                <w:b w:val="0"/>
                <w:i w:val="0"/>
                <w:sz w:val="15"/>
              </w:rPr>
              <w:t>Not consistent: 26 deviations; 2 agreed, 2 open-but-included, 22 not agreed, new or drafting; 2 Critical and 8 High (D-3 becomes Critical in combination with D-1). Sub-items (i)–(viii) all deviate.</w:t>
            </w:r>
          </w:p>
        </w:tc>
        <w:tc>
          <w:tcPr>
            <w:tcW w:type="dxa" w:w="792"/>
          </w:tcPr>
          <w:p>
            <w:r/>
            <w:r>
              <w:rPr>
                <w:b w:val="0"/>
                <w:i w:val="0"/>
                <w:sz w:val="15"/>
              </w:rPr>
              <w:t>RED</w:t>
            </w:r>
          </w:p>
        </w:tc>
        <w:tc>
          <w:tcPr>
            <w:tcW w:type="dxa" w:w="2736"/>
          </w:tcPr>
          <w:p>
            <w:r/>
            <w:r>
              <w:rPr>
                <w:b w:val="0"/>
                <w:i w:val="0"/>
                <w:sz w:val="15"/>
              </w:rPr>
              <w:t>Deliver deviation report by Mar. 14; execute First Amendment; disclose agreed deviations (D-15, D-16, D-18, D-20) with rationale.</w:t>
            </w:r>
          </w:p>
        </w:tc>
      </w:tr>
      <w:tr>
        <w:tc>
          <w:tcPr>
            <w:tcW w:type="dxa" w:w="792"/>
          </w:tcPr>
          <w:p>
            <w:r/>
            <w:r>
              <w:rPr>
                <w:b w:val="0"/>
                <w:i w:val="0"/>
                <w:sz w:val="15"/>
              </w:rPr>
              <w:t>18</w:t>
            </w:r>
          </w:p>
        </w:tc>
        <w:tc>
          <w:tcPr>
            <w:tcW w:type="dxa" w:w="2088"/>
          </w:tcPr>
          <w:p>
            <w:r/>
            <w:r>
              <w:rPr>
                <w:b w:val="0"/>
                <w:i w:val="0"/>
                <w:sz w:val="15"/>
              </w:rPr>
              <w:t>Consent-free collateral assignment to tax equity / partnership flip</w:t>
            </w:r>
          </w:p>
        </w:tc>
        <w:tc>
          <w:tcPr>
            <w:tcW w:type="dxa" w:w="3240"/>
          </w:tcPr>
          <w:p>
            <w:r/>
            <w:r>
              <w:rPr>
                <w:b w:val="0"/>
                <w:i w:val="0"/>
                <w:sz w:val="15"/>
              </w:rPr>
              <w:t>Fails (a), (b); (c) consent required under §17.1(b) (not-unreasonably-withheld, but with Buyer conditions); Ex. H §8 expressly excludes tax equity (D-1, D-3).</w:t>
            </w:r>
          </w:p>
        </w:tc>
        <w:tc>
          <w:tcPr>
            <w:tcW w:type="dxa" w:w="792"/>
          </w:tcPr>
          <w:p>
            <w:r/>
            <w:r>
              <w:rPr>
                <w:b w:val="0"/>
                <w:i w:val="0"/>
                <w:sz w:val="15"/>
              </w:rPr>
              <w:t>RED</w:t>
            </w:r>
          </w:p>
        </w:tc>
        <w:tc>
          <w:tcPr>
            <w:tcW w:type="dxa" w:w="2736"/>
          </w:tcPr>
          <w:p>
            <w:r/>
            <w:r>
              <w:rPr>
                <w:b w:val="0"/>
                <w:i w:val="0"/>
                <w:sz w:val="15"/>
              </w:rPr>
              <w:t>Amend Ex. A, §17.1, Ex. H; fix change-of-control and §11.1(g). Gating for Ridgeline IC.</w:t>
            </w:r>
          </w:p>
        </w:tc>
      </w:tr>
      <w:tr>
        <w:tc>
          <w:tcPr>
            <w:tcW w:type="dxa" w:w="792"/>
          </w:tcPr>
          <w:p>
            <w:r/>
            <w:r>
              <w:rPr>
                <w:b w:val="0"/>
                <w:i w:val="0"/>
                <w:sz w:val="15"/>
              </w:rPr>
              <w:t>31</w:t>
            </w:r>
          </w:p>
        </w:tc>
        <w:tc>
          <w:tcPr>
            <w:tcW w:type="dxa" w:w="2088"/>
          </w:tcPr>
          <w:p>
            <w:r/>
            <w:r>
              <w:rPr>
                <w:b w:val="0"/>
                <w:i w:val="0"/>
                <w:sz w:val="15"/>
              </w:rPr>
              <w:t>Step-in, notice and cure rights for tax equity; Rev. Proc. 2007-65 consistency</w:t>
            </w:r>
          </w:p>
        </w:tc>
        <w:tc>
          <w:tcPr>
            <w:tcW w:type="dxa" w:w="3240"/>
          </w:tcPr>
          <w:p>
            <w:r/>
            <w:r>
              <w:rPr>
                <w:b w:val="0"/>
                <w:i w:val="0"/>
                <w:sz w:val="15"/>
              </w:rPr>
              <w:t>Rights in §17.3/§18.4/Ex. H run only to lenders (D-2). Tax counsel to confirm safe-harbor implications.</w:t>
            </w:r>
          </w:p>
        </w:tc>
        <w:tc>
          <w:tcPr>
            <w:tcW w:type="dxa" w:w="792"/>
          </w:tcPr>
          <w:p>
            <w:r/>
            <w:r>
              <w:rPr>
                <w:b w:val="0"/>
                <w:i w:val="0"/>
                <w:sz w:val="15"/>
              </w:rPr>
              <w:t>RED</w:t>
            </w:r>
          </w:p>
        </w:tc>
        <w:tc>
          <w:tcPr>
            <w:tcW w:type="dxa" w:w="2736"/>
          </w:tcPr>
          <w:p>
            <w:r/>
            <w:r>
              <w:rPr>
                <w:b w:val="0"/>
                <w:i w:val="0"/>
                <w:sz w:val="15"/>
              </w:rPr>
              <w:t>Same amendment; tax-equity-usable consent form; tax opinion (Item 39) dependent on cure.</w:t>
            </w:r>
          </w:p>
        </w:tc>
      </w:tr>
      <w:tr>
        <w:tc>
          <w:tcPr>
            <w:tcW w:type="dxa" w:w="792"/>
          </w:tcPr>
          <w:p>
            <w:r/>
            <w:r>
              <w:rPr>
                <w:b w:val="0"/>
                <w:i w:val="0"/>
                <w:sz w:val="15"/>
              </w:rPr>
              <w:t>43</w:t>
            </w:r>
          </w:p>
        </w:tc>
        <w:tc>
          <w:tcPr>
            <w:tcW w:type="dxa" w:w="2088"/>
          </w:tcPr>
          <w:p>
            <w:r/>
            <w:r>
              <w:rPr>
                <w:b w:val="0"/>
                <w:i w:val="0"/>
                <w:sz w:val="15"/>
              </w:rPr>
              <w:t>Governing law Oklahoma; mediation + AAA arbitration in OKC</w:t>
            </w:r>
          </w:p>
        </w:tc>
        <w:tc>
          <w:tcPr>
            <w:tcW w:type="dxa" w:w="3240"/>
          </w:tcPr>
          <w:p>
            <w:r/>
            <w:r>
              <w:rPr>
                <w:b w:val="0"/>
                <w:i w:val="0"/>
                <w:sz w:val="15"/>
              </w:rPr>
              <w:t>Governing law conforms (§20.1). Dispute resolution is Osage County litigation, non-confidential (D-11).</w:t>
            </w:r>
          </w:p>
        </w:tc>
        <w:tc>
          <w:tcPr>
            <w:tcW w:type="dxa" w:w="792"/>
          </w:tcPr>
          <w:p>
            <w:r/>
            <w:r>
              <w:rPr>
                <w:b w:val="0"/>
                <w:i w:val="0"/>
                <w:sz w:val="15"/>
              </w:rPr>
              <w:t>RED</w:t>
            </w:r>
          </w:p>
        </w:tc>
        <w:tc>
          <w:tcPr>
            <w:tcW w:type="dxa" w:w="2736"/>
          </w:tcPr>
          <w:p>
            <w:r/>
            <w:r>
              <w:rPr>
                <w:b w:val="0"/>
                <w:i w:val="0"/>
                <w:sz w:val="15"/>
              </w:rPr>
              <w:t>Replace Article 19 with TS §17.</w:t>
            </w:r>
          </w:p>
        </w:tc>
      </w:tr>
      <w:tr>
        <w:tc>
          <w:tcPr>
            <w:tcW w:type="dxa" w:w="792"/>
          </w:tcPr>
          <w:p>
            <w:r/>
            <w:r>
              <w:rPr>
                <w:b w:val="0"/>
                <w:i w:val="0"/>
                <w:sz w:val="15"/>
              </w:rPr>
              <w:t>15</w:t>
            </w:r>
          </w:p>
        </w:tc>
        <w:tc>
          <w:tcPr>
            <w:tcW w:type="dxa" w:w="2088"/>
          </w:tcPr>
          <w:p>
            <w:r/>
            <w:r>
              <w:rPr>
                <w:b w:val="0"/>
                <w:i w:val="0"/>
                <w:sz w:val="15"/>
              </w:rPr>
              <w:t>CQ 850,000 MWh; CY1 revenue $32,725,000; Ex. B matches 1.5% escalator</w:t>
            </w:r>
          </w:p>
        </w:tc>
        <w:tc>
          <w:tcPr>
            <w:tcW w:type="dxa" w:w="3240"/>
          </w:tcPr>
          <w:p>
            <w:r/>
            <w:r>
              <w:rPr>
                <w:b w:val="0"/>
                <w:i w:val="0"/>
                <w:sz w:val="15"/>
              </w:rPr>
              <w:t>CQ and CY1 revenue conform; Ex. B table does not match (D-4).</w:t>
            </w:r>
          </w:p>
        </w:tc>
        <w:tc>
          <w:tcPr>
            <w:tcW w:type="dxa" w:w="792"/>
          </w:tcPr>
          <w:p>
            <w:r/>
            <w:r>
              <w:rPr>
                <w:b w:val="0"/>
                <w:i w:val="0"/>
                <w:sz w:val="15"/>
              </w:rPr>
              <w:t>AMBER</w:t>
            </w:r>
          </w:p>
        </w:tc>
        <w:tc>
          <w:tcPr>
            <w:tcW w:type="dxa" w:w="2736"/>
          </w:tcPr>
          <w:p>
            <w:r/>
            <w:r>
              <w:rPr>
                <w:b w:val="0"/>
                <w:i w:val="0"/>
                <w:sz w:val="15"/>
              </w:rPr>
              <w:t>Correct Ex. B (Schedule 1).</w:t>
            </w:r>
          </w:p>
        </w:tc>
      </w:tr>
      <w:tr>
        <w:tc>
          <w:tcPr>
            <w:tcW w:type="dxa" w:w="792"/>
          </w:tcPr>
          <w:p>
            <w:r/>
            <w:r>
              <w:rPr>
                <w:b w:val="0"/>
                <w:i w:val="0"/>
                <w:sz w:val="15"/>
              </w:rPr>
              <w:t>40</w:t>
            </w:r>
          </w:p>
        </w:tc>
        <w:tc>
          <w:tcPr>
            <w:tcW w:type="dxa" w:w="2088"/>
          </w:tcPr>
          <w:p>
            <w:r/>
            <w:r>
              <w:rPr>
                <w:b w:val="0"/>
                <w:i w:val="0"/>
                <w:sz w:val="15"/>
              </w:rPr>
              <w:t>Financial model uses correct 1.5% escalation; reflects curtailment, PG and LD exposure</w:t>
            </w:r>
          </w:p>
        </w:tc>
        <w:tc>
          <w:tcPr>
            <w:tcW w:type="dxa" w:w="3240"/>
          </w:tcPr>
          <w:p>
            <w:r/>
            <w:r>
              <w:rPr>
                <w:b w:val="0"/>
                <w:i w:val="0"/>
                <w:sz w:val="15"/>
              </w:rPr>
              <w:t>Model must use formula, not Ex. B; reflect 80% curtailment (unless fixed), 75%/50% PG, $175k/$2.5M Delay LDs, $65k Availability LDs outside cap, generic CoL.</w:t>
            </w:r>
          </w:p>
        </w:tc>
        <w:tc>
          <w:tcPr>
            <w:tcW w:type="dxa" w:w="792"/>
          </w:tcPr>
          <w:p>
            <w:r/>
            <w:r>
              <w:rPr>
                <w:b w:val="0"/>
                <w:i w:val="0"/>
                <w:sz w:val="15"/>
              </w:rPr>
              <w:t>AMBER</w:t>
            </w:r>
          </w:p>
        </w:tc>
        <w:tc>
          <w:tcPr>
            <w:tcW w:type="dxa" w:w="2736"/>
          </w:tcPr>
          <w:p>
            <w:r/>
            <w:r>
              <w:rPr>
                <w:b w:val="0"/>
                <w:i w:val="0"/>
                <w:sz w:val="15"/>
              </w:rPr>
              <w:t>Ridgeline to run on formula prices and post-amendment terms; sensitivity for unremedied items.</w:t>
            </w:r>
          </w:p>
        </w:tc>
      </w:tr>
      <w:tr>
        <w:tc>
          <w:tcPr>
            <w:tcW w:type="dxa" w:w="792"/>
          </w:tcPr>
          <w:p>
            <w:r/>
            <w:r>
              <w:rPr>
                <w:b w:val="0"/>
                <w:i w:val="0"/>
                <w:sz w:val="15"/>
              </w:rPr>
              <w:t>22</w:t>
            </w:r>
          </w:p>
        </w:tc>
        <w:tc>
          <w:tcPr>
            <w:tcW w:type="dxa" w:w="2088"/>
          </w:tcPr>
          <w:p>
            <w:r/>
            <w:r>
              <w:rPr>
                <w:b w:val="0"/>
                <w:i w:val="0"/>
                <w:sz w:val="15"/>
              </w:rPr>
              <w:t>Buyer bears 100% of new transmission charges</w:t>
            </w:r>
          </w:p>
        </w:tc>
        <w:tc>
          <w:tcPr>
            <w:tcW w:type="dxa" w:w="3240"/>
          </w:tcPr>
          <w:p>
            <w:r/>
            <w:r>
              <w:rPr>
                <w:b w:val="0"/>
                <w:i w:val="0"/>
                <w:sz w:val="15"/>
              </w:rPr>
              <w:t>Carve-out omitted; Seller bears risk (D-10).</w:t>
            </w:r>
          </w:p>
        </w:tc>
        <w:tc>
          <w:tcPr>
            <w:tcW w:type="dxa" w:w="792"/>
          </w:tcPr>
          <w:p>
            <w:r/>
            <w:r>
              <w:rPr>
                <w:b w:val="0"/>
                <w:i w:val="0"/>
                <w:sz w:val="15"/>
              </w:rPr>
              <w:t>RED</w:t>
            </w:r>
          </w:p>
        </w:tc>
        <w:tc>
          <w:tcPr>
            <w:tcW w:type="dxa" w:w="2736"/>
          </w:tcPr>
          <w:p>
            <w:r/>
            <w:r>
              <w:rPr>
                <w:b w:val="0"/>
                <w:i w:val="0"/>
                <w:sz w:val="15"/>
              </w:rPr>
              <w:t>Insert TS §13.2.</w:t>
            </w:r>
          </w:p>
        </w:tc>
      </w:tr>
      <w:tr>
        <w:tc>
          <w:tcPr>
            <w:tcW w:type="dxa" w:w="792"/>
          </w:tcPr>
          <w:p>
            <w:r/>
            <w:r>
              <w:rPr>
                <w:b w:val="0"/>
                <w:i w:val="0"/>
                <w:sz w:val="15"/>
              </w:rPr>
              <w:t>16</w:t>
            </w:r>
          </w:p>
        </w:tc>
        <w:tc>
          <w:tcPr>
            <w:tcW w:type="dxa" w:w="2088"/>
          </w:tcPr>
          <w:p>
            <w:r/>
            <w:r>
              <w:rPr>
                <w:b w:val="0"/>
                <w:i w:val="0"/>
                <w:sz w:val="15"/>
              </w:rPr>
              <w:t>$7.5M bond from surety rated ≥ A– (Atlas)</w:t>
            </w:r>
          </w:p>
        </w:tc>
        <w:tc>
          <w:tcPr>
            <w:tcW w:type="dxa" w:w="3240"/>
          </w:tcPr>
          <w:p>
            <w:r/>
            <w:r>
              <w:rPr>
                <w:b w:val="0"/>
                <w:i w:val="0"/>
                <w:sz w:val="15"/>
              </w:rPr>
              <w:t>Amount and rating conform; due by Mar. 6, 2025; no step-down; on-demand form (D-21, D-22). Highpoint rating confirmation pending.</w:t>
            </w:r>
          </w:p>
        </w:tc>
        <w:tc>
          <w:tcPr>
            <w:tcW w:type="dxa" w:w="792"/>
          </w:tcPr>
          <w:p>
            <w:r/>
            <w:r>
              <w:rPr>
                <w:b w:val="0"/>
                <w:i w:val="0"/>
                <w:sz w:val="15"/>
              </w:rPr>
              <w:t>AMBER</w:t>
            </w:r>
          </w:p>
        </w:tc>
        <w:tc>
          <w:tcPr>
            <w:tcW w:type="dxa" w:w="2736"/>
          </w:tcPr>
          <w:p>
            <w:r/>
            <w:r>
              <w:rPr>
                <w:b w:val="0"/>
                <w:i w:val="0"/>
                <w:sz w:val="15"/>
              </w:rPr>
              <w:t>Confirm delivery/extension now; restore step-down.</w:t>
            </w:r>
          </w:p>
        </w:tc>
      </w:tr>
      <w:tr>
        <w:tc>
          <w:tcPr>
            <w:tcW w:type="dxa" w:w="792"/>
          </w:tcPr>
          <w:p>
            <w:r/>
            <w:r>
              <w:rPr>
                <w:b w:val="0"/>
                <w:i w:val="0"/>
                <w:sz w:val="15"/>
              </w:rPr>
              <w:t>37</w:t>
            </w:r>
          </w:p>
        </w:tc>
        <w:tc>
          <w:tcPr>
            <w:tcW w:type="dxa" w:w="2088"/>
          </w:tcPr>
          <w:p>
            <w:r/>
            <w:r>
              <w:rPr>
                <w:b w:val="0"/>
                <w:i w:val="0"/>
                <w:sz w:val="15"/>
              </w:rPr>
              <w:t>Availability LD rate vs. TS $50,000/ppt</w:t>
            </w:r>
          </w:p>
        </w:tc>
        <w:tc>
          <w:tcPr>
            <w:tcW w:type="dxa" w:w="3240"/>
          </w:tcPr>
          <w:p>
            <w:r/>
            <w:r>
              <w:rPr>
                <w:b w:val="0"/>
                <w:i w:val="0"/>
                <w:sz w:val="15"/>
              </w:rPr>
              <w:t>$65,000/ppt and outside 20% cap (D-12, D-13).</w:t>
            </w:r>
          </w:p>
        </w:tc>
        <w:tc>
          <w:tcPr>
            <w:tcW w:type="dxa" w:w="792"/>
          </w:tcPr>
          <w:p>
            <w:r/>
            <w:r>
              <w:rPr>
                <w:b w:val="0"/>
                <w:i w:val="0"/>
                <w:sz w:val="15"/>
              </w:rPr>
              <w:t>AMBER</w:t>
            </w:r>
          </w:p>
        </w:tc>
        <w:tc>
          <w:tcPr>
            <w:tcW w:type="dxa" w:w="2736"/>
          </w:tcPr>
          <w:p>
            <w:r/>
            <w:r>
              <w:rPr>
                <w:b w:val="0"/>
                <w:i w:val="0"/>
                <w:sz w:val="15"/>
              </w:rPr>
              <w:t>Restore $50,000 and combined cap; align Nordex LTSA.</w:t>
            </w:r>
          </w:p>
        </w:tc>
      </w:tr>
      <w:tr>
        <w:tc>
          <w:tcPr>
            <w:tcW w:type="dxa" w:w="792"/>
          </w:tcPr>
          <w:p>
            <w:r/>
            <w:r>
              <w:rPr>
                <w:b w:val="0"/>
                <w:i w:val="0"/>
                <w:sz w:val="15"/>
              </w:rPr>
              <w:t>34 / 36</w:t>
            </w:r>
          </w:p>
        </w:tc>
        <w:tc>
          <w:tcPr>
            <w:tcW w:type="dxa" w:w="2088"/>
          </w:tcPr>
          <w:p>
            <w:r/>
            <w:r>
              <w:rPr>
                <w:b w:val="0"/>
                <w:i w:val="0"/>
                <w:sz w:val="15"/>
              </w:rPr>
              <w:t>Schedule alignment with Ex. G; COD testing protocol aligned to PPA</w:t>
            </w:r>
          </w:p>
        </w:tc>
        <w:tc>
          <w:tcPr>
            <w:tcW w:type="dxa" w:w="3240"/>
          </w:tcPr>
          <w:p>
            <w:r/>
            <w:r>
              <w:rPr>
                <w:b w:val="0"/>
                <w:i w:val="0"/>
                <w:sz w:val="15"/>
              </w:rPr>
              <w:t>Dates conform (Early COD Mar. 1, 2026; Expected June 1, 2026; GCOD Sept. 1, 2026; Outside Sept. 1, 2027) but Outside Date mechanics differ (D-7) and COD test is 240 MW with Buyer review (D-23). Item 34 notes cite Outside Date “per term sheet” — consequences now differ.</w:t>
            </w:r>
          </w:p>
        </w:tc>
        <w:tc>
          <w:tcPr>
            <w:tcW w:type="dxa" w:w="792"/>
          </w:tcPr>
          <w:p>
            <w:r/>
            <w:r>
              <w:rPr>
                <w:b w:val="0"/>
                <w:i w:val="0"/>
                <w:sz w:val="15"/>
              </w:rPr>
              <w:t>AMBER</w:t>
            </w:r>
          </w:p>
        </w:tc>
        <w:tc>
          <w:tcPr>
            <w:tcW w:type="dxa" w:w="2736"/>
          </w:tcPr>
          <w:p>
            <w:r/>
            <w:r>
              <w:rPr>
                <w:b w:val="0"/>
                <w:i w:val="0"/>
                <w:sz w:val="15"/>
              </w:rPr>
              <w:t>Build Item 36 protocol to §3.2; seek D-7/D-23 fixes.</w:t>
            </w:r>
          </w:p>
        </w:tc>
      </w:tr>
      <w:tr>
        <w:tc>
          <w:tcPr>
            <w:tcW w:type="dxa" w:w="792"/>
          </w:tcPr>
          <w:p>
            <w:r/>
            <w:r>
              <w:rPr>
                <w:b w:val="0"/>
                <w:i w:val="0"/>
                <w:sz w:val="15"/>
              </w:rPr>
              <w:t>30 / 29</w:t>
            </w:r>
          </w:p>
        </w:tc>
        <w:tc>
          <w:tcPr>
            <w:tcW w:type="dxa" w:w="2088"/>
          </w:tcPr>
          <w:p>
            <w:r/>
            <w:r>
              <w:rPr>
                <w:b w:val="0"/>
                <w:i w:val="0"/>
                <w:sz w:val="15"/>
              </w:rPr>
              <w:t>Elkhorn to execute Ex. H Lender Consent; intercreditor</w:t>
            </w:r>
          </w:p>
        </w:tc>
        <w:tc>
          <w:tcPr>
            <w:tcW w:type="dxa" w:w="3240"/>
          </w:tcPr>
          <w:p>
            <w:r/>
            <w:r>
              <w:rPr>
                <w:b w:val="0"/>
                <w:i w:val="0"/>
                <w:sz w:val="15"/>
              </w:rPr>
              <w:t>Ex. H usable by Elkhorn as lender Agent but contains anti-tax-equity §8; intercreditor will be distorted until Ridgeline has parity (D-2).</w:t>
            </w:r>
          </w:p>
        </w:tc>
        <w:tc>
          <w:tcPr>
            <w:tcW w:type="dxa" w:w="792"/>
          </w:tcPr>
          <w:p>
            <w:r/>
            <w:r>
              <w:rPr>
                <w:b w:val="0"/>
                <w:i w:val="0"/>
                <w:sz w:val="15"/>
              </w:rPr>
              <w:t>AMBER</w:t>
            </w:r>
          </w:p>
        </w:tc>
        <w:tc>
          <w:tcPr>
            <w:tcW w:type="dxa" w:w="2736"/>
          </w:tcPr>
          <w:p>
            <w:r/>
            <w:r>
              <w:rPr>
                <w:b w:val="0"/>
                <w:i w:val="0"/>
                <w:sz w:val="15"/>
              </w:rPr>
              <w:t>Revise Ex. H before Elkhorn review.</w:t>
            </w:r>
          </w:p>
        </w:tc>
      </w:tr>
      <w:tr>
        <w:tc>
          <w:tcPr>
            <w:tcW w:type="dxa" w:w="792"/>
          </w:tcPr>
          <w:p>
            <w:r/>
            <w:r>
              <w:rPr>
                <w:b w:val="0"/>
                <w:i w:val="0"/>
                <w:sz w:val="15"/>
              </w:rPr>
              <w:t>2 / 19 / 45</w:t>
            </w:r>
          </w:p>
        </w:tc>
        <w:tc>
          <w:tcPr>
            <w:tcW w:type="dxa" w:w="2088"/>
          </w:tcPr>
          <w:p>
            <w:r/>
            <w:r>
              <w:rPr>
                <w:b w:val="0"/>
                <w:i w:val="0"/>
                <w:sz w:val="15"/>
              </w:rPr>
              <w:t>LLC Agreement restatement for flip; flip operating agreement; bring-down</w:t>
            </w:r>
          </w:p>
        </w:tc>
        <w:tc>
          <w:tcPr>
            <w:tcW w:type="dxa" w:w="3240"/>
          </w:tcPr>
          <w:p>
            <w:r/>
            <w:r>
              <w:rPr>
                <w:b w:val="0"/>
                <w:i w:val="0"/>
                <w:sz w:val="15"/>
              </w:rPr>
              <w:t>Admitting Ridgeline conflicts with §11.1(g) and possibly §17.1(b) (D-3).</w:t>
            </w:r>
          </w:p>
        </w:tc>
        <w:tc>
          <w:tcPr>
            <w:tcW w:type="dxa" w:w="792"/>
          </w:tcPr>
          <w:p>
            <w:r/>
            <w:r>
              <w:rPr>
                <w:b w:val="0"/>
                <w:i w:val="0"/>
                <w:sz w:val="15"/>
              </w:rPr>
              <w:t>RED</w:t>
            </w:r>
          </w:p>
        </w:tc>
        <w:tc>
          <w:tcPr>
            <w:tcW w:type="dxa" w:w="2736"/>
          </w:tcPr>
          <w:p>
            <w:r/>
            <w:r>
              <w:rPr>
                <w:b w:val="0"/>
                <w:i w:val="0"/>
                <w:sz w:val="15"/>
              </w:rPr>
              <w:t>Amend §11.1(g)/§17.1(b) before LLC restatement.</w:t>
            </w:r>
          </w:p>
        </w:tc>
      </w:tr>
      <w:tr>
        <w:tc>
          <w:tcPr>
            <w:tcW w:type="dxa" w:w="792"/>
          </w:tcPr>
          <w:p>
            <w:r/>
            <w:r>
              <w:rPr>
                <w:b w:val="0"/>
                <w:i w:val="0"/>
                <w:sz w:val="15"/>
              </w:rPr>
              <w:t>13</w:t>
            </w:r>
          </w:p>
        </w:tc>
        <w:tc>
          <w:tcPr>
            <w:tcW w:type="dxa" w:w="2088"/>
          </w:tcPr>
          <w:p>
            <w:r/>
            <w:r>
              <w:rPr>
                <w:b w:val="0"/>
                <w:i w:val="0"/>
                <w:sz w:val="15"/>
              </w:rPr>
              <w:t>Buyer credit; no Buyer credit support</w:t>
            </w:r>
          </w:p>
        </w:tc>
        <w:tc>
          <w:tcPr>
            <w:tcW w:type="dxa" w:w="3240"/>
          </w:tcPr>
          <w:p>
            <w:r/>
            <w:r>
              <w:rPr>
                <w:b w:val="0"/>
                <w:i w:val="0"/>
                <w:sz w:val="15"/>
              </w:rPr>
              <w:t>Conforms; PPA adds downgrade collateral (D-24, favorable).</w:t>
            </w:r>
          </w:p>
        </w:tc>
        <w:tc>
          <w:tcPr>
            <w:tcW w:type="dxa" w:w="792"/>
          </w:tcPr>
          <w:p>
            <w:r/>
            <w:r>
              <w:rPr>
                <w:b w:val="0"/>
                <w:i w:val="0"/>
                <w:sz w:val="15"/>
              </w:rPr>
              <w:t>GREEN</w:t>
            </w:r>
          </w:p>
        </w:tc>
        <w:tc>
          <w:tcPr>
            <w:tcW w:type="dxa" w:w="2736"/>
          </w:tcPr>
          <w:p>
            <w:r/>
            <w:r>
              <w:rPr>
                <w:b w:val="0"/>
                <w:i w:val="0"/>
                <w:sz w:val="15"/>
              </w:rPr>
              <w:t>None.</w:t>
            </w:r>
          </w:p>
        </w:tc>
      </w:tr>
      <w:tr>
        <w:tc>
          <w:tcPr>
            <w:tcW w:type="dxa" w:w="792"/>
          </w:tcPr>
          <w:p>
            <w:r/>
            <w:r>
              <w:rPr>
                <w:b w:val="0"/>
                <w:i w:val="0"/>
                <w:sz w:val="15"/>
              </w:rPr>
              <w:t>14</w:t>
            </w:r>
          </w:p>
        </w:tc>
        <w:tc>
          <w:tcPr>
            <w:tcW w:type="dxa" w:w="2088"/>
          </w:tcPr>
          <w:p>
            <w:r/>
            <w:r>
              <w:rPr>
                <w:b w:val="0"/>
                <w:i w:val="0"/>
                <w:sz w:val="15"/>
              </w:rPr>
              <w:t>Buyer counsel authorization/enforceability letter</w:t>
            </w:r>
          </w:p>
        </w:tc>
        <w:tc>
          <w:tcPr>
            <w:tcW w:type="dxa" w:w="3240"/>
          </w:tcPr>
          <w:p>
            <w:r/>
            <w:r>
              <w:rPr>
                <w:b w:val="0"/>
                <w:i w:val="0"/>
                <w:sz w:val="15"/>
              </w:rPr>
              <w:t>Not started; also needed to evidence Board approval of the amendment.</w:t>
            </w:r>
          </w:p>
        </w:tc>
        <w:tc>
          <w:tcPr>
            <w:tcW w:type="dxa" w:w="792"/>
          </w:tcPr>
          <w:p>
            <w:r/>
            <w:r>
              <w:rPr>
                <w:b w:val="0"/>
                <w:i w:val="0"/>
                <w:sz w:val="15"/>
              </w:rPr>
              <w:t>AMBER</w:t>
            </w:r>
          </w:p>
        </w:tc>
        <w:tc>
          <w:tcPr>
            <w:tcW w:type="dxa" w:w="2736"/>
          </w:tcPr>
          <w:p>
            <w:r/>
            <w:r>
              <w:rPr>
                <w:b w:val="0"/>
                <w:i w:val="0"/>
                <w:sz w:val="15"/>
              </w:rPr>
              <w:t>Request now from Prescott &amp; Hale (200 East Broadway, Suite 800).</w:t>
            </w:r>
          </w:p>
        </w:tc>
      </w:tr>
      <w:tr>
        <w:tc>
          <w:tcPr>
            <w:tcW w:type="dxa" w:w="792"/>
          </w:tcPr>
          <w:p>
            <w:r/>
            <w:r>
              <w:rPr>
                <w:b w:val="0"/>
                <w:i w:val="0"/>
                <w:sz w:val="15"/>
              </w:rPr>
              <w:t>44</w:t>
            </w:r>
          </w:p>
        </w:tc>
        <w:tc>
          <w:tcPr>
            <w:tcW w:type="dxa" w:w="2088"/>
          </w:tcPr>
          <w:p>
            <w:r/>
            <w:r>
              <w:rPr>
                <w:b w:val="0"/>
                <w:i w:val="0"/>
                <w:sz w:val="15"/>
              </w:rPr>
              <w:t>CP checklist; deviation report gating for Ridgeline IC</w:t>
            </w:r>
          </w:p>
        </w:tc>
        <w:tc>
          <w:tcPr>
            <w:tcW w:type="dxa" w:w="3240"/>
          </w:tcPr>
          <w:p>
            <w:r/>
            <w:r>
              <w:rPr>
                <w:b w:val="0"/>
                <w:i w:val="0"/>
                <w:sz w:val="15"/>
              </w:rPr>
              <w:t>Deviation report is gating; amendment execution should be a closing CP.</w:t>
            </w:r>
          </w:p>
        </w:tc>
        <w:tc>
          <w:tcPr>
            <w:tcW w:type="dxa" w:w="792"/>
          </w:tcPr>
          <w:p>
            <w:r/>
            <w:r>
              <w:rPr>
                <w:b w:val="0"/>
                <w:i w:val="0"/>
                <w:sz w:val="15"/>
              </w:rPr>
              <w:t>AMBER</w:t>
            </w:r>
          </w:p>
        </w:tc>
        <w:tc>
          <w:tcPr>
            <w:tcW w:type="dxa" w:w="2736"/>
          </w:tcPr>
          <w:p>
            <w:r/>
            <w:r>
              <w:rPr>
                <w:b w:val="0"/>
                <w:i w:val="0"/>
                <w:sz w:val="15"/>
              </w:rPr>
              <w:t>Add First Amendment and revised Ex. H consents as CPs.</w:t>
            </w:r>
          </w:p>
        </w:tc>
      </w:tr>
    </w:tbl>
    <w:p>
      <w:pPr>
        <w:spacing w:after="40"/>
      </w:pPr>
    </w:p>
    <w:p>
      <w:pPr>
        <w:pStyle w:val="Heading2"/>
      </w:pPr>
      <w:r>
        <w:t>Quantified exposure (selected, at Contract Quantity)</w:t>
      </w:r>
    </w:p>
    <w:tbl>
      <w:tblPr>
        <w:tblStyle w:val="TableGrid"/>
        <w:tblW w:type="auto" w:w="0"/>
        <w:jc w:val="center"/>
        <w:tblLook w:firstColumn="1" w:firstRow="1" w:lastColumn="0" w:lastRow="0" w:noHBand="0" w:noVBand="1" w:val="04A0"/>
      </w:tblPr>
      <w:tblGrid>
        <w:gridCol w:w="2412"/>
        <w:gridCol w:w="2412"/>
        <w:gridCol w:w="2412"/>
        <w:gridCol w:w="2412"/>
      </w:tblGrid>
      <w:tr>
        <w:trPr>
          <w:tblHeader w:val="true"/>
        </w:trPr>
        <w:tc>
          <w:tcPr>
            <w:tcW w:type="dxa" w:w="2880"/>
            <w:shd w:val="clear" w:color="auto" w:fill="1F3A5F"/>
          </w:tcPr>
          <w:p>
            <w:r/>
            <w:r>
              <w:rPr>
                <w:b/>
                <w:color w:val="FFFFFF"/>
                <w:sz w:val="16"/>
              </w:rPr>
              <w:t>Item</w:t>
            </w:r>
          </w:p>
        </w:tc>
        <w:tc>
          <w:tcPr>
            <w:tcW w:type="dxa" w:w="2016"/>
            <w:shd w:val="clear" w:color="auto" w:fill="1F3A5F"/>
          </w:tcPr>
          <w:p>
            <w:r/>
            <w:r>
              <w:rPr>
                <w:b/>
                <w:color w:val="FFFFFF"/>
                <w:sz w:val="16"/>
              </w:rPr>
              <w:t>Term Sheet</w:t>
            </w:r>
          </w:p>
        </w:tc>
        <w:tc>
          <w:tcPr>
            <w:tcW w:type="dxa" w:w="2016"/>
            <w:shd w:val="clear" w:color="auto" w:fill="1F3A5F"/>
          </w:tcPr>
          <w:p>
            <w:r/>
            <w:r>
              <w:rPr>
                <w:b/>
                <w:color w:val="FFFFFF"/>
                <w:sz w:val="16"/>
              </w:rPr>
              <w:t>Executed PPA</w:t>
            </w:r>
          </w:p>
        </w:tc>
        <w:tc>
          <w:tcPr>
            <w:tcW w:type="dxa" w:w="2736"/>
            <w:shd w:val="clear" w:color="auto" w:fill="1F3A5F"/>
          </w:tcPr>
          <w:p>
            <w:r/>
            <w:r>
              <w:rPr>
                <w:b/>
                <w:color w:val="FFFFFF"/>
                <w:sz w:val="16"/>
              </w:rPr>
              <w:t>Difference</w:t>
            </w:r>
          </w:p>
        </w:tc>
      </w:tr>
      <w:tr>
        <w:tc>
          <w:tcPr>
            <w:tcW w:type="dxa" w:w="2880"/>
          </w:tcPr>
          <w:p>
            <w:r/>
            <w:r>
              <w:rPr>
                <w:b w:val="0"/>
                <w:i w:val="0"/>
                <w:sz w:val="16"/>
              </w:rPr>
              <w:t>Exhibit B pricing, CY6–20 revenue (D-4)</w:t>
            </w:r>
          </w:p>
        </w:tc>
        <w:tc>
          <w:tcPr>
            <w:tcW w:type="dxa" w:w="2016"/>
          </w:tcPr>
          <w:p>
            <w:r/>
            <w:r>
              <w:rPr>
                <w:b w:val="0"/>
                <w:i w:val="0"/>
                <w:sz w:val="16"/>
              </w:rPr>
              <w:t>$717.73M total Term revenue (formula)</w:t>
            </w:r>
          </w:p>
        </w:tc>
        <w:tc>
          <w:tcPr>
            <w:tcW w:type="dxa" w:w="2016"/>
          </w:tcPr>
          <w:p>
            <w:r/>
            <w:r>
              <w:rPr>
                <w:b w:val="0"/>
                <w:i w:val="0"/>
                <w:sz w:val="16"/>
              </w:rPr>
              <w:t>$740.91M if table enforced</w:t>
            </w:r>
          </w:p>
        </w:tc>
        <w:tc>
          <w:tcPr>
            <w:tcW w:type="dxa" w:w="2736"/>
          </w:tcPr>
          <w:p>
            <w:r/>
            <w:r>
              <w:rPr>
                <w:b w:val="0"/>
                <w:i w:val="0"/>
                <w:sz w:val="16"/>
              </w:rPr>
              <w:t>+$23.18M nominal / +$9.58M PV@6% (unbankable; dispute risk)</w:t>
            </w:r>
          </w:p>
        </w:tc>
      </w:tr>
      <w:tr>
        <w:tc>
          <w:tcPr>
            <w:tcW w:type="dxa" w:w="2880"/>
          </w:tcPr>
          <w:p>
            <w:r/>
            <w:r>
              <w:rPr>
                <w:b w:val="0"/>
                <w:i w:val="0"/>
                <w:sz w:val="16"/>
              </w:rPr>
              <w:t>Economic curtailment comp. at 42,500 MWh cap (D-5)</w:t>
            </w:r>
          </w:p>
        </w:tc>
        <w:tc>
          <w:tcPr>
            <w:tcW w:type="dxa" w:w="2016"/>
          </w:tcPr>
          <w:p>
            <w:r/>
            <w:r>
              <w:rPr>
                <w:b w:val="0"/>
                <w:i w:val="0"/>
                <w:sz w:val="16"/>
              </w:rPr>
              <w:t>$1,472,625 (CY1)</w:t>
            </w:r>
          </w:p>
        </w:tc>
        <w:tc>
          <w:tcPr>
            <w:tcW w:type="dxa" w:w="2016"/>
          </w:tcPr>
          <w:p>
            <w:r/>
            <w:r>
              <w:rPr>
                <w:b w:val="0"/>
                <w:i w:val="0"/>
                <w:sz w:val="16"/>
              </w:rPr>
              <w:t>$1,309,000 (CY1)</w:t>
            </w:r>
          </w:p>
        </w:tc>
        <w:tc>
          <w:tcPr>
            <w:tcW w:type="dxa" w:w="2736"/>
          </w:tcPr>
          <w:p>
            <w:r/>
            <w:r>
              <w:rPr>
                <w:b w:val="0"/>
                <w:i w:val="0"/>
                <w:sz w:val="16"/>
              </w:rPr>
              <w:t>–$163,625/yr in CY1; ~–$3.59M over Term</w:t>
            </w:r>
          </w:p>
        </w:tc>
      </w:tr>
      <w:tr>
        <w:tc>
          <w:tcPr>
            <w:tcW w:type="dxa" w:w="2880"/>
          </w:tcPr>
          <w:p>
            <w:r/>
            <w:r>
              <w:rPr>
                <w:b w:val="0"/>
                <w:i w:val="0"/>
                <w:sz w:val="16"/>
              </w:rPr>
              <w:t>Delay LDs, 12-month delay (D-6)</w:t>
            </w:r>
          </w:p>
        </w:tc>
        <w:tc>
          <w:tcPr>
            <w:tcW w:type="dxa" w:w="2016"/>
          </w:tcPr>
          <w:p>
            <w:r/>
            <w:r>
              <w:rPr>
                <w:b w:val="0"/>
                <w:i w:val="0"/>
                <w:sz w:val="16"/>
              </w:rPr>
              <w:t>$1,500,000 (cap)</w:t>
            </w:r>
          </w:p>
        </w:tc>
        <w:tc>
          <w:tcPr>
            <w:tcW w:type="dxa" w:w="2016"/>
          </w:tcPr>
          <w:p>
            <w:r/>
            <w:r>
              <w:rPr>
                <w:b w:val="0"/>
                <w:i w:val="0"/>
                <w:sz w:val="16"/>
              </w:rPr>
              <w:t>$2,100,000</w:t>
            </w:r>
          </w:p>
        </w:tc>
        <w:tc>
          <w:tcPr>
            <w:tcW w:type="dxa" w:w="2736"/>
          </w:tcPr>
          <w:p>
            <w:r/>
            <w:r>
              <w:rPr>
                <w:b w:val="0"/>
                <w:i w:val="0"/>
                <w:sz w:val="16"/>
              </w:rPr>
              <w:t>+$600,000; max +$1.0M (cap $2.5M)</w:t>
            </w:r>
          </w:p>
        </w:tc>
      </w:tr>
      <w:tr>
        <w:tc>
          <w:tcPr>
            <w:tcW w:type="dxa" w:w="2880"/>
          </w:tcPr>
          <w:p>
            <w:r/>
            <w:r>
              <w:rPr>
                <w:b w:val="0"/>
                <w:i w:val="0"/>
                <w:sz w:val="16"/>
              </w:rPr>
              <w:t>Availability LDs at 93% (D-12)</w:t>
            </w:r>
          </w:p>
        </w:tc>
        <w:tc>
          <w:tcPr>
            <w:tcW w:type="dxa" w:w="2016"/>
          </w:tcPr>
          <w:p>
            <w:r/>
            <w:r>
              <w:rPr>
                <w:b w:val="0"/>
                <w:i w:val="0"/>
                <w:sz w:val="16"/>
              </w:rPr>
              <w:t>$100,000</w:t>
            </w:r>
          </w:p>
        </w:tc>
        <w:tc>
          <w:tcPr>
            <w:tcW w:type="dxa" w:w="2016"/>
          </w:tcPr>
          <w:p>
            <w:r/>
            <w:r>
              <w:rPr>
                <w:b w:val="0"/>
                <w:i w:val="0"/>
                <w:sz w:val="16"/>
              </w:rPr>
              <w:t>$130,000</w:t>
            </w:r>
          </w:p>
        </w:tc>
        <w:tc>
          <w:tcPr>
            <w:tcW w:type="dxa" w:w="2736"/>
          </w:tcPr>
          <w:p>
            <w:r/>
            <w:r>
              <w:rPr>
                <w:b w:val="0"/>
                <w:i w:val="0"/>
                <w:sz w:val="16"/>
              </w:rPr>
              <w:t>+$30,000 per year; uncapped by 20% cap (D-13)</w:t>
            </w:r>
          </w:p>
        </w:tc>
      </w:tr>
      <w:tr>
        <w:tc>
          <w:tcPr>
            <w:tcW w:type="dxa" w:w="2880"/>
          </w:tcPr>
          <w:p>
            <w:r/>
            <w:r>
              <w:rPr>
                <w:b w:val="0"/>
                <w:i w:val="0"/>
                <w:sz w:val="16"/>
              </w:rPr>
              <w:t>Shortfall LDs at 600,000 MWh adjusted output, CY1 (D-15/16)</w:t>
            </w:r>
          </w:p>
        </w:tc>
        <w:tc>
          <w:tcPr>
            <w:tcW w:type="dxa" w:w="2016"/>
          </w:tcPr>
          <w:p>
            <w:r/>
            <w:r>
              <w:rPr>
                <w:b w:val="0"/>
                <w:i w:val="0"/>
                <w:sz w:val="16"/>
              </w:rPr>
              <w:t>$2,310,000</w:t>
            </w:r>
          </w:p>
        </w:tc>
        <w:tc>
          <w:tcPr>
            <w:tcW w:type="dxa" w:w="2016"/>
          </w:tcPr>
          <w:p>
            <w:r/>
            <w:r>
              <w:rPr>
                <w:b w:val="0"/>
                <w:i w:val="0"/>
                <w:sz w:val="16"/>
              </w:rPr>
              <w:t>$721,875</w:t>
            </w:r>
          </w:p>
        </w:tc>
        <w:tc>
          <w:tcPr>
            <w:tcW w:type="dxa" w:w="2736"/>
          </w:tcPr>
          <w:p>
            <w:r/>
            <w:r>
              <w:rPr>
                <w:b w:val="0"/>
                <w:i w:val="0"/>
                <w:sz w:val="16"/>
              </w:rPr>
              <w:t>–$1,588,125 (agreed, Seller-favorable)</w:t>
            </w:r>
          </w:p>
        </w:tc>
      </w:tr>
      <w:tr>
        <w:tc>
          <w:tcPr>
            <w:tcW w:type="dxa" w:w="2880"/>
          </w:tcPr>
          <w:p>
            <w:r/>
            <w:r>
              <w:rPr>
                <w:b w:val="0"/>
                <w:i w:val="0"/>
                <w:sz w:val="16"/>
              </w:rPr>
              <w:t>Shortfall LDs at 670,000 MWh (Negotiation Summary example)</w:t>
            </w:r>
          </w:p>
        </w:tc>
        <w:tc>
          <w:tcPr>
            <w:tcW w:type="dxa" w:w="2016"/>
          </w:tcPr>
          <w:p>
            <w:r/>
            <w:r>
              <w:rPr>
                <w:b w:val="0"/>
                <w:i w:val="0"/>
                <w:sz w:val="16"/>
              </w:rPr>
              <w:t>$288,750</w:t>
            </w:r>
          </w:p>
        </w:tc>
        <w:tc>
          <w:tcPr>
            <w:tcW w:type="dxa" w:w="2016"/>
          </w:tcPr>
          <w:p>
            <w:r/>
            <w:r>
              <w:rPr>
                <w:b w:val="0"/>
                <w:i w:val="0"/>
                <w:sz w:val="16"/>
              </w:rPr>
              <w:t>$0</w:t>
            </w:r>
          </w:p>
        </w:tc>
        <w:tc>
          <w:tcPr>
            <w:tcW w:type="dxa" w:w="2736"/>
          </w:tcPr>
          <w:p>
            <w:r/>
            <w:r>
              <w:rPr>
                <w:b w:val="0"/>
                <w:i w:val="0"/>
                <w:sz w:val="16"/>
              </w:rPr>
              <w:t>–$288,750 (agreed)</w:t>
            </w:r>
          </w:p>
        </w:tc>
      </w:tr>
      <w:tr>
        <w:tc>
          <w:tcPr>
            <w:tcW w:type="dxa" w:w="2880"/>
          </w:tcPr>
          <w:p>
            <w:r/>
            <w:r>
              <w:rPr>
                <w:b w:val="0"/>
                <w:i w:val="0"/>
                <w:sz w:val="16"/>
              </w:rPr>
              <w:t>Bond amount after CY5 (D-22)</w:t>
            </w:r>
          </w:p>
        </w:tc>
        <w:tc>
          <w:tcPr>
            <w:tcW w:type="dxa" w:w="2016"/>
          </w:tcPr>
          <w:p>
            <w:r/>
            <w:r>
              <w:rPr>
                <w:b w:val="0"/>
                <w:i w:val="0"/>
                <w:sz w:val="16"/>
              </w:rPr>
              <w:t>$3,750,000</w:t>
            </w:r>
          </w:p>
        </w:tc>
        <w:tc>
          <w:tcPr>
            <w:tcW w:type="dxa" w:w="2016"/>
          </w:tcPr>
          <w:p>
            <w:r/>
            <w:r>
              <w:rPr>
                <w:b w:val="0"/>
                <w:i w:val="0"/>
                <w:sz w:val="16"/>
              </w:rPr>
              <w:t>$7,500,000</w:t>
            </w:r>
          </w:p>
        </w:tc>
        <w:tc>
          <w:tcPr>
            <w:tcW w:type="dxa" w:w="2736"/>
          </w:tcPr>
          <w:p>
            <w:r/>
            <w:r>
              <w:rPr>
                <w:b w:val="0"/>
                <w:i w:val="0"/>
                <w:sz w:val="16"/>
              </w:rPr>
              <w:t>+$3.75M bonded for CY6–20</w:t>
            </w:r>
          </w:p>
        </w:tc>
      </w:tr>
    </w:tbl>
    <w:p>
      <w:pPr>
        <w:spacing w:after="40"/>
      </w:pPr>
    </w:p>
    <w:p>
      <w:pPr>
        <w:pStyle w:val="Heading1"/>
      </w:pPr>
      <w:r>
        <w:t>7. Remediation Plan and Timeline</w:t>
      </w:r>
    </w:p>
    <w:p>
      <w:pPr>
        <w:spacing w:after="40"/>
      </w:pPr>
      <w:r>
        <w:rPr>
          <w:b/>
          <w:i w:val="0"/>
        </w:rPr>
        <w:t>Proposed First Amendment to PPA (single package), in priority order:</w:t>
      </w:r>
    </w:p>
    <w:p>
      <w:pPr>
        <w:pStyle w:val="ListNumber"/>
        <w:spacing w:after="60"/>
      </w:pPr>
      <w:r>
        <w:rPr>
          <w:b w:val="0"/>
          <w:i w:val="0"/>
        </w:rPr>
        <w:t>Financing Party / tax equity: amend Ex. A, §§17.1(a), 17.3, 18.4, 20.9; revise Ex. H (remove §8 tax equity exclusion; tax-equity-usable form); reinstate “no cost to Buyer” and “material covenant” (D-1, D-2).</w:t>
      </w:r>
    </w:p>
    <w:p>
      <w:pPr>
        <w:pStyle w:val="ListNumber"/>
        <w:spacing w:after="60"/>
      </w:pPr>
      <w:r>
        <w:rPr>
          <w:b w:val="0"/>
          <w:i w:val="0"/>
        </w:rPr>
        <w:t>Ownership: restore TS §15.3 change-of-control notice regime; carve out tax equity admission, flips and Financing Party enforcement; conform §11.1(g) (D-3, D-26).</w:t>
      </w:r>
    </w:p>
    <w:p>
      <w:pPr>
        <w:pStyle w:val="ListNumber"/>
        <w:spacing w:after="60"/>
      </w:pPr>
      <w:r>
        <w:rPr>
          <w:b w:val="0"/>
          <w:i w:val="0"/>
        </w:rPr>
        <w:t>Pricing: replace Ex. B Parts 2–3 with formula prices (Schedule 1); make formula control (D-4).</w:t>
      </w:r>
    </w:p>
    <w:p>
      <w:pPr>
        <w:pStyle w:val="ListNumber"/>
        <w:spacing w:after="60"/>
      </w:pPr>
      <w:r>
        <w:rPr>
          <w:b w:val="0"/>
          <w:i w:val="0"/>
        </w:rPr>
        <w:t>Restore Term Sheet economics: 90% curtailment (D-5); $125,000/month and $1.5M Delay LD cap (D-6); $50,000 Availability LDs and combined 20% cap (D-12, D-13); 18-month FM termination (D-8); TS §13.2 transmission carve-out (D-10); TS §17 arbitration (D-11).</w:t>
      </w:r>
    </w:p>
    <w:p>
      <w:pPr>
        <w:pStyle w:val="ListNumber"/>
        <w:spacing w:after="60"/>
      </w:pPr>
      <w:r>
        <w:rPr>
          <w:b w:val="0"/>
          <w:i w:val="0"/>
        </w:rPr>
        <w:t>Remedies: delete §18.1(a) and §8.1 last sentence / repeated-shortfall termination, restore sole-remedy construct, fix termination damages formula, add FM extension of GCOD/Outside Date (D-7, D-14, D-25).</w:t>
      </w:r>
    </w:p>
    <w:p>
      <w:pPr>
        <w:pStyle w:val="ListNumber"/>
        <w:spacing w:after="60"/>
      </w:pPr>
      <w:r>
        <w:rPr>
          <w:b w:val="0"/>
          <w:i w:val="0"/>
        </w:rPr>
        <w:t>Credit support: TS bond timing, step-down to $3.75M after CY5, narrower draw conditions (D-21, D-22).</w:t>
      </w:r>
    </w:p>
    <w:p>
      <w:pPr>
        <w:pStyle w:val="ListNumber"/>
        <w:spacing w:after="60"/>
      </w:pPr>
      <w:r>
        <w:rPr>
          <w:b w:val="0"/>
          <w:i w:val="0"/>
        </w:rPr>
        <w:t>Confirmations: Buyer acknowledgment of agreed deviations (D-15, D-16), early COD (D-20) and excess RECs with mechanics (D-18); add quarterly generation reports (D-17); fix ancillary errors (Section 8).</w:t>
      </w:r>
    </w:p>
    <w:p>
      <w:pPr>
        <w:spacing w:after="40"/>
      </w:pPr>
      <w:r>
        <w:rPr>
          <w:b/>
          <w:i w:val="0"/>
        </w:rPr>
        <w:t>Timeline (working back from April 15, 2025):</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1800"/>
            <w:shd w:val="clear" w:color="auto" w:fill="1F3A5F"/>
          </w:tcPr>
          <w:p>
            <w:r/>
            <w:r>
              <w:rPr>
                <w:b/>
                <w:color w:val="FFFFFF"/>
                <w:sz w:val="16"/>
              </w:rPr>
              <w:t>Date</w:t>
            </w:r>
          </w:p>
        </w:tc>
        <w:tc>
          <w:tcPr>
            <w:tcW w:type="dxa" w:w="5976"/>
            <w:shd w:val="clear" w:color="auto" w:fill="1F3A5F"/>
          </w:tcPr>
          <w:p>
            <w:r/>
            <w:r>
              <w:rPr>
                <w:b/>
                <w:color w:val="FFFFFF"/>
                <w:sz w:val="16"/>
              </w:rPr>
              <w:t>Action</w:t>
            </w:r>
          </w:p>
        </w:tc>
        <w:tc>
          <w:tcPr>
            <w:tcW w:type="dxa" w:w="1872"/>
            <w:shd w:val="clear" w:color="auto" w:fill="1F3A5F"/>
          </w:tcPr>
          <w:p>
            <w:r/>
            <w:r>
              <w:rPr>
                <w:b/>
                <w:color w:val="FFFFFF"/>
                <w:sz w:val="16"/>
              </w:rPr>
              <w:t>Owner</w:t>
            </w:r>
          </w:p>
        </w:tc>
      </w:tr>
      <w:tr>
        <w:tc>
          <w:tcPr>
            <w:tcW w:type="dxa" w:w="1800"/>
          </w:tcPr>
          <w:p>
            <w:r/>
            <w:r>
              <w:rPr>
                <w:b w:val="0"/>
                <w:i w:val="0"/>
                <w:sz w:val="16"/>
              </w:rPr>
              <w:t>Immediately</w:t>
            </w:r>
          </w:p>
        </w:tc>
        <w:tc>
          <w:tcPr>
            <w:tcW w:type="dxa" w:w="5976"/>
          </w:tcPr>
          <w:p>
            <w:r/>
            <w:r>
              <w:rPr>
                <w:b w:val="0"/>
                <w:i w:val="0"/>
                <w:sz w:val="16"/>
              </w:rPr>
              <w:t>Confirm performance bond delivered by Mar. 6, 2025 (or obtain Buyer extension). Pull drafting history (Langdon Jan. 15 markup, Seller comments, execution version).</w:t>
            </w:r>
          </w:p>
        </w:tc>
        <w:tc>
          <w:tcPr>
            <w:tcW w:type="dxa" w:w="1872"/>
          </w:tcPr>
          <w:p>
            <w:r/>
            <w:r>
              <w:rPr>
                <w:b w:val="0"/>
                <w:i w:val="0"/>
                <w:sz w:val="16"/>
              </w:rPr>
              <w:t>T&amp;M (R. Matsuda) / Verdana</w:t>
            </w:r>
          </w:p>
        </w:tc>
      </w:tr>
      <w:tr>
        <w:tc>
          <w:tcPr>
            <w:tcW w:type="dxa" w:w="1800"/>
          </w:tcPr>
          <w:p>
            <w:r/>
            <w:r>
              <w:rPr>
                <w:b w:val="0"/>
                <w:i w:val="0"/>
                <w:sz w:val="16"/>
              </w:rPr>
              <w:t>By Mar. 7, 2025</w:t>
            </w:r>
          </w:p>
        </w:tc>
        <w:tc>
          <w:tcPr>
            <w:tcW w:type="dxa" w:w="5976"/>
          </w:tcPr>
          <w:p>
            <w:r/>
            <w:r>
              <w:rPr>
                <w:b w:val="0"/>
                <w:i w:val="0"/>
                <w:sz w:val="16"/>
              </w:rPr>
              <w:t>Send First Amendment draft and issues list to Prescott &amp; Hale; request Buyer Board scheduling; request Item 14 counsel letter.</w:t>
            </w:r>
          </w:p>
        </w:tc>
        <w:tc>
          <w:tcPr>
            <w:tcW w:type="dxa" w:w="1872"/>
          </w:tcPr>
          <w:p>
            <w:r/>
            <w:r>
              <w:rPr>
                <w:b w:val="0"/>
                <w:i w:val="0"/>
                <w:sz w:val="16"/>
              </w:rPr>
              <w:t>T&amp;M (C. Ainsworth)</w:t>
            </w:r>
          </w:p>
        </w:tc>
      </w:tr>
      <w:tr>
        <w:tc>
          <w:tcPr>
            <w:tcW w:type="dxa" w:w="1800"/>
          </w:tcPr>
          <w:p>
            <w:r/>
            <w:r>
              <w:rPr>
                <w:b w:val="0"/>
                <w:i w:val="0"/>
                <w:sz w:val="16"/>
              </w:rPr>
              <w:t>By Mar. 14, 2025</w:t>
            </w:r>
          </w:p>
        </w:tc>
        <w:tc>
          <w:tcPr>
            <w:tcW w:type="dxa" w:w="5976"/>
          </w:tcPr>
          <w:p>
            <w:r/>
            <w:r>
              <w:rPr>
                <w:b w:val="0"/>
                <w:i w:val="0"/>
                <w:sz w:val="16"/>
              </w:rPr>
              <w:t>Deliver Ridgeline-facing deviation report with remediation plan; walk Priya Venkataraman through D-15/D-16 rationale; confirm whether a direct Ridgeline consent is an acceptable fallback for D-1/D-2.</w:t>
            </w:r>
          </w:p>
        </w:tc>
        <w:tc>
          <w:tcPr>
            <w:tcW w:type="dxa" w:w="1872"/>
          </w:tcPr>
          <w:p>
            <w:r/>
            <w:r>
              <w:rPr>
                <w:b w:val="0"/>
                <w:i w:val="0"/>
                <w:sz w:val="16"/>
              </w:rPr>
              <w:t>T&amp;M / Verdana (D. Kowalski)</w:t>
            </w:r>
          </w:p>
        </w:tc>
      </w:tr>
      <w:tr>
        <w:tc>
          <w:tcPr>
            <w:tcW w:type="dxa" w:w="1800"/>
          </w:tcPr>
          <w:p>
            <w:r/>
            <w:r>
              <w:rPr>
                <w:b w:val="0"/>
                <w:i w:val="0"/>
                <w:sz w:val="16"/>
              </w:rPr>
              <w:t>Mar. 17–Apr. 4, 2025</w:t>
            </w:r>
          </w:p>
        </w:tc>
        <w:tc>
          <w:tcPr>
            <w:tcW w:type="dxa" w:w="5976"/>
          </w:tcPr>
          <w:p>
            <w:r/>
            <w:r>
              <w:rPr>
                <w:b w:val="0"/>
                <w:i w:val="0"/>
                <w:sz w:val="16"/>
              </w:rPr>
              <w:t>Negotiate amendment; Buyer Board of Trustees approval (public meeting notice lead time to be confirmed); share revised Ex. H with Elkhorn.</w:t>
            </w:r>
          </w:p>
        </w:tc>
        <w:tc>
          <w:tcPr>
            <w:tcW w:type="dxa" w:w="1872"/>
          </w:tcPr>
          <w:p>
            <w:r/>
            <w:r>
              <w:rPr>
                <w:b w:val="0"/>
                <w:i w:val="0"/>
                <w:sz w:val="16"/>
              </w:rPr>
              <w:t>T&amp;M / Buyer</w:t>
            </w:r>
          </w:p>
        </w:tc>
      </w:tr>
      <w:tr>
        <w:tc>
          <w:tcPr>
            <w:tcW w:type="dxa" w:w="1800"/>
          </w:tcPr>
          <w:p>
            <w:r/>
            <w:r>
              <w:rPr>
                <w:b w:val="0"/>
                <w:i w:val="0"/>
                <w:sz w:val="16"/>
              </w:rPr>
              <w:t>By Apr. 11, 2025</w:t>
            </w:r>
          </w:p>
        </w:tc>
        <w:tc>
          <w:tcPr>
            <w:tcW w:type="dxa" w:w="5976"/>
          </w:tcPr>
          <w:p>
            <w:r/>
            <w:r>
              <w:rPr>
                <w:b w:val="0"/>
                <w:i w:val="0"/>
                <w:sz w:val="16"/>
              </w:rPr>
              <w:t>Execute First Amendment; Buyer executes Lender Consent (Elkhorn) and tax equity consent (Ridgeline); Ridgeline model and tax opinion updated.</w:t>
            </w:r>
          </w:p>
        </w:tc>
        <w:tc>
          <w:tcPr>
            <w:tcW w:type="dxa" w:w="1872"/>
          </w:tcPr>
          <w:p>
            <w:r/>
            <w:r>
              <w:rPr>
                <w:b w:val="0"/>
                <w:i w:val="0"/>
                <w:sz w:val="16"/>
              </w:rPr>
              <w:t>All</w:t>
            </w:r>
          </w:p>
        </w:tc>
      </w:tr>
      <w:tr>
        <w:tc>
          <w:tcPr>
            <w:tcW w:type="dxa" w:w="1800"/>
          </w:tcPr>
          <w:p>
            <w:r/>
            <w:r>
              <w:rPr>
                <w:b w:val="0"/>
                <w:i w:val="0"/>
                <w:sz w:val="16"/>
              </w:rPr>
              <w:t>Apr. 15, 2025</w:t>
            </w:r>
          </w:p>
        </w:tc>
        <w:tc>
          <w:tcPr>
            <w:tcW w:type="dxa" w:w="5976"/>
          </w:tcPr>
          <w:p>
            <w:r/>
            <w:r>
              <w:rPr>
                <w:b w:val="0"/>
                <w:i w:val="0"/>
                <w:sz w:val="16"/>
              </w:rPr>
              <w:t>Financial close (amendment and consents as CPs).</w:t>
            </w:r>
          </w:p>
        </w:tc>
        <w:tc>
          <w:tcPr>
            <w:tcW w:type="dxa" w:w="1872"/>
          </w:tcPr>
          <w:p>
            <w:r/>
            <w:r>
              <w:rPr>
                <w:b w:val="0"/>
                <w:i w:val="0"/>
                <w:sz w:val="16"/>
              </w:rPr>
              <w:t>All</w:t>
            </w:r>
          </w:p>
        </w:tc>
      </w:tr>
    </w:tbl>
    <w:p>
      <w:pPr>
        <w:spacing w:after="40"/>
      </w:pPr>
    </w:p>
    <w:p>
      <w:pPr>
        <w:spacing w:after="120"/>
      </w:pPr>
      <w:r>
        <w:rPr>
          <w:b w:val="0"/>
          <w:i w:val="0"/>
          <w:sz w:val="19"/>
        </w:rPr>
        <w:t>If Buyer will not amend before April 15, the minimum close-enabling package is: (1) a Buyer consent and estoppel in favor of Ridgeline granting §17.3 rights and confirming that admission of Ridgeline and any flip are not a change of control or breach of §11.1(g); and (2) a signed side letter correcting Exhibit B to the formula. All other items would then be disclosed as accepted deviations, priced into the model, and carried as post-closing covenants — subject to Ridgeline and Elkhorn agreement.</w:t>
      </w:r>
    </w:p>
    <w:p>
      <w:pPr>
        <w:pStyle w:val="Heading1"/>
      </w:pPr>
      <w:r>
        <w:t>8. Ancillary Inconsistencies and Clean-up Items</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1728"/>
            <w:shd w:val="clear" w:color="auto" w:fill="1F3A5F"/>
          </w:tcPr>
          <w:p>
            <w:r/>
            <w:r>
              <w:rPr>
                <w:b/>
                <w:color w:val="FFFFFF"/>
                <w:sz w:val="16"/>
              </w:rPr>
              <w:t>Ref.</w:t>
            </w:r>
          </w:p>
        </w:tc>
        <w:tc>
          <w:tcPr>
            <w:tcW w:type="dxa" w:w="3744"/>
            <w:shd w:val="clear" w:color="auto" w:fill="1F3A5F"/>
          </w:tcPr>
          <w:p>
            <w:r/>
            <w:r>
              <w:rPr>
                <w:b/>
                <w:color w:val="FFFFFF"/>
                <w:sz w:val="16"/>
              </w:rPr>
              <w:t>Issue</w:t>
            </w:r>
          </w:p>
        </w:tc>
        <w:tc>
          <w:tcPr>
            <w:tcW w:type="dxa" w:w="4176"/>
            <w:shd w:val="clear" w:color="auto" w:fill="1F3A5F"/>
          </w:tcPr>
          <w:p>
            <w:r/>
            <w:r>
              <w:rPr>
                <w:b/>
                <w:color w:val="FFFFFF"/>
                <w:sz w:val="16"/>
              </w:rPr>
              <w:t>Comment</w:t>
            </w:r>
          </w:p>
        </w:tc>
      </w:tr>
      <w:tr>
        <w:tc>
          <w:tcPr>
            <w:tcW w:type="dxa" w:w="1728"/>
          </w:tcPr>
          <w:p>
            <w:r/>
            <w:r>
              <w:rPr>
                <w:b w:val="0"/>
                <w:i w:val="0"/>
                <w:sz w:val="16"/>
              </w:rPr>
              <w:t>Ex. C §1; Recitals</w:t>
            </w:r>
          </w:p>
        </w:tc>
        <w:tc>
          <w:tcPr>
            <w:tcW w:type="dxa" w:w="3744"/>
          </w:tcPr>
          <w:p>
            <w:r/>
            <w:r>
              <w:rPr>
                <w:b w:val="0"/>
                <w:i w:val="0"/>
                <w:sz w:val="16"/>
              </w:rPr>
              <w:t>Installed capacity 62 × 4.0 MW = 248 MW vs. 250 MW nameplate</w:t>
            </w:r>
          </w:p>
        </w:tc>
        <w:tc>
          <w:tcPr>
            <w:tcW w:type="dxa" w:w="4176"/>
          </w:tcPr>
          <w:p>
            <w:r/>
            <w:r>
              <w:rPr>
                <w:b w:val="0"/>
                <w:i w:val="0"/>
                <w:sz w:val="16"/>
              </w:rPr>
              <w:t>Ex. C attributes the gap to “turbine optimization features” and possible reserve-pad turbines. Relevant to COD 240 MW test (D-23), P50 basis and PTC/IE review (Items 6, 7).</w:t>
            </w:r>
          </w:p>
        </w:tc>
      </w:tr>
      <w:tr>
        <w:tc>
          <w:tcPr>
            <w:tcW w:type="dxa" w:w="1728"/>
          </w:tcPr>
          <w:p>
            <w:r/>
            <w:r>
              <w:rPr>
                <w:b w:val="0"/>
                <w:i w:val="0"/>
                <w:sz w:val="16"/>
              </w:rPr>
              <w:t>Ex. C §1 vs. TS §2</w:t>
            </w:r>
          </w:p>
        </w:tc>
        <w:tc>
          <w:tcPr>
            <w:tcW w:type="dxa" w:w="3744"/>
          </w:tcPr>
          <w:p>
            <w:r/>
            <w:r>
              <w:rPr>
                <w:b w:val="0"/>
                <w:i w:val="0"/>
                <w:sz w:val="16"/>
              </w:rPr>
              <w:t>Site described as ~12 miles NW of Pawhuska (PPA) vs. ~22 miles (TS)</w:t>
            </w:r>
          </w:p>
        </w:tc>
        <w:tc>
          <w:tcPr>
            <w:tcW w:type="dxa" w:w="4176"/>
          </w:tcPr>
          <w:p>
            <w:r/>
            <w:r>
              <w:rPr>
                <w:b w:val="0"/>
                <w:i w:val="0"/>
                <w:sz w:val="16"/>
              </w:rPr>
              <w:t>Confirm with survey/title (Items 10, 11).</w:t>
            </w:r>
          </w:p>
        </w:tc>
      </w:tr>
      <w:tr>
        <w:tc>
          <w:tcPr>
            <w:tcW w:type="dxa" w:w="1728"/>
          </w:tcPr>
          <w:p>
            <w:r/>
            <w:r>
              <w:rPr>
                <w:b w:val="0"/>
                <w:i w:val="0"/>
                <w:sz w:val="16"/>
              </w:rPr>
              <w:t>Ex. C §1</w:t>
            </w:r>
          </w:p>
        </w:tc>
        <w:tc>
          <w:tcPr>
            <w:tcW w:type="dxa" w:w="3744"/>
          </w:tcPr>
          <w:p>
            <w:r/>
            <w:r>
              <w:rPr>
                <w:b w:val="0"/>
                <w:i w:val="0"/>
                <w:sz w:val="16"/>
              </w:rPr>
              <w:t>Site within Osage Nation; Osage Minerals Council/BIA approvals “obtained or in the process of being obtained”</w:t>
            </w:r>
          </w:p>
        </w:tc>
        <w:tc>
          <w:tcPr>
            <w:tcW w:type="dxa" w:w="4176"/>
          </w:tcPr>
          <w:p>
            <w:r/>
            <w:r>
              <w:rPr>
                <w:b w:val="0"/>
                <w:i w:val="0"/>
                <w:sz w:val="16"/>
              </w:rPr>
              <w:t>Not in TS; confirm status for permits CP (§2.3(a)) and Item 23.</w:t>
            </w:r>
          </w:p>
        </w:tc>
      </w:tr>
      <w:tr>
        <w:tc>
          <w:tcPr>
            <w:tcW w:type="dxa" w:w="1728"/>
          </w:tcPr>
          <w:p>
            <w:r/>
            <w:r>
              <w:rPr>
                <w:b w:val="0"/>
                <w:i w:val="0"/>
                <w:sz w:val="16"/>
              </w:rPr>
              <w:t>§20.2 vs. TS preamble / Negotiation Summary</w:t>
            </w:r>
          </w:p>
        </w:tc>
        <w:tc>
          <w:tcPr>
            <w:tcW w:type="dxa" w:w="3744"/>
          </w:tcPr>
          <w:p>
            <w:r/>
            <w:r>
              <w:rPr>
                <w:b w:val="0"/>
                <w:i w:val="0"/>
                <w:sz w:val="16"/>
              </w:rPr>
              <w:t>Seller notice contact: dkowalski@crescentridgewind.com, (405) 555-4218 vs. dkowalski@verdanarenewable.com, (405) 553-2180; T&amp;M at 4400 Meridian Tower Suite 1200 vs. TS 100 North Broadway Ave., Suite 2800; Prescott &amp; Hale at 200 East Broadway, Suite 800 vs. TS 412 East 6th Ave., Suite 300</w:t>
            </w:r>
          </w:p>
        </w:tc>
        <w:tc>
          <w:tcPr>
            <w:tcW w:type="dxa" w:w="4176"/>
          </w:tcPr>
          <w:p>
            <w:r/>
            <w:r>
              <w:rPr>
                <w:b w:val="0"/>
                <w:i w:val="0"/>
                <w:sz w:val="16"/>
              </w:rPr>
              <w:t>Confirm correct notice details; notice errors can defeat default/cure notices. Checklist Item 14 uses the PPA address for Prescott &amp; Hale.</w:t>
            </w:r>
          </w:p>
        </w:tc>
      </w:tr>
      <w:tr>
        <w:tc>
          <w:tcPr>
            <w:tcW w:type="dxa" w:w="1728"/>
          </w:tcPr>
          <w:p>
            <w:r/>
            <w:r>
              <w:rPr>
                <w:b w:val="0"/>
                <w:i w:val="0"/>
                <w:sz w:val="16"/>
              </w:rPr>
              <w:t>TS Annex A</w:t>
            </w:r>
          </w:p>
        </w:tc>
        <w:tc>
          <w:tcPr>
            <w:tcW w:type="dxa" w:w="3744"/>
          </w:tcPr>
          <w:p>
            <w:r/>
            <w:r>
              <w:rPr>
                <w:b w:val="0"/>
                <w:i w:val="0"/>
                <w:sz w:val="16"/>
              </w:rPr>
              <w:t>Annex A prices deviate by $0.01–$0.02 from the TS §5.4 formula in CY7 and CY9–20</w:t>
            </w:r>
          </w:p>
        </w:tc>
        <w:tc>
          <w:tcPr>
            <w:tcW w:type="dxa" w:w="4176"/>
          </w:tcPr>
          <w:p>
            <w:r/>
            <w:r>
              <w:rPr>
                <w:b w:val="0"/>
                <w:i w:val="0"/>
                <w:sz w:val="16"/>
              </w:rPr>
              <w:t>Formula governs (TS §5.4, §5.6 “indicative”); use formula values in amendment.</w:t>
            </w:r>
          </w:p>
        </w:tc>
      </w:tr>
      <w:tr>
        <w:tc>
          <w:tcPr>
            <w:tcW w:type="dxa" w:w="1728"/>
          </w:tcPr>
          <w:p>
            <w:r/>
            <w:r>
              <w:rPr>
                <w:b w:val="0"/>
                <w:i w:val="0"/>
                <w:sz w:val="16"/>
              </w:rPr>
              <w:t>Ex. B Part 3</w:t>
            </w:r>
          </w:p>
        </w:tc>
        <w:tc>
          <w:tcPr>
            <w:tcW w:type="dxa" w:w="3744"/>
          </w:tcPr>
          <w:p>
            <w:r/>
            <w:r>
              <w:rPr>
                <w:b w:val="0"/>
                <w:i w:val="0"/>
                <w:sz w:val="16"/>
              </w:rPr>
              <w:t>CY6 sample revenue $33,379,500 uses erroneous $39.27</w:t>
            </w:r>
          </w:p>
        </w:tc>
        <w:tc>
          <w:tcPr>
            <w:tcW w:type="dxa" w:w="4176"/>
          </w:tcPr>
          <w:p>
            <w:r/>
            <w:r>
              <w:rPr>
                <w:b w:val="0"/>
                <w:i w:val="0"/>
                <w:sz w:val="16"/>
              </w:rPr>
              <w:t>Replace with $33,218,000.</w:t>
            </w:r>
          </w:p>
        </w:tc>
      </w:tr>
      <w:tr>
        <w:tc>
          <w:tcPr>
            <w:tcW w:type="dxa" w:w="1728"/>
          </w:tcPr>
          <w:p>
            <w:r/>
            <w:r>
              <w:rPr>
                <w:b w:val="0"/>
                <w:i w:val="0"/>
                <w:sz w:val="16"/>
              </w:rPr>
              <w:t>Ex. G</w:t>
            </w:r>
          </w:p>
        </w:tc>
        <w:tc>
          <w:tcPr>
            <w:tcW w:type="dxa" w:w="3744"/>
          </w:tcPr>
          <w:p>
            <w:r/>
            <w:r>
              <w:rPr>
                <w:b w:val="0"/>
                <w:i w:val="0"/>
                <w:sz w:val="16"/>
              </w:rPr>
              <w:t>Table formatting broken (Notice to Proceed row outside table)</w:t>
            </w:r>
          </w:p>
        </w:tc>
        <w:tc>
          <w:tcPr>
            <w:tcW w:type="dxa" w:w="4176"/>
          </w:tcPr>
          <w:p>
            <w:r/>
            <w:r>
              <w:rPr>
                <w:b w:val="0"/>
                <w:i w:val="0"/>
                <w:sz w:val="16"/>
              </w:rPr>
              <w:t>Clean up in amendment.</w:t>
            </w:r>
          </w:p>
        </w:tc>
      </w:tr>
      <w:tr>
        <w:tc>
          <w:tcPr>
            <w:tcW w:type="dxa" w:w="1728"/>
          </w:tcPr>
          <w:p>
            <w:r/>
            <w:r>
              <w:rPr>
                <w:b w:val="0"/>
                <w:i w:val="0"/>
                <w:sz w:val="16"/>
              </w:rPr>
              <w:t>§2.2</w:t>
            </w:r>
          </w:p>
        </w:tc>
        <w:tc>
          <w:tcPr>
            <w:tcW w:type="dxa" w:w="3744"/>
          </w:tcPr>
          <w:p>
            <w:r/>
            <w:r>
              <w:rPr>
                <w:b w:val="0"/>
                <w:i w:val="0"/>
                <w:sz w:val="16"/>
              </w:rPr>
              <w:t>Term “commences on the Effective Date” and runs 20 Contract Years after COD (TS: 20 years from COD)</w:t>
            </w:r>
          </w:p>
        </w:tc>
        <w:tc>
          <w:tcPr>
            <w:tcW w:type="dxa" w:w="4176"/>
          </w:tcPr>
          <w:p>
            <w:r/>
            <w:r>
              <w:rPr>
                <w:b w:val="0"/>
                <w:i w:val="0"/>
                <w:sz w:val="16"/>
              </w:rPr>
              <w:t>Economically consistent; pre-COD period is additional. No action.</w:t>
            </w:r>
          </w:p>
        </w:tc>
      </w:tr>
      <w:tr>
        <w:tc>
          <w:tcPr>
            <w:tcW w:type="dxa" w:w="1728"/>
          </w:tcPr>
          <w:p>
            <w:r/>
            <w:r>
              <w:rPr>
                <w:b w:val="0"/>
                <w:i w:val="0"/>
                <w:sz w:val="16"/>
              </w:rPr>
              <w:t>§10.4</w:t>
            </w:r>
          </w:p>
        </w:tc>
        <w:tc>
          <w:tcPr>
            <w:tcW w:type="dxa" w:w="3744"/>
          </w:tcPr>
          <w:p>
            <w:r/>
            <w:r>
              <w:rPr>
                <w:b w:val="0"/>
                <w:i w:val="0"/>
                <w:sz w:val="16"/>
              </w:rPr>
              <w:t>Tax credits (PTC/ITC) retained by Seller</w:t>
            </w:r>
          </w:p>
        </w:tc>
        <w:tc>
          <w:tcPr>
            <w:tcW w:type="dxa" w:w="4176"/>
          </w:tcPr>
          <w:p>
            <w:r/>
            <w:r>
              <w:rPr>
                <w:b w:val="0"/>
                <w:i w:val="0"/>
                <w:sz w:val="16"/>
              </w:rPr>
              <w:t>Conforms with structure; confirm for Item 20.</w:t>
            </w:r>
          </w:p>
        </w:tc>
      </w:tr>
      <w:tr>
        <w:tc>
          <w:tcPr>
            <w:tcW w:type="dxa" w:w="1728"/>
          </w:tcPr>
          <w:p>
            <w:r/>
            <w:r>
              <w:rPr>
                <w:b w:val="0"/>
                <w:i w:val="0"/>
                <w:sz w:val="16"/>
              </w:rPr>
              <w:t>Checklist Item 17</w:t>
            </w:r>
          </w:p>
        </w:tc>
        <w:tc>
          <w:tcPr>
            <w:tcW w:type="dxa" w:w="3744"/>
          </w:tcPr>
          <w:p>
            <w:r/>
            <w:r>
              <w:rPr>
                <w:b w:val="0"/>
                <w:i w:val="0"/>
                <w:sz w:val="16"/>
              </w:rPr>
              <w:t>Notes say TS binding “subject to execution of definitive PPA within 90 days (extended by mutual consent)”</w:t>
            </w:r>
          </w:p>
        </w:tc>
        <w:tc>
          <w:tcPr>
            <w:tcW w:type="dxa" w:w="4176"/>
          </w:tcPr>
          <w:p>
            <w:r/>
            <w:r>
              <w:rPr>
                <w:b w:val="0"/>
                <w:i w:val="0"/>
                <w:sz w:val="16"/>
              </w:rPr>
              <w:t>PPA was executed Feb. 4, 2025, within the Feb. 6 deadline; no extension appears necessary — correct the checklist note.</w:t>
            </w:r>
          </w:p>
        </w:tc>
      </w:tr>
      <w:tr>
        <w:tc>
          <w:tcPr>
            <w:tcW w:type="dxa" w:w="1728"/>
          </w:tcPr>
          <w:p>
            <w:r/>
            <w:r>
              <w:rPr>
                <w:b w:val="0"/>
                <w:i w:val="0"/>
                <w:sz w:val="16"/>
              </w:rPr>
              <w:t>Checklist Item 26</w:t>
            </w:r>
          </w:p>
        </w:tc>
        <w:tc>
          <w:tcPr>
            <w:tcW w:type="dxa" w:w="3744"/>
          </w:tcPr>
          <w:p>
            <w:r/>
            <w:r>
              <w:rPr>
                <w:b w:val="0"/>
                <w:i w:val="0"/>
                <w:sz w:val="16"/>
              </w:rPr>
              <w:t>Lists only CGL $5M, pollution $2M, builder’s risk</w:t>
            </w:r>
          </w:p>
        </w:tc>
        <w:tc>
          <w:tcPr>
            <w:tcW w:type="dxa" w:w="4176"/>
          </w:tcPr>
          <w:p>
            <w:r/>
            <w:r>
              <w:rPr>
                <w:b w:val="0"/>
                <w:i w:val="0"/>
                <w:sz w:val="16"/>
              </w:rPr>
              <w:t>PPA Art. 15 / Ex. E also require WC/EL, operational property, BI (12 months), auto ($2M) and umbrella ($10M) cover; Ridgeline as additional insured not required by PPA (Item 27).</w:t>
            </w:r>
          </w:p>
        </w:tc>
      </w:tr>
    </w:tbl>
    <w:p>
      <w:pPr>
        <w:spacing w:after="40"/>
      </w:pPr>
    </w:p>
    <w:p>
      <w:pPr>
        <w:pStyle w:val="Heading1"/>
      </w:pPr>
      <w:r>
        <w:t>Schedule 1 — Contract Price Tie-Out (Term Sheet formula vs. Annex A vs. PPA Exhibit B)</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rPr>
          <w:tblHeader w:val="true"/>
        </w:trPr>
        <w:tc>
          <w:tcPr>
            <w:tcW w:type="dxa" w:w="720"/>
            <w:shd w:val="clear" w:color="auto" w:fill="1F3A5F"/>
          </w:tcPr>
          <w:p>
            <w:r/>
            <w:r>
              <w:rPr>
                <w:b/>
                <w:color w:val="FFFFFF"/>
                <w:sz w:val="16"/>
              </w:rPr>
              <w:t>CY</w:t>
            </w:r>
          </w:p>
        </w:tc>
        <w:tc>
          <w:tcPr>
            <w:tcW w:type="dxa" w:w="1584"/>
            <w:shd w:val="clear" w:color="auto" w:fill="1F3A5F"/>
          </w:tcPr>
          <w:p>
            <w:r/>
            <w:r>
              <w:rPr>
                <w:b/>
                <w:color w:val="FFFFFF"/>
                <w:sz w:val="16"/>
              </w:rPr>
              <w:t>Formula (1.5%)</w:t>
            </w:r>
          </w:p>
        </w:tc>
        <w:tc>
          <w:tcPr>
            <w:tcW w:type="dxa" w:w="1440"/>
            <w:shd w:val="clear" w:color="auto" w:fill="1F3A5F"/>
          </w:tcPr>
          <w:p>
            <w:r/>
            <w:r>
              <w:rPr>
                <w:b/>
                <w:color w:val="FFFFFF"/>
                <w:sz w:val="16"/>
              </w:rPr>
              <w:t>TS Annex A</w:t>
            </w:r>
          </w:p>
        </w:tc>
        <w:tc>
          <w:tcPr>
            <w:tcW w:type="dxa" w:w="1440"/>
            <w:shd w:val="clear" w:color="auto" w:fill="1F3A5F"/>
          </w:tcPr>
          <w:p>
            <w:r/>
            <w:r>
              <w:rPr>
                <w:b/>
                <w:color w:val="FFFFFF"/>
                <w:sz w:val="16"/>
              </w:rPr>
              <w:t>PPA Ex. B</w:t>
            </w:r>
          </w:p>
        </w:tc>
        <w:tc>
          <w:tcPr>
            <w:tcW w:type="dxa" w:w="1584"/>
            <w:shd w:val="clear" w:color="auto" w:fill="1F3A5F"/>
          </w:tcPr>
          <w:p>
            <w:r/>
            <w:r>
              <w:rPr>
                <w:b/>
                <w:color w:val="FFFFFF"/>
                <w:sz w:val="16"/>
              </w:rPr>
              <w:t>Ex. B – Formula</w:t>
            </w:r>
          </w:p>
        </w:tc>
        <w:tc>
          <w:tcPr>
            <w:tcW w:type="dxa" w:w="2880"/>
            <w:shd w:val="clear" w:color="auto" w:fill="1F3A5F"/>
          </w:tcPr>
          <w:p>
            <w:r/>
            <w:r>
              <w:rPr>
                <w:b/>
                <w:color w:val="FFFFFF"/>
                <w:sz w:val="16"/>
              </w:rPr>
              <w:t>Revenue effect at 850,000 MWh</w:t>
            </w:r>
          </w:p>
        </w:tc>
      </w:tr>
      <w:tr>
        <w:tc>
          <w:tcPr>
            <w:tcW w:type="dxa" w:w="720"/>
          </w:tcPr>
          <w:p>
            <w:r/>
            <w:r>
              <w:rPr>
                <w:b w:val="0"/>
                <w:i w:val="0"/>
                <w:sz w:val="16"/>
              </w:rPr>
              <w:t>1</w:t>
            </w:r>
          </w:p>
        </w:tc>
        <w:tc>
          <w:tcPr>
            <w:tcW w:type="dxa" w:w="1584"/>
          </w:tcPr>
          <w:p>
            <w:r/>
            <w:r>
              <w:rPr>
                <w:b w:val="0"/>
                <w:i w:val="0"/>
                <w:sz w:val="16"/>
              </w:rPr>
              <w:t>$38.50</w:t>
            </w:r>
          </w:p>
        </w:tc>
        <w:tc>
          <w:tcPr>
            <w:tcW w:type="dxa" w:w="1440"/>
          </w:tcPr>
          <w:p>
            <w:r/>
            <w:r>
              <w:rPr>
                <w:b w:val="0"/>
                <w:i w:val="0"/>
                <w:sz w:val="16"/>
              </w:rPr>
              <w:t>$38.50</w:t>
            </w:r>
          </w:p>
        </w:tc>
        <w:tc>
          <w:tcPr>
            <w:tcW w:type="dxa" w:w="1440"/>
          </w:tcPr>
          <w:p>
            <w:r/>
            <w:r>
              <w:rPr>
                <w:b w:val="0"/>
                <w:i w:val="0"/>
                <w:sz w:val="16"/>
              </w:rPr>
              <w:t>$38.50</w:t>
            </w:r>
          </w:p>
        </w:tc>
        <w:tc>
          <w:tcPr>
            <w:tcW w:type="dxa" w:w="1584"/>
          </w:tcPr>
          <w:p>
            <w:r/>
            <w:r>
              <w:rPr>
                <w:b w:val="0"/>
                <w:i w:val="0"/>
                <w:sz w:val="16"/>
              </w:rPr>
              <w:t>—</w:t>
            </w:r>
          </w:p>
        </w:tc>
        <w:tc>
          <w:tcPr>
            <w:tcW w:type="dxa" w:w="2880"/>
          </w:tcPr>
          <w:p>
            <w:r/>
            <w:r>
              <w:rPr>
                <w:b w:val="0"/>
                <w:i w:val="0"/>
                <w:sz w:val="16"/>
              </w:rPr>
              <w:t>—</w:t>
            </w:r>
          </w:p>
        </w:tc>
      </w:tr>
      <w:tr>
        <w:tc>
          <w:tcPr>
            <w:tcW w:type="dxa" w:w="720"/>
          </w:tcPr>
          <w:p>
            <w:r/>
            <w:r>
              <w:rPr>
                <w:b w:val="0"/>
                <w:i w:val="0"/>
                <w:sz w:val="16"/>
              </w:rPr>
              <w:t>2</w:t>
            </w:r>
          </w:p>
        </w:tc>
        <w:tc>
          <w:tcPr>
            <w:tcW w:type="dxa" w:w="1584"/>
          </w:tcPr>
          <w:p>
            <w:r/>
            <w:r>
              <w:rPr>
                <w:b w:val="0"/>
                <w:i w:val="0"/>
                <w:sz w:val="16"/>
              </w:rPr>
              <w:t>$38.50</w:t>
            </w:r>
          </w:p>
        </w:tc>
        <w:tc>
          <w:tcPr>
            <w:tcW w:type="dxa" w:w="1440"/>
          </w:tcPr>
          <w:p>
            <w:r/>
            <w:r>
              <w:rPr>
                <w:b w:val="0"/>
                <w:i w:val="0"/>
                <w:sz w:val="16"/>
              </w:rPr>
              <w:t>$38.50</w:t>
            </w:r>
          </w:p>
        </w:tc>
        <w:tc>
          <w:tcPr>
            <w:tcW w:type="dxa" w:w="1440"/>
          </w:tcPr>
          <w:p>
            <w:r/>
            <w:r>
              <w:rPr>
                <w:b w:val="0"/>
                <w:i w:val="0"/>
                <w:sz w:val="16"/>
              </w:rPr>
              <w:t>$38.50</w:t>
            </w:r>
          </w:p>
        </w:tc>
        <w:tc>
          <w:tcPr>
            <w:tcW w:type="dxa" w:w="1584"/>
          </w:tcPr>
          <w:p>
            <w:r/>
            <w:r>
              <w:rPr>
                <w:b w:val="0"/>
                <w:i w:val="0"/>
                <w:sz w:val="16"/>
              </w:rPr>
              <w:t>—</w:t>
            </w:r>
          </w:p>
        </w:tc>
        <w:tc>
          <w:tcPr>
            <w:tcW w:type="dxa" w:w="2880"/>
          </w:tcPr>
          <w:p>
            <w:r/>
            <w:r>
              <w:rPr>
                <w:b w:val="0"/>
                <w:i w:val="0"/>
                <w:sz w:val="16"/>
              </w:rPr>
              <w:t>—</w:t>
            </w:r>
          </w:p>
        </w:tc>
      </w:tr>
      <w:tr>
        <w:tc>
          <w:tcPr>
            <w:tcW w:type="dxa" w:w="720"/>
          </w:tcPr>
          <w:p>
            <w:r/>
            <w:r>
              <w:rPr>
                <w:b w:val="0"/>
                <w:i w:val="0"/>
                <w:sz w:val="16"/>
              </w:rPr>
              <w:t>3</w:t>
            </w:r>
          </w:p>
        </w:tc>
        <w:tc>
          <w:tcPr>
            <w:tcW w:type="dxa" w:w="1584"/>
          </w:tcPr>
          <w:p>
            <w:r/>
            <w:r>
              <w:rPr>
                <w:b w:val="0"/>
                <w:i w:val="0"/>
                <w:sz w:val="16"/>
              </w:rPr>
              <w:t>$38.50</w:t>
            </w:r>
          </w:p>
        </w:tc>
        <w:tc>
          <w:tcPr>
            <w:tcW w:type="dxa" w:w="1440"/>
          </w:tcPr>
          <w:p>
            <w:r/>
            <w:r>
              <w:rPr>
                <w:b w:val="0"/>
                <w:i w:val="0"/>
                <w:sz w:val="16"/>
              </w:rPr>
              <w:t>$38.50</w:t>
            </w:r>
          </w:p>
        </w:tc>
        <w:tc>
          <w:tcPr>
            <w:tcW w:type="dxa" w:w="1440"/>
          </w:tcPr>
          <w:p>
            <w:r/>
            <w:r>
              <w:rPr>
                <w:b w:val="0"/>
                <w:i w:val="0"/>
                <w:sz w:val="16"/>
              </w:rPr>
              <w:t>$38.50</w:t>
            </w:r>
          </w:p>
        </w:tc>
        <w:tc>
          <w:tcPr>
            <w:tcW w:type="dxa" w:w="1584"/>
          </w:tcPr>
          <w:p>
            <w:r/>
            <w:r>
              <w:rPr>
                <w:b w:val="0"/>
                <w:i w:val="0"/>
                <w:sz w:val="16"/>
              </w:rPr>
              <w:t>—</w:t>
            </w:r>
          </w:p>
        </w:tc>
        <w:tc>
          <w:tcPr>
            <w:tcW w:type="dxa" w:w="2880"/>
          </w:tcPr>
          <w:p>
            <w:r/>
            <w:r>
              <w:rPr>
                <w:b w:val="0"/>
                <w:i w:val="0"/>
                <w:sz w:val="16"/>
              </w:rPr>
              <w:t>—</w:t>
            </w:r>
          </w:p>
        </w:tc>
      </w:tr>
      <w:tr>
        <w:tc>
          <w:tcPr>
            <w:tcW w:type="dxa" w:w="720"/>
          </w:tcPr>
          <w:p>
            <w:r/>
            <w:r>
              <w:rPr>
                <w:b w:val="0"/>
                <w:i w:val="0"/>
                <w:sz w:val="16"/>
              </w:rPr>
              <w:t>4</w:t>
            </w:r>
          </w:p>
        </w:tc>
        <w:tc>
          <w:tcPr>
            <w:tcW w:type="dxa" w:w="1584"/>
          </w:tcPr>
          <w:p>
            <w:r/>
            <w:r>
              <w:rPr>
                <w:b w:val="0"/>
                <w:i w:val="0"/>
                <w:sz w:val="16"/>
              </w:rPr>
              <w:t>$38.50</w:t>
            </w:r>
          </w:p>
        </w:tc>
        <w:tc>
          <w:tcPr>
            <w:tcW w:type="dxa" w:w="1440"/>
          </w:tcPr>
          <w:p>
            <w:r/>
            <w:r>
              <w:rPr>
                <w:b w:val="0"/>
                <w:i w:val="0"/>
                <w:sz w:val="16"/>
              </w:rPr>
              <w:t>$38.50</w:t>
            </w:r>
          </w:p>
        </w:tc>
        <w:tc>
          <w:tcPr>
            <w:tcW w:type="dxa" w:w="1440"/>
          </w:tcPr>
          <w:p>
            <w:r/>
            <w:r>
              <w:rPr>
                <w:b w:val="0"/>
                <w:i w:val="0"/>
                <w:sz w:val="16"/>
              </w:rPr>
              <w:t>$38.50</w:t>
            </w:r>
          </w:p>
        </w:tc>
        <w:tc>
          <w:tcPr>
            <w:tcW w:type="dxa" w:w="1584"/>
          </w:tcPr>
          <w:p>
            <w:r/>
            <w:r>
              <w:rPr>
                <w:b w:val="0"/>
                <w:i w:val="0"/>
                <w:sz w:val="16"/>
              </w:rPr>
              <w:t>—</w:t>
            </w:r>
          </w:p>
        </w:tc>
        <w:tc>
          <w:tcPr>
            <w:tcW w:type="dxa" w:w="2880"/>
          </w:tcPr>
          <w:p>
            <w:r/>
            <w:r>
              <w:rPr>
                <w:b w:val="0"/>
                <w:i w:val="0"/>
                <w:sz w:val="16"/>
              </w:rPr>
              <w:t>—</w:t>
            </w:r>
          </w:p>
        </w:tc>
      </w:tr>
      <w:tr>
        <w:tc>
          <w:tcPr>
            <w:tcW w:type="dxa" w:w="720"/>
          </w:tcPr>
          <w:p>
            <w:r/>
            <w:r>
              <w:rPr>
                <w:b w:val="0"/>
                <w:i w:val="0"/>
                <w:sz w:val="16"/>
              </w:rPr>
              <w:t>5</w:t>
            </w:r>
          </w:p>
        </w:tc>
        <w:tc>
          <w:tcPr>
            <w:tcW w:type="dxa" w:w="1584"/>
          </w:tcPr>
          <w:p>
            <w:r/>
            <w:r>
              <w:rPr>
                <w:b w:val="0"/>
                <w:i w:val="0"/>
                <w:sz w:val="16"/>
              </w:rPr>
              <w:t>$38.50</w:t>
            </w:r>
          </w:p>
        </w:tc>
        <w:tc>
          <w:tcPr>
            <w:tcW w:type="dxa" w:w="1440"/>
          </w:tcPr>
          <w:p>
            <w:r/>
            <w:r>
              <w:rPr>
                <w:b w:val="0"/>
                <w:i w:val="0"/>
                <w:sz w:val="16"/>
              </w:rPr>
              <w:t>$38.50</w:t>
            </w:r>
          </w:p>
        </w:tc>
        <w:tc>
          <w:tcPr>
            <w:tcW w:type="dxa" w:w="1440"/>
          </w:tcPr>
          <w:p>
            <w:r/>
            <w:r>
              <w:rPr>
                <w:b w:val="0"/>
                <w:i w:val="0"/>
                <w:sz w:val="16"/>
              </w:rPr>
              <w:t>$38.50</w:t>
            </w:r>
          </w:p>
        </w:tc>
        <w:tc>
          <w:tcPr>
            <w:tcW w:type="dxa" w:w="1584"/>
          </w:tcPr>
          <w:p>
            <w:r/>
            <w:r>
              <w:rPr>
                <w:b w:val="0"/>
                <w:i w:val="0"/>
                <w:sz w:val="16"/>
              </w:rPr>
              <w:t>—</w:t>
            </w:r>
          </w:p>
        </w:tc>
        <w:tc>
          <w:tcPr>
            <w:tcW w:type="dxa" w:w="2880"/>
          </w:tcPr>
          <w:p>
            <w:r/>
            <w:r>
              <w:rPr>
                <w:b w:val="0"/>
                <w:i w:val="0"/>
                <w:sz w:val="16"/>
              </w:rPr>
              <w:t>—</w:t>
            </w:r>
          </w:p>
        </w:tc>
      </w:tr>
      <w:tr>
        <w:tc>
          <w:tcPr>
            <w:tcW w:type="dxa" w:w="720"/>
          </w:tcPr>
          <w:p>
            <w:r/>
            <w:r>
              <w:rPr>
                <w:b w:val="0"/>
                <w:i w:val="0"/>
                <w:sz w:val="16"/>
              </w:rPr>
              <w:t>6</w:t>
            </w:r>
          </w:p>
        </w:tc>
        <w:tc>
          <w:tcPr>
            <w:tcW w:type="dxa" w:w="1584"/>
          </w:tcPr>
          <w:p>
            <w:r/>
            <w:r>
              <w:rPr>
                <w:b w:val="0"/>
                <w:i w:val="0"/>
                <w:sz w:val="16"/>
              </w:rPr>
              <w:t>$39.08</w:t>
            </w:r>
          </w:p>
        </w:tc>
        <w:tc>
          <w:tcPr>
            <w:tcW w:type="dxa" w:w="1440"/>
          </w:tcPr>
          <w:p>
            <w:r/>
            <w:r>
              <w:rPr>
                <w:b w:val="0"/>
                <w:i w:val="0"/>
                <w:sz w:val="16"/>
              </w:rPr>
              <w:t>$39.08</w:t>
            </w:r>
          </w:p>
        </w:tc>
        <w:tc>
          <w:tcPr>
            <w:tcW w:type="dxa" w:w="1440"/>
          </w:tcPr>
          <w:p>
            <w:r/>
            <w:r>
              <w:rPr>
                <w:b w:val="0"/>
                <w:i w:val="0"/>
                <w:sz w:val="16"/>
              </w:rPr>
              <w:t>$39.27</w:t>
            </w:r>
          </w:p>
        </w:tc>
        <w:tc>
          <w:tcPr>
            <w:tcW w:type="dxa" w:w="1584"/>
          </w:tcPr>
          <w:p>
            <w:r/>
            <w:r>
              <w:rPr>
                <w:b w:val="0"/>
                <w:i w:val="0"/>
                <w:sz w:val="16"/>
              </w:rPr>
              <w:t>+$0.19</w:t>
            </w:r>
          </w:p>
        </w:tc>
        <w:tc>
          <w:tcPr>
            <w:tcW w:type="dxa" w:w="2880"/>
          </w:tcPr>
          <w:p>
            <w:r/>
            <w:r>
              <w:rPr>
                <w:b w:val="0"/>
                <w:i w:val="0"/>
                <w:sz w:val="16"/>
              </w:rPr>
              <w:t>+$161,500</w:t>
            </w:r>
          </w:p>
        </w:tc>
      </w:tr>
      <w:tr>
        <w:tc>
          <w:tcPr>
            <w:tcW w:type="dxa" w:w="720"/>
          </w:tcPr>
          <w:p>
            <w:r/>
            <w:r>
              <w:rPr>
                <w:b w:val="0"/>
                <w:i w:val="0"/>
                <w:sz w:val="16"/>
              </w:rPr>
              <w:t>7</w:t>
            </w:r>
          </w:p>
        </w:tc>
        <w:tc>
          <w:tcPr>
            <w:tcW w:type="dxa" w:w="1584"/>
          </w:tcPr>
          <w:p>
            <w:r/>
            <w:r>
              <w:rPr>
                <w:b w:val="0"/>
                <w:i w:val="0"/>
                <w:sz w:val="16"/>
              </w:rPr>
              <w:t>$39.66</w:t>
            </w:r>
          </w:p>
        </w:tc>
        <w:tc>
          <w:tcPr>
            <w:tcW w:type="dxa" w:w="1440"/>
          </w:tcPr>
          <w:p>
            <w:r/>
            <w:r>
              <w:rPr>
                <w:b w:val="0"/>
                <w:i w:val="0"/>
                <w:sz w:val="16"/>
              </w:rPr>
              <w:t>$39.67</w:t>
            </w:r>
          </w:p>
        </w:tc>
        <w:tc>
          <w:tcPr>
            <w:tcW w:type="dxa" w:w="1440"/>
          </w:tcPr>
          <w:p>
            <w:r/>
            <w:r>
              <w:rPr>
                <w:b w:val="0"/>
                <w:i w:val="0"/>
                <w:sz w:val="16"/>
              </w:rPr>
              <w:t>$40.06</w:t>
            </w:r>
          </w:p>
        </w:tc>
        <w:tc>
          <w:tcPr>
            <w:tcW w:type="dxa" w:w="1584"/>
          </w:tcPr>
          <w:p>
            <w:r/>
            <w:r>
              <w:rPr>
                <w:b w:val="0"/>
                <w:i w:val="0"/>
                <w:sz w:val="16"/>
              </w:rPr>
              <w:t>+$0.40</w:t>
            </w:r>
          </w:p>
        </w:tc>
        <w:tc>
          <w:tcPr>
            <w:tcW w:type="dxa" w:w="2880"/>
          </w:tcPr>
          <w:p>
            <w:r/>
            <w:r>
              <w:rPr>
                <w:b w:val="0"/>
                <w:i w:val="0"/>
                <w:sz w:val="16"/>
              </w:rPr>
              <w:t>+$340,000</w:t>
            </w:r>
          </w:p>
        </w:tc>
      </w:tr>
      <w:tr>
        <w:tc>
          <w:tcPr>
            <w:tcW w:type="dxa" w:w="720"/>
          </w:tcPr>
          <w:p>
            <w:r/>
            <w:r>
              <w:rPr>
                <w:b w:val="0"/>
                <w:i w:val="0"/>
                <w:sz w:val="16"/>
              </w:rPr>
              <w:t>8</w:t>
            </w:r>
          </w:p>
        </w:tc>
        <w:tc>
          <w:tcPr>
            <w:tcW w:type="dxa" w:w="1584"/>
          </w:tcPr>
          <w:p>
            <w:r/>
            <w:r>
              <w:rPr>
                <w:b w:val="0"/>
                <w:i w:val="0"/>
                <w:sz w:val="16"/>
              </w:rPr>
              <w:t>$40.26</w:t>
            </w:r>
          </w:p>
        </w:tc>
        <w:tc>
          <w:tcPr>
            <w:tcW w:type="dxa" w:w="1440"/>
          </w:tcPr>
          <w:p>
            <w:r/>
            <w:r>
              <w:rPr>
                <w:b w:val="0"/>
                <w:i w:val="0"/>
                <w:sz w:val="16"/>
              </w:rPr>
              <w:t>$40.26</w:t>
            </w:r>
          </w:p>
        </w:tc>
        <w:tc>
          <w:tcPr>
            <w:tcW w:type="dxa" w:w="1440"/>
          </w:tcPr>
          <w:p>
            <w:r/>
            <w:r>
              <w:rPr>
                <w:b w:val="0"/>
                <w:i w:val="0"/>
                <w:sz w:val="16"/>
              </w:rPr>
              <w:t>$40.86</w:t>
            </w:r>
          </w:p>
        </w:tc>
        <w:tc>
          <w:tcPr>
            <w:tcW w:type="dxa" w:w="1584"/>
          </w:tcPr>
          <w:p>
            <w:r/>
            <w:r>
              <w:rPr>
                <w:b w:val="0"/>
                <w:i w:val="0"/>
                <w:sz w:val="16"/>
              </w:rPr>
              <w:t>+$0.60</w:t>
            </w:r>
          </w:p>
        </w:tc>
        <w:tc>
          <w:tcPr>
            <w:tcW w:type="dxa" w:w="2880"/>
          </w:tcPr>
          <w:p>
            <w:r/>
            <w:r>
              <w:rPr>
                <w:b w:val="0"/>
                <w:i w:val="0"/>
                <w:sz w:val="16"/>
              </w:rPr>
              <w:t>+$510,000</w:t>
            </w:r>
          </w:p>
        </w:tc>
      </w:tr>
      <w:tr>
        <w:tc>
          <w:tcPr>
            <w:tcW w:type="dxa" w:w="720"/>
          </w:tcPr>
          <w:p>
            <w:r/>
            <w:r>
              <w:rPr>
                <w:b w:val="0"/>
                <w:i w:val="0"/>
                <w:sz w:val="16"/>
              </w:rPr>
              <w:t>9</w:t>
            </w:r>
          </w:p>
        </w:tc>
        <w:tc>
          <w:tcPr>
            <w:tcW w:type="dxa" w:w="1584"/>
          </w:tcPr>
          <w:p>
            <w:r/>
            <w:r>
              <w:rPr>
                <w:b w:val="0"/>
                <w:i w:val="0"/>
                <w:sz w:val="16"/>
              </w:rPr>
              <w:t>$40.86</w:t>
            </w:r>
          </w:p>
        </w:tc>
        <w:tc>
          <w:tcPr>
            <w:tcW w:type="dxa" w:w="1440"/>
          </w:tcPr>
          <w:p>
            <w:r/>
            <w:r>
              <w:rPr>
                <w:b w:val="0"/>
                <w:i w:val="0"/>
                <w:sz w:val="16"/>
              </w:rPr>
              <w:t>$40.87</w:t>
            </w:r>
          </w:p>
        </w:tc>
        <w:tc>
          <w:tcPr>
            <w:tcW w:type="dxa" w:w="1440"/>
          </w:tcPr>
          <w:p>
            <w:r/>
            <w:r>
              <w:rPr>
                <w:b w:val="0"/>
                <w:i w:val="0"/>
                <w:sz w:val="16"/>
              </w:rPr>
              <w:t>$41.68</w:t>
            </w:r>
          </w:p>
        </w:tc>
        <w:tc>
          <w:tcPr>
            <w:tcW w:type="dxa" w:w="1584"/>
          </w:tcPr>
          <w:p>
            <w:r/>
            <w:r>
              <w:rPr>
                <w:b w:val="0"/>
                <w:i w:val="0"/>
                <w:sz w:val="16"/>
              </w:rPr>
              <w:t>+$0.82</w:t>
            </w:r>
          </w:p>
        </w:tc>
        <w:tc>
          <w:tcPr>
            <w:tcW w:type="dxa" w:w="2880"/>
          </w:tcPr>
          <w:p>
            <w:r/>
            <w:r>
              <w:rPr>
                <w:b w:val="0"/>
                <w:i w:val="0"/>
                <w:sz w:val="16"/>
              </w:rPr>
              <w:t>+$697,000</w:t>
            </w:r>
          </w:p>
        </w:tc>
      </w:tr>
      <w:tr>
        <w:tc>
          <w:tcPr>
            <w:tcW w:type="dxa" w:w="720"/>
          </w:tcPr>
          <w:p>
            <w:r/>
            <w:r>
              <w:rPr>
                <w:b w:val="0"/>
                <w:i w:val="0"/>
                <w:sz w:val="16"/>
              </w:rPr>
              <w:t>10</w:t>
            </w:r>
          </w:p>
        </w:tc>
        <w:tc>
          <w:tcPr>
            <w:tcW w:type="dxa" w:w="1584"/>
          </w:tcPr>
          <w:p>
            <w:r/>
            <w:r>
              <w:rPr>
                <w:b w:val="0"/>
                <w:i w:val="0"/>
                <w:sz w:val="16"/>
              </w:rPr>
              <w:t>$41.48</w:t>
            </w:r>
          </w:p>
        </w:tc>
        <w:tc>
          <w:tcPr>
            <w:tcW w:type="dxa" w:w="1440"/>
          </w:tcPr>
          <w:p>
            <w:r/>
            <w:r>
              <w:rPr>
                <w:b w:val="0"/>
                <w:i w:val="0"/>
                <w:sz w:val="16"/>
              </w:rPr>
              <w:t>$41.46</w:t>
            </w:r>
          </w:p>
        </w:tc>
        <w:tc>
          <w:tcPr>
            <w:tcW w:type="dxa" w:w="1440"/>
          </w:tcPr>
          <w:p>
            <w:r/>
            <w:r>
              <w:rPr>
                <w:b w:val="0"/>
                <w:i w:val="0"/>
                <w:sz w:val="16"/>
              </w:rPr>
              <w:t>$42.51</w:t>
            </w:r>
          </w:p>
        </w:tc>
        <w:tc>
          <w:tcPr>
            <w:tcW w:type="dxa" w:w="1584"/>
          </w:tcPr>
          <w:p>
            <w:r/>
            <w:r>
              <w:rPr>
                <w:b w:val="0"/>
                <w:i w:val="0"/>
                <w:sz w:val="16"/>
              </w:rPr>
              <w:t>+$1.03</w:t>
            </w:r>
          </w:p>
        </w:tc>
        <w:tc>
          <w:tcPr>
            <w:tcW w:type="dxa" w:w="2880"/>
          </w:tcPr>
          <w:p>
            <w:r/>
            <w:r>
              <w:rPr>
                <w:b w:val="0"/>
                <w:i w:val="0"/>
                <w:sz w:val="16"/>
              </w:rPr>
              <w:t>+$875,500</w:t>
            </w:r>
          </w:p>
        </w:tc>
      </w:tr>
      <w:tr>
        <w:tc>
          <w:tcPr>
            <w:tcW w:type="dxa" w:w="720"/>
          </w:tcPr>
          <w:p>
            <w:r/>
            <w:r>
              <w:rPr>
                <w:b w:val="0"/>
                <w:i w:val="0"/>
                <w:sz w:val="16"/>
              </w:rPr>
              <w:t>11</w:t>
            </w:r>
          </w:p>
        </w:tc>
        <w:tc>
          <w:tcPr>
            <w:tcW w:type="dxa" w:w="1584"/>
          </w:tcPr>
          <w:p>
            <w:r/>
            <w:r>
              <w:rPr>
                <w:b w:val="0"/>
                <w:i w:val="0"/>
                <w:sz w:val="16"/>
              </w:rPr>
              <w:t>$42.10</w:t>
            </w:r>
          </w:p>
        </w:tc>
        <w:tc>
          <w:tcPr>
            <w:tcW w:type="dxa" w:w="1440"/>
          </w:tcPr>
          <w:p>
            <w:r/>
            <w:r>
              <w:rPr>
                <w:b w:val="0"/>
                <w:i w:val="0"/>
                <w:sz w:val="16"/>
              </w:rPr>
              <w:t>$42.08</w:t>
            </w:r>
          </w:p>
        </w:tc>
        <w:tc>
          <w:tcPr>
            <w:tcW w:type="dxa" w:w="1440"/>
          </w:tcPr>
          <w:p>
            <w:r/>
            <w:r>
              <w:rPr>
                <w:b w:val="0"/>
                <w:i w:val="0"/>
                <w:sz w:val="16"/>
              </w:rPr>
              <w:t>$43.36</w:t>
            </w:r>
          </w:p>
        </w:tc>
        <w:tc>
          <w:tcPr>
            <w:tcW w:type="dxa" w:w="1584"/>
          </w:tcPr>
          <w:p>
            <w:r/>
            <w:r>
              <w:rPr>
                <w:b w:val="0"/>
                <w:i w:val="0"/>
                <w:sz w:val="16"/>
              </w:rPr>
              <w:t>+$1.26</w:t>
            </w:r>
          </w:p>
        </w:tc>
        <w:tc>
          <w:tcPr>
            <w:tcW w:type="dxa" w:w="2880"/>
          </w:tcPr>
          <w:p>
            <w:r/>
            <w:r>
              <w:rPr>
                <w:b w:val="0"/>
                <w:i w:val="0"/>
                <w:sz w:val="16"/>
              </w:rPr>
              <w:t>+$1,071,000</w:t>
            </w:r>
          </w:p>
        </w:tc>
      </w:tr>
      <w:tr>
        <w:tc>
          <w:tcPr>
            <w:tcW w:type="dxa" w:w="720"/>
          </w:tcPr>
          <w:p>
            <w:r/>
            <w:r>
              <w:rPr>
                <w:b w:val="0"/>
                <w:i w:val="0"/>
                <w:sz w:val="16"/>
              </w:rPr>
              <w:t>12</w:t>
            </w:r>
          </w:p>
        </w:tc>
        <w:tc>
          <w:tcPr>
            <w:tcW w:type="dxa" w:w="1584"/>
          </w:tcPr>
          <w:p>
            <w:r/>
            <w:r>
              <w:rPr>
                <w:b w:val="0"/>
                <w:i w:val="0"/>
                <w:sz w:val="16"/>
              </w:rPr>
              <w:t>$42.73</w:t>
            </w:r>
          </w:p>
        </w:tc>
        <w:tc>
          <w:tcPr>
            <w:tcW w:type="dxa" w:w="1440"/>
          </w:tcPr>
          <w:p>
            <w:r/>
            <w:r>
              <w:rPr>
                <w:b w:val="0"/>
                <w:i w:val="0"/>
                <w:sz w:val="16"/>
              </w:rPr>
              <w:t>$42.71</w:t>
            </w:r>
          </w:p>
        </w:tc>
        <w:tc>
          <w:tcPr>
            <w:tcW w:type="dxa" w:w="1440"/>
          </w:tcPr>
          <w:p>
            <w:r/>
            <w:r>
              <w:rPr>
                <w:b w:val="0"/>
                <w:i w:val="0"/>
                <w:sz w:val="16"/>
              </w:rPr>
              <w:t>$44.23</w:t>
            </w:r>
          </w:p>
        </w:tc>
        <w:tc>
          <w:tcPr>
            <w:tcW w:type="dxa" w:w="1584"/>
          </w:tcPr>
          <w:p>
            <w:r/>
            <w:r>
              <w:rPr>
                <w:b w:val="0"/>
                <w:i w:val="0"/>
                <w:sz w:val="16"/>
              </w:rPr>
              <w:t>+$1.50</w:t>
            </w:r>
          </w:p>
        </w:tc>
        <w:tc>
          <w:tcPr>
            <w:tcW w:type="dxa" w:w="2880"/>
          </w:tcPr>
          <w:p>
            <w:r/>
            <w:r>
              <w:rPr>
                <w:b w:val="0"/>
                <w:i w:val="0"/>
                <w:sz w:val="16"/>
              </w:rPr>
              <w:t>+$1,275,000</w:t>
            </w:r>
          </w:p>
        </w:tc>
      </w:tr>
      <w:tr>
        <w:tc>
          <w:tcPr>
            <w:tcW w:type="dxa" w:w="720"/>
          </w:tcPr>
          <w:p>
            <w:r/>
            <w:r>
              <w:rPr>
                <w:b w:val="0"/>
                <w:i w:val="0"/>
                <w:sz w:val="16"/>
              </w:rPr>
              <w:t>13</w:t>
            </w:r>
          </w:p>
        </w:tc>
        <w:tc>
          <w:tcPr>
            <w:tcW w:type="dxa" w:w="1584"/>
          </w:tcPr>
          <w:p>
            <w:r/>
            <w:r>
              <w:rPr>
                <w:b w:val="0"/>
                <w:i w:val="0"/>
                <w:sz w:val="16"/>
              </w:rPr>
              <w:t>$43.37</w:t>
            </w:r>
          </w:p>
        </w:tc>
        <w:tc>
          <w:tcPr>
            <w:tcW w:type="dxa" w:w="1440"/>
          </w:tcPr>
          <w:p>
            <w:r/>
            <w:r>
              <w:rPr>
                <w:b w:val="0"/>
                <w:i w:val="0"/>
                <w:sz w:val="16"/>
              </w:rPr>
              <w:t>$43.35</w:t>
            </w:r>
          </w:p>
        </w:tc>
        <w:tc>
          <w:tcPr>
            <w:tcW w:type="dxa" w:w="1440"/>
          </w:tcPr>
          <w:p>
            <w:r/>
            <w:r>
              <w:rPr>
                <w:b w:val="0"/>
                <w:i w:val="0"/>
                <w:sz w:val="16"/>
              </w:rPr>
              <w:t>$45.11</w:t>
            </w:r>
          </w:p>
        </w:tc>
        <w:tc>
          <w:tcPr>
            <w:tcW w:type="dxa" w:w="1584"/>
          </w:tcPr>
          <w:p>
            <w:r/>
            <w:r>
              <w:rPr>
                <w:b w:val="0"/>
                <w:i w:val="0"/>
                <w:sz w:val="16"/>
              </w:rPr>
              <w:t>+$1.74</w:t>
            </w:r>
          </w:p>
        </w:tc>
        <w:tc>
          <w:tcPr>
            <w:tcW w:type="dxa" w:w="2880"/>
          </w:tcPr>
          <w:p>
            <w:r/>
            <w:r>
              <w:rPr>
                <w:b w:val="0"/>
                <w:i w:val="0"/>
                <w:sz w:val="16"/>
              </w:rPr>
              <w:t>+$1,479,000</w:t>
            </w:r>
          </w:p>
        </w:tc>
      </w:tr>
      <w:tr>
        <w:tc>
          <w:tcPr>
            <w:tcW w:type="dxa" w:w="720"/>
          </w:tcPr>
          <w:p>
            <w:r/>
            <w:r>
              <w:rPr>
                <w:b w:val="0"/>
                <w:i w:val="0"/>
                <w:sz w:val="16"/>
              </w:rPr>
              <w:t>14</w:t>
            </w:r>
          </w:p>
        </w:tc>
        <w:tc>
          <w:tcPr>
            <w:tcW w:type="dxa" w:w="1584"/>
          </w:tcPr>
          <w:p>
            <w:r/>
            <w:r>
              <w:rPr>
                <w:b w:val="0"/>
                <w:i w:val="0"/>
                <w:sz w:val="16"/>
              </w:rPr>
              <w:t>$44.02</w:t>
            </w:r>
          </w:p>
        </w:tc>
        <w:tc>
          <w:tcPr>
            <w:tcW w:type="dxa" w:w="1440"/>
          </w:tcPr>
          <w:p>
            <w:r/>
            <w:r>
              <w:rPr>
                <w:b w:val="0"/>
                <w:i w:val="0"/>
                <w:sz w:val="16"/>
              </w:rPr>
              <w:t>$44.00</w:t>
            </w:r>
          </w:p>
        </w:tc>
        <w:tc>
          <w:tcPr>
            <w:tcW w:type="dxa" w:w="1440"/>
          </w:tcPr>
          <w:p>
            <w:r/>
            <w:r>
              <w:rPr>
                <w:b w:val="0"/>
                <w:i w:val="0"/>
                <w:sz w:val="16"/>
              </w:rPr>
              <w:t>$46.02</w:t>
            </w:r>
          </w:p>
        </w:tc>
        <w:tc>
          <w:tcPr>
            <w:tcW w:type="dxa" w:w="1584"/>
          </w:tcPr>
          <w:p>
            <w:r/>
            <w:r>
              <w:rPr>
                <w:b w:val="0"/>
                <w:i w:val="0"/>
                <w:sz w:val="16"/>
              </w:rPr>
              <w:t>+$2.00</w:t>
            </w:r>
          </w:p>
        </w:tc>
        <w:tc>
          <w:tcPr>
            <w:tcW w:type="dxa" w:w="2880"/>
          </w:tcPr>
          <w:p>
            <w:r/>
            <w:r>
              <w:rPr>
                <w:b w:val="0"/>
                <w:i w:val="0"/>
                <w:sz w:val="16"/>
              </w:rPr>
              <w:t>+$1,700,000</w:t>
            </w:r>
          </w:p>
        </w:tc>
      </w:tr>
      <w:tr>
        <w:tc>
          <w:tcPr>
            <w:tcW w:type="dxa" w:w="720"/>
          </w:tcPr>
          <w:p>
            <w:r/>
            <w:r>
              <w:rPr>
                <w:b w:val="0"/>
                <w:i w:val="0"/>
                <w:sz w:val="16"/>
              </w:rPr>
              <w:t>15</w:t>
            </w:r>
          </w:p>
        </w:tc>
        <w:tc>
          <w:tcPr>
            <w:tcW w:type="dxa" w:w="1584"/>
          </w:tcPr>
          <w:p>
            <w:r/>
            <w:r>
              <w:rPr>
                <w:b w:val="0"/>
                <w:i w:val="0"/>
                <w:sz w:val="16"/>
              </w:rPr>
              <w:t>$44.68</w:t>
            </w:r>
          </w:p>
        </w:tc>
        <w:tc>
          <w:tcPr>
            <w:tcW w:type="dxa" w:w="1440"/>
          </w:tcPr>
          <w:p>
            <w:r/>
            <w:r>
              <w:rPr>
                <w:b w:val="0"/>
                <w:i w:val="0"/>
                <w:sz w:val="16"/>
              </w:rPr>
              <w:t>$44.66</w:t>
            </w:r>
          </w:p>
        </w:tc>
        <w:tc>
          <w:tcPr>
            <w:tcW w:type="dxa" w:w="1440"/>
          </w:tcPr>
          <w:p>
            <w:r/>
            <w:r>
              <w:rPr>
                <w:b w:val="0"/>
                <w:i w:val="0"/>
                <w:sz w:val="16"/>
              </w:rPr>
              <w:t>$46.94</w:t>
            </w:r>
          </w:p>
        </w:tc>
        <w:tc>
          <w:tcPr>
            <w:tcW w:type="dxa" w:w="1584"/>
          </w:tcPr>
          <w:p>
            <w:r/>
            <w:r>
              <w:rPr>
                <w:b w:val="0"/>
                <w:i w:val="0"/>
                <w:sz w:val="16"/>
              </w:rPr>
              <w:t>+$2.26</w:t>
            </w:r>
          </w:p>
        </w:tc>
        <w:tc>
          <w:tcPr>
            <w:tcW w:type="dxa" w:w="2880"/>
          </w:tcPr>
          <w:p>
            <w:r/>
            <w:r>
              <w:rPr>
                <w:b w:val="0"/>
                <w:i w:val="0"/>
                <w:sz w:val="16"/>
              </w:rPr>
              <w:t>+$1,921,000</w:t>
            </w:r>
          </w:p>
        </w:tc>
      </w:tr>
      <w:tr>
        <w:tc>
          <w:tcPr>
            <w:tcW w:type="dxa" w:w="720"/>
          </w:tcPr>
          <w:p>
            <w:r/>
            <w:r>
              <w:rPr>
                <w:b w:val="0"/>
                <w:i w:val="0"/>
                <w:sz w:val="16"/>
              </w:rPr>
              <w:t>16</w:t>
            </w:r>
          </w:p>
        </w:tc>
        <w:tc>
          <w:tcPr>
            <w:tcW w:type="dxa" w:w="1584"/>
          </w:tcPr>
          <w:p>
            <w:r/>
            <w:r>
              <w:rPr>
                <w:b w:val="0"/>
                <w:i w:val="0"/>
                <w:sz w:val="16"/>
              </w:rPr>
              <w:t>$45.35</w:t>
            </w:r>
          </w:p>
        </w:tc>
        <w:tc>
          <w:tcPr>
            <w:tcW w:type="dxa" w:w="1440"/>
          </w:tcPr>
          <w:p>
            <w:r/>
            <w:r>
              <w:rPr>
                <w:b w:val="0"/>
                <w:i w:val="0"/>
                <w:sz w:val="16"/>
              </w:rPr>
              <w:t>$45.33</w:t>
            </w:r>
          </w:p>
        </w:tc>
        <w:tc>
          <w:tcPr>
            <w:tcW w:type="dxa" w:w="1440"/>
          </w:tcPr>
          <w:p>
            <w:r/>
            <w:r>
              <w:rPr>
                <w:b w:val="0"/>
                <w:i w:val="0"/>
                <w:sz w:val="16"/>
              </w:rPr>
              <w:t>$47.87</w:t>
            </w:r>
          </w:p>
        </w:tc>
        <w:tc>
          <w:tcPr>
            <w:tcW w:type="dxa" w:w="1584"/>
          </w:tcPr>
          <w:p>
            <w:r/>
            <w:r>
              <w:rPr>
                <w:b w:val="0"/>
                <w:i w:val="0"/>
                <w:sz w:val="16"/>
              </w:rPr>
              <w:t>+$2.52</w:t>
            </w:r>
          </w:p>
        </w:tc>
        <w:tc>
          <w:tcPr>
            <w:tcW w:type="dxa" w:w="2880"/>
          </w:tcPr>
          <w:p>
            <w:r/>
            <w:r>
              <w:rPr>
                <w:b w:val="0"/>
                <w:i w:val="0"/>
                <w:sz w:val="16"/>
              </w:rPr>
              <w:t>+$2,142,000</w:t>
            </w:r>
          </w:p>
        </w:tc>
      </w:tr>
      <w:tr>
        <w:tc>
          <w:tcPr>
            <w:tcW w:type="dxa" w:w="720"/>
          </w:tcPr>
          <w:p>
            <w:r/>
            <w:r>
              <w:rPr>
                <w:b w:val="0"/>
                <w:i w:val="0"/>
                <w:sz w:val="16"/>
              </w:rPr>
              <w:t>17</w:t>
            </w:r>
          </w:p>
        </w:tc>
        <w:tc>
          <w:tcPr>
            <w:tcW w:type="dxa" w:w="1584"/>
          </w:tcPr>
          <w:p>
            <w:r/>
            <w:r>
              <w:rPr>
                <w:b w:val="0"/>
                <w:i w:val="0"/>
                <w:sz w:val="16"/>
              </w:rPr>
              <w:t>$46.03</w:t>
            </w:r>
          </w:p>
        </w:tc>
        <w:tc>
          <w:tcPr>
            <w:tcW w:type="dxa" w:w="1440"/>
          </w:tcPr>
          <w:p>
            <w:r/>
            <w:r>
              <w:rPr>
                <w:b w:val="0"/>
                <w:i w:val="0"/>
                <w:sz w:val="16"/>
              </w:rPr>
              <w:t>$46.01</w:t>
            </w:r>
          </w:p>
        </w:tc>
        <w:tc>
          <w:tcPr>
            <w:tcW w:type="dxa" w:w="1440"/>
          </w:tcPr>
          <w:p>
            <w:r/>
            <w:r>
              <w:rPr>
                <w:b w:val="0"/>
                <w:i w:val="0"/>
                <w:sz w:val="16"/>
              </w:rPr>
              <w:t>$48.83</w:t>
            </w:r>
          </w:p>
        </w:tc>
        <w:tc>
          <w:tcPr>
            <w:tcW w:type="dxa" w:w="1584"/>
          </w:tcPr>
          <w:p>
            <w:r/>
            <w:r>
              <w:rPr>
                <w:b w:val="0"/>
                <w:i w:val="0"/>
                <w:sz w:val="16"/>
              </w:rPr>
              <w:t>+$2.80</w:t>
            </w:r>
          </w:p>
        </w:tc>
        <w:tc>
          <w:tcPr>
            <w:tcW w:type="dxa" w:w="2880"/>
          </w:tcPr>
          <w:p>
            <w:r/>
            <w:r>
              <w:rPr>
                <w:b w:val="0"/>
                <w:i w:val="0"/>
                <w:sz w:val="16"/>
              </w:rPr>
              <w:t>+$2,380,000</w:t>
            </w:r>
          </w:p>
        </w:tc>
      </w:tr>
      <w:tr>
        <w:tc>
          <w:tcPr>
            <w:tcW w:type="dxa" w:w="720"/>
          </w:tcPr>
          <w:p>
            <w:r/>
            <w:r>
              <w:rPr>
                <w:b w:val="0"/>
                <w:i w:val="0"/>
                <w:sz w:val="16"/>
              </w:rPr>
              <w:t>18</w:t>
            </w:r>
          </w:p>
        </w:tc>
        <w:tc>
          <w:tcPr>
            <w:tcW w:type="dxa" w:w="1584"/>
          </w:tcPr>
          <w:p>
            <w:r/>
            <w:r>
              <w:rPr>
                <w:b w:val="0"/>
                <w:i w:val="0"/>
                <w:sz w:val="16"/>
              </w:rPr>
              <w:t>$46.72</w:t>
            </w:r>
          </w:p>
        </w:tc>
        <w:tc>
          <w:tcPr>
            <w:tcW w:type="dxa" w:w="1440"/>
          </w:tcPr>
          <w:p>
            <w:r/>
            <w:r>
              <w:rPr>
                <w:b w:val="0"/>
                <w:i w:val="0"/>
                <w:sz w:val="16"/>
              </w:rPr>
              <w:t>$46.70</w:t>
            </w:r>
          </w:p>
        </w:tc>
        <w:tc>
          <w:tcPr>
            <w:tcW w:type="dxa" w:w="1440"/>
          </w:tcPr>
          <w:p>
            <w:r/>
            <w:r>
              <w:rPr>
                <w:b w:val="0"/>
                <w:i w:val="0"/>
                <w:sz w:val="16"/>
              </w:rPr>
              <w:t>$49.81</w:t>
            </w:r>
          </w:p>
        </w:tc>
        <w:tc>
          <w:tcPr>
            <w:tcW w:type="dxa" w:w="1584"/>
          </w:tcPr>
          <w:p>
            <w:r/>
            <w:r>
              <w:rPr>
                <w:b w:val="0"/>
                <w:i w:val="0"/>
                <w:sz w:val="16"/>
              </w:rPr>
              <w:t>+$3.09</w:t>
            </w:r>
          </w:p>
        </w:tc>
        <w:tc>
          <w:tcPr>
            <w:tcW w:type="dxa" w:w="2880"/>
          </w:tcPr>
          <w:p>
            <w:r/>
            <w:r>
              <w:rPr>
                <w:b w:val="0"/>
                <w:i w:val="0"/>
                <w:sz w:val="16"/>
              </w:rPr>
              <w:t>+$2,626,500</w:t>
            </w:r>
          </w:p>
        </w:tc>
      </w:tr>
      <w:tr>
        <w:tc>
          <w:tcPr>
            <w:tcW w:type="dxa" w:w="720"/>
          </w:tcPr>
          <w:p>
            <w:r/>
            <w:r>
              <w:rPr>
                <w:b w:val="0"/>
                <w:i w:val="0"/>
                <w:sz w:val="16"/>
              </w:rPr>
              <w:t>19</w:t>
            </w:r>
          </w:p>
        </w:tc>
        <w:tc>
          <w:tcPr>
            <w:tcW w:type="dxa" w:w="1584"/>
          </w:tcPr>
          <w:p>
            <w:r/>
            <w:r>
              <w:rPr>
                <w:b w:val="0"/>
                <w:i w:val="0"/>
                <w:sz w:val="16"/>
              </w:rPr>
              <w:t>$47.42</w:t>
            </w:r>
          </w:p>
        </w:tc>
        <w:tc>
          <w:tcPr>
            <w:tcW w:type="dxa" w:w="1440"/>
          </w:tcPr>
          <w:p>
            <w:r/>
            <w:r>
              <w:rPr>
                <w:b w:val="0"/>
                <w:i w:val="0"/>
                <w:sz w:val="16"/>
              </w:rPr>
              <w:t>$47.40</w:t>
            </w:r>
          </w:p>
        </w:tc>
        <w:tc>
          <w:tcPr>
            <w:tcW w:type="dxa" w:w="1440"/>
          </w:tcPr>
          <w:p>
            <w:r/>
            <w:r>
              <w:rPr>
                <w:b w:val="0"/>
                <w:i w:val="0"/>
                <w:sz w:val="16"/>
              </w:rPr>
              <w:t>$50.81</w:t>
            </w:r>
          </w:p>
        </w:tc>
        <w:tc>
          <w:tcPr>
            <w:tcW w:type="dxa" w:w="1584"/>
          </w:tcPr>
          <w:p>
            <w:r/>
            <w:r>
              <w:rPr>
                <w:b w:val="0"/>
                <w:i w:val="0"/>
                <w:sz w:val="16"/>
              </w:rPr>
              <w:t>+$3.39</w:t>
            </w:r>
          </w:p>
        </w:tc>
        <w:tc>
          <w:tcPr>
            <w:tcW w:type="dxa" w:w="2880"/>
          </w:tcPr>
          <w:p>
            <w:r/>
            <w:r>
              <w:rPr>
                <w:b w:val="0"/>
                <w:i w:val="0"/>
                <w:sz w:val="16"/>
              </w:rPr>
              <w:t>+$2,881,500</w:t>
            </w:r>
          </w:p>
        </w:tc>
      </w:tr>
      <w:tr>
        <w:tc>
          <w:tcPr>
            <w:tcW w:type="dxa" w:w="720"/>
          </w:tcPr>
          <w:p>
            <w:r/>
            <w:r>
              <w:rPr>
                <w:b w:val="0"/>
                <w:i w:val="0"/>
                <w:sz w:val="16"/>
              </w:rPr>
              <w:t>20</w:t>
            </w:r>
          </w:p>
        </w:tc>
        <w:tc>
          <w:tcPr>
            <w:tcW w:type="dxa" w:w="1584"/>
          </w:tcPr>
          <w:p>
            <w:r/>
            <w:r>
              <w:rPr>
                <w:b w:val="0"/>
                <w:i w:val="0"/>
                <w:sz w:val="16"/>
              </w:rPr>
              <w:t>$48.13</w:t>
            </w:r>
          </w:p>
        </w:tc>
        <w:tc>
          <w:tcPr>
            <w:tcW w:type="dxa" w:w="1440"/>
          </w:tcPr>
          <w:p>
            <w:r/>
            <w:r>
              <w:rPr>
                <w:b w:val="0"/>
                <w:i w:val="0"/>
                <w:sz w:val="16"/>
              </w:rPr>
              <w:t>$48.11</w:t>
            </w:r>
          </w:p>
        </w:tc>
        <w:tc>
          <w:tcPr>
            <w:tcW w:type="dxa" w:w="1440"/>
          </w:tcPr>
          <w:p>
            <w:r/>
            <w:r>
              <w:rPr>
                <w:b w:val="0"/>
                <w:i w:val="0"/>
                <w:sz w:val="16"/>
              </w:rPr>
              <w:t>$51.80</w:t>
            </w:r>
          </w:p>
        </w:tc>
        <w:tc>
          <w:tcPr>
            <w:tcW w:type="dxa" w:w="1584"/>
          </w:tcPr>
          <w:p>
            <w:r/>
            <w:r>
              <w:rPr>
                <w:b w:val="0"/>
                <w:i w:val="0"/>
                <w:sz w:val="16"/>
              </w:rPr>
              <w:t>+$3.67</w:t>
            </w:r>
          </w:p>
        </w:tc>
        <w:tc>
          <w:tcPr>
            <w:tcW w:type="dxa" w:w="2880"/>
          </w:tcPr>
          <w:p>
            <w:r/>
            <w:r>
              <w:rPr>
                <w:b w:val="0"/>
                <w:i w:val="0"/>
                <w:sz w:val="16"/>
              </w:rPr>
              <w:t>+$3,119,500</w:t>
            </w:r>
          </w:p>
        </w:tc>
      </w:tr>
      <w:tr>
        <w:tc>
          <w:tcPr>
            <w:tcW w:type="dxa" w:w="720"/>
          </w:tcPr>
          <w:p>
            <w:r/>
            <w:r>
              <w:rPr>
                <w:b w:val="0"/>
                <w:i w:val="0"/>
                <w:sz w:val="16"/>
              </w:rPr>
              <w:t>Total</w:t>
            </w:r>
          </w:p>
        </w:tc>
        <w:tc>
          <w:tcPr>
            <w:tcW w:type="dxa" w:w="1584"/>
          </w:tcPr>
          <w:p>
            <w:r/>
          </w:p>
        </w:tc>
        <w:tc>
          <w:tcPr>
            <w:tcW w:type="dxa" w:w="1440"/>
          </w:tcPr>
          <w:p>
            <w:r/>
          </w:p>
        </w:tc>
        <w:tc>
          <w:tcPr>
            <w:tcW w:type="dxa" w:w="1440"/>
          </w:tcPr>
          <w:p>
            <w:r/>
          </w:p>
        </w:tc>
        <w:tc>
          <w:tcPr>
            <w:tcW w:type="dxa" w:w="1584"/>
          </w:tcPr>
          <w:p>
            <w:r/>
          </w:p>
        </w:tc>
        <w:tc>
          <w:tcPr>
            <w:tcW w:type="dxa" w:w="2880"/>
          </w:tcPr>
          <w:p>
            <w:r/>
            <w:r>
              <w:rPr>
                <w:b w:val="0"/>
                <w:i w:val="0"/>
                <w:sz w:val="16"/>
              </w:rPr>
              <w:t>+$23,179,500</w:t>
            </w:r>
          </w:p>
        </w:tc>
      </w:tr>
    </w:tbl>
    <w:p>
      <w:pPr>
        <w:spacing w:after="40"/>
      </w:pPr>
    </w:p>
    <w:p>
      <w:pPr>
        <w:spacing w:after="120"/>
      </w:pPr>
      <w:r>
        <w:rPr>
          <w:b w:val="0"/>
          <w:i/>
          <w:sz w:val="17"/>
        </w:rPr>
        <w:t>Formula: P(N) = $38.50 × 1.015^(N–5) for N ≥ 6, rounded to the nearest cent (TS §5.4; PPA §4.2(b)). Exhibit B values match a 2.0% compounding escalator rounded year-on-year for CY6–13 and CY16–19, with further deviations in CY14 ($46.02 vs. $46.01), CY15 ($46.94 vs. $46.93) and CY20 ($51.80 vs. $51.83 on a 2.0% basis). PV of the overstatement at 6% (annual, end-of-year from COD): ~$9.58M.</w:t>
      </w:r>
    </w:p>
    <w:p>
      <w:pPr>
        <w:pStyle w:val="Heading1"/>
      </w:pPr>
      <w:r>
        <w:t>Schedule 2 — Open Questions for Client / Prescott &amp; Hale</w:t>
      </w:r>
    </w:p>
    <w:p>
      <w:pPr>
        <w:pStyle w:val="ListNumber"/>
        <w:spacing w:after="60"/>
      </w:pPr>
      <w:r>
        <w:rPr>
          <w:b w:val="0"/>
          <w:i w:val="0"/>
        </w:rPr>
        <w:t>Did Seller review an execution-version redline against the Term Sheet before February 4? Obtain all Langdon markups (including January 15) and Seller comment sets.</w:t>
      </w:r>
    </w:p>
    <w:p>
      <w:pPr>
        <w:pStyle w:val="ListNumber"/>
        <w:spacing w:after="60"/>
      </w:pPr>
      <w:r>
        <w:rPr>
          <w:b w:val="0"/>
          <w:i w:val="0"/>
        </w:rPr>
        <w:t>Was the excess-REC retention (D-18) and March 1, 2026 early COD (D-20) expressly agreed with Ms. Nouri/Mr. Bledsoe before execution, and by whom?</w:t>
      </w:r>
    </w:p>
    <w:p>
      <w:pPr>
        <w:pStyle w:val="ListNumber"/>
        <w:spacing w:after="60"/>
      </w:pPr>
      <w:r>
        <w:rPr>
          <w:b w:val="0"/>
          <w:i w:val="0"/>
        </w:rPr>
        <w:t>Has the $7.5M Highpoint Surety bond been delivered (due March 6, 2025), and is the A– Atlas rating confirmed?</w:t>
      </w:r>
    </w:p>
    <w:p>
      <w:pPr>
        <w:pStyle w:val="ListNumber"/>
        <w:spacing w:after="60"/>
      </w:pPr>
      <w:r>
        <w:rPr>
          <w:b w:val="0"/>
          <w:i w:val="0"/>
        </w:rPr>
        <w:t>Does the independent engineer’s P50 (876,000 MWh) reflect the neighboring wind farm’s wake effects cited as the rationale for D-15?</w:t>
      </w:r>
    </w:p>
    <w:p>
      <w:pPr>
        <w:pStyle w:val="ListNumber"/>
        <w:spacing w:after="60"/>
      </w:pPr>
      <w:r>
        <w:rPr>
          <w:b w:val="0"/>
          <w:i w:val="0"/>
        </w:rPr>
        <w:t>Will Ridgeline accept a direct Buyer consent (rather than a definitional amendment) as a fallback for D-1/D-2, and what does Ridgeline’s tax counsel require under Rev. Proc. 2007-65 (as modified)?</w:t>
      </w:r>
    </w:p>
    <w:p>
      <w:pPr>
        <w:pStyle w:val="ListNumber"/>
        <w:spacing w:after="60"/>
      </w:pPr>
      <w:r>
        <w:rPr>
          <w:b w:val="0"/>
          <w:i w:val="0"/>
        </w:rPr>
        <w:t>What is the Buyer Board of Trustees meeting calendar and public notice lead time for approving an amendment before April 15?</w:t>
      </w:r>
    </w:p>
    <w:p>
      <w:pPr>
        <w:pStyle w:val="ListNumber"/>
        <w:spacing w:after="60"/>
      </w:pPr>
      <w:r>
        <w:rPr>
          <w:b w:val="0"/>
          <w:i w:val="0"/>
        </w:rPr>
        <w:t>Does the Nordex LTSA availability guarantee back-to-back the PPA’s 95% / $65,000 (or restored $50,000) regime and the 240 MW COD test?</w:t>
      </w:r>
    </w:p>
    <w:p>
      <w:pPr>
        <w:spacing w:after="120"/>
      </w:pPr>
    </w:p>
    <w:p>
      <w:pPr>
        <w:spacing w:after="120"/>
      </w:pPr>
      <w:r>
        <w:rPr>
          <w:b w:val="0"/>
          <w:i/>
          <w:sz w:val="17"/>
        </w:rPr>
        <w:t>Prepared on the basis of the four documents listed in Section 2 only; no independent verification of facts outside those documents. Figures are computed at the Contract Quantity for comparison purposes and are not forecasts.</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Prairie Crest PPA Deviation Report — Privileged &amp; Confidential —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