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ATTORNEY-CLIENT COMMUNICATION / ATTORNEY WORK PRODUCT</w:t>
      </w:r>
    </w:p>
    <w:p>
      <w:pPr>
        <w:spacing w:after="80"/>
        <w:jc w:val="center"/>
      </w:pPr>
      <w:r>
        <w:rPr>
          <w:b w:val="0"/>
          <w:i/>
          <w:sz w:val="17"/>
        </w:rPr>
        <w:t>Contains Confidential Information subject to PPA Article 20 and the Mutual Confidentiality Agreement dated November 15, 2024 (Meridian Renewable Holdings LLC / Alder Creek Capital Partners LP)</w:t>
      </w:r>
    </w:p>
    <w:p/>
    <w:p>
      <w:pPr>
        <w:spacing w:after="80"/>
      </w:pPr>
      <w:r>
        <w:rPr>
          <w:b/>
          <w:i w:val="0"/>
          <w:sz w:val="32"/>
        </w:rPr>
        <w:t>MEMORANDUM</w:t>
      </w:r>
    </w:p>
    <w:tbl>
      <w:tblPr>
        <w:tblW w:type="auto" w:w="0"/>
        <w:tblLook w:firstColumn="1" w:firstRow="1" w:lastColumn="0" w:lastRow="0" w:noHBand="0" w:noVBand="1" w:val="04A0"/>
      </w:tblPr>
      <w:tblGrid>
        <w:gridCol w:w="5040"/>
        <w:gridCol w:w="5040"/>
      </w:tblGrid>
      <w:tr>
        <w:tc>
          <w:tcPr>
            <w:tcW w:type="dxa" w:w="1152"/>
          </w:tcPr>
          <w:p>
            <w:r/>
            <w:r>
              <w:rPr>
                <w:b/>
              </w:rPr>
              <w:t>To:</w:t>
            </w:r>
          </w:p>
        </w:tc>
        <w:tc>
          <w:tcPr>
            <w:tcW w:type="dxa" w:w="8928"/>
          </w:tcPr>
          <w:p>
            <w:r/>
            <w:r>
              <w:t>Investment Committee, Alder Creek Capital Partners LP (attn: James Whitford)</w:t>
            </w:r>
          </w:p>
        </w:tc>
      </w:tr>
      <w:tr>
        <w:tc>
          <w:tcPr>
            <w:tcW w:type="dxa" w:w="1152"/>
          </w:tcPr>
          <w:p>
            <w:r/>
            <w:r>
              <w:rPr>
                <w:b/>
              </w:rPr>
              <w:t>From:</w:t>
            </w:r>
          </w:p>
        </w:tc>
        <w:tc>
          <w:tcPr>
            <w:tcW w:type="dxa" w:w="8928"/>
          </w:tcPr>
          <w:p>
            <w:r/>
            <w:r>
              <w:t>Stonebridge Hart — Nathan Gould and deal team</w:t>
            </w:r>
          </w:p>
        </w:tc>
      </w:tr>
      <w:tr>
        <w:tc>
          <w:tcPr>
            <w:tcW w:type="dxa" w:w="1152"/>
          </w:tcPr>
          <w:p>
            <w:r/>
            <w:r>
              <w:rPr>
                <w:b/>
              </w:rPr>
              <w:t>For:</w:t>
            </w:r>
          </w:p>
        </w:tc>
        <w:tc>
          <w:tcPr>
            <w:tcW w:type="dxa" w:w="8928"/>
          </w:tcPr>
          <w:p>
            <w:r/>
            <w:r>
              <w:t>Investment Committee meeting of February 10, 2025</w:t>
            </w:r>
          </w:p>
        </w:tc>
      </w:tr>
      <w:tr>
        <w:tc>
          <w:tcPr>
            <w:tcW w:type="dxa" w:w="1152"/>
          </w:tcPr>
          <w:p>
            <w:r/>
            <w:r>
              <w:rPr>
                <w:b/>
              </w:rPr>
              <w:t>Re:</w:t>
            </w:r>
          </w:p>
        </w:tc>
        <w:tc>
          <w:tcPr>
            <w:tcW w:type="dxa" w:w="8928"/>
          </w:tcPr>
          <w:p>
            <w:r/>
            <w:r>
              <w:t>Project Lone Star — Amended and Restated Power Purchase Agreement between Lone Star Solar Project LLC (Seller) and Brazos Valley Municipal Power Agency (Buyer): Structured Term Sheet Summary and Market-Standard / Non-Standard Assessment</w:t>
            </w:r>
          </w:p>
        </w:tc>
      </w:tr>
    </w:tbl>
    <w:p>
      <w:pPr>
        <w:spacing w:after="80"/>
      </w:pPr>
      <w:r>
        <w:rPr>
          <w:b w:val="0"/>
          <w:i/>
          <w:sz w:val="19"/>
        </w:rPr>
        <w:t>Documents reviewed: (1) Amended and Restated Power Purchase Agreement dated January 18, 2023 (original effective date September 1, 2021), including Schedules A–D (the "PPA"); (2) BVMPA Counterparty Credit Summary prepared by Meridian Finance (January 2025) (the "Credit Summary"); (3) Lone Star Solar Project Technical Summary prepared by Meridian Engineering, Doc. Ref. MRH-LSSP-TS-2025-001 (January 2025) (the "Technical Summary"); and (4) transmittal email from Catherine Yeung (Whitfield &amp; Crane, Seller counsel) dated January 27, 2025. Section references are to the PPA unless stated otherwise. The Meridian materials are expressly provided without representation or warranty; where they conflict with the PPA, the PPA controls and we flag the conflict.</w:t>
      </w:r>
    </w:p>
    <w:p>
      <w:pPr>
        <w:pStyle w:val="Heading1"/>
      </w:pPr>
      <w:r>
        <w:t>1. Executive Summary — Bottom Line for the Investment Committee</w:t>
      </w:r>
    </w:p>
    <w:p>
      <w:pPr>
        <w:spacing w:after="80"/>
      </w:pPr>
      <w:r>
        <w:rPr>
          <w:b w:val="0"/>
          <w:i w:val="0"/>
        </w:rPr>
        <w:t xml:space="preserve">The PPA is a 20-year (COD March 15, 2023 to March 14, 2043), unit-contingent, physically-settled, bundled (energy + RECs) offtake with an A2/A-rated Texas municipal power agency, plus a fixed BESS capacity payment. Contracted revenue is approximately </w:t>
      </w:r>
      <w:r>
        <w:rPr>
          <w:b/>
          <w:i w:val="0"/>
        </w:rPr>
        <w:t>$20.2 million in Contract Year 1</w:t>
      </w:r>
      <w:r>
        <w:rPr>
          <w:b w:val="0"/>
          <w:i w:val="0"/>
        </w:rPr>
        <w:t xml:space="preserve"> ($15.0M energy at $24.50/MWh on 612,500 MWh P50 + $5.175M BESS capacity), and approximately </w:t>
      </w:r>
      <w:r>
        <w:rPr>
          <w:b/>
          <w:i w:val="0"/>
        </w:rPr>
        <w:t>$363.6 million nominal over Contract Years 3–20</w:t>
      </w:r>
      <w:r>
        <w:rPr>
          <w:b w:val="0"/>
          <w:i w:val="0"/>
        </w:rPr>
        <w:t xml:space="preserve"> (our P50 calculation, degraded per Section 6.8). The revenue core is sound and largely market-standard. However, several provisions are off-market and adverse to the Seller (and therefore to Alder Creek as acquirer), and at least two issues are transaction-critical:</w:t>
      </w:r>
    </w:p>
    <w:p>
      <w:pPr>
        <w:pStyle w:val="ListBullet"/>
        <w:spacing w:after="40"/>
      </w:pPr>
      <w:r>
        <w:rPr>
          <w:b/>
          <w:i w:val="0"/>
        </w:rPr>
        <w:t>Change of Control consent is required for this acquisition (Sections 1.1, 14.2(b)–(d)).</w:t>
      </w:r>
      <w:r>
        <w:rPr>
          <w:b w:val="0"/>
          <w:i w:val="0"/>
        </w:rPr>
        <w:t xml:space="preserve"> The sale of 100% of Seller’s membership interests is a "Change of Control" requiring BVMPA’s prior written consent. BVMPA may withhold consent if the acquirer/credit support provider is rated below BBB-. Deemed consent arises only 45 Business Days after a complete information package. A non-consented closing exposes the PPA to a Seller Event of Default and termination. </w:t>
      </w:r>
      <w:r>
        <w:rPr>
          <w:b/>
          <w:i w:val="0"/>
        </w:rPr>
        <w:t>Consent (plus an estoppel) must be a closing condition.</w:t>
      </w:r>
    </w:p>
    <w:p>
      <w:pPr>
        <w:pStyle w:val="ListBullet"/>
        <w:spacing w:after="40"/>
      </w:pPr>
      <w:r>
        <w:rPr>
          <w:b/>
          <w:i w:val="0"/>
        </w:rPr>
        <w:t>Latent tax-credit price reopener in Buyer’s favor (Section 9.4(b)).</w:t>
      </w:r>
      <w:r>
        <w:rPr>
          <w:b w:val="0"/>
          <w:i w:val="0"/>
        </w:rPr>
        <w:t xml:space="preserve"> The Favorable Tax Change test runs from the Effective Date (September 1, 2021). The Inflation Reduction Act of 2022 (enacted August 16, 2022) materially enhanced ITC/PTC economics for solar and standalone storage after that date, and the A&amp;R (January 18, 2023) did not carve it out or acknowledge it as priced in. BVMPA arguably retains a live right to demand renegotiation of the $24.50/MWh Contract Price, with binding arbitration if no agreement. There is no deadline for exercise. </w:t>
      </w:r>
      <w:r>
        <w:rPr>
          <w:b/>
          <w:i w:val="0"/>
        </w:rPr>
        <w:t>This is potentially the largest single value risk; require a BVMPA estoppel/waiver or a seller indemnity / price protection.</w:t>
      </w:r>
    </w:p>
    <w:p>
      <w:pPr>
        <w:pStyle w:val="ListBullet"/>
        <w:spacing w:after="40"/>
      </w:pPr>
      <w:r>
        <w:rPr>
          <w:b/>
          <w:i w:val="0"/>
        </w:rPr>
        <w:t>Buyer Regulatory Termination Right with capped payment (Section 16.5).</w:t>
      </w:r>
      <w:r>
        <w:rPr>
          <w:b w:val="0"/>
          <w:i w:val="0"/>
        </w:rPr>
        <w:t xml:space="preserve"> BVMPA may terminate on 180 days’ notice if a Change in Law or ERCOT rule change drives its All-In Cost (which includes congestion) above 150% of LZ_SOUTH wholesale prices for 12 consecutive months. The Termination Payment is the lesser of 50% of the NPV (7.5%) of remaining energy payments (BESS payments excluded) and </w:t>
      </w:r>
      <w:r>
        <w:rPr>
          <w:b/>
          <w:i w:val="0"/>
        </w:rPr>
        <w:t>$30 million</w:t>
      </w:r>
      <w:r>
        <w:rPr>
          <w:b w:val="0"/>
          <w:i w:val="0"/>
        </w:rPr>
        <w:t xml:space="preserve"> — against roughly $150M NPV of remaining energy payments today (50% = ~$75M), so the $30M cap binds through approximately Contract Year 16. Highly non-standard; a buyer option on the contract.</w:t>
      </w:r>
    </w:p>
    <w:p>
      <w:pPr>
        <w:pStyle w:val="ListBullet"/>
        <w:spacing w:after="40"/>
      </w:pPr>
      <w:r>
        <w:rPr>
          <w:b/>
          <w:i w:val="0"/>
        </w:rPr>
        <w:t>ERCOT curtailment risk sits with the Seller above 500 hours/year (Sections 7.2, 17.1(vi)), and the threshold is already being exceeded.</w:t>
      </w:r>
      <w:r>
        <w:rPr>
          <w:b w:val="0"/>
          <w:i w:val="0"/>
        </w:rPr>
        <w:t xml:space="preserve"> 620 hours occurred in Contract Year 1 and 410 hours through December 31, 2024 in Contract Year 2. Excess hours are not Force Majeure, are uncompensated and count against the Minimum Annual Delivery. Note the Technical Summary understates the revenue impact: </w:t>
      </w:r>
      <w:r>
        <w:rPr>
          <w:b/>
          <w:i w:val="0"/>
        </w:rPr>
        <w:t>all ~14,500 MWh of Year 1 ERCOT-curtailed energy was unpaid (~$355,250)</w:t>
      </w:r>
      <w:r>
        <w:rPr>
          <w:b w:val="0"/>
          <w:i w:val="0"/>
        </w:rPr>
        <w:t>, not just the ~2,900 MWh above the threshold ($71,050). The 500-hour Force Majeure treatment excuses delivery, not payment.</w:t>
      </w:r>
    </w:p>
    <w:p>
      <w:pPr>
        <w:pStyle w:val="ListBullet"/>
        <w:spacing w:after="40"/>
      </w:pPr>
      <w:r>
        <w:rPr>
          <w:b/>
          <w:i w:val="0"/>
        </w:rPr>
        <w:t>Seller bears a capped share of LZ_WEST–LZ_SOUTH congestion (Section 8.5).</w:t>
      </w:r>
      <w:r>
        <w:rPr>
          <w:b w:val="0"/>
          <w:i w:val="0"/>
        </w:rPr>
        <w:t xml:space="preserve"> Seller reimburses 50% of average congestion above $8.00/MWh, capped at $2.5M per Contract Year (up to about 12% of Year 1 revenue; the cap is reached at about $16.16/MWh average congestion on P50 volumes). It is unusual for a physical-delivery seller to share buyer-side basis risk.</w:t>
      </w:r>
    </w:p>
    <w:p>
      <w:pPr>
        <w:pStyle w:val="ListBullet"/>
        <w:spacing w:after="40"/>
      </w:pPr>
      <w:r>
        <w:rPr>
          <w:b/>
          <w:i w:val="0"/>
        </w:rPr>
        <w:t>BESS economics are flat and carry an augmentation obligation.</w:t>
      </w:r>
      <w:r>
        <w:rPr>
          <w:b w:val="0"/>
          <w:i w:val="0"/>
        </w:rPr>
        <w:t xml:space="preserve"> $5.75/kW-month fixed for 20 years with no escalation (Section 8.2(d)) (about 38% real erosion by Year 20 at 2.5% inflation). Seller must maintain 270 MWh (90%) usable capacity for 15 years through augmentation (Schedule A), against a supplier warranty of only 70% retention at year 20. Seller also bears charging energy and round-trip losses. The Technical Summary does not mention the augmentation obligation; the model must include augmentation capex.</w:t>
      </w:r>
    </w:p>
    <w:p>
      <w:pPr>
        <w:pStyle w:val="ListBullet"/>
        <w:spacing w:after="40"/>
      </w:pPr>
      <w:r>
        <w:rPr>
          <w:b/>
          <w:i w:val="0"/>
        </w:rPr>
        <w:t>Liability architecture is off-market for a long-dated PPA.</w:t>
      </w:r>
      <w:r>
        <w:rPr>
          <w:b w:val="0"/>
          <w:i w:val="0"/>
        </w:rPr>
        <w:t xml:space="preserve"> There is no mark-to-market termination payment for Buyer default, and aggregate liability is capped at the lesser of 3 years’ payments or $50M (Section 15.5), which effectively caps Seller’s recovery for a BVMPA repudiation at about $50M against ~$200M NPV of remaining contracted revenue. There are no lender step-in/cure rights (Section 14.3).</w:t>
      </w:r>
    </w:p>
    <w:p>
      <w:pPr>
        <w:pStyle w:val="ListBullet"/>
        <w:spacing w:after="40"/>
      </w:pPr>
      <w:r>
        <w:rPr>
          <w:b/>
          <w:i w:val="0"/>
        </w:rPr>
        <w:t>Document integrity / disclosure discrepancies.</w:t>
      </w:r>
      <w:r>
        <w:rPr>
          <w:b w:val="0"/>
          <w:i w:val="0"/>
        </w:rPr>
        <w:t xml:space="preserve"> The copy provided shows blank signature lines despite being described as "fully executed". Schedule B fixes the Buyer Downgrade LC at </w:t>
      </w:r>
      <w:r>
        <w:rPr>
          <w:b/>
          <w:i w:val="0"/>
        </w:rPr>
        <w:t>$9.5M</w:t>
      </w:r>
      <w:r>
        <w:rPr>
          <w:b w:val="0"/>
          <w:i w:val="0"/>
        </w:rPr>
        <w:t xml:space="preserve"> while Section 13.4(b) yields </w:t>
      </w:r>
      <w:r>
        <w:rPr>
          <w:b/>
          <w:i w:val="0"/>
        </w:rPr>
        <w:t>$10,090,625</w:t>
      </w:r>
      <w:r>
        <w:rPr>
          <w:b w:val="0"/>
          <w:i w:val="0"/>
        </w:rPr>
        <w:t xml:space="preserve"> (and Section 13.4(d) defers to Schedule B). The Credit Summary cites $10.1M. Several Technical Summary data points diverge from Schedule A. Details are in Section 6.</w:t>
      </w:r>
    </w:p>
    <w:p>
      <w:pPr>
        <w:spacing w:after="80"/>
      </w:pPr>
      <w:r>
        <w:rPr>
          <w:b/>
          <w:i w:val="0"/>
        </w:rPr>
        <w:t>Overall view:</w:t>
      </w:r>
      <w:r>
        <w:rPr>
          <w:b w:val="0"/>
          <w:i w:val="0"/>
        </w:rPr>
        <w:t xml:space="preserve"> The PPA supports an investment-grade contracted revenue profile. We recommend that the IC approve proceeding </w:t>
      </w:r>
      <w:r>
        <w:rPr>
          <w:b/>
          <w:i w:val="0"/>
        </w:rPr>
        <w:t>subject to</w:t>
      </w:r>
      <w:r>
        <w:rPr>
          <w:b w:val="0"/>
          <w:i w:val="0"/>
        </w:rPr>
        <w:t xml:space="preserve"> (i) BVMPA Change of Control consent and estoppel as a condition precedent, (ii) resolution of the Section 9.4(b) IRA reopener exposure (BVMPA waiver/estoppel, or specific indemnity/escrow or price adjustment), (iii) the financial model reflecting the curtailment, congestion, BESS augmentation, flat capacity payment and Section 16.5 termination downside cases, and (iv) the confirmatory diligence items in Section 8.</w:t>
      </w:r>
    </w:p>
    <w:p>
      <w:pPr>
        <w:pStyle w:val="Heading1"/>
      </w:pPr>
      <w:r>
        <w:t>2. Key Issues Dashboard (Ranked)</w:t>
      </w:r>
    </w:p>
    <w:p>
      <w:pPr>
        <w:spacing w:after="80"/>
      </w:pPr>
      <w:r>
        <w:rPr>
          <w:b w:val="0"/>
          <w:i/>
          <w:sz w:val="18"/>
        </w:rPr>
        <w:t>Severity reflects our view of value or transaction risk to Alder Creek as acquirer of 100% of Seller. "Market" assessments are qualitative and based on our general experience with utility-scale ERCOT solar and solar-plus-storage offtake agreements; they are not benchmarked against a proprietary dataset.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360"/>
            <w:shd w:val="clear" w:color="auto" w:fill="1F3A5F"/>
          </w:tcPr>
          <w:p>
            <w:r/>
            <w:r>
              <w:rPr>
                <w:b/>
                <w:color w:val="FFFFFF"/>
                <w:sz w:val="16"/>
              </w:rPr>
              <w:t>#</w:t>
            </w:r>
          </w:p>
        </w:tc>
        <w:tc>
          <w:tcPr>
            <w:tcW w:type="dxa" w:w="1872"/>
            <w:shd w:val="clear" w:color="auto" w:fill="1F3A5F"/>
          </w:tcPr>
          <w:p>
            <w:r/>
            <w:r>
              <w:rPr>
                <w:b/>
                <w:color w:val="FFFFFF"/>
                <w:sz w:val="16"/>
              </w:rPr>
              <w:t>Issue</w:t>
            </w:r>
          </w:p>
        </w:tc>
        <w:tc>
          <w:tcPr>
            <w:tcW w:type="dxa" w:w="1296"/>
            <w:shd w:val="clear" w:color="auto" w:fill="1F3A5F"/>
          </w:tcPr>
          <w:p>
            <w:r/>
            <w:r>
              <w:rPr>
                <w:b/>
                <w:color w:val="FFFFFF"/>
                <w:sz w:val="16"/>
              </w:rPr>
              <w:t>PPA Ref.</w:t>
            </w:r>
          </w:p>
        </w:tc>
        <w:tc>
          <w:tcPr>
            <w:tcW w:type="dxa" w:w="864"/>
            <w:shd w:val="clear" w:color="auto" w:fill="1F3A5F"/>
          </w:tcPr>
          <w:p>
            <w:r/>
            <w:r>
              <w:rPr>
                <w:b/>
                <w:color w:val="FFFFFF"/>
                <w:sz w:val="16"/>
              </w:rPr>
              <w:t>Severity</w:t>
            </w:r>
          </w:p>
        </w:tc>
        <w:tc>
          <w:tcPr>
            <w:tcW w:type="dxa" w:w="3168"/>
            <w:shd w:val="clear" w:color="auto" w:fill="1F3A5F"/>
          </w:tcPr>
          <w:p>
            <w:r/>
            <w:r>
              <w:rPr>
                <w:b/>
                <w:color w:val="FFFFFF"/>
                <w:sz w:val="16"/>
              </w:rPr>
              <w:t>Why It Matters</w:t>
            </w:r>
          </w:p>
        </w:tc>
        <w:tc>
          <w:tcPr>
            <w:tcW w:type="dxa" w:w="2520"/>
            <w:shd w:val="clear" w:color="auto" w:fill="1F3A5F"/>
          </w:tcPr>
          <w:p>
            <w:r/>
            <w:r>
              <w:rPr>
                <w:b/>
                <w:color w:val="FFFFFF"/>
                <w:sz w:val="16"/>
              </w:rPr>
              <w:t>Recommended Action</w:t>
            </w:r>
          </w:p>
        </w:tc>
      </w:tr>
      <w:tr>
        <w:tc>
          <w:tcPr>
            <w:tcW w:type="dxa" w:w="360"/>
          </w:tcPr>
          <w:p>
            <w:pPr>
              <w:spacing w:after="20"/>
            </w:pPr>
            <w:r/>
            <w:r>
              <w:rPr>
                <w:b w:val="0"/>
                <w:i w:val="0"/>
                <w:sz w:val="16"/>
              </w:rPr>
              <w:t>1</w:t>
            </w:r>
          </w:p>
        </w:tc>
        <w:tc>
          <w:tcPr>
            <w:tcW w:type="dxa" w:w="1872"/>
          </w:tcPr>
          <w:p>
            <w:pPr>
              <w:spacing w:after="20"/>
            </w:pPr>
            <w:r/>
            <w:r>
              <w:rPr>
                <w:b w:val="0"/>
                <w:i w:val="0"/>
                <w:sz w:val="16"/>
              </w:rPr>
              <w:t>Change of Control requires BVMPA consent; BBB- credit test; 45 BD deemed consent</w:t>
            </w:r>
          </w:p>
        </w:tc>
        <w:tc>
          <w:tcPr>
            <w:tcW w:type="dxa" w:w="1296"/>
          </w:tcPr>
          <w:p>
            <w:pPr>
              <w:spacing w:after="20"/>
            </w:pPr>
            <w:r/>
            <w:r>
              <w:rPr>
                <w:b w:val="0"/>
                <w:i w:val="0"/>
                <w:sz w:val="16"/>
              </w:rPr>
              <w:t>1.1 (Change of Control); 14.1; 14.2(b)–(d); 15.1(b)</w:t>
            </w:r>
          </w:p>
        </w:tc>
        <w:tc>
          <w:tcPr>
            <w:tcW w:type="dxa" w:w="864"/>
            <w:shd w:val="clear" w:color="auto" w:fill="F4CCCC"/>
          </w:tcPr>
          <w:p>
            <w:pPr>
              <w:spacing w:after="20"/>
            </w:pPr>
            <w:r/>
            <w:r>
              <w:rPr>
                <w:b w:val="0"/>
                <w:i w:val="0"/>
                <w:sz w:val="16"/>
              </w:rPr>
              <w:t>High</w:t>
            </w:r>
          </w:p>
        </w:tc>
        <w:tc>
          <w:tcPr>
            <w:tcW w:type="dxa" w:w="3168"/>
          </w:tcPr>
          <w:p>
            <w:pPr>
              <w:spacing w:after="20"/>
            </w:pPr>
            <w:r/>
            <w:r>
              <w:rPr>
                <w:b w:val="0"/>
                <w:i w:val="0"/>
                <w:sz w:val="16"/>
              </w:rPr>
              <w:t>Closing without consent risks a void transfer or material-breach Event of Default (60/120-day cure) and termination. Alder Creek (fund) is likely unrated; an "unrated" acquirer is arguably not "below BBB-", but BVMPA will likely demand a rated guarantor or LC. Timing: a complete package delivered mid-February 2025 implies deemed consent no earlier than about mid-to-late April 2025.</w:t>
            </w:r>
          </w:p>
        </w:tc>
        <w:tc>
          <w:tcPr>
            <w:tcW w:type="dxa" w:w="2520"/>
          </w:tcPr>
          <w:p>
            <w:pPr>
              <w:spacing w:after="20"/>
            </w:pPr>
            <w:r/>
            <w:r>
              <w:rPr>
                <w:b w:val="0"/>
                <w:i w:val="0"/>
                <w:sz w:val="16"/>
              </w:rPr>
              <w:t>Make BVMPA written consent plus estoppel a CP to closing. Submit the 14.2(c) package early. Pre-structure credit support (parent guaranty from a rated entity or an incremental LC). Align the PSA outside date with the 45 BD clock.</w:t>
            </w:r>
          </w:p>
        </w:tc>
      </w:tr>
      <w:tr>
        <w:tc>
          <w:tcPr>
            <w:tcW w:type="dxa" w:w="360"/>
          </w:tcPr>
          <w:p>
            <w:pPr>
              <w:spacing w:after="20"/>
            </w:pPr>
            <w:r/>
            <w:r>
              <w:rPr>
                <w:b w:val="0"/>
                <w:i w:val="0"/>
                <w:sz w:val="16"/>
              </w:rPr>
              <w:t>2</w:t>
            </w:r>
          </w:p>
        </w:tc>
        <w:tc>
          <w:tcPr>
            <w:tcW w:type="dxa" w:w="1872"/>
          </w:tcPr>
          <w:p>
            <w:pPr>
              <w:spacing w:after="20"/>
            </w:pPr>
            <w:r/>
            <w:r>
              <w:rPr>
                <w:b w:val="0"/>
                <w:i w:val="0"/>
                <w:sz w:val="16"/>
              </w:rPr>
              <w:t>IRA-driven Favorable Tax Change reopener available to BVMPA</w:t>
            </w:r>
          </w:p>
        </w:tc>
        <w:tc>
          <w:tcPr>
            <w:tcW w:type="dxa" w:w="1296"/>
          </w:tcPr>
          <w:p>
            <w:pPr>
              <w:spacing w:after="20"/>
            </w:pPr>
            <w:r/>
            <w:r>
              <w:rPr>
                <w:b w:val="0"/>
                <w:i w:val="0"/>
                <w:sz w:val="16"/>
              </w:rPr>
              <w:t>9.4(b)–(e); 1.1 (Change in Law, Effective Date)</w:t>
            </w:r>
          </w:p>
        </w:tc>
        <w:tc>
          <w:tcPr>
            <w:tcW w:type="dxa" w:w="864"/>
            <w:shd w:val="clear" w:color="auto" w:fill="F4CCCC"/>
          </w:tcPr>
          <w:p>
            <w:pPr>
              <w:spacing w:after="20"/>
            </w:pPr>
            <w:r/>
            <w:r>
              <w:rPr>
                <w:b w:val="0"/>
                <w:i w:val="0"/>
                <w:sz w:val="16"/>
              </w:rPr>
              <w:t>High</w:t>
            </w:r>
          </w:p>
        </w:tc>
        <w:tc>
          <w:tcPr>
            <w:tcW w:type="dxa" w:w="3168"/>
          </w:tcPr>
          <w:p>
            <w:pPr>
              <w:spacing w:after="20"/>
            </w:pPr>
            <w:r/>
            <w:r>
              <w:rPr>
                <w:b w:val="0"/>
                <w:i w:val="0"/>
                <w:sz w:val="16"/>
              </w:rPr>
              <w:t>Measured "after the Effective Date" (Sept. 1, 2021). The IRA (Aug. 16, 2022) increased ITC/PTC value and created standalone storage ITC. The $5M NPV materiality threshold is very likely exceeded on a facility of this size. A successful reopener reduces the Contract Price for the remaining term via negotiation then binding arbitration. There is no exercise deadline. The A&amp;R recitals do not record that IRA benefits were priced in.</w:t>
            </w:r>
          </w:p>
        </w:tc>
        <w:tc>
          <w:tcPr>
            <w:tcW w:type="dxa" w:w="2520"/>
          </w:tcPr>
          <w:p>
            <w:pPr>
              <w:spacing w:after="20"/>
            </w:pPr>
            <w:r/>
            <w:r>
              <w:rPr>
                <w:b w:val="0"/>
                <w:i w:val="0"/>
                <w:sz w:val="16"/>
              </w:rPr>
              <w:t>Obtain BVMPA estoppel/waiver that no Favorable Tax Change claim exists for the IRA. Alternatively obtain a Meridian special indemnity (survival to term), escrow or purchase price adjustment. Obtain the Original Agreement and the A&amp;R negotiation history (Thomas Berwick) and the tax credit election/placed-in-service records.</w:t>
            </w:r>
          </w:p>
        </w:tc>
      </w:tr>
      <w:tr>
        <w:tc>
          <w:tcPr>
            <w:tcW w:type="dxa" w:w="360"/>
          </w:tcPr>
          <w:p>
            <w:pPr>
              <w:spacing w:after="20"/>
            </w:pPr>
            <w:r/>
            <w:r>
              <w:rPr>
                <w:b w:val="0"/>
                <w:i w:val="0"/>
                <w:sz w:val="16"/>
              </w:rPr>
              <w:t>3</w:t>
            </w:r>
          </w:p>
        </w:tc>
        <w:tc>
          <w:tcPr>
            <w:tcW w:type="dxa" w:w="1872"/>
          </w:tcPr>
          <w:p>
            <w:pPr>
              <w:spacing w:after="20"/>
            </w:pPr>
            <w:r/>
            <w:r>
              <w:rPr>
                <w:b w:val="0"/>
                <w:i w:val="0"/>
                <w:sz w:val="16"/>
              </w:rPr>
              <w:t>Buyer Regulatory Termination Right; Termination Payment capped at $30M</w:t>
            </w:r>
          </w:p>
        </w:tc>
        <w:tc>
          <w:tcPr>
            <w:tcW w:type="dxa" w:w="1296"/>
          </w:tcPr>
          <w:p>
            <w:pPr>
              <w:spacing w:after="20"/>
            </w:pPr>
            <w:r/>
            <w:r>
              <w:rPr>
                <w:b w:val="0"/>
                <w:i w:val="0"/>
                <w:sz w:val="16"/>
              </w:rPr>
              <w:t>16.5; 1.1 (All-In Cost; ERCOT Wholesale Market Price)</w:t>
            </w:r>
          </w:p>
        </w:tc>
        <w:tc>
          <w:tcPr>
            <w:tcW w:type="dxa" w:w="864"/>
            <w:shd w:val="clear" w:color="auto" w:fill="F4CCCC"/>
          </w:tcPr>
          <w:p>
            <w:pPr>
              <w:spacing w:after="20"/>
            </w:pPr>
            <w:r/>
            <w:r>
              <w:rPr>
                <w:b w:val="0"/>
                <w:i w:val="0"/>
                <w:sz w:val="16"/>
              </w:rPr>
              <w:t>High</w:t>
            </w:r>
          </w:p>
        </w:tc>
        <w:tc>
          <w:tcPr>
            <w:tcW w:type="dxa" w:w="3168"/>
          </w:tcPr>
          <w:p>
            <w:pPr>
              <w:spacing w:after="20"/>
            </w:pPr>
            <w:r/>
            <w:r>
              <w:rPr>
                <w:b w:val="0"/>
                <w:i w:val="0"/>
                <w:sz w:val="16"/>
              </w:rPr>
              <w:t>A buyer option to exit on regulatory-driven cost increases. The All-In Cost includes congestion and ERCOT charges. The ERCOT market design is in active flux. The payment is about $30M versus ~$75M (50% NPV) uncapped and ~$200M NPV of total remaining contracted revenue (energy + BESS). The "as a result of" causation standard is untested and susceptible to dispute.</w:t>
            </w:r>
          </w:p>
        </w:tc>
        <w:tc>
          <w:tcPr>
            <w:tcW w:type="dxa" w:w="2520"/>
          </w:tcPr>
          <w:p>
            <w:pPr>
              <w:spacing w:after="20"/>
            </w:pPr>
            <w:r/>
            <w:r>
              <w:rPr>
                <w:b w:val="0"/>
                <w:i w:val="0"/>
                <w:sz w:val="16"/>
              </w:rPr>
              <w:t>Model a termination downside case. Seek BVMPA estoppel that no Regulatory Cost Event is pending. Reflect the risk in price, since R&amp;W insurance is unlikely to cover it. Value the post-termination merchant case.</w:t>
            </w:r>
          </w:p>
        </w:tc>
      </w:tr>
      <w:tr>
        <w:tc>
          <w:tcPr>
            <w:tcW w:type="dxa" w:w="360"/>
          </w:tcPr>
          <w:p>
            <w:pPr>
              <w:spacing w:after="20"/>
            </w:pPr>
            <w:r/>
            <w:r>
              <w:rPr>
                <w:b w:val="0"/>
                <w:i w:val="0"/>
                <w:sz w:val="16"/>
              </w:rPr>
              <w:t>4</w:t>
            </w:r>
          </w:p>
        </w:tc>
        <w:tc>
          <w:tcPr>
            <w:tcW w:type="dxa" w:w="1872"/>
          </w:tcPr>
          <w:p>
            <w:pPr>
              <w:spacing w:after="20"/>
            </w:pPr>
            <w:r/>
            <w:r>
              <w:rPr>
                <w:b w:val="0"/>
                <w:i w:val="0"/>
                <w:sz w:val="16"/>
              </w:rPr>
              <w:t>ERCOT curtailment above 500 hrs/yr at Seller risk and counted against MAD; threshold already exceeded</w:t>
            </w:r>
          </w:p>
        </w:tc>
        <w:tc>
          <w:tcPr>
            <w:tcW w:type="dxa" w:w="1296"/>
          </w:tcPr>
          <w:p>
            <w:pPr>
              <w:spacing w:after="20"/>
            </w:pPr>
            <w:r/>
            <w:r>
              <w:rPr>
                <w:b w:val="0"/>
                <w:i w:val="0"/>
                <w:sz w:val="16"/>
              </w:rPr>
              <w:t>7.2; 17.1(e), (vi); 6.2</w:t>
            </w:r>
          </w:p>
        </w:tc>
        <w:tc>
          <w:tcPr>
            <w:tcW w:type="dxa" w:w="864"/>
            <w:shd w:val="clear" w:color="auto" w:fill="F4CCCC"/>
          </w:tcPr>
          <w:p>
            <w:pPr>
              <w:spacing w:after="20"/>
            </w:pPr>
            <w:r/>
            <w:r>
              <w:rPr>
                <w:b w:val="0"/>
                <w:i w:val="0"/>
                <w:sz w:val="16"/>
              </w:rPr>
              <w:t>High</w:t>
            </w:r>
          </w:p>
        </w:tc>
        <w:tc>
          <w:tcPr>
            <w:tcW w:type="dxa" w:w="3168"/>
          </w:tcPr>
          <w:p>
            <w:pPr>
              <w:spacing w:after="20"/>
            </w:pPr>
            <w:r/>
            <w:r>
              <w:rPr>
                <w:b w:val="0"/>
                <w:i w:val="0"/>
                <w:sz w:val="16"/>
              </w:rPr>
              <w:t>620 hrs in CY1; 410 hrs through 12/31/24 in CY2. The trend is increasing as LZ_WEST solar builds out. All ERCOT-curtailed MWh are unpaid (within or above 500 hrs). Above 500 hrs, curtailed MWh also count as shortfall for MAD/Shortfall LDs. The current MAD cushion is large (CY1 actual 602,300 MWh vs 490,000 MAD), so near-term LD risk is low but revenue erosion is ongoing.</w:t>
            </w:r>
          </w:p>
        </w:tc>
        <w:tc>
          <w:tcPr>
            <w:tcW w:type="dxa" w:w="2520"/>
          </w:tcPr>
          <w:p>
            <w:pPr>
              <w:spacing w:after="20"/>
            </w:pPr>
            <w:r/>
            <w:r>
              <w:rPr>
                <w:b w:val="0"/>
                <w:i w:val="0"/>
                <w:sz w:val="16"/>
              </w:rPr>
              <w:t>Independent engineer curtailment forecast (nodal study at Pecos 345 kV). Model curtailment sensitivities. Reflect CY2 actuals in the purchase price. Diligence ERCOT/TSP planned transmission upgrades.</w:t>
            </w:r>
          </w:p>
        </w:tc>
      </w:tr>
      <w:tr>
        <w:tc>
          <w:tcPr>
            <w:tcW w:type="dxa" w:w="360"/>
          </w:tcPr>
          <w:p>
            <w:pPr>
              <w:spacing w:after="20"/>
            </w:pPr>
            <w:r/>
            <w:r>
              <w:rPr>
                <w:b w:val="0"/>
                <w:i w:val="0"/>
                <w:sz w:val="16"/>
              </w:rPr>
              <w:t>5</w:t>
            </w:r>
          </w:p>
        </w:tc>
        <w:tc>
          <w:tcPr>
            <w:tcW w:type="dxa" w:w="1872"/>
          </w:tcPr>
          <w:p>
            <w:pPr>
              <w:spacing w:after="20"/>
            </w:pPr>
            <w:r/>
            <w:r>
              <w:rPr>
                <w:b w:val="0"/>
                <w:i w:val="0"/>
                <w:sz w:val="16"/>
              </w:rPr>
              <w:t>Seller share of LZ_WEST–LZ_SOUTH congestion</w:t>
            </w:r>
          </w:p>
        </w:tc>
        <w:tc>
          <w:tcPr>
            <w:tcW w:type="dxa" w:w="1296"/>
          </w:tcPr>
          <w:p>
            <w:pPr>
              <w:spacing w:after="20"/>
            </w:pPr>
            <w:r/>
            <w:r>
              <w:rPr>
                <w:b w:val="0"/>
                <w:i w:val="0"/>
                <w:sz w:val="16"/>
              </w:rPr>
              <w:t>8.5; 5.2</w:t>
            </w:r>
          </w:p>
        </w:tc>
        <w:tc>
          <w:tcPr>
            <w:tcW w:type="dxa" w:w="864"/>
            <w:shd w:val="clear" w:color="auto" w:fill="FCE5CD"/>
          </w:tcPr>
          <w:p>
            <w:pPr>
              <w:spacing w:after="20"/>
            </w:pPr>
            <w:r/>
            <w:r>
              <w:rPr>
                <w:b w:val="0"/>
                <w:i w:val="0"/>
                <w:sz w:val="16"/>
              </w:rPr>
              <w:t>Med</w:t>
            </w:r>
          </w:p>
        </w:tc>
        <w:tc>
          <w:tcPr>
            <w:tcW w:type="dxa" w:w="3168"/>
          </w:tcPr>
          <w:p>
            <w:pPr>
              <w:spacing w:after="20"/>
            </w:pPr>
            <w:r/>
            <w:r>
              <w:rPr>
                <w:b w:val="0"/>
                <w:i w:val="0"/>
                <w:sz w:val="16"/>
              </w:rPr>
              <w:t>50% above $8.00/MWh average, capped at $2.5M per Contract Year (max ~$45M nominal over CY3–20). Historical West–South basis volatility makes this a live exposure, and congestion also feeds Buyer’s All-In Cost test under 16.5.</w:t>
            </w:r>
          </w:p>
        </w:tc>
        <w:tc>
          <w:tcPr>
            <w:tcW w:type="dxa" w:w="2520"/>
          </w:tcPr>
          <w:p>
            <w:pPr>
              <w:spacing w:after="20"/>
            </w:pPr>
            <w:r/>
            <w:r>
              <w:rPr>
                <w:b w:val="0"/>
                <w:i w:val="0"/>
                <w:sz w:val="16"/>
              </w:rPr>
              <w:t>Obtain historical LZ_WEST–LZ_SOUTH basis data and any amounts reimbursed/invoiced in CY1–CY2. Model the cap as a downside case.</w:t>
            </w:r>
          </w:p>
        </w:tc>
      </w:tr>
      <w:tr>
        <w:tc>
          <w:tcPr>
            <w:tcW w:type="dxa" w:w="360"/>
          </w:tcPr>
          <w:p>
            <w:pPr>
              <w:spacing w:after="20"/>
            </w:pPr>
            <w:r/>
            <w:r>
              <w:rPr>
                <w:b w:val="0"/>
                <w:i w:val="0"/>
                <w:sz w:val="16"/>
              </w:rPr>
              <w:t>6</w:t>
            </w:r>
          </w:p>
        </w:tc>
        <w:tc>
          <w:tcPr>
            <w:tcW w:type="dxa" w:w="1872"/>
          </w:tcPr>
          <w:p>
            <w:pPr>
              <w:spacing w:after="20"/>
            </w:pPr>
            <w:r/>
            <w:r>
              <w:rPr>
                <w:b w:val="0"/>
                <w:i w:val="0"/>
                <w:sz w:val="16"/>
              </w:rPr>
              <w:t>BESS: flat $5.75/kW-mo for 20 years; 270 MWh capacity maintenance for 15 years; charging cost on Seller</w:t>
            </w:r>
          </w:p>
        </w:tc>
        <w:tc>
          <w:tcPr>
            <w:tcW w:type="dxa" w:w="1296"/>
          </w:tcPr>
          <w:p>
            <w:pPr>
              <w:spacing w:after="20"/>
            </w:pPr>
            <w:r/>
            <w:r>
              <w:rPr>
                <w:b w:val="0"/>
                <w:i w:val="0"/>
                <w:sz w:val="16"/>
              </w:rPr>
              <w:t>8.2; 7.3(e); Schedule A §5</w:t>
            </w:r>
          </w:p>
        </w:tc>
        <w:tc>
          <w:tcPr>
            <w:tcW w:type="dxa" w:w="864"/>
            <w:shd w:val="clear" w:color="auto" w:fill="FCE5CD"/>
          </w:tcPr>
          <w:p>
            <w:pPr>
              <w:spacing w:after="20"/>
            </w:pPr>
            <w:r/>
            <w:r>
              <w:rPr>
                <w:b w:val="0"/>
                <w:i w:val="0"/>
                <w:sz w:val="16"/>
              </w:rPr>
              <w:t>Med</w:t>
            </w:r>
          </w:p>
        </w:tc>
        <w:tc>
          <w:tcPr>
            <w:tcW w:type="dxa" w:w="3168"/>
          </w:tcPr>
          <w:p>
            <w:pPr>
              <w:spacing w:after="20"/>
            </w:pPr>
            <w:r/>
            <w:r>
              <w:rPr>
                <w:b w:val="0"/>
                <w:i w:val="0"/>
                <w:sz w:val="16"/>
              </w:rPr>
              <w:t>No escalation (real erosion). Augmentation capex is required to keep 90% usable capacity through Year 15 (supplier warranty: 70% at Year 20). Seller supplies charging energy (solar or grid) and absorbs ~13% round-trip losses; Discharged Energy is paid only at the $24.50 Contract Price.</w:t>
            </w:r>
          </w:p>
        </w:tc>
        <w:tc>
          <w:tcPr>
            <w:tcW w:type="dxa" w:w="2520"/>
          </w:tcPr>
          <w:p>
            <w:pPr>
              <w:spacing w:after="20"/>
            </w:pPr>
            <w:r/>
            <w:r>
              <w:rPr>
                <w:b w:val="0"/>
                <w:i w:val="0"/>
                <w:sz w:val="16"/>
              </w:rPr>
              <w:t>IE review of augmentation plan/capex reserve and BESS warranty/LTSA. Confirm the model includes augmentation, charging costs and RTE losses.</w:t>
            </w:r>
          </w:p>
        </w:tc>
      </w:tr>
      <w:tr>
        <w:tc>
          <w:tcPr>
            <w:tcW w:type="dxa" w:w="360"/>
          </w:tcPr>
          <w:p>
            <w:pPr>
              <w:spacing w:after="20"/>
            </w:pPr>
            <w:r/>
            <w:r>
              <w:rPr>
                <w:b w:val="0"/>
                <w:i w:val="0"/>
                <w:sz w:val="16"/>
              </w:rPr>
              <w:t>7</w:t>
            </w:r>
          </w:p>
        </w:tc>
        <w:tc>
          <w:tcPr>
            <w:tcW w:type="dxa" w:w="1872"/>
          </w:tcPr>
          <w:p>
            <w:pPr>
              <w:spacing w:after="20"/>
            </w:pPr>
            <w:r/>
            <w:r>
              <w:rPr>
                <w:b w:val="0"/>
                <w:i w:val="0"/>
                <w:sz w:val="16"/>
              </w:rPr>
              <w:t>No mark-to-market termination payment on Buyer default; $50M liability cap; no lender step-in rights</w:t>
            </w:r>
          </w:p>
        </w:tc>
        <w:tc>
          <w:tcPr>
            <w:tcW w:type="dxa" w:w="1296"/>
          </w:tcPr>
          <w:p>
            <w:pPr>
              <w:spacing w:after="20"/>
            </w:pPr>
            <w:r/>
            <w:r>
              <w:rPr>
                <w:b w:val="0"/>
                <w:i w:val="0"/>
                <w:sz w:val="16"/>
              </w:rPr>
              <w:t>15.4; 15.5; 14.3; 23.5</w:t>
            </w:r>
          </w:p>
        </w:tc>
        <w:tc>
          <w:tcPr>
            <w:tcW w:type="dxa" w:w="864"/>
            <w:shd w:val="clear" w:color="auto" w:fill="FCE5CD"/>
          </w:tcPr>
          <w:p>
            <w:pPr>
              <w:spacing w:after="20"/>
            </w:pPr>
            <w:r/>
            <w:r>
              <w:rPr>
                <w:b w:val="0"/>
                <w:i w:val="0"/>
                <w:sz w:val="16"/>
              </w:rPr>
              <w:t>Med</w:t>
            </w:r>
          </w:p>
        </w:tc>
        <w:tc>
          <w:tcPr>
            <w:tcW w:type="dxa" w:w="3168"/>
          </w:tcPr>
          <w:p>
            <w:pPr>
              <w:spacing w:after="20"/>
            </w:pPr>
            <w:r/>
            <w:r>
              <w:rPr>
                <w:b w:val="0"/>
                <w:i w:val="0"/>
                <w:sz w:val="16"/>
              </w:rPr>
              <w:t>Seller’s damages for a Buyer default/repudiation are effectively capped at ~$50M. There is no lender cure/step-in, which may impair back-leverage or refinancing; a consent agreement is only to be negotiated "in good faith".</w:t>
            </w:r>
          </w:p>
        </w:tc>
        <w:tc>
          <w:tcPr>
            <w:tcW w:type="dxa" w:w="2520"/>
          </w:tcPr>
          <w:p>
            <w:pPr>
              <w:spacing w:after="20"/>
            </w:pPr>
            <w:r/>
            <w:r>
              <w:rPr>
                <w:b w:val="0"/>
                <w:i w:val="0"/>
                <w:sz w:val="16"/>
              </w:rPr>
              <w:t>Negotiate a BVMPA lender consent agreement concurrently with the CoC consent if acquisition financing is contemplated. Reflect the cap in the credit/downside analysis.</w:t>
            </w:r>
          </w:p>
        </w:tc>
      </w:tr>
      <w:tr>
        <w:tc>
          <w:tcPr>
            <w:tcW w:type="dxa" w:w="360"/>
          </w:tcPr>
          <w:p>
            <w:pPr>
              <w:spacing w:after="20"/>
            </w:pPr>
            <w:r/>
            <w:r>
              <w:rPr>
                <w:b w:val="0"/>
                <w:i w:val="0"/>
                <w:sz w:val="16"/>
              </w:rPr>
              <w:t>8</w:t>
            </w:r>
          </w:p>
        </w:tc>
        <w:tc>
          <w:tcPr>
            <w:tcW w:type="dxa" w:w="1872"/>
          </w:tcPr>
          <w:p>
            <w:pPr>
              <w:spacing w:after="20"/>
            </w:pPr>
            <w:r/>
            <w:r>
              <w:rPr>
                <w:b w:val="0"/>
                <w:i w:val="0"/>
                <w:sz w:val="16"/>
              </w:rPr>
              <w:t>Buyer economic curtailment — 5% free allowance; ambiguity whether Buyer-curtailed MWh count toward MAD</w:t>
            </w:r>
          </w:p>
        </w:tc>
        <w:tc>
          <w:tcPr>
            <w:tcW w:type="dxa" w:w="1296"/>
          </w:tcPr>
          <w:p>
            <w:pPr>
              <w:spacing w:after="20"/>
            </w:pPr>
            <w:r/>
            <w:r>
              <w:rPr>
                <w:b w:val="0"/>
                <w:i w:val="0"/>
                <w:sz w:val="16"/>
              </w:rPr>
              <w:t>7.1; 6.2; 6.4; 1.1 (Curtailed Energy)</w:t>
            </w:r>
          </w:p>
        </w:tc>
        <w:tc>
          <w:tcPr>
            <w:tcW w:type="dxa" w:w="864"/>
            <w:shd w:val="clear" w:color="auto" w:fill="FCE5CD"/>
          </w:tcPr>
          <w:p>
            <w:pPr>
              <w:spacing w:after="20"/>
            </w:pPr>
            <w:r/>
            <w:r>
              <w:rPr>
                <w:b w:val="0"/>
                <w:i w:val="0"/>
                <w:sz w:val="16"/>
              </w:rPr>
              <w:t>Med</w:t>
            </w:r>
          </w:p>
        </w:tc>
        <w:tc>
          <w:tcPr>
            <w:tcW w:type="dxa" w:w="3168"/>
          </w:tcPr>
          <w:p>
            <w:pPr>
              <w:spacing w:after="20"/>
            </w:pPr>
            <w:r/>
            <w:r>
              <w:rPr>
                <w:b w:val="0"/>
                <w:i w:val="0"/>
                <w:sz w:val="16"/>
              </w:rPr>
              <w:t>Literal reading of 6.2 excludes all "Curtailed Energy" (including Buyer-instructed) from deliveries without reducing the MAD. Buyer could thereby push Seller toward Shortfall LDs. Market practice deems Buyer-curtailed energy delivered.</w:t>
            </w:r>
          </w:p>
        </w:tc>
        <w:tc>
          <w:tcPr>
            <w:tcW w:type="dxa" w:w="2520"/>
          </w:tcPr>
          <w:p>
            <w:pPr>
              <w:spacing w:after="20"/>
            </w:pPr>
            <w:r/>
            <w:r>
              <w:rPr>
                <w:b w:val="0"/>
                <w:i w:val="0"/>
                <w:sz w:val="16"/>
              </w:rPr>
              <w:t>Seek BVMPA clarification in the estoppel/consent. Confirm historical Buyer curtailment volumes and invoice treatment.</w:t>
            </w:r>
          </w:p>
        </w:tc>
      </w:tr>
      <w:tr>
        <w:tc>
          <w:tcPr>
            <w:tcW w:type="dxa" w:w="360"/>
          </w:tcPr>
          <w:p>
            <w:pPr>
              <w:spacing w:after="20"/>
            </w:pPr>
            <w:r/>
            <w:r>
              <w:rPr>
                <w:b w:val="0"/>
                <w:i w:val="0"/>
                <w:sz w:val="16"/>
              </w:rPr>
              <w:t>9</w:t>
            </w:r>
          </w:p>
        </w:tc>
        <w:tc>
          <w:tcPr>
            <w:tcW w:type="dxa" w:w="1872"/>
          </w:tcPr>
          <w:p>
            <w:pPr>
              <w:spacing w:after="20"/>
            </w:pPr>
            <w:r/>
            <w:r>
              <w:rPr>
                <w:b w:val="0"/>
                <w:i w:val="0"/>
                <w:sz w:val="16"/>
              </w:rPr>
              <w:t>Buyer Downgrade LC amount conflict ($9.5M Schedule B vs $10.09M formula)</w:t>
            </w:r>
          </w:p>
        </w:tc>
        <w:tc>
          <w:tcPr>
            <w:tcW w:type="dxa" w:w="1296"/>
          </w:tcPr>
          <w:p>
            <w:pPr>
              <w:spacing w:after="20"/>
            </w:pPr>
            <w:r/>
            <w:r>
              <w:rPr>
                <w:b w:val="0"/>
                <w:i w:val="0"/>
                <w:sz w:val="16"/>
              </w:rPr>
              <w:t>13.4(b), (d); Schedule B §II</w:t>
            </w:r>
          </w:p>
        </w:tc>
        <w:tc>
          <w:tcPr>
            <w:tcW w:type="dxa" w:w="864"/>
            <w:shd w:val="clear" w:color="auto" w:fill="D9EAD3"/>
          </w:tcPr>
          <w:p>
            <w:pPr>
              <w:spacing w:after="20"/>
            </w:pPr>
            <w:r/>
            <w:r>
              <w:rPr>
                <w:b w:val="0"/>
                <w:i w:val="0"/>
                <w:sz w:val="16"/>
              </w:rPr>
              <w:t>Low–Med</w:t>
            </w:r>
          </w:p>
        </w:tc>
        <w:tc>
          <w:tcPr>
            <w:tcW w:type="dxa" w:w="3168"/>
          </w:tcPr>
          <w:p>
            <w:pPr>
              <w:spacing w:after="20"/>
            </w:pPr>
            <w:r/>
            <w:r>
              <w:rPr>
                <w:b w:val="0"/>
                <w:i w:val="0"/>
                <w:sz w:val="16"/>
              </w:rPr>
              <w:t>13.4(d) defers to Schedule B ($9.5M, fixed), roughly $0.59M less than the formula and not adjusted as prices escalate. The Credit Summary cites $10.1M. The trigger (below Baa2/BBB) is above the Investment Grade floor (Baa3), which is helpful.</w:t>
            </w:r>
          </w:p>
        </w:tc>
        <w:tc>
          <w:tcPr>
            <w:tcW w:type="dxa" w:w="2520"/>
          </w:tcPr>
          <w:p>
            <w:pPr>
              <w:spacing w:after="20"/>
            </w:pPr>
            <w:r/>
            <w:r>
              <w:rPr>
                <w:b w:val="0"/>
                <w:i w:val="0"/>
                <w:sz w:val="16"/>
              </w:rPr>
              <w:t>Clarify in estoppel. Note that BVMPA ratings are by Crestline only; confirm ratings from other agencies, if any.</w:t>
            </w:r>
          </w:p>
        </w:tc>
      </w:tr>
      <w:tr>
        <w:tc>
          <w:tcPr>
            <w:tcW w:type="dxa" w:w="360"/>
          </w:tcPr>
          <w:p>
            <w:pPr>
              <w:spacing w:after="20"/>
            </w:pPr>
            <w:r/>
            <w:r>
              <w:rPr>
                <w:b w:val="0"/>
                <w:i w:val="0"/>
                <w:sz w:val="16"/>
              </w:rPr>
              <w:t>10</w:t>
            </w:r>
          </w:p>
        </w:tc>
        <w:tc>
          <w:tcPr>
            <w:tcW w:type="dxa" w:w="1872"/>
          </w:tcPr>
          <w:p>
            <w:pPr>
              <w:spacing w:after="20"/>
            </w:pPr>
            <w:r/>
            <w:r>
              <w:rPr>
                <w:b w:val="0"/>
                <w:i w:val="0"/>
                <w:sz w:val="16"/>
              </w:rPr>
              <w:t>Executed copy, side letters, document inconsistencies</w:t>
            </w:r>
          </w:p>
        </w:tc>
        <w:tc>
          <w:tcPr>
            <w:tcW w:type="dxa" w:w="1296"/>
          </w:tcPr>
          <w:p>
            <w:pPr>
              <w:spacing w:after="20"/>
            </w:pPr>
            <w:r/>
            <w:r>
              <w:rPr>
                <w:b w:val="0"/>
                <w:i w:val="0"/>
                <w:sz w:val="16"/>
              </w:rPr>
              <w:t>Signature page; 23.1; Schedule A</w:t>
            </w:r>
          </w:p>
        </w:tc>
        <w:tc>
          <w:tcPr>
            <w:tcW w:type="dxa" w:w="864"/>
            <w:shd w:val="clear" w:color="auto" w:fill="D9EAD3"/>
          </w:tcPr>
          <w:p>
            <w:pPr>
              <w:spacing w:after="20"/>
            </w:pPr>
            <w:r/>
            <w:r>
              <w:rPr>
                <w:b w:val="0"/>
                <w:i w:val="0"/>
                <w:sz w:val="16"/>
              </w:rPr>
              <w:t>Low–Med</w:t>
            </w:r>
          </w:p>
        </w:tc>
        <w:tc>
          <w:tcPr>
            <w:tcW w:type="dxa" w:w="3168"/>
          </w:tcPr>
          <w:p>
            <w:pPr>
              <w:spacing w:after="20"/>
            </w:pPr>
            <w:r/>
            <w:r>
              <w:rPr>
                <w:b w:val="0"/>
                <w:i w:val="0"/>
                <w:sz w:val="16"/>
              </w:rPr>
              <w:t>The copy has blank signature lines. There are inconsistencies with the Technical Summary (site acreage, inverter configuration, module technology, MAD illustration math) and internal cross-reference issues.</w:t>
            </w:r>
          </w:p>
        </w:tc>
        <w:tc>
          <w:tcPr>
            <w:tcW w:type="dxa" w:w="2520"/>
          </w:tcPr>
          <w:p>
            <w:pPr>
              <w:spacing w:after="20"/>
            </w:pPr>
            <w:r/>
            <w:r>
              <w:rPr>
                <w:b w:val="0"/>
                <w:i w:val="0"/>
                <w:sz w:val="16"/>
              </w:rPr>
              <w:t>Obtain fully executed PPA with signatures, BVMPA board approval, Original Agreement, and a PSA rep of no amendments/side letters/waivers.</w:t>
            </w:r>
          </w:p>
        </w:tc>
      </w:tr>
    </w:tbl>
    <w:p>
      <w:pPr>
        <w:spacing w:after="40"/>
      </w:pPr>
    </w:p>
    <w:p>
      <w:pPr>
        <w:pStyle w:val="Heading1"/>
      </w:pPr>
      <w:r>
        <w:t>3. Structured Term Sheet</w:t>
      </w:r>
    </w:p>
    <w:p>
      <w:pPr>
        <w:spacing w:after="80"/>
      </w:pPr>
      <w:r>
        <w:rPr>
          <w:b w:val="0"/>
          <w:i w:val="0"/>
          <w:sz w:val="18"/>
        </w:rPr>
        <w:t xml:space="preserve">Assessment key: </w:t>
      </w:r>
      <w:r>
        <w:rPr>
          <w:b/>
          <w:i w:val="0"/>
          <w:sz w:val="18"/>
        </w:rPr>
        <w:t>Market</w:t>
      </w:r>
      <w:r>
        <w:rPr>
          <w:b w:val="0"/>
          <w:i w:val="0"/>
          <w:sz w:val="18"/>
        </w:rPr>
        <w:t xml:space="preserve"> = consistent with customary terms. </w:t>
      </w:r>
      <w:r>
        <w:rPr>
          <w:b/>
          <w:i w:val="0"/>
          <w:sz w:val="18"/>
        </w:rPr>
        <w:t>Non-Standard (Adverse)</w:t>
      </w:r>
      <w:r>
        <w:rPr>
          <w:b w:val="0"/>
          <w:i w:val="0"/>
          <w:sz w:val="18"/>
        </w:rPr>
        <w:t xml:space="preserve"> = off-market and adverse to Seller/Alder Creek. </w:t>
      </w:r>
      <w:r>
        <w:rPr>
          <w:b/>
          <w:i w:val="0"/>
          <w:sz w:val="18"/>
        </w:rPr>
        <w:t>Non-Standard (Favorable)</w:t>
      </w:r>
      <w:r>
        <w:rPr>
          <w:b w:val="0"/>
          <w:i w:val="0"/>
          <w:sz w:val="18"/>
        </w:rPr>
        <w:t xml:space="preserve"> = off-market but favorable to Seller/Alder Creek. </w:t>
      </w:r>
      <w:r>
        <w:rPr>
          <w:b/>
          <w:i w:val="0"/>
          <w:sz w:val="18"/>
        </w:rPr>
        <w:t>Mixed</w:t>
      </w:r>
      <w:r>
        <w:rPr>
          <w:b w:val="0"/>
          <w:i w:val="0"/>
          <w:sz w:val="18"/>
        </w:rPr>
        <w:t xml:space="preserve"> = off-market with offsetting effects. </w:t>
      </w:r>
      <w:r>
        <w:rPr>
          <w:b/>
          <w:i w:val="0"/>
          <w:sz w:val="18"/>
        </w:rPr>
        <w:t>Ambiguous</w:t>
      </w:r>
      <w:r>
        <w:rPr>
          <w:b w:val="0"/>
          <w:i w:val="0"/>
          <w:sz w:val="18"/>
        </w:rPr>
        <w:t xml:space="preserve"> = drafting gap or inconsistency requiring clarification.</w:t>
      </w:r>
    </w:p>
    <w:p>
      <w:pPr>
        <w:pStyle w:val="Heading2"/>
      </w:pPr>
      <w:r>
        <w:t>A. Parties, Project and Structure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Seller</w:t>
            </w:r>
          </w:p>
        </w:tc>
        <w:tc>
          <w:tcPr>
            <w:tcW w:type="dxa" w:w="3960"/>
          </w:tcPr>
          <w:p>
            <w:pPr>
              <w:spacing w:after="20"/>
            </w:pPr>
            <w:r/>
            <w:r>
              <w:rPr>
                <w:b w:val="0"/>
                <w:i w:val="0"/>
                <w:sz w:val="16"/>
              </w:rPr>
              <w:t>Lone Star Solar Project LLC (Delaware LLC), wholly owned by Meridian Renewable Holdings LLC ("Seller’s Parent") (Preamble; Recitals; 1.1).</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Target entity. Seller’s Parent is relevant to the Change of Control definition and the dispute-resolution executive (22.1), both of which change on acquisition.</w:t>
            </w:r>
          </w:p>
        </w:tc>
      </w:tr>
      <w:tr>
        <w:tc>
          <w:tcPr>
            <w:tcW w:type="dxa" w:w="1512"/>
          </w:tcPr>
          <w:p>
            <w:pPr>
              <w:spacing w:after="20"/>
            </w:pPr>
            <w:r/>
            <w:r>
              <w:rPr>
                <w:b w:val="0"/>
                <w:i w:val="0"/>
                <w:sz w:val="16"/>
              </w:rPr>
              <w:t>Buyer</w:t>
            </w:r>
          </w:p>
        </w:tc>
        <w:tc>
          <w:tcPr>
            <w:tcW w:type="dxa" w:w="3960"/>
          </w:tcPr>
          <w:p>
            <w:pPr>
              <w:spacing w:after="20"/>
            </w:pPr>
            <w:r/>
            <w:r>
              <w:rPr>
                <w:b w:val="0"/>
                <w:i w:val="0"/>
                <w:sz w:val="16"/>
              </w:rPr>
              <w:t>Brazos Valley Municipal Power Agency, Texas municipal power agency (Tex. Util. Code ch. 163); 14 member cities (Recitals; 11.2).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Public power offtaker. See Section 5 of this memo on credit, immunity and Chapter 9 considerations.</w:t>
            </w:r>
          </w:p>
        </w:tc>
      </w:tr>
      <w:tr>
        <w:tc>
          <w:tcPr>
            <w:tcW w:type="dxa" w:w="1512"/>
          </w:tcPr>
          <w:p>
            <w:pPr>
              <w:spacing w:after="20"/>
            </w:pPr>
            <w:r/>
            <w:r>
              <w:rPr>
                <w:b w:val="0"/>
                <w:i w:val="0"/>
                <w:sz w:val="16"/>
              </w:rPr>
              <w:t>Facility</w:t>
            </w:r>
          </w:p>
        </w:tc>
        <w:tc>
          <w:tcPr>
            <w:tcW w:type="dxa" w:w="3960"/>
          </w:tcPr>
          <w:p>
            <w:pPr>
              <w:spacing w:after="20"/>
            </w:pPr>
            <w:r/>
            <w:r>
              <w:rPr>
                <w:b w:val="0"/>
                <w:i w:val="0"/>
                <w:sz w:val="16"/>
              </w:rPr>
              <w:t>250 MW AC / 325 MW DC single-axis tracking bifacial PV (DC/AC 1.30) + 75 MW / 300 MWh (4-hr) NMC BESS, Pecos County, TX (1.1 "Facility"; 3.1; Schedule A).</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Hybrid solar-plus-storage. Schedule A data points conflict with the Technical Summary (see Section 6).</w:t>
            </w:r>
          </w:p>
        </w:tc>
      </w:tr>
      <w:tr>
        <w:tc>
          <w:tcPr>
            <w:tcW w:type="dxa" w:w="1512"/>
          </w:tcPr>
          <w:p>
            <w:pPr>
              <w:spacing w:after="20"/>
            </w:pPr>
            <w:r/>
            <w:r>
              <w:rPr>
                <w:b w:val="0"/>
                <w:i w:val="0"/>
                <w:sz w:val="16"/>
              </w:rPr>
              <w:t>Interconnection / Delivery Point</w:t>
            </w:r>
          </w:p>
        </w:tc>
        <w:tc>
          <w:tcPr>
            <w:tcW w:type="dxa" w:w="3960"/>
          </w:tcPr>
          <w:p>
            <w:pPr>
              <w:spacing w:after="20"/>
            </w:pPr>
            <w:r/>
            <w:r>
              <w:rPr>
                <w:b w:val="0"/>
                <w:i w:val="0"/>
                <w:sz w:val="16"/>
              </w:rPr>
              <w:t>High-side bus, Pecos 345 kV Substation via ~12-mile 345 kV gen-tie (Seller-owned); ERCOT Settlement Point LZ_WEST (1.1 "Delivery Point"; 3.2; Schedule A §6).</w:t>
            </w:r>
          </w:p>
        </w:tc>
        <w:tc>
          <w:tcPr>
            <w:tcW w:type="dxa" w:w="1440"/>
            <w:shd w:val="clear" w:color="auto" w:fill="FFF2CC"/>
          </w:tcPr>
          <w:p>
            <w:pPr>
              <w:spacing w:after="20"/>
            </w:pPr>
            <w:r/>
            <w:r>
              <w:rPr>
                <w:b w:val="0"/>
                <w:i w:val="0"/>
                <w:sz w:val="16"/>
              </w:rPr>
              <w:t>Ambiguous</w:t>
            </w:r>
          </w:p>
        </w:tc>
        <w:tc>
          <w:tcPr>
            <w:tcW w:type="dxa" w:w="3168"/>
          </w:tcPr>
          <w:p>
            <w:pPr>
              <w:spacing w:after="20"/>
            </w:pPr>
            <w:r/>
            <w:r>
              <w:rPr>
                <w:b w:val="0"/>
                <w:i w:val="0"/>
                <w:sz w:val="16"/>
              </w:rPr>
              <w:t>LZ_WEST is a load zone, not the Facility’s resource node. The PPA does not address node-to-LZ_WEST basis. Confirm ERCOT settlement mechanics and who bears resource-node basis (likely Buyer post-Delivery Point under 5.2, but unclear).</w:t>
            </w:r>
          </w:p>
        </w:tc>
      </w:tr>
      <w:tr>
        <w:tc>
          <w:tcPr>
            <w:tcW w:type="dxa" w:w="1512"/>
          </w:tcPr>
          <w:p>
            <w:pPr>
              <w:spacing w:after="20"/>
            </w:pPr>
            <w:r/>
            <w:r>
              <w:rPr>
                <w:b w:val="0"/>
                <w:i w:val="0"/>
                <w:sz w:val="16"/>
              </w:rPr>
              <w:t>Product / Settlement</w:t>
            </w:r>
          </w:p>
        </w:tc>
        <w:tc>
          <w:tcPr>
            <w:tcW w:type="dxa" w:w="3960"/>
          </w:tcPr>
          <w:p>
            <w:pPr>
              <w:spacing w:after="20"/>
            </w:pPr>
            <w:r/>
            <w:r>
              <w:rPr>
                <w:b w:val="0"/>
                <w:i w:val="0"/>
                <w:sz w:val="16"/>
              </w:rPr>
              <w:t>Bundled Energy (Solar Energy + Discharged Energy) and Environmental Attributes; physical, unit-contingent; no obligation to buy replacement energy (1.1 "Product"; 5.1).</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Unit-contingent structure is favorable to Seller. There is no fixed-shape or firm delivery obligation.</w:t>
            </w:r>
          </w:p>
        </w:tc>
      </w:tr>
      <w:tr>
        <w:tc>
          <w:tcPr>
            <w:tcW w:type="dxa" w:w="1512"/>
          </w:tcPr>
          <w:p>
            <w:pPr>
              <w:spacing w:after="20"/>
            </w:pPr>
            <w:r/>
            <w:r>
              <w:rPr>
                <w:b w:val="0"/>
                <w:i w:val="0"/>
                <w:sz w:val="16"/>
              </w:rPr>
              <w:t>Title / Risk of Loss</w:t>
            </w:r>
          </w:p>
        </w:tc>
        <w:tc>
          <w:tcPr>
            <w:tcW w:type="dxa" w:w="3960"/>
          </w:tcPr>
          <w:p>
            <w:pPr>
              <w:spacing w:after="20"/>
            </w:pPr>
            <w:r/>
            <w:r>
              <w:rPr>
                <w:b w:val="0"/>
                <w:i w:val="0"/>
                <w:sz w:val="16"/>
              </w:rPr>
              <w:t>Passes at Delivery Point. Buyer bears scheduling, transmission and congestion from the Delivery Point to LZ_SOUTH, subject to 8.5 sharing (5.2).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Standard, other than the congestion sharing overlay (see H).</w:t>
            </w:r>
          </w:p>
        </w:tc>
      </w:tr>
      <w:tr>
        <w:tc>
          <w:tcPr>
            <w:tcW w:type="dxa" w:w="1512"/>
          </w:tcPr>
          <w:p>
            <w:pPr>
              <w:spacing w:after="20"/>
            </w:pPr>
            <w:r/>
            <w:r>
              <w:rPr>
                <w:b w:val="0"/>
                <w:i w:val="0"/>
                <w:sz w:val="16"/>
              </w:rPr>
              <w:t>Exclusivity</w:t>
            </w:r>
          </w:p>
        </w:tc>
        <w:tc>
          <w:tcPr>
            <w:tcW w:type="dxa" w:w="3960"/>
          </w:tcPr>
          <w:p>
            <w:pPr>
              <w:spacing w:after="20"/>
            </w:pPr>
            <w:r/>
            <w:r>
              <w:rPr>
                <w:b w:val="0"/>
                <w:i w:val="0"/>
                <w:sz w:val="16"/>
              </w:rPr>
              <w:t>All Energy and Environmental Attributes dedicated to Buyer. Seller may only use the BESS for Ancillary Services in Non-Peak Hours (5.3; 7.3).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No merchant upside during the term (other than the 60% AS share). The Technical Summary confirms no merchant exposure.</w:t>
            </w:r>
          </w:p>
        </w:tc>
      </w:tr>
    </w:tbl>
    <w:p>
      <w:pPr>
        <w:spacing w:after="40"/>
      </w:pPr>
    </w:p>
    <w:p>
      <w:pPr>
        <w:pStyle w:val="Heading2"/>
      </w:pPr>
      <w:r>
        <w:t>B. Term</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Effective / A&amp;R Dates</w:t>
            </w:r>
          </w:p>
        </w:tc>
        <w:tc>
          <w:tcPr>
            <w:tcW w:type="dxa" w:w="3960"/>
          </w:tcPr>
          <w:p>
            <w:pPr>
              <w:spacing w:after="20"/>
            </w:pPr>
            <w:r/>
            <w:r>
              <w:rPr>
                <w:b w:val="0"/>
                <w:i w:val="0"/>
                <w:sz w:val="16"/>
              </w:rPr>
              <w:t>Original Agreement effective Sept. 1, 2021; amended and restated Jan. 18, 2023; supersedes Original Agreement in its entirety (Preamble; 1.1; 2.1; 23.1).</w:t>
            </w:r>
          </w:p>
        </w:tc>
        <w:tc>
          <w:tcPr>
            <w:tcW w:type="dxa" w:w="1440"/>
            <w:shd w:val="clear" w:color="auto" w:fill="FFF2CC"/>
          </w:tcPr>
          <w:p>
            <w:pPr>
              <w:spacing w:after="20"/>
            </w:pPr>
            <w:r/>
            <w:r>
              <w:rPr>
                <w:b w:val="0"/>
                <w:i w:val="0"/>
                <w:sz w:val="16"/>
              </w:rPr>
              <w:t>Ambiguous</w:t>
            </w:r>
          </w:p>
        </w:tc>
        <w:tc>
          <w:tcPr>
            <w:tcW w:type="dxa" w:w="3168"/>
          </w:tcPr>
          <w:p>
            <w:pPr>
              <w:spacing w:after="20"/>
            </w:pPr>
            <w:r/>
            <w:r>
              <w:rPr>
                <w:b w:val="0"/>
                <w:i w:val="0"/>
                <w:sz w:val="16"/>
              </w:rPr>
              <w:t>The "Effective Date" (2021) remains the baseline for Change in Law and the Tax Credit Reopener, which pulls the IRA (2022) within scope (see I).</w:t>
            </w:r>
          </w:p>
        </w:tc>
      </w:tr>
      <w:tr>
        <w:tc>
          <w:tcPr>
            <w:tcW w:type="dxa" w:w="1512"/>
          </w:tcPr>
          <w:p>
            <w:pPr>
              <w:spacing w:after="20"/>
            </w:pPr>
            <w:r/>
            <w:r>
              <w:rPr>
                <w:b w:val="0"/>
                <w:i w:val="0"/>
                <w:sz w:val="16"/>
              </w:rPr>
              <w:t>Delivery Term</w:t>
            </w:r>
          </w:p>
        </w:tc>
        <w:tc>
          <w:tcPr>
            <w:tcW w:type="dxa" w:w="3960"/>
          </w:tcPr>
          <w:p>
            <w:pPr>
              <w:spacing w:after="20"/>
            </w:pPr>
            <w:r/>
            <w:r>
              <w:rPr>
                <w:b w:val="0"/>
                <w:i w:val="0"/>
                <w:sz w:val="16"/>
              </w:rPr>
              <w:t>20 years from COD: March 15, 2023 to March 14, 2043. No extension or renewal options; FM does not extend the term (2.1; 17.3).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~18.1 years remaining at February 2025. The Facility has a 35+ year life and the ground lease runs 30 years + 2×10-year options (Schedule A), so there is ~12+ years of post-PPA merchant/recontracting tail.</w:t>
            </w:r>
          </w:p>
        </w:tc>
      </w:tr>
      <w:tr>
        <w:tc>
          <w:tcPr>
            <w:tcW w:type="dxa" w:w="1512"/>
          </w:tcPr>
          <w:p>
            <w:pPr>
              <w:spacing w:after="20"/>
            </w:pPr>
            <w:r/>
            <w:r>
              <w:rPr>
                <w:b w:val="0"/>
                <w:i w:val="0"/>
                <w:sz w:val="16"/>
              </w:rPr>
              <w:t>COD / Guaranteed COD</w:t>
            </w:r>
          </w:p>
        </w:tc>
        <w:tc>
          <w:tcPr>
            <w:tcW w:type="dxa" w:w="3960"/>
          </w:tcPr>
          <w:p>
            <w:pPr>
              <w:spacing w:after="20"/>
            </w:pPr>
            <w:r/>
            <w:r>
              <w:rPr>
                <w:b w:val="0"/>
                <w:i w:val="0"/>
                <w:sz w:val="16"/>
              </w:rPr>
              <w:t>COD achieved March 15, 2023, ahead of the Sept. 30, 2023 Guaranteed COD Date. Delay LDs ($50,000/day, 180 days) and COD termination right are spent (4.1–4.2; 15.1(c); 16.3).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No residual construction-phase exposure. Pre-COD conditions are acknowledged as satisfied (2.1; 4.1).</w:t>
            </w:r>
          </w:p>
        </w:tc>
      </w:tr>
      <w:tr>
        <w:tc>
          <w:tcPr>
            <w:tcW w:type="dxa" w:w="1512"/>
          </w:tcPr>
          <w:p>
            <w:pPr>
              <w:spacing w:after="20"/>
            </w:pPr>
            <w:r/>
            <w:r>
              <w:rPr>
                <w:b w:val="0"/>
                <w:i w:val="0"/>
                <w:sz w:val="16"/>
              </w:rPr>
              <w:t>Survival</w:t>
            </w:r>
          </w:p>
        </w:tc>
        <w:tc>
          <w:tcPr>
            <w:tcW w:type="dxa" w:w="3960"/>
          </w:tcPr>
          <w:p>
            <w:pPr>
              <w:spacing w:after="20"/>
            </w:pPr>
            <w:r/>
            <w:r>
              <w:rPr>
                <w:b w:val="0"/>
                <w:i w:val="0"/>
                <w:sz w:val="16"/>
              </w:rPr>
              <w:t>24 months for Art. 19, 20, 22, 6.7, 8.4 (2.2), but 20.1 states confidentiality survives 3 years.</w:t>
            </w:r>
          </w:p>
        </w:tc>
        <w:tc>
          <w:tcPr>
            <w:tcW w:type="dxa" w:w="1440"/>
            <w:shd w:val="clear" w:color="auto" w:fill="FFF2CC"/>
          </w:tcPr>
          <w:p>
            <w:pPr>
              <w:spacing w:after="20"/>
            </w:pPr>
            <w:r/>
            <w:r>
              <w:rPr>
                <w:b w:val="0"/>
                <w:i w:val="0"/>
                <w:sz w:val="16"/>
              </w:rPr>
              <w:t>Ambiguous</w:t>
            </w:r>
          </w:p>
        </w:tc>
        <w:tc>
          <w:tcPr>
            <w:tcW w:type="dxa" w:w="3168"/>
          </w:tcPr>
          <w:p>
            <w:pPr>
              <w:spacing w:after="20"/>
            </w:pPr>
            <w:r/>
            <w:r>
              <w:rPr>
                <w:b w:val="0"/>
                <w:i w:val="0"/>
                <w:sz w:val="16"/>
              </w:rPr>
              <w:t>Minor internal inconsistency (24 months vs 3 years).</w:t>
            </w:r>
          </w:p>
        </w:tc>
      </w:tr>
    </w:tbl>
    <w:p>
      <w:pPr>
        <w:spacing w:after="40"/>
      </w:pPr>
    </w:p>
    <w:p>
      <w:pPr>
        <w:pStyle w:val="Heading2"/>
      </w:pPr>
      <w:r>
        <w:t>C. Pricing and Payment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Energy Contract Price</w:t>
            </w:r>
          </w:p>
        </w:tc>
        <w:tc>
          <w:tcPr>
            <w:tcW w:type="dxa" w:w="3960"/>
          </w:tcPr>
          <w:p>
            <w:pPr>
              <w:spacing w:after="20"/>
            </w:pPr>
            <w:r/>
            <w:r>
              <w:rPr>
                <w:b w:val="0"/>
                <w:i w:val="0"/>
                <w:sz w:val="16"/>
              </w:rPr>
              <w:t>$24.50/MWh fixed for CY1–10 (to March 14, 2033), then escalating 1.75%/yr compounding for CY11–20 ($24.929 in CY11 to $29.142 in CY20). Applies to both Solar Energy and Discharged Energy; RECs included (8.1; 8.3; 10.1).</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Within the range of ERCOT West bundled solar pricing for contracts of this vintage. The flat 10-year period followed by escalation is a back-ended profile (real price declines through CY10). There is no time-of-delivery or storage-shift premium on Discharged Energy; BESS value is captured only through the capacity payment.</w:t>
            </w:r>
          </w:p>
        </w:tc>
      </w:tr>
      <w:tr>
        <w:tc>
          <w:tcPr>
            <w:tcW w:type="dxa" w:w="1512"/>
          </w:tcPr>
          <w:p>
            <w:pPr>
              <w:spacing w:after="20"/>
            </w:pPr>
            <w:r/>
            <w:r>
              <w:rPr>
                <w:b w:val="0"/>
                <w:i w:val="0"/>
                <w:sz w:val="16"/>
              </w:rPr>
              <w:t>BESS Capacity Payment</w:t>
            </w:r>
          </w:p>
        </w:tc>
        <w:tc>
          <w:tcPr>
            <w:tcW w:type="dxa" w:w="3960"/>
          </w:tcPr>
          <w:p>
            <w:pPr>
              <w:spacing w:after="20"/>
            </w:pPr>
            <w:r/>
            <w:r>
              <w:rPr>
                <w:b w:val="0"/>
                <w:i w:val="0"/>
                <w:sz w:val="16"/>
              </w:rPr>
              <w:t>$5.75/kW-month × 75,000 kW = $431,250/month; $5,175,000/yr. Fixed for the entire Delivery Term; "no escalation, adjustment, index, or other modification of any kind" (8.2(a)–(d)).</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Storage capacity payments typically carry some escalation or are tied to shorter tenors. Flat for 20 years, real value is ~62% of nominal by CY20 at 2.5% inflation, while O&amp;M and augmentation costs escalate. 8.2(d) records it as a negotiated, material term, so it is unlikely to be reopened.</w:t>
            </w:r>
          </w:p>
        </w:tc>
      </w:tr>
      <w:tr>
        <w:tc>
          <w:tcPr>
            <w:tcW w:type="dxa" w:w="1512"/>
          </w:tcPr>
          <w:p>
            <w:pPr>
              <w:spacing w:after="20"/>
            </w:pPr>
            <w:r/>
            <w:r>
              <w:rPr>
                <w:b w:val="0"/>
                <w:i w:val="0"/>
                <w:sz w:val="16"/>
              </w:rPr>
              <w:t>BESS Availability</w:t>
            </w:r>
          </w:p>
        </w:tc>
        <w:tc>
          <w:tcPr>
            <w:tcW w:type="dxa" w:w="3960"/>
          </w:tcPr>
          <w:p>
            <w:pPr>
              <w:spacing w:after="20"/>
            </w:pPr>
            <w:r/>
            <w:r>
              <w:rPr>
                <w:b w:val="0"/>
                <w:i w:val="0"/>
                <w:sz w:val="16"/>
              </w:rPr>
              <w:t>Capacity Payment is payable regardless of dispatch if Availability ≥ 90% (rolling 30-day). Below 90%, the monthly payment is prorated (Availability/90). Availability means capability at 75 MW (1.1; 8.2(e)).</w:t>
            </w:r>
          </w:p>
        </w:tc>
        <w:tc>
          <w:tcPr>
            <w:tcW w:type="dxa" w:w="1440"/>
            <w:shd w:val="clear" w:color="auto" w:fill="CFE2F3"/>
          </w:tcPr>
          <w:p>
            <w:pPr>
              <w:spacing w:after="20"/>
            </w:pPr>
            <w:r/>
            <w:r>
              <w:rPr>
                <w:b w:val="0"/>
                <w:i w:val="0"/>
                <w:sz w:val="16"/>
              </w:rPr>
              <w:t>Non-Standard (Favorable)</w:t>
            </w:r>
          </w:p>
        </w:tc>
        <w:tc>
          <w:tcPr>
            <w:tcW w:type="dxa" w:w="3168"/>
          </w:tcPr>
          <w:p>
            <w:pPr>
              <w:spacing w:after="20"/>
            </w:pPr>
            <w:r/>
            <w:r>
              <w:rPr>
                <w:b w:val="0"/>
                <w:i w:val="0"/>
                <w:sz w:val="16"/>
              </w:rPr>
              <w:t>A 90% threshold with linear proration is lenient relative to typical storage availability guarantees (often mid-to-high 90s). CY2 actual is 93.2%. Ambiguity: rolling 30-day measurement vs "calendar month" proration.</w:t>
            </w:r>
          </w:p>
        </w:tc>
      </w:tr>
      <w:tr>
        <w:tc>
          <w:tcPr>
            <w:tcW w:type="dxa" w:w="1512"/>
          </w:tcPr>
          <w:p>
            <w:pPr>
              <w:spacing w:after="20"/>
            </w:pPr>
            <w:r/>
            <w:r>
              <w:rPr>
                <w:b w:val="0"/>
                <w:i w:val="0"/>
                <w:sz w:val="16"/>
              </w:rPr>
              <w:t>Invoicing / Payment</w:t>
            </w:r>
          </w:p>
        </w:tc>
        <w:tc>
          <w:tcPr>
            <w:tcW w:type="dxa" w:w="3960"/>
          </w:tcPr>
          <w:p>
            <w:pPr>
              <w:spacing w:after="20"/>
            </w:pPr>
            <w:r/>
            <w:r>
              <w:rPr>
                <w:b w:val="0"/>
                <w:i w:val="0"/>
                <w:sz w:val="16"/>
              </w:rPr>
              <w:t>Monthly invoice within 15 Business Days after month-end; Buyer pays undisputed amounts within 20 Business Days; disputed amounts go to Art. 22; netting of LDs, AS share and congestion credits on the invoice (8.4).</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r>
        <w:tc>
          <w:tcPr>
            <w:tcW w:type="dxa" w:w="1512"/>
          </w:tcPr>
          <w:p>
            <w:pPr>
              <w:spacing w:after="20"/>
            </w:pPr>
            <w:r/>
            <w:r>
              <w:rPr>
                <w:b w:val="0"/>
                <w:i w:val="0"/>
                <w:sz w:val="16"/>
              </w:rPr>
              <w:t>Late Payment Interest</w:t>
            </w:r>
          </w:p>
        </w:tc>
        <w:tc>
          <w:tcPr>
            <w:tcW w:type="dxa" w:w="3960"/>
          </w:tcPr>
          <w:p>
            <w:pPr>
              <w:spacing w:after="20"/>
            </w:pPr>
            <w:r/>
            <w:r>
              <w:rPr>
                <w:b w:val="0"/>
                <w:i w:val="0"/>
                <w:sz w:val="16"/>
              </w:rPr>
              <w:t>Lower of 1.5% per month (18% p.a.) and the maximum lawful rate (8.4(c)).</w:t>
            </w:r>
          </w:p>
        </w:tc>
        <w:tc>
          <w:tcPr>
            <w:tcW w:type="dxa" w:w="1440"/>
            <w:shd w:val="clear" w:color="auto" w:fill="CFE2F3"/>
          </w:tcPr>
          <w:p>
            <w:pPr>
              <w:spacing w:after="20"/>
            </w:pPr>
            <w:r/>
            <w:r>
              <w:rPr>
                <w:b w:val="0"/>
                <w:i w:val="0"/>
                <w:sz w:val="16"/>
              </w:rPr>
              <w:t>Non-Standard (Favorable)</w:t>
            </w:r>
          </w:p>
        </w:tc>
        <w:tc>
          <w:tcPr>
            <w:tcW w:type="dxa" w:w="3168"/>
          </w:tcPr>
          <w:p>
            <w:pPr>
              <w:spacing w:after="20"/>
            </w:pPr>
            <w:r/>
            <w:r>
              <w:rPr>
                <w:b w:val="0"/>
                <w:i w:val="0"/>
                <w:sz w:val="16"/>
              </w:rPr>
              <w:t>Above typical prime-plus formulations; favorable to Seller as payee. Enforceability against a public entity is subject to Texas law limits.</w:t>
            </w:r>
          </w:p>
        </w:tc>
      </w:tr>
      <w:tr>
        <w:tc>
          <w:tcPr>
            <w:tcW w:type="dxa" w:w="1512"/>
          </w:tcPr>
          <w:p>
            <w:pPr>
              <w:spacing w:after="20"/>
            </w:pPr>
            <w:r/>
            <w:r>
              <w:rPr>
                <w:b w:val="0"/>
                <w:i w:val="0"/>
                <w:sz w:val="16"/>
              </w:rPr>
              <w:t>Metering</w:t>
            </w:r>
          </w:p>
        </w:tc>
        <w:tc>
          <w:tcPr>
            <w:tcW w:type="dxa" w:w="3960"/>
          </w:tcPr>
          <w:p>
            <w:pPr>
              <w:spacing w:after="20"/>
            </w:pPr>
            <w:r/>
            <w:r>
              <w:rPr>
                <w:b w:val="0"/>
                <w:i w:val="0"/>
                <w:sz w:val="16"/>
              </w:rPr>
              <w:t>Seller-owned revenue-grade meters; Buyer check meters; annual testing; ±0.5% tolerance; correction look-back of the lesser of the error period or 12 months (6.5).</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bl>
    <w:p>
      <w:pPr>
        <w:spacing w:after="40"/>
      </w:pPr>
    </w:p>
    <w:p>
      <w:pPr>
        <w:pStyle w:val="Heading2"/>
      </w:pPr>
      <w:r>
        <w:t>D. Delivery Obligations and Performance Guarantees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Expected Annual Generation</w:t>
            </w:r>
          </w:p>
        </w:tc>
        <w:tc>
          <w:tcPr>
            <w:tcW w:type="dxa" w:w="3960"/>
          </w:tcPr>
          <w:p>
            <w:pPr>
              <w:spacing w:after="20"/>
            </w:pPr>
            <w:r/>
            <w:r>
              <w:rPr>
                <w:b w:val="0"/>
                <w:i w:val="0"/>
                <w:sz w:val="16"/>
              </w:rPr>
              <w:t>612,500 MWh (P50; 27.95% capacity factor), degraded 0.50%/yr from CY2. Planning estimate, not a guarantee (1.1; 6.1; 6.8).</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Drives the MAD, Free Curtailment Allowance, 115% excess cap, Buyer Downgrade LC formula, BI insurance and the 16.5 Termination Payment.</w:t>
            </w:r>
          </w:p>
        </w:tc>
      </w:tr>
      <w:tr>
        <w:tc>
          <w:tcPr>
            <w:tcW w:type="dxa" w:w="1512"/>
          </w:tcPr>
          <w:p>
            <w:pPr>
              <w:spacing w:after="20"/>
            </w:pPr>
            <w:r/>
            <w:r>
              <w:rPr>
                <w:b w:val="0"/>
                <w:i w:val="0"/>
                <w:sz w:val="16"/>
              </w:rPr>
              <w:t>Minimum Annual Delivery (MAD)</w:t>
            </w:r>
          </w:p>
        </w:tc>
        <w:tc>
          <w:tcPr>
            <w:tcW w:type="dxa" w:w="3960"/>
          </w:tcPr>
          <w:p>
            <w:pPr>
              <w:spacing w:after="20"/>
            </w:pPr>
            <w:r/>
            <w:r>
              <w:rPr>
                <w:b w:val="0"/>
                <w:i w:val="0"/>
                <w:sz w:val="16"/>
              </w:rPr>
              <w:t>80% of degraded Expected Annual Generation: 490,000 MWh in CY1; formula 490,000 × 0.995^(N−1). Measured annually. Counts Solar + Discharged Energy; excludes Curtailed Energy except as provided in 7.2 (6.2).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80% of P50 is within the customary range (sits below the P99 estimate of ~525,000 MWh). Annual (vs. multi-year rolling) measurement is slightly Seller-adverse. Current cushion is large (CY1 actual 602,300 MWh).</w:t>
            </w:r>
          </w:p>
        </w:tc>
      </w:tr>
      <w:tr>
        <w:tc>
          <w:tcPr>
            <w:tcW w:type="dxa" w:w="1512"/>
          </w:tcPr>
          <w:p>
            <w:pPr>
              <w:spacing w:after="20"/>
            </w:pPr>
            <w:r/>
            <w:r>
              <w:rPr>
                <w:b w:val="0"/>
                <w:i w:val="0"/>
                <w:sz w:val="16"/>
              </w:rPr>
              <w:t>Shortfall LDs</w:t>
            </w:r>
          </w:p>
        </w:tc>
        <w:tc>
          <w:tcPr>
            <w:tcW w:type="dxa" w:w="3960"/>
          </w:tcPr>
          <w:p>
            <w:pPr>
              <w:spacing w:after="20"/>
            </w:pPr>
            <w:r/>
            <w:r>
              <w:rPr>
                <w:b w:val="0"/>
                <w:i w:val="0"/>
                <w:sz w:val="16"/>
              </w:rPr>
              <w:t>110% of the applicable Contract Price × MWh shortfall below MAD (e.g., 20,000 MWh × $26.95 = $539,000). Invoiced within 60 days after CY-end; paid within 30 Business Days. Stated to be a reasonable pre-estimate, not a penalty (6.3).</w:t>
            </w:r>
          </w:p>
        </w:tc>
        <w:tc>
          <w:tcPr>
            <w:tcW w:type="dxa" w:w="1440"/>
            <w:shd w:val="clear" w:color="auto" w:fill="FCE5CD"/>
          </w:tcPr>
          <w:p>
            <w:pPr>
              <w:spacing w:after="20"/>
            </w:pPr>
            <w:r/>
            <w:r>
              <w:rPr>
                <w:b w:val="0"/>
                <w:i w:val="0"/>
                <w:sz w:val="16"/>
              </w:rPr>
              <w:t>Non-Standard (Mixed)</w:t>
            </w:r>
          </w:p>
        </w:tc>
        <w:tc>
          <w:tcPr>
            <w:tcW w:type="dxa" w:w="3168"/>
          </w:tcPr>
          <w:p>
            <w:pPr>
              <w:spacing w:after="20"/>
            </w:pPr>
            <w:r/>
            <w:r>
              <w:rPr>
                <w:b w:val="0"/>
                <w:i w:val="0"/>
                <w:sz w:val="16"/>
              </w:rPr>
              <w:t>Unusual formula. Market practice is usually replacement cost (market price less contract price, floored at zero) or a fixed $/MWh. The fixed 110% premium gives predictable, modest exposure (a 10% MAD shortfall is ~$1.3M). It is not an exclusive remedy on its face.</w:t>
            </w:r>
          </w:p>
        </w:tc>
      </w:tr>
      <w:tr>
        <w:tc>
          <w:tcPr>
            <w:tcW w:type="dxa" w:w="1512"/>
          </w:tcPr>
          <w:p>
            <w:pPr>
              <w:spacing w:after="20"/>
            </w:pPr>
            <w:r/>
            <w:r>
              <w:rPr>
                <w:b w:val="0"/>
                <w:i w:val="0"/>
                <w:sz w:val="16"/>
              </w:rPr>
              <w:t>Excess Generation</w:t>
            </w:r>
          </w:p>
        </w:tc>
        <w:tc>
          <w:tcPr>
            <w:tcW w:type="dxa" w:w="3960"/>
          </w:tcPr>
          <w:p>
            <w:pPr>
              <w:spacing w:after="20"/>
            </w:pPr>
            <w:r/>
            <w:r>
              <w:rPr>
                <w:b w:val="0"/>
                <w:i w:val="0"/>
                <w:sz w:val="16"/>
              </w:rPr>
              <w:t>Buyer must take and pay for energy up to 115% of Expected Annual Generation. Above that, Buyer may curtail without compensation (6.4).</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115% of P50 (~704,000 MWh in CY1) is well above P50; low practical impact.</w:t>
            </w:r>
          </w:p>
        </w:tc>
      </w:tr>
      <w:tr>
        <w:tc>
          <w:tcPr>
            <w:tcW w:type="dxa" w:w="1512"/>
          </w:tcPr>
          <w:p>
            <w:pPr>
              <w:spacing w:after="20"/>
            </w:pPr>
            <w:r/>
            <w:r>
              <w:rPr>
                <w:b w:val="0"/>
                <w:i w:val="0"/>
                <w:sz w:val="16"/>
              </w:rPr>
              <w:t>Degradation Rate</w:t>
            </w:r>
          </w:p>
        </w:tc>
        <w:tc>
          <w:tcPr>
            <w:tcW w:type="dxa" w:w="3960"/>
          </w:tcPr>
          <w:p>
            <w:pPr>
              <w:spacing w:after="20"/>
            </w:pPr>
            <w:r/>
            <w:r>
              <w:rPr>
                <w:b w:val="0"/>
                <w:i w:val="0"/>
                <w:sz w:val="16"/>
              </w:rPr>
              <w:t>Fixed 0.50%/yr compounding from CY2 applied to MAD and Expected Annual Generation. No true-up to actual degradation (1.1; 6.8; Schedule A).</w:t>
            </w:r>
          </w:p>
        </w:tc>
        <w:tc>
          <w:tcPr>
            <w:tcW w:type="dxa" w:w="1440"/>
            <w:shd w:val="clear" w:color="auto" w:fill="CFE2F3"/>
          </w:tcPr>
          <w:p>
            <w:pPr>
              <w:spacing w:after="20"/>
            </w:pPr>
            <w:r/>
            <w:r>
              <w:rPr>
                <w:b w:val="0"/>
                <w:i w:val="0"/>
                <w:sz w:val="16"/>
              </w:rPr>
              <w:t>Non-Standard (Favorable)</w:t>
            </w:r>
          </w:p>
        </w:tc>
        <w:tc>
          <w:tcPr>
            <w:tcW w:type="dxa" w:w="3168"/>
          </w:tcPr>
          <w:p>
            <w:pPr>
              <w:spacing w:after="20"/>
            </w:pPr>
            <w:r/>
            <w:r>
              <w:rPr>
                <w:b w:val="0"/>
                <w:i w:val="0"/>
                <w:sz w:val="16"/>
              </w:rPr>
              <w:t>The Technical Summary indicates actual bifacial mono-Si degradation of ~0.25–0.40%/yr after year 1, so the MAD cushion widens over time (favorable). Modest offset: lower degraded EAG reduces the Free Curtailment Allowance, the 16.5 Termination Payment and BI insurance basis. The PPA’s illustrative MAD figures do not match its own formula (see Section 6).</w:t>
            </w:r>
          </w:p>
        </w:tc>
      </w:tr>
      <w:tr>
        <w:tc>
          <w:tcPr>
            <w:tcW w:type="dxa" w:w="1512"/>
          </w:tcPr>
          <w:p>
            <w:pPr>
              <w:spacing w:after="20"/>
            </w:pPr>
            <w:r/>
            <w:r>
              <w:rPr>
                <w:b w:val="0"/>
                <w:i w:val="0"/>
                <w:sz w:val="16"/>
              </w:rPr>
              <w:t>Seller Curtailment LDs</w:t>
            </w:r>
          </w:p>
        </w:tc>
        <w:tc>
          <w:tcPr>
            <w:tcW w:type="dxa" w:w="3960"/>
          </w:tcPr>
          <w:p>
            <w:pPr>
              <w:spacing w:after="20"/>
            </w:pPr>
            <w:r/>
            <w:r>
              <w:rPr>
                <w:b w:val="0"/>
                <w:i w:val="0"/>
                <w:sz w:val="16"/>
              </w:rPr>
              <w:t>For voluntary Seller curtailment or diversion: LDs of 120% of Contract Price × Deemed Generated Energy, in addition to other remedies including termination (7.4).</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deterrent against diversion. Note "Seller Curtailment" includes maintenance and equipment failure (1.1), but 7.4 is drafted for voluntary curtailment; potential ambiguity as to whether forced outages attract 120% LDs.</w:t>
            </w:r>
          </w:p>
        </w:tc>
      </w:tr>
      <w:tr>
        <w:tc>
          <w:tcPr>
            <w:tcW w:type="dxa" w:w="1512"/>
          </w:tcPr>
          <w:p>
            <w:pPr>
              <w:spacing w:after="20"/>
            </w:pPr>
            <w:r/>
            <w:r>
              <w:rPr>
                <w:b w:val="0"/>
                <w:i w:val="0"/>
                <w:sz w:val="16"/>
              </w:rPr>
              <w:t>Scheduling / Forecasting / Records</w:t>
            </w:r>
          </w:p>
        </w:tc>
        <w:tc>
          <w:tcPr>
            <w:tcW w:type="dxa" w:w="3960"/>
          </w:tcPr>
          <w:p>
            <w:pPr>
              <w:spacing w:after="20"/>
            </w:pPr>
            <w:r/>
            <w:r>
              <w:rPr>
                <w:b w:val="0"/>
                <w:i w:val="0"/>
                <w:sz w:val="16"/>
              </w:rPr>
              <w:t>Seller is the ERCOT Generation Resource; day-ahead forecasts by 06:00 CPT; 5-year record retention; Buyer audit on 30 days’ notice; annual O&amp;M reports within 60 days of CY-end (6.6; 6.7; 12.1(g)).</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bl>
    <w:p>
      <w:pPr>
        <w:spacing w:after="40"/>
      </w:pPr>
    </w:p>
    <w:p>
      <w:pPr>
        <w:pStyle w:val="Heading2"/>
      </w:pPr>
      <w:r>
        <w:t>E. Curtailment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Buyer Economic Curtailment</w:t>
            </w:r>
          </w:p>
        </w:tc>
        <w:tc>
          <w:tcPr>
            <w:tcW w:type="dxa" w:w="3960"/>
          </w:tcPr>
          <w:p>
            <w:pPr>
              <w:spacing w:after="20"/>
            </w:pPr>
            <w:r/>
            <w:r>
              <w:rPr>
                <w:b w:val="0"/>
                <w:i w:val="0"/>
                <w:sz w:val="16"/>
              </w:rPr>
              <w:t>Buyer may curtail at any time for economic reasons (including negative prices). The first 5% of Expected Annual Generation (CY1: 30,625 MWh) is uncompensated ("Free Curtailment Allowance"). Above that, Buyer pays the Contract Price × Deemed Generated Energy (7.1).</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A free allowance is seen in some buyer-friendly PPAs, but 5% of annual P50 uncompensated is at the adverse end. If the Facility claims PTCs, curtailed MWh also lose PTC value (no PTC gross-up). Ambiguity: 6.2 excludes Curtailed Energy from deliveries without a corresponding MAD reduction for Buyer-instructed curtailment.</w:t>
            </w:r>
          </w:p>
        </w:tc>
      </w:tr>
      <w:tr>
        <w:tc>
          <w:tcPr>
            <w:tcW w:type="dxa" w:w="1512"/>
          </w:tcPr>
          <w:p>
            <w:pPr>
              <w:spacing w:after="20"/>
            </w:pPr>
            <w:r/>
            <w:r>
              <w:rPr>
                <w:b w:val="0"/>
                <w:i w:val="0"/>
                <w:sz w:val="16"/>
              </w:rPr>
              <w:t>ERCOT / TSP (System) Curtailment</w:t>
            </w:r>
          </w:p>
        </w:tc>
        <w:tc>
          <w:tcPr>
            <w:tcW w:type="dxa" w:w="3960"/>
          </w:tcPr>
          <w:p>
            <w:pPr>
              <w:spacing w:after="20"/>
            </w:pPr>
            <w:r/>
            <w:r>
              <w:rPr>
                <w:b w:val="0"/>
                <w:i w:val="0"/>
                <w:sz w:val="16"/>
              </w:rPr>
              <w:t>First 500 hours per Contract Year of Curtailment Orders are Force Majeure (delivery excused, but unpaid). Hours above 500 are not FM, Seller bears full revenue loss, and the Deemed Generated Energy counts as shortfall against MAD (7.2(a)–(c); 17.1(e), (vi)).</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Grid curtailment is commonly a Seller revenue risk but is usually excused for guarantee purposes without an hours cap. Counting excess hours against the MAD is off-market. The 500-hour "shared assumption" (7.2) has already been exceeded (CY1: 620 hours; CY2: 410 hours through 12/31/24).</w:t>
            </w:r>
          </w:p>
        </w:tc>
      </w:tr>
      <w:tr>
        <w:tc>
          <w:tcPr>
            <w:tcW w:type="dxa" w:w="1512"/>
          </w:tcPr>
          <w:p>
            <w:pPr>
              <w:spacing w:after="20"/>
            </w:pPr>
            <w:r/>
            <w:r>
              <w:rPr>
                <w:b w:val="0"/>
                <w:i w:val="0"/>
                <w:sz w:val="16"/>
              </w:rPr>
              <w:t>Deemed Generated Energy</w:t>
            </w:r>
          </w:p>
        </w:tc>
        <w:tc>
          <w:tcPr>
            <w:tcW w:type="dxa" w:w="3960"/>
          </w:tcPr>
          <w:p>
            <w:pPr>
              <w:spacing w:after="20"/>
            </w:pPr>
            <w:r/>
            <w:r>
              <w:rPr>
                <w:b w:val="0"/>
                <w:i w:val="0"/>
                <w:sz w:val="16"/>
              </w:rPr>
              <w:t>Performance model using on-site irradiance, DC/AC, clipping and losses, applicable Degradation Rate; excludes scheduled maintenance noticed 5 BD in advance; independent engineer for disputes, loser pays (7.5).</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Model calibration will matter for curtailment compensation and MAD calculations; request the current performance model.</w:t>
            </w:r>
          </w:p>
        </w:tc>
      </w:tr>
    </w:tbl>
    <w:p>
      <w:pPr>
        <w:spacing w:after="40"/>
      </w:pPr>
    </w:p>
    <w:p>
      <w:pPr>
        <w:pStyle w:val="Heading2"/>
      </w:pPr>
      <w:r>
        <w:t>F. BESS Operations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Dispatch Rights</w:t>
            </w:r>
          </w:p>
        </w:tc>
        <w:tc>
          <w:tcPr>
            <w:tcW w:type="dxa" w:w="3960"/>
          </w:tcPr>
          <w:p>
            <w:pPr>
              <w:spacing w:after="20"/>
            </w:pPr>
            <w:r/>
            <w:r>
              <w:rPr>
                <w:b w:val="0"/>
                <w:i w:val="0"/>
                <w:sz w:val="16"/>
              </w:rPr>
              <w:t>Buyer has exclusive dispatch during Peak Hours (HB14:00–HB19:00 CPT, June–September). Rights are shared in Non-Peak Hours. Buyer instructions have priority in any conflict (1.1; 7.3(a), (b), (d)).</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Typical hybrid allocation. Buyer priority limits Seller’s AS revenue reliability.</w:t>
            </w:r>
          </w:p>
        </w:tc>
      </w:tr>
      <w:tr>
        <w:tc>
          <w:tcPr>
            <w:tcW w:type="dxa" w:w="1512"/>
          </w:tcPr>
          <w:p>
            <w:pPr>
              <w:spacing w:after="20"/>
            </w:pPr>
            <w:r/>
            <w:r>
              <w:rPr>
                <w:b w:val="0"/>
                <w:i w:val="0"/>
                <w:sz w:val="16"/>
              </w:rPr>
              <w:t>Ancillary Services</w:t>
            </w:r>
          </w:p>
        </w:tc>
        <w:tc>
          <w:tcPr>
            <w:tcW w:type="dxa" w:w="3960"/>
          </w:tcPr>
          <w:p>
            <w:pPr>
              <w:spacing w:after="20"/>
            </w:pPr>
            <w:r/>
            <w:r>
              <w:rPr>
                <w:b w:val="0"/>
                <w:i w:val="0"/>
                <w:sz w:val="16"/>
              </w:rPr>
              <w:t>Seller may provide AS in Non-Peak Hours if BESS Availability stays ≥ 90% (rolling 30-day) and on 2 hours’ notice. Net AS revenue is split 60% Seller / 40% Buyer, with quarterly accounting and an invoice credit (7.3(b)–(c)).</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Buyer takes 40% of merchant AS revenue while also holding priority dispatch and paying a fixed capacity charge. Modest value impact. The amount of AS revenue shared to date should be diligenced.</w:t>
            </w:r>
          </w:p>
        </w:tc>
      </w:tr>
      <w:tr>
        <w:tc>
          <w:tcPr>
            <w:tcW w:type="dxa" w:w="1512"/>
          </w:tcPr>
          <w:p>
            <w:pPr>
              <w:spacing w:after="20"/>
            </w:pPr>
            <w:r/>
            <w:r>
              <w:rPr>
                <w:b w:val="0"/>
                <w:i w:val="0"/>
                <w:sz w:val="16"/>
              </w:rPr>
              <w:t>State of Charge</w:t>
            </w:r>
          </w:p>
        </w:tc>
        <w:tc>
          <w:tcPr>
            <w:tcW w:type="dxa" w:w="3960"/>
          </w:tcPr>
          <w:p>
            <w:pPr>
              <w:spacing w:after="20"/>
            </w:pPr>
            <w:r/>
            <w:r>
              <w:rPr>
                <w:b w:val="0"/>
                <w:i w:val="0"/>
                <w:sz w:val="16"/>
              </w:rPr>
              <w:t>Seller must have BESS ≥ 80% charged (≥ 240 MWh) by HB13:00 CPT daily, June–September, charging from solar and/or grid at Seller’s cost (7.3(e)).</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The PPA provides no compensation for charging energy or round-trip losses (RTE ~87%, Schedule A). Solar used for charging is not paid until discharged at the same $24.50 price, so ~13% of cycled energy value is lost. Grid-charging costs are for Seller’s account.</w:t>
            </w:r>
          </w:p>
        </w:tc>
      </w:tr>
      <w:tr>
        <w:tc>
          <w:tcPr>
            <w:tcW w:type="dxa" w:w="1512"/>
          </w:tcPr>
          <w:p>
            <w:pPr>
              <w:spacing w:after="20"/>
            </w:pPr>
            <w:r/>
            <w:r>
              <w:rPr>
                <w:b w:val="0"/>
                <w:i w:val="0"/>
                <w:sz w:val="16"/>
              </w:rPr>
              <w:t>Capacity Maintenance / Augmentation</w:t>
            </w:r>
          </w:p>
        </w:tc>
        <w:tc>
          <w:tcPr>
            <w:tcW w:type="dxa" w:w="3960"/>
          </w:tcPr>
          <w:p>
            <w:pPr>
              <w:spacing w:after="20"/>
            </w:pPr>
            <w:r/>
            <w:r>
              <w:rPr>
                <w:b w:val="0"/>
                <w:i w:val="0"/>
                <w:sz w:val="16"/>
              </w:rPr>
              <w:t>Minimum usable energy capacity of 270 MWh (90% of nameplate) for the first 15 years; Seller to augment as needed (Schedule A §5).</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A demanding retention level against an NMC supplier warranty of only 70% at year 20 (Technical Summary). Material augmentation capex is likely. No specific remedy is stated, so a shortfall would fall under general breach / EoD (15.1(b)). The Technical Summary omits this obligation.</w:t>
            </w:r>
          </w:p>
        </w:tc>
      </w:tr>
    </w:tbl>
    <w:p>
      <w:pPr>
        <w:spacing w:after="40"/>
      </w:pPr>
    </w:p>
    <w:p>
      <w:pPr>
        <w:pStyle w:val="Heading2"/>
      </w:pPr>
      <w:r>
        <w:t>G. Congestion Risk Allocation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General Allocation</w:t>
            </w:r>
          </w:p>
        </w:tc>
        <w:tc>
          <w:tcPr>
            <w:tcW w:type="dxa" w:w="3960"/>
          </w:tcPr>
          <w:p>
            <w:pPr>
              <w:spacing w:after="20"/>
            </w:pPr>
            <w:r/>
            <w:r>
              <w:rPr>
                <w:b w:val="0"/>
                <w:i w:val="0"/>
                <w:sz w:val="16"/>
              </w:rPr>
              <w:t>Buyer bears Congestion Costs (positive or negative) from LZ_WEST to LZ_SOUTH (8.5(a); 5.2).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Consistent with physical delivery at the Seller’s settlement point.</w:t>
            </w:r>
          </w:p>
        </w:tc>
      </w:tr>
      <w:tr>
        <w:tc>
          <w:tcPr>
            <w:tcW w:type="dxa" w:w="1512"/>
          </w:tcPr>
          <w:p>
            <w:pPr>
              <w:spacing w:after="20"/>
            </w:pPr>
            <w:r/>
            <w:r>
              <w:rPr>
                <w:b w:val="0"/>
                <w:i w:val="0"/>
                <w:sz w:val="16"/>
              </w:rPr>
              <w:t>Seller Sharing</w:t>
            </w:r>
          </w:p>
        </w:tc>
        <w:tc>
          <w:tcPr>
            <w:tcW w:type="dxa" w:w="3960"/>
          </w:tcPr>
          <w:p>
            <w:pPr>
              <w:spacing w:after="20"/>
            </w:pPr>
            <w:r/>
            <w:r>
              <w:rPr>
                <w:b w:val="0"/>
                <w:i w:val="0"/>
                <w:sz w:val="16"/>
              </w:rPr>
              <w:t>If annual average Congestion Cost exceeds $8.00/MWh (Congestion Cap), Seller reimburses 50% of the excess, capped at $2.5M per Contract Year (Congestion Sharing Cap). Settled annually as a credit on the first invoice after CY-end (8.5(b)–(e)).</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Shifts buyer-side basis risk back to Seller. On P50 volumes, the cap is reached at ~$16.16/MWh average congestion. The maximum exposure is $2.5M/yr (~12% of CY1 revenue). It is unclear whether the Section 15.5 aggregate liability cap applies to these payments. Congestion also counts in Buyer’s All-In Cost for the 16.5 termination test.</w:t>
            </w:r>
          </w:p>
        </w:tc>
      </w:tr>
    </w:tbl>
    <w:p>
      <w:pPr>
        <w:spacing w:after="40"/>
      </w:pPr>
    </w:p>
    <w:p>
      <w:pPr>
        <w:pStyle w:val="Heading2"/>
      </w:pPr>
      <w:r>
        <w:t>H. Tax Credits and Change in Law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Tax Credit Ownership</w:t>
            </w:r>
          </w:p>
        </w:tc>
        <w:tc>
          <w:tcPr>
            <w:tcW w:type="dxa" w:w="3960"/>
          </w:tcPr>
          <w:p>
            <w:pPr>
              <w:spacing w:after="20"/>
            </w:pPr>
            <w:r/>
            <w:r>
              <w:rPr>
                <w:b w:val="0"/>
                <w:i w:val="0"/>
                <w:sz w:val="16"/>
              </w:rPr>
              <w:t>Seller owns all ITC/PTC (Code §§48/45 and successors). The Contract Price reflects Seller’s expectation of Tax Credits. Buyer covenants not to impair the credits and indemnifies Seller for breach (9.1–9.2; 1.1 "Tax Credits").</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Confirm which credit was claimed (ITC vs PTC), any transferability (§6418) or tax equity structure, and recapture period status. The ITC recapture period runs 5 years from placed-in-service (to ~2028), which is relevant to a change in ownership of a partnership.</w:t>
            </w:r>
          </w:p>
        </w:tc>
      </w:tr>
      <w:tr>
        <w:tc>
          <w:tcPr>
            <w:tcW w:type="dxa" w:w="1512"/>
          </w:tcPr>
          <w:p>
            <w:pPr>
              <w:spacing w:after="20"/>
            </w:pPr>
            <w:r/>
            <w:r>
              <w:rPr>
                <w:b w:val="0"/>
                <w:i w:val="0"/>
                <w:sz w:val="16"/>
              </w:rPr>
              <w:t>Change in Law (general)</w:t>
            </w:r>
          </w:p>
        </w:tc>
        <w:tc>
          <w:tcPr>
            <w:tcW w:type="dxa" w:w="3960"/>
          </w:tcPr>
          <w:p>
            <w:pPr>
              <w:spacing w:after="20"/>
            </w:pPr>
            <w:r/>
            <w:r>
              <w:rPr>
                <w:b w:val="0"/>
                <w:i w:val="0"/>
                <w:sz w:val="16"/>
              </w:rPr>
              <w:t>Each Party bears its own Change in Law costs (including ERCOT protocol changes) except 9.4 and 16.5. Change in Law is not an excuse except to the extent it is Force Majeure (9.3).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allocation, but asymmetric in practice because 16.5 gives Buyer an exit for regulatory cost increases while Seller has no equivalent right.</w:t>
            </w:r>
          </w:p>
        </w:tc>
      </w:tr>
      <w:tr>
        <w:tc>
          <w:tcPr>
            <w:tcW w:type="dxa" w:w="1512"/>
          </w:tcPr>
          <w:p>
            <w:pPr>
              <w:spacing w:after="20"/>
            </w:pPr>
            <w:r/>
            <w:r>
              <w:rPr>
                <w:b w:val="0"/>
                <w:i w:val="0"/>
                <w:sz w:val="16"/>
              </w:rPr>
              <w:t>Tax Credit Reopener</w:t>
            </w:r>
          </w:p>
        </w:tc>
        <w:tc>
          <w:tcPr>
            <w:tcW w:type="dxa" w:w="3960"/>
          </w:tcPr>
          <w:p>
            <w:pPr>
              <w:spacing w:after="20"/>
            </w:pPr>
            <w:r/>
            <w:r>
              <w:rPr>
                <w:b w:val="0"/>
                <w:i w:val="0"/>
                <w:sz w:val="16"/>
              </w:rPr>
              <w:t>Two-way: Seller (Adverse Tax Change) or Buyer (Favorable Tax Change) may request repricing if the change after the Effective Date has NPV impact &gt; $5M (7.5% discount). 90-day good-faith negotiation, then binding AAA arbitration (22.3) to "restore the economic balance". The existing price applies pending resolution. No exercise deadline (9.4(a)–(e)).</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Tax reopeners are uncommon in operating-asset PPAs. The baseline date (Sept. 1, 2021) precedes the IRA, so BVMPA has a credible argument that IRA enhancements (ITC to 30% base plus potential adders; standalone storage ITC; PTC option for solar) are a Favorable Tax Change. Arbitral repricing risk is open-ended for the life of the contract. This is our highest-priority value diligence item.</w:t>
            </w:r>
          </w:p>
        </w:tc>
      </w:tr>
    </w:tbl>
    <w:p>
      <w:pPr>
        <w:spacing w:after="40"/>
      </w:pPr>
    </w:p>
    <w:p>
      <w:pPr>
        <w:pStyle w:val="Heading2"/>
      </w:pPr>
      <w:r>
        <w:t>I. Environmental Attributes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Ownership / Transfer</w:t>
            </w:r>
          </w:p>
        </w:tc>
        <w:tc>
          <w:tcPr>
            <w:tcW w:type="dxa" w:w="3960"/>
          </w:tcPr>
          <w:p>
            <w:pPr>
              <w:spacing w:after="20"/>
            </w:pPr>
            <w:r/>
            <w:r>
              <w:rPr>
                <w:b w:val="0"/>
                <w:i w:val="0"/>
                <w:sz w:val="16"/>
              </w:rPr>
              <w:t>All Environmental Attributes (including future attributes) belong to Buyer at no extra cost. Seller registers with ERCOT REC program and transfers RECs within 30 days after month-end, at Seller’s cost (10.1–10.3).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bundled structure. Drafting gap: the definition of Environmental Attributes ("any attribute created by federal... governmental action") does not expressly exclude Tax Credits. 9.1 should control, but an express carve-out is market and should be confirmed in the estoppel. RECs on grid-charged Discharged Energy are not addressed.</w:t>
            </w:r>
          </w:p>
        </w:tc>
      </w:tr>
    </w:tbl>
    <w:p>
      <w:pPr>
        <w:spacing w:after="40"/>
      </w:pPr>
    </w:p>
    <w:p>
      <w:pPr>
        <w:pStyle w:val="Heading2"/>
      </w:pPr>
      <w:r>
        <w:t>J. Credit Support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Seller Performance Security (post-COD)</w:t>
            </w:r>
          </w:p>
        </w:tc>
        <w:tc>
          <w:tcPr>
            <w:tcW w:type="dxa" w:w="3960"/>
          </w:tcPr>
          <w:p>
            <w:pPr>
              <w:spacing w:after="20"/>
            </w:pPr>
            <w:r/>
            <w:r>
              <w:rPr>
                <w:b w:val="0"/>
                <w:i w:val="0"/>
                <w:sz w:val="16"/>
              </w:rPr>
              <w:t>$7.5M LC from COD, stepping down to $5.0M on March 15, 2028 if no Seller EoD is continuing. Issuer must be a Qualified Institution (≥ A- Crestline; ≥ $10B assets). Replacement within 30 BD of issuer downgrade (13.2; Schedule B §I).</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Roughly $30/kW AC, within the customary operating-period range. At closing, Alder Creek must replace Meridian-sponsored LC credit support without a gap (15.1(d): failure to maintain for 30 BD after notice is an EoD). Pre-COD LCs ($20M / $15M) are spent (13.1).</w:t>
            </w:r>
          </w:p>
        </w:tc>
      </w:tr>
      <w:tr>
        <w:tc>
          <w:tcPr>
            <w:tcW w:type="dxa" w:w="1512"/>
          </w:tcPr>
          <w:p>
            <w:pPr>
              <w:spacing w:after="20"/>
            </w:pPr>
            <w:r/>
            <w:r>
              <w:rPr>
                <w:b w:val="0"/>
                <w:i w:val="0"/>
                <w:sz w:val="16"/>
              </w:rPr>
              <w:t>Buyer Credit Support</w:t>
            </w:r>
          </w:p>
        </w:tc>
        <w:tc>
          <w:tcPr>
            <w:tcW w:type="dxa" w:w="3960"/>
          </w:tcPr>
          <w:p>
            <w:pPr>
              <w:spacing w:after="20"/>
            </w:pPr>
            <w:r/>
            <w:r>
              <w:rPr>
                <w:b w:val="0"/>
                <w:i w:val="0"/>
                <w:sz w:val="16"/>
              </w:rPr>
              <w:t>No collateral while Investment Grade. Reliance on A2/A Crestline rating and rate-setting authority (13.3; 11.2(f)).</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Typical for highly-rated public power. Note that "Investment Grade" is Baa3 from Crestline, and the ratings are from a single agency (Crestline) only.</w:t>
            </w:r>
          </w:p>
        </w:tc>
      </w:tr>
      <w:tr>
        <w:tc>
          <w:tcPr>
            <w:tcW w:type="dxa" w:w="1512"/>
          </w:tcPr>
          <w:p>
            <w:pPr>
              <w:spacing w:after="20"/>
            </w:pPr>
            <w:r/>
            <w:r>
              <w:rPr>
                <w:b w:val="0"/>
                <w:i w:val="0"/>
                <w:sz w:val="16"/>
              </w:rPr>
              <w:t>Buyer Downgrade Event</w:t>
            </w:r>
          </w:p>
        </w:tc>
        <w:tc>
          <w:tcPr>
            <w:tcW w:type="dxa" w:w="3960"/>
          </w:tcPr>
          <w:p>
            <w:pPr>
              <w:spacing w:after="20"/>
            </w:pPr>
            <w:r/>
            <w:r>
              <w:rPr>
                <w:b w:val="0"/>
                <w:i w:val="0"/>
                <w:sz w:val="16"/>
              </w:rPr>
              <w:t>Trigger: rating falls below Baa2/BBB. Buyer posts an LC equal to 6 months’ estimated payments within 30 BD. Formula in 13.4(b) yields $10,090,625 (CY1), but 13.4(d) says the amount "is as set forth in Schedule B", which states $9,500,000. LC is released after 12 months back at or above Baa2/BBB. Failure to post is a Buyer EoD (13.4; 15.2(e); Schedule B §II).</w:t>
            </w:r>
          </w:p>
        </w:tc>
        <w:tc>
          <w:tcPr>
            <w:tcW w:type="dxa" w:w="1440"/>
            <w:shd w:val="clear" w:color="auto" w:fill="FFF2CC"/>
          </w:tcPr>
          <w:p>
            <w:pPr>
              <w:spacing w:after="20"/>
            </w:pPr>
            <w:r/>
            <w:r>
              <w:rPr>
                <w:b w:val="0"/>
                <w:i w:val="0"/>
                <w:sz w:val="16"/>
              </w:rPr>
              <w:t>Ambiguous</w:t>
            </w:r>
          </w:p>
        </w:tc>
        <w:tc>
          <w:tcPr>
            <w:tcW w:type="dxa" w:w="3168"/>
          </w:tcPr>
          <w:p>
            <w:pPr>
              <w:spacing w:after="20"/>
            </w:pPr>
            <w:r/>
            <w:r>
              <w:rPr>
                <w:b w:val="0"/>
                <w:i w:val="0"/>
                <w:sz w:val="16"/>
              </w:rPr>
              <w:t>The trigger one notch above the IG floor is favorable. However, the conflict between the formula and Schedule B is unresolved, and 13.4(d) likely makes the lower $9.5M amount control, which is fixed and does not track escalation (the formula gives ~$10.7M by CY20). The Credit Summary’s $10.1M is therefore not reliable. Clarify in the estoppel.</w:t>
            </w:r>
          </w:p>
        </w:tc>
      </w:tr>
      <w:tr>
        <w:tc>
          <w:tcPr>
            <w:tcW w:type="dxa" w:w="1512"/>
          </w:tcPr>
          <w:p>
            <w:pPr>
              <w:spacing w:after="20"/>
            </w:pPr>
            <w:r/>
            <w:r>
              <w:rPr>
                <w:b w:val="0"/>
                <w:i w:val="0"/>
                <w:sz w:val="16"/>
              </w:rPr>
              <w:t>LC Mechanics</w:t>
            </w:r>
          </w:p>
        </w:tc>
        <w:tc>
          <w:tcPr>
            <w:tcW w:type="dxa" w:w="3960"/>
          </w:tcPr>
          <w:p>
            <w:pPr>
              <w:spacing w:after="20"/>
            </w:pPr>
            <w:r/>
            <w:r>
              <w:rPr>
                <w:b w:val="0"/>
                <w:i w:val="0"/>
                <w:sz w:val="16"/>
              </w:rPr>
              <w:t>Irrevocable; Schedule D form; 1-year evergreen with 60-day non-renewal notice (draw in full on non-renewal); sight draft + certificate; ISP98 or UCP 600 at issuer’s election; partial draws; NY-law LC form (13.5; Schedules B §III, D).</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bl>
    <w:p>
      <w:pPr>
        <w:spacing w:after="40"/>
      </w:pPr>
    </w:p>
    <w:p>
      <w:pPr>
        <w:pStyle w:val="Heading2"/>
      </w:pPr>
      <w:r>
        <w:t>K. Assignment, Change of Control and Financing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Change of Control (definition)</w:t>
            </w:r>
          </w:p>
        </w:tc>
        <w:tc>
          <w:tcPr>
            <w:tcW w:type="dxa" w:w="3960"/>
          </w:tcPr>
          <w:p>
            <w:pPr>
              <w:spacing w:after="20"/>
            </w:pPr>
            <w:r/>
            <w:r>
              <w:rPr>
                <w:b w:val="0"/>
                <w:i w:val="0"/>
                <w:sz w:val="16"/>
              </w:rPr>
              <w:t>More than 50% direct or indirect transfer of equity of Seller or Seller’s Parent; merger where holders retain &lt; 50%; or any change in the ultimate controlling parent (1.1).</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Captures the proposed 100% acquisition and any future upstream transfers by Alder Creek (exit planning).</w:t>
            </w:r>
          </w:p>
        </w:tc>
      </w:tr>
      <w:tr>
        <w:tc>
          <w:tcPr>
            <w:tcW w:type="dxa" w:w="1512"/>
          </w:tcPr>
          <w:p>
            <w:pPr>
              <w:spacing w:after="20"/>
            </w:pPr>
            <w:r/>
            <w:r>
              <w:rPr>
                <w:b w:val="0"/>
                <w:i w:val="0"/>
                <w:sz w:val="16"/>
              </w:rPr>
              <w:t>Change of Control / Non-Affiliate Assignment</w:t>
            </w:r>
          </w:p>
        </w:tc>
        <w:tc>
          <w:tcPr>
            <w:tcW w:type="dxa" w:w="3960"/>
          </w:tcPr>
          <w:p>
            <w:pPr>
              <w:spacing w:after="20"/>
            </w:pPr>
            <w:r/>
            <w:r>
              <w:rPr>
                <w:b w:val="0"/>
                <w:i w:val="0"/>
                <w:sz w:val="16"/>
              </w:rPr>
              <w:t>Requires Buyer’s prior written consent, not to be unreasonably withheld, conditioned or delayed. Buyer may withhold if the assignee (or its parent guarantor/credit support provider) is rated below BBB- or had a bankruptcy or similar proceeding within 7 years. Information package required (org chart, ratings, financials, transaction description, O&amp;M capability). Buyer has 45 Business Days after a complete package; silence is deemed consent (14.2(b)–(d)).</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Many investor-friendly PPAs permit Change of Control without consent to "qualified transferees" meeting rating or experience tests. Here consent is required, and the safe harbour for refusal is broad. Assignment without consent is void (14.1), and a CoC without consent is likely a material breach (15.1(b)). Deemed consent mitigates hold-up risk, but the clock runs only from a complete package. Treat as a gating item.</w:t>
            </w:r>
          </w:p>
        </w:tc>
      </w:tr>
      <w:tr>
        <w:tc>
          <w:tcPr>
            <w:tcW w:type="dxa" w:w="1512"/>
          </w:tcPr>
          <w:p>
            <w:pPr>
              <w:spacing w:after="20"/>
            </w:pPr>
            <w:r/>
            <w:r>
              <w:rPr>
                <w:b w:val="0"/>
                <w:i w:val="0"/>
                <w:sz w:val="16"/>
              </w:rPr>
              <w:t>Affiliate Assignment</w:t>
            </w:r>
          </w:p>
        </w:tc>
        <w:tc>
          <w:tcPr>
            <w:tcW w:type="dxa" w:w="3960"/>
          </w:tcPr>
          <w:p>
            <w:pPr>
              <w:spacing w:after="20"/>
            </w:pPr>
            <w:r/>
            <w:r>
              <w:rPr>
                <w:b w:val="0"/>
                <w:i w:val="0"/>
                <w:sz w:val="16"/>
              </w:rPr>
              <w:t>Permitted without consent if Seller or Seller’s Parent guarantees the assignee and gives notice within 15 BD (14.2(a)).</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Useful for post-closing internal restructuring, subject to a parent guaranty.</w:t>
            </w:r>
          </w:p>
        </w:tc>
      </w:tr>
      <w:tr>
        <w:tc>
          <w:tcPr>
            <w:tcW w:type="dxa" w:w="1512"/>
          </w:tcPr>
          <w:p>
            <w:pPr>
              <w:spacing w:after="20"/>
            </w:pPr>
            <w:r/>
            <w:r>
              <w:rPr>
                <w:b w:val="0"/>
                <w:i w:val="0"/>
                <w:sz w:val="16"/>
              </w:rPr>
              <w:t>Collateral Assignment / Lender Protections</w:t>
            </w:r>
          </w:p>
        </w:tc>
        <w:tc>
          <w:tcPr>
            <w:tcW w:type="dxa" w:w="3960"/>
          </w:tcPr>
          <w:p>
            <w:pPr>
              <w:spacing w:after="20"/>
            </w:pPr>
            <w:r/>
            <w:r>
              <w:rPr>
                <w:b w:val="0"/>
                <w:i w:val="0"/>
                <w:sz w:val="16"/>
              </w:rPr>
              <w:t>Seller may collaterally assign rights (not obligations) to lenders without consent, with notice within 15 BD. No lender step-in, cure rights or consent obligations; a separate consent is to be "negotiated in good faith" on request (14.3; 23.5).</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Financing PPAs typically include an obligation to execute a customary lender consent (with cure periods and step-in). Absence may affect acquisition financing, back-leverage or tax equity terms.</w:t>
            </w:r>
          </w:p>
        </w:tc>
      </w:tr>
      <w:tr>
        <w:tc>
          <w:tcPr>
            <w:tcW w:type="dxa" w:w="1512"/>
          </w:tcPr>
          <w:p>
            <w:pPr>
              <w:spacing w:after="20"/>
            </w:pPr>
            <w:r/>
            <w:r>
              <w:rPr>
                <w:b w:val="0"/>
                <w:i w:val="0"/>
                <w:sz w:val="16"/>
              </w:rPr>
              <w:t>Buyer Assignment</w:t>
            </w:r>
          </w:p>
        </w:tc>
        <w:tc>
          <w:tcPr>
            <w:tcW w:type="dxa" w:w="3960"/>
          </w:tcPr>
          <w:p>
            <w:pPr>
              <w:spacing w:after="20"/>
            </w:pPr>
            <w:r/>
            <w:r>
              <w:rPr>
                <w:b w:val="0"/>
                <w:i w:val="0"/>
                <w:sz w:val="16"/>
              </w:rPr>
              <w:t>Buyer may assign without consent to a successor Texas municipal power agency or a successor to substantially all assets, if the assignee is Investment Grade (≥ Baa3); otherwise Seller consent is required, not to be unreasonably withheld (14.4).</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The Investment Grade floor (Baa3) is lower than the Buyer Downgrade trigger (Baa2/BBB), so an assignee rated Baa3 would immediately owe an LC.</w:t>
            </w:r>
          </w:p>
        </w:tc>
      </w:tr>
    </w:tbl>
    <w:p>
      <w:pPr>
        <w:spacing w:after="40"/>
      </w:pPr>
    </w:p>
    <w:p>
      <w:pPr>
        <w:pStyle w:val="Heading2"/>
      </w:pPr>
      <w:r>
        <w:t>L. Events of Default, Remedies and Liability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Seller EoDs</w:t>
            </w:r>
          </w:p>
        </w:tc>
        <w:tc>
          <w:tcPr>
            <w:tcW w:type="dxa" w:w="3960"/>
          </w:tcPr>
          <w:p>
            <w:pPr>
              <w:spacing w:after="20"/>
            </w:pPr>
            <w:r/>
            <w:r>
              <w:rPr>
                <w:b w:val="0"/>
                <w:i w:val="0"/>
                <w:sz w:val="16"/>
              </w:rPr>
              <w:t>Payment default (10 BD after notice); material breach (60-day cure, extendable to 120 days); failure to maintain Performance Security (30 BD after notice); Insolvency Event; FM &gt; 365 consecutive days (15.1). COD default is spent (15.1(c)).</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Cure periods are reasonable. Note that there is no express EoD for persistent MAD shortfall (LDs only) or for failing the 270 MWh BESS capacity, but either could be argued as material breach.</w:t>
            </w:r>
          </w:p>
        </w:tc>
      </w:tr>
      <w:tr>
        <w:tc>
          <w:tcPr>
            <w:tcW w:type="dxa" w:w="1512"/>
          </w:tcPr>
          <w:p>
            <w:pPr>
              <w:spacing w:after="20"/>
            </w:pPr>
            <w:r/>
            <w:r>
              <w:rPr>
                <w:b w:val="0"/>
                <w:i w:val="0"/>
                <w:sz w:val="16"/>
              </w:rPr>
              <w:t>Buyer EoDs</w:t>
            </w:r>
          </w:p>
        </w:tc>
        <w:tc>
          <w:tcPr>
            <w:tcW w:type="dxa" w:w="3960"/>
          </w:tcPr>
          <w:p>
            <w:pPr>
              <w:spacing w:after="20"/>
            </w:pPr>
            <w:r/>
            <w:r>
              <w:rPr>
                <w:b w:val="0"/>
                <w:i w:val="0"/>
                <w:sz w:val="16"/>
              </w:rPr>
              <w:t>Payment default (10 BD after notice); material breach (60/120 days); Insolvency Event; FM &gt; 365 days; failure to post the Downgrade LC (15.2).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r>
        <w:tc>
          <w:tcPr>
            <w:tcW w:type="dxa" w:w="1512"/>
          </w:tcPr>
          <w:p>
            <w:pPr>
              <w:spacing w:after="20"/>
            </w:pPr>
            <w:r/>
            <w:r>
              <w:rPr>
                <w:b w:val="0"/>
                <w:i w:val="0"/>
                <w:sz w:val="16"/>
              </w:rPr>
              <w:t>Remedies</w:t>
            </w:r>
          </w:p>
        </w:tc>
        <w:tc>
          <w:tcPr>
            <w:tcW w:type="dxa" w:w="3960"/>
          </w:tcPr>
          <w:p>
            <w:pPr>
              <w:spacing w:after="20"/>
            </w:pPr>
            <w:r/>
            <w:r>
              <w:rPr>
                <w:b w:val="0"/>
                <w:i w:val="0"/>
                <w:sz w:val="16"/>
              </w:rPr>
              <w:t>Non-defaulting Party may suspend payments (payment defaults only), draw security, terminate on 30 days’ notice (immediately for insolvency) and pursue law/equity remedies subject to 15.5. Remedies are cumulative (15.4; 16.1).</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There is no defined termination payment or mark-to-market settlement amount on Buyer default. Seller would have to prove contract damages (subject to mitigation and the cap). Long-dated PPAs commonly include an MTM termination payment.</w:t>
            </w:r>
          </w:p>
        </w:tc>
      </w:tr>
      <w:tr>
        <w:tc>
          <w:tcPr>
            <w:tcW w:type="dxa" w:w="1512"/>
          </w:tcPr>
          <w:p>
            <w:pPr>
              <w:spacing w:after="20"/>
            </w:pPr>
            <w:r/>
            <w:r>
              <w:rPr>
                <w:b w:val="0"/>
                <w:i w:val="0"/>
                <w:sz w:val="16"/>
              </w:rPr>
              <w:t>Limitation of Liability</w:t>
            </w:r>
          </w:p>
        </w:tc>
        <w:tc>
          <w:tcPr>
            <w:tcW w:type="dxa" w:w="3960"/>
          </w:tcPr>
          <w:p>
            <w:pPr>
              <w:spacing w:after="20"/>
            </w:pPr>
            <w:r/>
            <w:r>
              <w:rPr>
                <w:b w:val="0"/>
                <w:i w:val="0"/>
                <w:sz w:val="16"/>
              </w:rPr>
              <w:t>Mutual waiver of consequential, incidental, punitive and other indirect damages, except indemnities and express LDs. Aggregate cap (excluding Art. 19 indemnities) is the lesser of (A) total payments made or projected for the 3 Contract Years preceding the event or (B) $50M (15.5).</w:t>
            </w:r>
          </w:p>
        </w:tc>
        <w:tc>
          <w:tcPr>
            <w:tcW w:type="dxa" w:w="1440"/>
            <w:shd w:val="clear" w:color="auto" w:fill="FCE5CD"/>
          </w:tcPr>
          <w:p>
            <w:pPr>
              <w:spacing w:after="20"/>
            </w:pPr>
            <w:r/>
            <w:r>
              <w:rPr>
                <w:b w:val="0"/>
                <w:i w:val="0"/>
                <w:sz w:val="16"/>
              </w:rPr>
              <w:t>Non-Standard (Mixed)</w:t>
            </w:r>
          </w:p>
        </w:tc>
        <w:tc>
          <w:tcPr>
            <w:tcW w:type="dxa" w:w="3168"/>
          </w:tcPr>
          <w:p>
            <w:pPr>
              <w:spacing w:after="20"/>
            </w:pPr>
            <w:r/>
            <w:r>
              <w:rPr>
                <w:b w:val="0"/>
                <w:i w:val="0"/>
                <w:sz w:val="16"/>
              </w:rPr>
              <w:t>Three years’ payments is ~$60.5M, so the $50M cap governs. It protects Seller against claims but also caps Seller’s recovery for Buyer repudiation at ~$50M (vs ~$200M NPV of remaining contracted revenue). Ambiguity: whether the cap reaches Buyer’s ordinary payment obligations and Seller’s 8.5 congestion payments.</w:t>
            </w:r>
          </w:p>
        </w:tc>
      </w:tr>
    </w:tbl>
    <w:p>
      <w:pPr>
        <w:spacing w:after="40"/>
      </w:pPr>
    </w:p>
    <w:p>
      <w:pPr>
        <w:pStyle w:val="Heading2"/>
      </w:pPr>
      <w:r>
        <w:t>M. Termination Rights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Extended Force Majeure</w:t>
            </w:r>
          </w:p>
        </w:tc>
        <w:tc>
          <w:tcPr>
            <w:tcW w:type="dxa" w:w="3960"/>
          </w:tcPr>
          <w:p>
            <w:pPr>
              <w:spacing w:after="20"/>
            </w:pPr>
            <w:r/>
            <w:r>
              <w:rPr>
                <w:b w:val="0"/>
                <w:i w:val="0"/>
                <w:sz w:val="16"/>
              </w:rPr>
              <w:t>Either Party may terminate if FM affecting the other Party has continued 365 consecutive days and is not resolved within a further 60-day cure period (16.2).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r>
        <w:tc>
          <w:tcPr>
            <w:tcW w:type="dxa" w:w="1512"/>
          </w:tcPr>
          <w:p>
            <w:pPr>
              <w:spacing w:after="20"/>
            </w:pPr>
            <w:r/>
            <w:r>
              <w:rPr>
                <w:b w:val="0"/>
                <w:i w:val="0"/>
                <w:sz w:val="16"/>
              </w:rPr>
              <w:t>Buyer Regulatory Termination Right</w:t>
            </w:r>
          </w:p>
        </w:tc>
        <w:tc>
          <w:tcPr>
            <w:tcW w:type="dxa" w:w="3960"/>
          </w:tcPr>
          <w:p>
            <w:pPr>
              <w:spacing w:after="20"/>
            </w:pPr>
            <w:r/>
            <w:r>
              <w:rPr>
                <w:b w:val="0"/>
                <w:i w:val="0"/>
                <w:sz w:val="16"/>
              </w:rPr>
              <w:t>Trigger: due to a Change in Law or ERCOT rule change after Jan. 18, 2023, Buyer’s All-In Cost (Contract Price + BESS Capacity Payments + Congestion Costs + attributable ERCOT/governmental charges, per MWh, rolling 12 months) exceeds 150% of the ERCOT Wholesale Market Price (load-weighted DA/RT average at LZ_SOUTH) for 12 consecutive months. Termination on 180 days’ notice with a detailed calculation. Market price changes alone do not qualify (16.5(a), (e)).</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An unusual buyer exit right. BESS capacity payments alone add ~$8.45/MWh to All-In Cost (CY1 all-in before congestion ~$32.95/MWh), so a sustained low-price LZ_SOUTH environment combined with a qualifying regulatory change (e.g., new ERCOT firming, ancillary or transmission cost allocation) could meet the test. Causation ("as a result of") is ambiguous and dispute-prone.</w:t>
            </w:r>
          </w:p>
        </w:tc>
      </w:tr>
      <w:tr>
        <w:tc>
          <w:tcPr>
            <w:tcW w:type="dxa" w:w="1512"/>
          </w:tcPr>
          <w:p>
            <w:pPr>
              <w:spacing w:after="20"/>
            </w:pPr>
            <w:r/>
            <w:r>
              <w:rPr>
                <w:b w:val="0"/>
                <w:i w:val="0"/>
                <w:sz w:val="16"/>
              </w:rPr>
              <w:t>Termination Payment (16.5)</w:t>
            </w:r>
          </w:p>
        </w:tc>
        <w:tc>
          <w:tcPr>
            <w:tcW w:type="dxa" w:w="3960"/>
          </w:tcPr>
          <w:p>
            <w:pPr>
              <w:spacing w:after="20"/>
            </w:pPr>
            <w:r/>
            <w:r>
              <w:rPr>
                <w:b w:val="0"/>
                <w:i w:val="0"/>
                <w:sz w:val="16"/>
              </w:rPr>
              <w:t>Lesser of (i) 50% of NPV at 7.5% of remaining energy Contract Price payments (degraded Expected Annual Generation × applicable price; BESS Capacity Payments excluded) or (ii) $30M. Payable 60 days after termination. Sole and exclusive remedy (16.5(b)–(d)).</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Our estimates: if termination is effective at the start of CY3/CY6/CY11/CY16, uncapped 50% NPV is ~$74.8M / $68.2M / $54.3M / $33.2M, so $30M applies through ~CY16. Recovery is a small fraction of contracted value, and loss of BESS revenue is uncompensated.</w:t>
            </w:r>
          </w:p>
        </w:tc>
      </w:tr>
      <w:tr>
        <w:tc>
          <w:tcPr>
            <w:tcW w:type="dxa" w:w="1512"/>
          </w:tcPr>
          <w:p>
            <w:pPr>
              <w:spacing w:after="20"/>
            </w:pPr>
            <w:r/>
            <w:r>
              <w:rPr>
                <w:b w:val="0"/>
                <w:i w:val="0"/>
                <w:sz w:val="16"/>
              </w:rPr>
              <w:t>Effects of Termination</w:t>
            </w:r>
          </w:p>
        </w:tc>
        <w:tc>
          <w:tcPr>
            <w:tcW w:type="dxa" w:w="3960"/>
          </w:tcPr>
          <w:p>
            <w:pPr>
              <w:spacing w:after="20"/>
            </w:pPr>
            <w:r/>
            <w:r>
              <w:rPr>
                <w:b w:val="0"/>
                <w:i w:val="0"/>
                <w:sz w:val="16"/>
              </w:rPr>
              <w:t>Accrued amounts paid; REC true-up; return of security within 60 days; survival per 2.2 (16.6).</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bl>
    <w:p>
      <w:pPr>
        <w:spacing w:after="40"/>
      </w:pPr>
    </w:p>
    <w:p>
      <w:pPr>
        <w:pStyle w:val="Heading2"/>
      </w:pPr>
      <w:r>
        <w:t>N. Force Majeure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Definition / Enumerated Events</w:t>
            </w:r>
          </w:p>
        </w:tc>
        <w:tc>
          <w:tcPr>
            <w:tcW w:type="dxa" w:w="3960"/>
          </w:tcPr>
          <w:p>
            <w:pPr>
              <w:spacing w:after="20"/>
            </w:pPr>
            <w:r/>
            <w:r>
              <w:rPr>
                <w:b w:val="0"/>
                <w:i w:val="0"/>
                <w:sz w:val="16"/>
              </w:rPr>
              <w:t>Event beyond reasonable control, not caused by negligence, that prevents or materially impairs performance. Includes acts of God, war, terrorism, epidemics, third-party labor disputes, governmental actions/ERCOT directives (subject to the 500-hour limit), earthquakes of M5.0+ within 100 miles, named storms/hurricanes/tornadoes within 25 miles, fire, explosion, and flood only if FEMA-declared (17.1(a)–(h)).</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A narrow, threshold-based list. Internal tension: (a) includes earthquakes generally while (f) imposes the M5.0/100-mile threshold. Odd inclusion of "issuance of new or amended permits" as FM in (e).</w:t>
            </w:r>
          </w:p>
        </w:tc>
      </w:tr>
      <w:tr>
        <w:tc>
          <w:tcPr>
            <w:tcW w:type="dxa" w:w="1512"/>
          </w:tcPr>
          <w:p>
            <w:pPr>
              <w:spacing w:after="20"/>
            </w:pPr>
            <w:r/>
            <w:r>
              <w:rPr>
                <w:b w:val="0"/>
                <w:i w:val="0"/>
                <w:sz w:val="16"/>
              </w:rPr>
              <w:t>Exclusions</w:t>
            </w:r>
          </w:p>
        </w:tc>
        <w:tc>
          <w:tcPr>
            <w:tcW w:type="dxa" w:w="3960"/>
          </w:tcPr>
          <w:p>
            <w:pPr>
              <w:spacing w:after="20"/>
            </w:pPr>
            <w:r/>
            <w:r>
              <w:rPr>
                <w:b w:val="0"/>
                <w:i w:val="0"/>
                <w:sz w:val="16"/>
              </w:rPr>
              <w:t>Market price changes; financing inability; post-COD supply chain delays; sub-threshold weather (hail, ice, severe thunderstorms, dust storms, extreme heat, undeclared flood); tax law changes (exclusively 9.4); ERCOT curtailment above 500 hours (17.1(i)–(vi)).</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The exclusion of hail and extreme heat is significant for West Texas solar (hail is a known loss driver; there were heat-related inverter trips in August 2023). Lost output from such events counts toward MAD and is not excused. Mitigated by property/BI insurance (see O).</w:t>
            </w:r>
          </w:p>
        </w:tc>
      </w:tr>
      <w:tr>
        <w:tc>
          <w:tcPr>
            <w:tcW w:type="dxa" w:w="1512"/>
          </w:tcPr>
          <w:p>
            <w:pPr>
              <w:spacing w:after="20"/>
            </w:pPr>
            <w:r/>
            <w:r>
              <w:rPr>
                <w:b w:val="0"/>
                <w:i w:val="0"/>
                <w:sz w:val="16"/>
              </w:rPr>
              <w:t>Notice / Effect</w:t>
            </w:r>
          </w:p>
        </w:tc>
        <w:tc>
          <w:tcPr>
            <w:tcW w:type="dxa" w:w="3960"/>
          </w:tcPr>
          <w:p>
            <w:pPr>
              <w:spacing w:after="20"/>
            </w:pPr>
            <w:r/>
            <w:r>
              <w:rPr>
                <w:b w:val="0"/>
                <w:i w:val="0"/>
                <w:sz w:val="16"/>
              </w:rPr>
              <w:t>Notice within 5 BD with mitigation plan. Performance suspended, but there is no relief for pre-FM payment or LD obligations. FM does not extend the term (17.2–17.3).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w:t>
            </w:r>
          </w:p>
        </w:tc>
      </w:tr>
    </w:tbl>
    <w:p>
      <w:pPr>
        <w:spacing w:after="40"/>
      </w:pPr>
    </w:p>
    <w:p>
      <w:pPr>
        <w:pStyle w:val="Heading2"/>
      </w:pPr>
      <w:r>
        <w:t>O. Insurance and Indemnification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Insurance Program</w:t>
            </w:r>
          </w:p>
        </w:tc>
        <w:tc>
          <w:tcPr>
            <w:tcW w:type="dxa" w:w="3960"/>
          </w:tcPr>
          <w:p>
            <w:pPr>
              <w:spacing w:after="20"/>
            </w:pPr>
            <w:r/>
            <w:r>
              <w:rPr>
                <w:b w:val="0"/>
                <w:i w:val="0"/>
                <w:sz w:val="16"/>
              </w:rPr>
              <w:t>CGL $5M/$10M; all-risk property at 100% replacement value (wind, hail, flood, mechanical breakdown, BESS thermal runaway; earthquake if commercially reasonable); BI for 18 months of revenue; pollution $10M; WC/EL $1M; auto $2M; umbrella $25M. Insurers rated A- VII or better. Buyer and member cities named as additional insureds; waiver of subrogation; property deductible cap $500,000 per occurrence; no self-insurance without Buyer consent (sole discretion) (18.1–18.3; Schedule C).</w:t>
            </w:r>
          </w:p>
        </w:tc>
        <w:tc>
          <w:tcPr>
            <w:tcW w:type="dxa" w:w="1440"/>
            <w:shd w:val="clear" w:color="auto" w:fill="F4CCCC"/>
          </w:tcPr>
          <w:p>
            <w:pPr>
              <w:spacing w:after="20"/>
            </w:pPr>
            <w:r/>
            <w:r>
              <w:rPr>
                <w:b w:val="0"/>
                <w:i w:val="0"/>
                <w:sz w:val="16"/>
              </w:rPr>
              <w:t>Non-Standard (Adverse)</w:t>
            </w:r>
          </w:p>
        </w:tc>
        <w:tc>
          <w:tcPr>
            <w:tcW w:type="dxa" w:w="3168"/>
          </w:tcPr>
          <w:p>
            <w:pPr>
              <w:spacing w:after="20"/>
            </w:pPr>
            <w:r/>
            <w:r>
              <w:rPr>
                <w:b w:val="0"/>
                <w:i w:val="0"/>
                <w:sz w:val="16"/>
              </w:rPr>
              <w:t>The coverage scope is customary and robust (18-month BI is at the upper end). The hard $500k property deductible cap may be difficult or costly to satisfy in the current hail/convective-storm market for West Texas solar and BESS, where percentage-of-value deductibles are common. Confirm the current program complies, as non-compliance would be a covenant breach. Naming Buyer as additional insured on property/BI is unusual (loss payee is more typical).</w:t>
            </w:r>
          </w:p>
        </w:tc>
      </w:tr>
      <w:tr>
        <w:tc>
          <w:tcPr>
            <w:tcW w:type="dxa" w:w="1512"/>
          </w:tcPr>
          <w:p>
            <w:pPr>
              <w:spacing w:after="20"/>
            </w:pPr>
            <w:r/>
            <w:r>
              <w:rPr>
                <w:b w:val="0"/>
                <w:i w:val="0"/>
                <w:sz w:val="16"/>
              </w:rPr>
              <w:t>Indemnities</w:t>
            </w:r>
          </w:p>
        </w:tc>
        <w:tc>
          <w:tcPr>
            <w:tcW w:type="dxa" w:w="3960"/>
          </w:tcPr>
          <w:p>
            <w:pPr>
              <w:spacing w:after="20"/>
            </w:pPr>
            <w:r/>
            <w:r>
              <w:rPr>
                <w:b w:val="0"/>
                <w:i w:val="0"/>
                <w:sz w:val="16"/>
              </w:rPr>
              <w:t>Seller indemnifies Buyer Indemnitees (including member cities) for third-party claims arising from Seller breach, negligence, site injury/damage, or environmental contamination. Buyer indemnifies Seller for third-party claims from Buyer breach or negligence at/beyond the Delivery Point. Customary procedures. Indemnities sit outside the 15.5 cap (19.1–19.3).</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Seller’s indemnity is broader in scope than Buyer’s (including environmental), which is customary for the asset owner. It is uncapped.</w:t>
            </w:r>
          </w:p>
        </w:tc>
      </w:tr>
    </w:tbl>
    <w:p>
      <w:pPr>
        <w:spacing w:after="40"/>
      </w:pPr>
    </w:p>
    <w:p>
      <w:pPr>
        <w:pStyle w:val="Heading2"/>
      </w:pPr>
      <w:r>
        <w:t>P. Confidentiality, Disputes and Miscellaneous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val="clear" w:color="auto" w:fill="1F3A5F"/>
          </w:tcPr>
          <w:p>
            <w:r/>
            <w:r>
              <w:rPr>
                <w:b/>
                <w:color w:val="FFFFFF"/>
                <w:sz w:val="16"/>
              </w:rPr>
              <w:t>Term</w:t>
            </w:r>
          </w:p>
        </w:tc>
        <w:tc>
          <w:tcPr>
            <w:tcW w:type="dxa" w:w="3960"/>
            <w:shd w:val="clear" w:color="auto" w:fill="1F3A5F"/>
          </w:tcPr>
          <w:p>
            <w:r/>
            <w:r>
              <w:rPr>
                <w:b/>
                <w:color w:val="FFFFFF"/>
                <w:sz w:val="16"/>
              </w:rPr>
              <w:t>Key Provision (PPA Section)</w:t>
            </w:r>
          </w:p>
        </w:tc>
        <w:tc>
          <w:tcPr>
            <w:tcW w:type="dxa" w:w="1440"/>
            <w:shd w:val="clear" w:color="auto" w:fill="1F3A5F"/>
          </w:tcPr>
          <w:p>
            <w:r/>
            <w:r>
              <w:rPr>
                <w:b/>
                <w:color w:val="FFFFFF"/>
                <w:sz w:val="16"/>
              </w:rPr>
              <w:t>Assessment</w:t>
            </w:r>
          </w:p>
        </w:tc>
        <w:tc>
          <w:tcPr>
            <w:tcW w:type="dxa" w:w="3168"/>
            <w:shd w:val="clear" w:color="auto" w:fill="1F3A5F"/>
          </w:tcPr>
          <w:p>
            <w:r/>
            <w:r>
              <w:rPr>
                <w:b/>
                <w:color w:val="FFFFFF"/>
                <w:sz w:val="16"/>
              </w:rPr>
              <w:t>Commentary / IC Implication</w:t>
            </w:r>
          </w:p>
        </w:tc>
      </w:tr>
      <w:tr>
        <w:tc>
          <w:tcPr>
            <w:tcW w:type="dxa" w:w="1512"/>
          </w:tcPr>
          <w:p>
            <w:pPr>
              <w:spacing w:after="20"/>
            </w:pPr>
            <w:r/>
            <w:r>
              <w:rPr>
                <w:b w:val="0"/>
                <w:i w:val="0"/>
                <w:sz w:val="16"/>
              </w:rPr>
              <w:t>Confidentiality</w:t>
            </w:r>
          </w:p>
        </w:tc>
        <w:tc>
          <w:tcPr>
            <w:tcW w:type="dxa" w:w="3960"/>
          </w:tcPr>
          <w:p>
            <w:pPr>
              <w:spacing w:after="20"/>
            </w:pPr>
            <w:r/>
            <w:r>
              <w:rPr>
                <w:b w:val="0"/>
                <w:i w:val="0"/>
                <w:sz w:val="16"/>
              </w:rPr>
              <w:t>Terms, pricing and performance data are confidential. Permitted disclosures include advisors, lenders, rating agencies, regulators, legal compulsion, and potential assignees/purchasers "in connection with a permitted assignment under Article 14" (20.1).</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Disclosure to Alder Creek appears permitted under 20.1(a)/(c) together with the MCA. Seller counsel transmitted the PPA, but confirm that Meridian has complied with 20.1(c). BVMPA, as a public entity, is subject to the Texas Public Information Act (20.1(b) disclosure carve-out).</w:t>
            </w:r>
          </w:p>
        </w:tc>
      </w:tr>
      <w:tr>
        <w:tc>
          <w:tcPr>
            <w:tcW w:type="dxa" w:w="1512"/>
          </w:tcPr>
          <w:p>
            <w:pPr>
              <w:spacing w:after="20"/>
            </w:pPr>
            <w:r/>
            <w:r>
              <w:rPr>
                <w:b w:val="0"/>
                <w:i w:val="0"/>
                <w:sz w:val="16"/>
              </w:rPr>
              <w:t>Dispute Resolution</w:t>
            </w:r>
          </w:p>
        </w:tc>
        <w:tc>
          <w:tcPr>
            <w:tcW w:type="dxa" w:w="3960"/>
          </w:tcPr>
          <w:p>
            <w:pPr>
              <w:spacing w:after="20"/>
            </w:pPr>
            <w:r/>
            <w:r>
              <w:rPr>
                <w:b w:val="0"/>
                <w:i w:val="0"/>
                <w:sz w:val="16"/>
              </w:rPr>
              <w:t>Senior executives (Meridian CEO / BVMPA GM) for 30 days; then non-binding mediation in Austin (Texas Energy Mediation Panel or AAA; 60 days); then binding AAA arbitration in Houston (3 industry-expert arbitrators; reasoned award; prevailing party fees). Provisional court remedies preserved (22.1–22.3, 22.5).</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tiered process. Update the Seller senior executive designation post-closing (22.1 names Meridian’s CEO). The Tax Reopener routes to binding arbitration.</w:t>
            </w:r>
          </w:p>
        </w:tc>
      </w:tr>
      <w:tr>
        <w:tc>
          <w:tcPr>
            <w:tcW w:type="dxa" w:w="1512"/>
          </w:tcPr>
          <w:p>
            <w:pPr>
              <w:spacing w:after="20"/>
            </w:pPr>
            <w:r/>
            <w:r>
              <w:rPr>
                <w:b w:val="0"/>
                <w:i w:val="0"/>
                <w:sz w:val="16"/>
              </w:rPr>
              <w:t>Governing Law / Venue</w:t>
            </w:r>
          </w:p>
        </w:tc>
        <w:tc>
          <w:tcPr>
            <w:tcW w:type="dxa" w:w="3960"/>
          </w:tcPr>
          <w:p>
            <w:pPr>
              <w:spacing w:after="20"/>
            </w:pPr>
            <w:r/>
            <w:r>
              <w:rPr>
                <w:b w:val="0"/>
                <w:i w:val="0"/>
                <w:sz w:val="16"/>
              </w:rPr>
              <w:t>Texas law. Exclusive Harris County state/federal courts for enforcement and non-arbitrable matters (22.4).</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Customary. The PPA contains no express waiver of governmental immunity by BVMPA. Texas statutory waivers for local-government contracts may apply, but this should be confirmed by Texas public-power counsel.</w:t>
            </w:r>
          </w:p>
        </w:tc>
      </w:tr>
      <w:tr>
        <w:tc>
          <w:tcPr>
            <w:tcW w:type="dxa" w:w="1512"/>
          </w:tcPr>
          <w:p>
            <w:pPr>
              <w:spacing w:after="20"/>
            </w:pPr>
            <w:r/>
            <w:r>
              <w:rPr>
                <w:b w:val="0"/>
                <w:i w:val="0"/>
                <w:sz w:val="16"/>
              </w:rPr>
              <w:t>Entire Agreement / No Side Letters</w:t>
            </w:r>
          </w:p>
        </w:tc>
        <w:tc>
          <w:tcPr>
            <w:tcW w:type="dxa" w:w="3960"/>
          </w:tcPr>
          <w:p>
            <w:pPr>
              <w:spacing w:after="20"/>
            </w:pPr>
            <w:r/>
            <w:r>
              <w:rPr>
                <w:b w:val="0"/>
                <w:i w:val="0"/>
                <w:sz w:val="16"/>
              </w:rPr>
              <w:t>The A&amp;R supersedes the Original Agreement. It states there are no side letters or amendments as of Jan. 18, 2023. Amendments and waivers must be in writing. No third-party beneficiaries (lenders, member cities) (23.1–23.5).</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The email confirms no other amendments, but the 23.1 statement speaks only as of Jan. 18, 2023. Obtain a PSA rep and BVMPA estoppel covering the period to closing.</w:t>
            </w:r>
          </w:p>
        </w:tc>
      </w:tr>
      <w:tr>
        <w:tc>
          <w:tcPr>
            <w:tcW w:type="dxa" w:w="1512"/>
          </w:tcPr>
          <w:p>
            <w:pPr>
              <w:spacing w:after="20"/>
            </w:pPr>
            <w:r/>
            <w:r>
              <w:rPr>
                <w:b w:val="0"/>
                <w:i w:val="0"/>
                <w:sz w:val="16"/>
              </w:rPr>
              <w:t>Notices</w:t>
            </w:r>
          </w:p>
        </w:tc>
        <w:tc>
          <w:tcPr>
            <w:tcW w:type="dxa" w:w="3960"/>
          </w:tcPr>
          <w:p>
            <w:pPr>
              <w:spacing w:after="20"/>
            </w:pPr>
            <w:r/>
            <w:r>
              <w:rPr>
                <w:b w:val="0"/>
                <w:i w:val="0"/>
                <w:sz w:val="16"/>
              </w:rPr>
              <w:t>Personal delivery, overnight courier or certified mail only (no email). Seller notices go to Meridian CFO c/o Meridian, with copy to Whitfield &amp; Crane (21.1–21.2).</w:t>
            </w:r>
          </w:p>
        </w:tc>
        <w:tc>
          <w:tcPr>
            <w:tcW w:type="dxa" w:w="1440"/>
            <w:shd w:val="clear" w:color="auto" w:fill="D9EAD3"/>
          </w:tcPr>
          <w:p>
            <w:pPr>
              <w:spacing w:after="20"/>
            </w:pPr>
            <w:r/>
            <w:r>
              <w:rPr>
                <w:b w:val="0"/>
                <w:i w:val="0"/>
                <w:sz w:val="16"/>
              </w:rPr>
              <w:t>Market</w:t>
            </w:r>
          </w:p>
        </w:tc>
        <w:tc>
          <w:tcPr>
            <w:tcW w:type="dxa" w:w="3168"/>
          </w:tcPr>
          <w:p>
            <w:pPr>
              <w:spacing w:after="20"/>
            </w:pPr>
            <w:r/>
            <w:r>
              <w:rPr>
                <w:b w:val="0"/>
                <w:i w:val="0"/>
                <w:sz w:val="16"/>
              </w:rPr>
              <w:t>Notice details must be updated post-closing.</w:t>
            </w:r>
          </w:p>
        </w:tc>
      </w:tr>
    </w:tbl>
    <w:p>
      <w:pPr>
        <w:spacing w:after="40"/>
      </w:pPr>
    </w:p>
    <w:p>
      <w:pPr>
        <w:pStyle w:val="Heading1"/>
      </w:pPr>
      <w:r>
        <w:t>4. Key Economics (P50 Basis; Our Calculations from PPA Formulas)</w:t>
      </w:r>
    </w:p>
    <w:p>
      <w:pPr>
        <w:spacing w:after="80"/>
      </w:pPr>
      <w:r>
        <w:rPr>
          <w:b w:val="0"/>
          <w:i/>
          <w:sz w:val="18"/>
        </w:rPr>
        <w:t>All figures are nominal unless stated otherwise. They apply the PPA formulas (Sections 6.2, 6.8, 8.1, 8.2) to the P50 Expected Annual Generation of 612,500 MWh degraded at 0.50%/yr. They are illustrative and do not replace the financial model or independent engineer (IE) outputs. Actual revenue will differ with curtailment, congestion sharing and actual generation.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728"/>
            <w:shd w:val="clear" w:color="auto" w:fill="1F3A5F"/>
          </w:tcPr>
          <w:p>
            <w:r/>
            <w:r>
              <w:rPr>
                <w:b/>
                <w:color w:val="FFFFFF"/>
                <w:sz w:val="16"/>
              </w:rPr>
              <w:t>Contract Year</w:t>
            </w:r>
          </w:p>
        </w:tc>
        <w:tc>
          <w:tcPr>
            <w:tcW w:type="dxa" w:w="1224"/>
            <w:shd w:val="clear" w:color="auto" w:fill="1F3A5F"/>
          </w:tcPr>
          <w:p>
            <w:r/>
            <w:r>
              <w:rPr>
                <w:b/>
                <w:color w:val="FFFFFF"/>
                <w:sz w:val="16"/>
              </w:rPr>
              <w:t>Contract Price ($/MWh)</w:t>
            </w:r>
          </w:p>
        </w:tc>
        <w:tc>
          <w:tcPr>
            <w:tcW w:type="dxa" w:w="1368"/>
            <w:shd w:val="clear" w:color="auto" w:fill="1F3A5F"/>
          </w:tcPr>
          <w:p>
            <w:r/>
            <w:r>
              <w:rPr>
                <w:b/>
                <w:color w:val="FFFFFF"/>
                <w:sz w:val="16"/>
              </w:rPr>
              <w:t>Degraded P50 (MWh)</w:t>
            </w:r>
          </w:p>
        </w:tc>
        <w:tc>
          <w:tcPr>
            <w:tcW w:type="dxa" w:w="1224"/>
            <w:shd w:val="clear" w:color="auto" w:fill="1F3A5F"/>
          </w:tcPr>
          <w:p>
            <w:r/>
            <w:r>
              <w:rPr>
                <w:b/>
                <w:color w:val="FFFFFF"/>
                <w:sz w:val="16"/>
              </w:rPr>
              <w:t>MAD (MWh)</w:t>
            </w:r>
          </w:p>
        </w:tc>
        <w:tc>
          <w:tcPr>
            <w:tcW w:type="dxa" w:w="1512"/>
            <w:shd w:val="clear" w:color="auto" w:fill="1F3A5F"/>
          </w:tcPr>
          <w:p>
            <w:r/>
            <w:r>
              <w:rPr>
                <w:b/>
                <w:color w:val="FFFFFF"/>
                <w:sz w:val="16"/>
              </w:rPr>
              <w:t>Energy Revenue</w:t>
            </w:r>
          </w:p>
        </w:tc>
        <w:tc>
          <w:tcPr>
            <w:tcW w:type="dxa" w:w="1368"/>
            <w:shd w:val="clear" w:color="auto" w:fill="1F3A5F"/>
          </w:tcPr>
          <w:p>
            <w:r/>
            <w:r>
              <w:rPr>
                <w:b/>
                <w:color w:val="FFFFFF"/>
                <w:sz w:val="16"/>
              </w:rPr>
              <w:t>BESS Capacity</w:t>
            </w:r>
          </w:p>
        </w:tc>
        <w:tc>
          <w:tcPr>
            <w:tcW w:type="dxa" w:w="1512"/>
            <w:shd w:val="clear" w:color="auto" w:fill="1F3A5F"/>
          </w:tcPr>
          <w:p>
            <w:r/>
            <w:r>
              <w:rPr>
                <w:b/>
                <w:color w:val="FFFFFF"/>
                <w:sz w:val="16"/>
              </w:rPr>
              <w:t>Total</w:t>
            </w:r>
          </w:p>
        </w:tc>
      </w:tr>
      <w:tr>
        <w:tc>
          <w:tcPr>
            <w:tcW w:type="dxa" w:w="1728"/>
          </w:tcPr>
          <w:p>
            <w:pPr>
              <w:spacing w:after="20"/>
            </w:pPr>
            <w:r/>
            <w:r>
              <w:rPr>
                <w:b w:val="0"/>
                <w:i w:val="0"/>
                <w:sz w:val="16"/>
              </w:rPr>
              <w:t>CY1 (2023–24)</w:t>
            </w:r>
          </w:p>
        </w:tc>
        <w:tc>
          <w:tcPr>
            <w:tcW w:type="dxa" w:w="1224"/>
          </w:tcPr>
          <w:p>
            <w:pPr>
              <w:spacing w:after="20"/>
            </w:pPr>
            <w:r/>
            <w:r>
              <w:rPr>
                <w:b w:val="0"/>
                <w:i w:val="0"/>
                <w:sz w:val="16"/>
              </w:rPr>
              <w:t>$24.500</w:t>
            </w:r>
          </w:p>
        </w:tc>
        <w:tc>
          <w:tcPr>
            <w:tcW w:type="dxa" w:w="1368"/>
          </w:tcPr>
          <w:p>
            <w:pPr>
              <w:spacing w:after="20"/>
            </w:pPr>
            <w:r/>
            <w:r>
              <w:rPr>
                <w:b w:val="0"/>
                <w:i w:val="0"/>
                <w:sz w:val="16"/>
              </w:rPr>
              <w:t>612,500</w:t>
            </w:r>
          </w:p>
        </w:tc>
        <w:tc>
          <w:tcPr>
            <w:tcW w:type="dxa" w:w="1224"/>
          </w:tcPr>
          <w:p>
            <w:pPr>
              <w:spacing w:after="20"/>
            </w:pPr>
            <w:r/>
            <w:r>
              <w:rPr>
                <w:b w:val="0"/>
                <w:i w:val="0"/>
                <w:sz w:val="16"/>
              </w:rPr>
              <w:t>490,000</w:t>
            </w:r>
          </w:p>
        </w:tc>
        <w:tc>
          <w:tcPr>
            <w:tcW w:type="dxa" w:w="1512"/>
          </w:tcPr>
          <w:p>
            <w:pPr>
              <w:spacing w:after="20"/>
            </w:pPr>
            <w:r/>
            <w:r>
              <w:rPr>
                <w:b w:val="0"/>
                <w:i w:val="0"/>
                <w:sz w:val="16"/>
              </w:rPr>
              <w:t>$15,006,250</w:t>
            </w:r>
          </w:p>
        </w:tc>
        <w:tc>
          <w:tcPr>
            <w:tcW w:type="dxa" w:w="1368"/>
          </w:tcPr>
          <w:p>
            <w:pPr>
              <w:spacing w:after="20"/>
            </w:pPr>
            <w:r/>
            <w:r>
              <w:rPr>
                <w:b w:val="0"/>
                <w:i w:val="0"/>
                <w:sz w:val="16"/>
              </w:rPr>
              <w:t>$5,175,000</w:t>
            </w:r>
          </w:p>
        </w:tc>
        <w:tc>
          <w:tcPr>
            <w:tcW w:type="dxa" w:w="1512"/>
          </w:tcPr>
          <w:p>
            <w:pPr>
              <w:spacing w:after="20"/>
            </w:pPr>
            <w:r/>
            <w:r>
              <w:rPr>
                <w:b w:val="0"/>
                <w:i w:val="0"/>
                <w:sz w:val="16"/>
              </w:rPr>
              <w:t>$20,181,250</w:t>
            </w:r>
          </w:p>
        </w:tc>
      </w:tr>
      <w:tr>
        <w:tc>
          <w:tcPr>
            <w:tcW w:type="dxa" w:w="1728"/>
          </w:tcPr>
          <w:p>
            <w:pPr>
              <w:spacing w:after="20"/>
            </w:pPr>
            <w:r/>
            <w:r>
              <w:rPr>
                <w:b w:val="0"/>
                <w:i w:val="0"/>
                <w:sz w:val="16"/>
              </w:rPr>
              <w:t>CY2 (2024–25)</w:t>
            </w:r>
          </w:p>
        </w:tc>
        <w:tc>
          <w:tcPr>
            <w:tcW w:type="dxa" w:w="1224"/>
          </w:tcPr>
          <w:p>
            <w:pPr>
              <w:spacing w:after="20"/>
            </w:pPr>
            <w:r/>
            <w:r>
              <w:rPr>
                <w:b w:val="0"/>
                <w:i w:val="0"/>
                <w:sz w:val="16"/>
              </w:rPr>
              <w:t>$24.500</w:t>
            </w:r>
          </w:p>
        </w:tc>
        <w:tc>
          <w:tcPr>
            <w:tcW w:type="dxa" w:w="1368"/>
          </w:tcPr>
          <w:p>
            <w:pPr>
              <w:spacing w:after="20"/>
            </w:pPr>
            <w:r/>
            <w:r>
              <w:rPr>
                <w:b w:val="0"/>
                <w:i w:val="0"/>
                <w:sz w:val="16"/>
              </w:rPr>
              <w:t>609,438</w:t>
            </w:r>
          </w:p>
        </w:tc>
        <w:tc>
          <w:tcPr>
            <w:tcW w:type="dxa" w:w="1224"/>
          </w:tcPr>
          <w:p>
            <w:pPr>
              <w:spacing w:after="20"/>
            </w:pPr>
            <w:r/>
            <w:r>
              <w:rPr>
                <w:b w:val="0"/>
                <w:i w:val="0"/>
                <w:sz w:val="16"/>
              </w:rPr>
              <w:t>487,550</w:t>
            </w:r>
          </w:p>
        </w:tc>
        <w:tc>
          <w:tcPr>
            <w:tcW w:type="dxa" w:w="1512"/>
          </w:tcPr>
          <w:p>
            <w:pPr>
              <w:spacing w:after="20"/>
            </w:pPr>
            <w:r/>
            <w:r>
              <w:rPr>
                <w:b w:val="0"/>
                <w:i w:val="0"/>
                <w:sz w:val="16"/>
              </w:rPr>
              <w:t>$14,931,219</w:t>
            </w:r>
          </w:p>
        </w:tc>
        <w:tc>
          <w:tcPr>
            <w:tcW w:type="dxa" w:w="1368"/>
          </w:tcPr>
          <w:p>
            <w:pPr>
              <w:spacing w:after="20"/>
            </w:pPr>
            <w:r/>
            <w:r>
              <w:rPr>
                <w:b w:val="0"/>
                <w:i w:val="0"/>
                <w:sz w:val="16"/>
              </w:rPr>
              <w:t>$5,175,000</w:t>
            </w:r>
          </w:p>
        </w:tc>
        <w:tc>
          <w:tcPr>
            <w:tcW w:type="dxa" w:w="1512"/>
          </w:tcPr>
          <w:p>
            <w:pPr>
              <w:spacing w:after="20"/>
            </w:pPr>
            <w:r/>
            <w:r>
              <w:rPr>
                <w:b w:val="0"/>
                <w:i w:val="0"/>
                <w:sz w:val="16"/>
              </w:rPr>
              <w:t>$20,106,219</w:t>
            </w:r>
          </w:p>
        </w:tc>
      </w:tr>
      <w:tr>
        <w:tc>
          <w:tcPr>
            <w:tcW w:type="dxa" w:w="1728"/>
          </w:tcPr>
          <w:p>
            <w:pPr>
              <w:spacing w:after="20"/>
            </w:pPr>
            <w:r/>
            <w:r>
              <w:rPr>
                <w:b w:val="0"/>
                <w:i w:val="0"/>
                <w:sz w:val="16"/>
              </w:rPr>
              <w:t>CY3 (2025–26)</w:t>
            </w:r>
          </w:p>
        </w:tc>
        <w:tc>
          <w:tcPr>
            <w:tcW w:type="dxa" w:w="1224"/>
          </w:tcPr>
          <w:p>
            <w:pPr>
              <w:spacing w:after="20"/>
            </w:pPr>
            <w:r/>
            <w:r>
              <w:rPr>
                <w:b w:val="0"/>
                <w:i w:val="0"/>
                <w:sz w:val="16"/>
              </w:rPr>
              <w:t>$24.500</w:t>
            </w:r>
          </w:p>
        </w:tc>
        <w:tc>
          <w:tcPr>
            <w:tcW w:type="dxa" w:w="1368"/>
          </w:tcPr>
          <w:p>
            <w:pPr>
              <w:spacing w:after="20"/>
            </w:pPr>
            <w:r/>
            <w:r>
              <w:rPr>
                <w:b w:val="0"/>
                <w:i w:val="0"/>
                <w:sz w:val="16"/>
              </w:rPr>
              <w:t>606,390</w:t>
            </w:r>
          </w:p>
        </w:tc>
        <w:tc>
          <w:tcPr>
            <w:tcW w:type="dxa" w:w="1224"/>
          </w:tcPr>
          <w:p>
            <w:pPr>
              <w:spacing w:after="20"/>
            </w:pPr>
            <w:r/>
            <w:r>
              <w:rPr>
                <w:b w:val="0"/>
                <w:i w:val="0"/>
                <w:sz w:val="16"/>
              </w:rPr>
              <w:t>485,112</w:t>
            </w:r>
          </w:p>
        </w:tc>
        <w:tc>
          <w:tcPr>
            <w:tcW w:type="dxa" w:w="1512"/>
          </w:tcPr>
          <w:p>
            <w:pPr>
              <w:spacing w:after="20"/>
            </w:pPr>
            <w:r/>
            <w:r>
              <w:rPr>
                <w:b w:val="0"/>
                <w:i w:val="0"/>
                <w:sz w:val="16"/>
              </w:rPr>
              <w:t>$14,856,563</w:t>
            </w:r>
          </w:p>
        </w:tc>
        <w:tc>
          <w:tcPr>
            <w:tcW w:type="dxa" w:w="1368"/>
          </w:tcPr>
          <w:p>
            <w:pPr>
              <w:spacing w:after="20"/>
            </w:pPr>
            <w:r/>
            <w:r>
              <w:rPr>
                <w:b w:val="0"/>
                <w:i w:val="0"/>
                <w:sz w:val="16"/>
              </w:rPr>
              <w:t>$5,175,000</w:t>
            </w:r>
          </w:p>
        </w:tc>
        <w:tc>
          <w:tcPr>
            <w:tcW w:type="dxa" w:w="1512"/>
          </w:tcPr>
          <w:p>
            <w:pPr>
              <w:spacing w:after="20"/>
            </w:pPr>
            <w:r/>
            <w:r>
              <w:rPr>
                <w:b w:val="0"/>
                <w:i w:val="0"/>
                <w:sz w:val="16"/>
              </w:rPr>
              <w:t>$20,031,563</w:t>
            </w:r>
          </w:p>
        </w:tc>
      </w:tr>
      <w:tr>
        <w:tc>
          <w:tcPr>
            <w:tcW w:type="dxa" w:w="1728"/>
          </w:tcPr>
          <w:p>
            <w:pPr>
              <w:spacing w:after="20"/>
            </w:pPr>
            <w:r/>
            <w:r>
              <w:rPr>
                <w:b w:val="0"/>
                <w:i w:val="0"/>
                <w:sz w:val="16"/>
              </w:rPr>
              <w:t>CY5</w:t>
            </w:r>
          </w:p>
        </w:tc>
        <w:tc>
          <w:tcPr>
            <w:tcW w:type="dxa" w:w="1224"/>
          </w:tcPr>
          <w:p>
            <w:pPr>
              <w:spacing w:after="20"/>
            </w:pPr>
            <w:r/>
            <w:r>
              <w:rPr>
                <w:b w:val="0"/>
                <w:i w:val="0"/>
                <w:sz w:val="16"/>
              </w:rPr>
              <w:t>$24.500</w:t>
            </w:r>
          </w:p>
        </w:tc>
        <w:tc>
          <w:tcPr>
            <w:tcW w:type="dxa" w:w="1368"/>
          </w:tcPr>
          <w:p>
            <w:pPr>
              <w:spacing w:after="20"/>
            </w:pPr>
            <w:r/>
            <w:r>
              <w:rPr>
                <w:b w:val="0"/>
                <w:i w:val="0"/>
                <w:sz w:val="16"/>
              </w:rPr>
              <w:t>600,342</w:t>
            </w:r>
          </w:p>
        </w:tc>
        <w:tc>
          <w:tcPr>
            <w:tcW w:type="dxa" w:w="1224"/>
          </w:tcPr>
          <w:p>
            <w:pPr>
              <w:spacing w:after="20"/>
            </w:pPr>
            <w:r/>
            <w:r>
              <w:rPr>
                <w:b w:val="0"/>
                <w:i w:val="0"/>
                <w:sz w:val="16"/>
              </w:rPr>
              <w:t>480,273</w:t>
            </w:r>
          </w:p>
        </w:tc>
        <w:tc>
          <w:tcPr>
            <w:tcW w:type="dxa" w:w="1512"/>
          </w:tcPr>
          <w:p>
            <w:pPr>
              <w:spacing w:after="20"/>
            </w:pPr>
            <w:r/>
            <w:r>
              <w:rPr>
                <w:b w:val="0"/>
                <w:i w:val="0"/>
                <w:sz w:val="16"/>
              </w:rPr>
              <w:t>$14,708,368</w:t>
            </w:r>
          </w:p>
        </w:tc>
        <w:tc>
          <w:tcPr>
            <w:tcW w:type="dxa" w:w="1368"/>
          </w:tcPr>
          <w:p>
            <w:pPr>
              <w:spacing w:after="20"/>
            </w:pPr>
            <w:r/>
            <w:r>
              <w:rPr>
                <w:b w:val="0"/>
                <w:i w:val="0"/>
                <w:sz w:val="16"/>
              </w:rPr>
              <w:t>$5,175,000</w:t>
            </w:r>
          </w:p>
        </w:tc>
        <w:tc>
          <w:tcPr>
            <w:tcW w:type="dxa" w:w="1512"/>
          </w:tcPr>
          <w:p>
            <w:pPr>
              <w:spacing w:after="20"/>
            </w:pPr>
            <w:r/>
            <w:r>
              <w:rPr>
                <w:b w:val="0"/>
                <w:i w:val="0"/>
                <w:sz w:val="16"/>
              </w:rPr>
              <w:t>$19,883,368</w:t>
            </w:r>
          </w:p>
        </w:tc>
      </w:tr>
      <w:tr>
        <w:tc>
          <w:tcPr>
            <w:tcW w:type="dxa" w:w="1728"/>
          </w:tcPr>
          <w:p>
            <w:pPr>
              <w:spacing w:after="20"/>
            </w:pPr>
            <w:r/>
            <w:r>
              <w:rPr>
                <w:b w:val="0"/>
                <w:i w:val="0"/>
                <w:sz w:val="16"/>
              </w:rPr>
              <w:t>CY10 (2032–33)</w:t>
            </w:r>
          </w:p>
        </w:tc>
        <w:tc>
          <w:tcPr>
            <w:tcW w:type="dxa" w:w="1224"/>
          </w:tcPr>
          <w:p>
            <w:pPr>
              <w:spacing w:after="20"/>
            </w:pPr>
            <w:r/>
            <w:r>
              <w:rPr>
                <w:b w:val="0"/>
                <w:i w:val="0"/>
                <w:sz w:val="16"/>
              </w:rPr>
              <w:t>$24.500</w:t>
            </w:r>
          </w:p>
        </w:tc>
        <w:tc>
          <w:tcPr>
            <w:tcW w:type="dxa" w:w="1368"/>
          </w:tcPr>
          <w:p>
            <w:pPr>
              <w:spacing w:after="20"/>
            </w:pPr>
            <w:r/>
            <w:r>
              <w:rPr>
                <w:b w:val="0"/>
                <w:i w:val="0"/>
                <w:sz w:val="16"/>
              </w:rPr>
              <w:t>585,482</w:t>
            </w:r>
          </w:p>
        </w:tc>
        <w:tc>
          <w:tcPr>
            <w:tcW w:type="dxa" w:w="1224"/>
          </w:tcPr>
          <w:p>
            <w:pPr>
              <w:spacing w:after="20"/>
            </w:pPr>
            <w:r/>
            <w:r>
              <w:rPr>
                <w:b w:val="0"/>
                <w:i w:val="0"/>
                <w:sz w:val="16"/>
              </w:rPr>
              <w:t>468,386</w:t>
            </w:r>
          </w:p>
        </w:tc>
        <w:tc>
          <w:tcPr>
            <w:tcW w:type="dxa" w:w="1512"/>
          </w:tcPr>
          <w:p>
            <w:pPr>
              <w:spacing w:after="20"/>
            </w:pPr>
            <w:r/>
            <w:r>
              <w:rPr>
                <w:b w:val="0"/>
                <w:i w:val="0"/>
                <w:sz w:val="16"/>
              </w:rPr>
              <w:t>$14,344,318</w:t>
            </w:r>
          </w:p>
        </w:tc>
        <w:tc>
          <w:tcPr>
            <w:tcW w:type="dxa" w:w="1368"/>
          </w:tcPr>
          <w:p>
            <w:pPr>
              <w:spacing w:after="20"/>
            </w:pPr>
            <w:r/>
            <w:r>
              <w:rPr>
                <w:b w:val="0"/>
                <w:i w:val="0"/>
                <w:sz w:val="16"/>
              </w:rPr>
              <w:t>$5,175,000</w:t>
            </w:r>
          </w:p>
        </w:tc>
        <w:tc>
          <w:tcPr>
            <w:tcW w:type="dxa" w:w="1512"/>
          </w:tcPr>
          <w:p>
            <w:pPr>
              <w:spacing w:after="20"/>
            </w:pPr>
            <w:r/>
            <w:r>
              <w:rPr>
                <w:b w:val="0"/>
                <w:i w:val="0"/>
                <w:sz w:val="16"/>
              </w:rPr>
              <w:t>$19,519,318</w:t>
            </w:r>
          </w:p>
        </w:tc>
      </w:tr>
      <w:tr>
        <w:tc>
          <w:tcPr>
            <w:tcW w:type="dxa" w:w="1728"/>
          </w:tcPr>
          <w:p>
            <w:pPr>
              <w:spacing w:after="20"/>
            </w:pPr>
            <w:r/>
            <w:r>
              <w:rPr>
                <w:b w:val="0"/>
                <w:i w:val="0"/>
                <w:sz w:val="16"/>
              </w:rPr>
              <w:t>CY11 (first escalation)</w:t>
            </w:r>
          </w:p>
        </w:tc>
        <w:tc>
          <w:tcPr>
            <w:tcW w:type="dxa" w:w="1224"/>
          </w:tcPr>
          <w:p>
            <w:pPr>
              <w:spacing w:after="20"/>
            </w:pPr>
            <w:r/>
            <w:r>
              <w:rPr>
                <w:b w:val="0"/>
                <w:i w:val="0"/>
                <w:sz w:val="16"/>
              </w:rPr>
              <w:t>$24.929</w:t>
            </w:r>
          </w:p>
        </w:tc>
        <w:tc>
          <w:tcPr>
            <w:tcW w:type="dxa" w:w="1368"/>
          </w:tcPr>
          <w:p>
            <w:pPr>
              <w:spacing w:after="20"/>
            </w:pPr>
            <w:r/>
            <w:r>
              <w:rPr>
                <w:b w:val="0"/>
                <w:i w:val="0"/>
                <w:sz w:val="16"/>
              </w:rPr>
              <w:t>582,555</w:t>
            </w:r>
          </w:p>
        </w:tc>
        <w:tc>
          <w:tcPr>
            <w:tcW w:type="dxa" w:w="1224"/>
          </w:tcPr>
          <w:p>
            <w:pPr>
              <w:spacing w:after="20"/>
            </w:pPr>
            <w:r/>
            <w:r>
              <w:rPr>
                <w:b w:val="0"/>
                <w:i w:val="0"/>
                <w:sz w:val="16"/>
              </w:rPr>
              <w:t>466,044</w:t>
            </w:r>
          </w:p>
        </w:tc>
        <w:tc>
          <w:tcPr>
            <w:tcW w:type="dxa" w:w="1512"/>
          </w:tcPr>
          <w:p>
            <w:pPr>
              <w:spacing w:after="20"/>
            </w:pPr>
            <w:r/>
            <w:r>
              <w:rPr>
                <w:b w:val="0"/>
                <w:i w:val="0"/>
                <w:sz w:val="16"/>
              </w:rPr>
              <w:t>$14,522,367</w:t>
            </w:r>
          </w:p>
        </w:tc>
        <w:tc>
          <w:tcPr>
            <w:tcW w:type="dxa" w:w="1368"/>
          </w:tcPr>
          <w:p>
            <w:pPr>
              <w:spacing w:after="20"/>
            </w:pPr>
            <w:r/>
            <w:r>
              <w:rPr>
                <w:b w:val="0"/>
                <w:i w:val="0"/>
                <w:sz w:val="16"/>
              </w:rPr>
              <w:t>$5,175,000</w:t>
            </w:r>
          </w:p>
        </w:tc>
        <w:tc>
          <w:tcPr>
            <w:tcW w:type="dxa" w:w="1512"/>
          </w:tcPr>
          <w:p>
            <w:pPr>
              <w:spacing w:after="20"/>
            </w:pPr>
            <w:r/>
            <w:r>
              <w:rPr>
                <w:b w:val="0"/>
                <w:i w:val="0"/>
                <w:sz w:val="16"/>
              </w:rPr>
              <w:t>$19,697,367</w:t>
            </w:r>
          </w:p>
        </w:tc>
      </w:tr>
      <w:tr>
        <w:tc>
          <w:tcPr>
            <w:tcW w:type="dxa" w:w="1728"/>
          </w:tcPr>
          <w:p>
            <w:pPr>
              <w:spacing w:after="20"/>
            </w:pPr>
            <w:r/>
            <w:r>
              <w:rPr>
                <w:b w:val="0"/>
                <w:i w:val="0"/>
                <w:sz w:val="16"/>
              </w:rPr>
              <w:t>CY15</w:t>
            </w:r>
          </w:p>
        </w:tc>
        <w:tc>
          <w:tcPr>
            <w:tcW w:type="dxa" w:w="1224"/>
          </w:tcPr>
          <w:p>
            <w:pPr>
              <w:spacing w:after="20"/>
            </w:pPr>
            <w:r/>
            <w:r>
              <w:rPr>
                <w:b w:val="0"/>
                <w:i w:val="0"/>
                <w:sz w:val="16"/>
              </w:rPr>
              <w:t>$26.720</w:t>
            </w:r>
          </w:p>
        </w:tc>
        <w:tc>
          <w:tcPr>
            <w:tcW w:type="dxa" w:w="1368"/>
          </w:tcPr>
          <w:p>
            <w:pPr>
              <w:spacing w:after="20"/>
            </w:pPr>
            <w:r/>
            <w:r>
              <w:rPr>
                <w:b w:val="0"/>
                <w:i w:val="0"/>
                <w:sz w:val="16"/>
              </w:rPr>
              <w:t>570,991</w:t>
            </w:r>
          </w:p>
        </w:tc>
        <w:tc>
          <w:tcPr>
            <w:tcW w:type="dxa" w:w="1224"/>
          </w:tcPr>
          <w:p>
            <w:pPr>
              <w:spacing w:after="20"/>
            </w:pPr>
            <w:r/>
            <w:r>
              <w:rPr>
                <w:b w:val="0"/>
                <w:i w:val="0"/>
                <w:sz w:val="16"/>
              </w:rPr>
              <w:t>456,793</w:t>
            </w:r>
          </w:p>
        </w:tc>
        <w:tc>
          <w:tcPr>
            <w:tcW w:type="dxa" w:w="1512"/>
          </w:tcPr>
          <w:p>
            <w:pPr>
              <w:spacing w:after="20"/>
            </w:pPr>
            <w:r/>
            <w:r>
              <w:rPr>
                <w:b w:val="0"/>
                <w:i w:val="0"/>
                <w:sz w:val="16"/>
              </w:rPr>
              <w:t>$15,256,939</w:t>
            </w:r>
          </w:p>
        </w:tc>
        <w:tc>
          <w:tcPr>
            <w:tcW w:type="dxa" w:w="1368"/>
          </w:tcPr>
          <w:p>
            <w:pPr>
              <w:spacing w:after="20"/>
            </w:pPr>
            <w:r/>
            <w:r>
              <w:rPr>
                <w:b w:val="0"/>
                <w:i w:val="0"/>
                <w:sz w:val="16"/>
              </w:rPr>
              <w:t>$5,175,000</w:t>
            </w:r>
          </w:p>
        </w:tc>
        <w:tc>
          <w:tcPr>
            <w:tcW w:type="dxa" w:w="1512"/>
          </w:tcPr>
          <w:p>
            <w:pPr>
              <w:spacing w:after="20"/>
            </w:pPr>
            <w:r/>
            <w:r>
              <w:rPr>
                <w:b w:val="0"/>
                <w:i w:val="0"/>
                <w:sz w:val="16"/>
              </w:rPr>
              <w:t>$20,431,939</w:t>
            </w:r>
          </w:p>
        </w:tc>
      </w:tr>
      <w:tr>
        <w:tc>
          <w:tcPr>
            <w:tcW w:type="dxa" w:w="1728"/>
          </w:tcPr>
          <w:p>
            <w:pPr>
              <w:spacing w:after="20"/>
            </w:pPr>
            <w:r/>
            <w:r>
              <w:rPr>
                <w:b w:val="0"/>
                <w:i w:val="0"/>
                <w:sz w:val="16"/>
              </w:rPr>
              <w:t>CY20 (2042–43)</w:t>
            </w:r>
          </w:p>
        </w:tc>
        <w:tc>
          <w:tcPr>
            <w:tcW w:type="dxa" w:w="1224"/>
          </w:tcPr>
          <w:p>
            <w:pPr>
              <w:spacing w:after="20"/>
            </w:pPr>
            <w:r/>
            <w:r>
              <w:rPr>
                <w:b w:val="0"/>
                <w:i w:val="0"/>
                <w:sz w:val="16"/>
              </w:rPr>
              <w:t>$29.141</w:t>
            </w:r>
          </w:p>
        </w:tc>
        <w:tc>
          <w:tcPr>
            <w:tcW w:type="dxa" w:w="1368"/>
          </w:tcPr>
          <w:p>
            <w:pPr>
              <w:spacing w:after="20"/>
            </w:pPr>
            <w:r/>
            <w:r>
              <w:rPr>
                <w:b w:val="0"/>
                <w:i w:val="0"/>
                <w:sz w:val="16"/>
              </w:rPr>
              <w:t>556,858</w:t>
            </w:r>
          </w:p>
        </w:tc>
        <w:tc>
          <w:tcPr>
            <w:tcW w:type="dxa" w:w="1224"/>
          </w:tcPr>
          <w:p>
            <w:pPr>
              <w:spacing w:after="20"/>
            </w:pPr>
            <w:r/>
            <w:r>
              <w:rPr>
                <w:b w:val="0"/>
                <w:i w:val="0"/>
                <w:sz w:val="16"/>
              </w:rPr>
              <w:t>445,487</w:t>
            </w:r>
          </w:p>
        </w:tc>
        <w:tc>
          <w:tcPr>
            <w:tcW w:type="dxa" w:w="1512"/>
          </w:tcPr>
          <w:p>
            <w:pPr>
              <w:spacing w:after="20"/>
            </w:pPr>
            <w:r/>
            <w:r>
              <w:rPr>
                <w:b w:val="0"/>
                <w:i w:val="0"/>
                <w:sz w:val="16"/>
              </w:rPr>
              <w:t>$16,227,622</w:t>
            </w:r>
          </w:p>
        </w:tc>
        <w:tc>
          <w:tcPr>
            <w:tcW w:type="dxa" w:w="1368"/>
          </w:tcPr>
          <w:p>
            <w:pPr>
              <w:spacing w:after="20"/>
            </w:pPr>
            <w:r/>
            <w:r>
              <w:rPr>
                <w:b w:val="0"/>
                <w:i w:val="0"/>
                <w:sz w:val="16"/>
              </w:rPr>
              <w:t>$5,175,000</w:t>
            </w:r>
          </w:p>
        </w:tc>
        <w:tc>
          <w:tcPr>
            <w:tcW w:type="dxa" w:w="1512"/>
          </w:tcPr>
          <w:p>
            <w:pPr>
              <w:spacing w:after="20"/>
            </w:pPr>
            <w:r/>
            <w:r>
              <w:rPr>
                <w:b w:val="0"/>
                <w:i w:val="0"/>
                <w:sz w:val="16"/>
              </w:rPr>
              <w:t>$21,402,622</w:t>
            </w:r>
          </w:p>
        </w:tc>
      </w:tr>
    </w:tbl>
    <w:p>
      <w:pPr>
        <w:spacing w:after="40"/>
      </w:pPr>
    </w:p>
    <w:p>
      <w:pPr>
        <w:pStyle w:val="ListBullet"/>
        <w:spacing w:after="40"/>
      </w:pPr>
      <w:r>
        <w:rPr>
          <w:b/>
          <w:i w:val="0"/>
        </w:rPr>
        <w:t>Aggregate contracted revenue (P50):</w:t>
      </w:r>
      <w:r>
        <w:rPr>
          <w:b w:val="0"/>
          <w:i w:val="0"/>
        </w:rPr>
        <w:t xml:space="preserve"> ~$300.3M energy + $103.5M BESS over the full 20-year term. Remaining CY3–CY20: ~$270.4M energy + $93.2M BESS = </w:t>
      </w:r>
      <w:r>
        <w:rPr>
          <w:b/>
          <w:i w:val="0"/>
        </w:rPr>
        <w:t>~$363.6M nominal</w:t>
      </w:r>
      <w:r>
        <w:rPr>
          <w:b w:val="0"/>
          <w:i w:val="0"/>
        </w:rPr>
        <w:t>.</w:t>
      </w:r>
    </w:p>
    <w:p>
      <w:pPr>
        <w:pStyle w:val="ListBullet"/>
        <w:spacing w:after="40"/>
      </w:pPr>
      <w:r>
        <w:rPr>
          <w:b/>
          <w:i w:val="0"/>
        </w:rPr>
        <w:t>Effective Year 1 revenue per MWh:</w:t>
      </w:r>
      <w:r>
        <w:rPr>
          <w:b w:val="0"/>
          <w:i w:val="0"/>
        </w:rPr>
        <w:t xml:space="preserve"> ~$32.95/MWh ($24.50 energy + ~$8.45/MWh BESS capacity spread over P50 output). This is relevant to the 16.5 All-In Cost test.</w:t>
      </w:r>
    </w:p>
    <w:p>
      <w:pPr>
        <w:pStyle w:val="ListBullet"/>
        <w:spacing w:after="40"/>
      </w:pPr>
      <w:r>
        <w:rPr>
          <w:b/>
          <w:i w:val="0"/>
        </w:rPr>
        <w:t>Real erosion:</w:t>
      </w:r>
      <w:r>
        <w:rPr>
          <w:b w:val="0"/>
          <w:i w:val="0"/>
        </w:rPr>
        <w:t xml:space="preserve"> Energy price is flat through CY10, and the BESS payment is flat for 20 years. At an assumed 2.5% inflation, the BESS payment’s real value in CY20 is ~62% of CY1.</w:t>
      </w:r>
    </w:p>
    <w:p>
      <w:pPr>
        <w:pStyle w:val="ListBullet"/>
        <w:spacing w:after="40"/>
      </w:pPr>
      <w:r>
        <w:rPr>
          <w:b/>
          <w:i w:val="0"/>
        </w:rPr>
        <w:t>Section 16.5 Termination Payment vs. value forgone (energy only, 7.5% discount, mid-year convention):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92"/>
            <w:shd w:val="clear" w:color="auto" w:fill="1F3A5F"/>
          </w:tcPr>
          <w:p>
            <w:r/>
            <w:r>
              <w:rPr>
                <w:b/>
                <w:color w:val="FFFFFF"/>
                <w:sz w:val="17"/>
              </w:rPr>
              <w:t>Termination Effective</w:t>
            </w:r>
          </w:p>
        </w:tc>
        <w:tc>
          <w:tcPr>
            <w:tcW w:type="dxa" w:w="2736"/>
            <w:shd w:val="clear" w:color="auto" w:fill="1F3A5F"/>
          </w:tcPr>
          <w:p>
            <w:r/>
            <w:r>
              <w:rPr>
                <w:b/>
                <w:color w:val="FFFFFF"/>
                <w:sz w:val="17"/>
              </w:rPr>
              <w:t>NPV of Remaining Energy Payments</w:t>
            </w:r>
          </w:p>
        </w:tc>
        <w:tc>
          <w:tcPr>
            <w:tcW w:type="dxa" w:w="2016"/>
            <w:shd w:val="clear" w:color="auto" w:fill="1F3A5F"/>
          </w:tcPr>
          <w:p>
            <w:r/>
            <w:r>
              <w:rPr>
                <w:b/>
                <w:color w:val="FFFFFF"/>
                <w:sz w:val="17"/>
              </w:rPr>
              <w:t>50% of NPV</w:t>
            </w:r>
          </w:p>
        </w:tc>
        <w:tc>
          <w:tcPr>
            <w:tcW w:type="dxa" w:w="2736"/>
            <w:shd w:val="clear" w:color="auto" w:fill="1F3A5F"/>
          </w:tcPr>
          <w:p>
            <w:r/>
            <w:r>
              <w:rPr>
                <w:b/>
                <w:color w:val="FFFFFF"/>
                <w:sz w:val="17"/>
              </w:rPr>
              <w:t>Termination Payment (lesser of)</w:t>
            </w:r>
          </w:p>
        </w:tc>
      </w:tr>
      <w:tr>
        <w:tc>
          <w:tcPr>
            <w:tcW w:type="dxa" w:w="2592"/>
          </w:tcPr>
          <w:p>
            <w:pPr>
              <w:spacing w:after="20"/>
            </w:pPr>
            <w:r/>
            <w:r>
              <w:rPr>
                <w:b w:val="0"/>
                <w:i w:val="0"/>
                <w:sz w:val="17"/>
              </w:rPr>
              <w:t>Start of CY3 (Mar. 2025)</w:t>
            </w:r>
          </w:p>
        </w:tc>
        <w:tc>
          <w:tcPr>
            <w:tcW w:type="dxa" w:w="2736"/>
          </w:tcPr>
          <w:p>
            <w:pPr>
              <w:spacing w:after="20"/>
            </w:pPr>
            <w:r/>
            <w:r>
              <w:rPr>
                <w:b w:val="0"/>
                <w:i w:val="0"/>
                <w:sz w:val="17"/>
              </w:rPr>
              <w:t>~$149.7M</w:t>
            </w:r>
          </w:p>
        </w:tc>
        <w:tc>
          <w:tcPr>
            <w:tcW w:type="dxa" w:w="2016"/>
          </w:tcPr>
          <w:p>
            <w:pPr>
              <w:spacing w:after="20"/>
            </w:pPr>
            <w:r/>
            <w:r>
              <w:rPr>
                <w:b w:val="0"/>
                <w:i w:val="0"/>
                <w:sz w:val="17"/>
              </w:rPr>
              <w:t>~$74.8M</w:t>
            </w:r>
          </w:p>
        </w:tc>
        <w:tc>
          <w:tcPr>
            <w:tcW w:type="dxa" w:w="2736"/>
          </w:tcPr>
          <w:p>
            <w:pPr>
              <w:spacing w:after="20"/>
            </w:pPr>
            <w:r/>
            <w:r>
              <w:rPr>
                <w:b w:val="0"/>
                <w:i w:val="0"/>
                <w:sz w:val="17"/>
              </w:rPr>
              <w:t>$30.0M (cap)</w:t>
            </w:r>
          </w:p>
        </w:tc>
      </w:tr>
      <w:tr>
        <w:tc>
          <w:tcPr>
            <w:tcW w:type="dxa" w:w="2592"/>
          </w:tcPr>
          <w:p>
            <w:pPr>
              <w:spacing w:after="20"/>
            </w:pPr>
            <w:r/>
            <w:r>
              <w:rPr>
                <w:b w:val="0"/>
                <w:i w:val="0"/>
                <w:sz w:val="17"/>
              </w:rPr>
              <w:t>Start of CY6 (Mar. 2028)</w:t>
            </w:r>
          </w:p>
        </w:tc>
        <w:tc>
          <w:tcPr>
            <w:tcW w:type="dxa" w:w="2736"/>
          </w:tcPr>
          <w:p>
            <w:pPr>
              <w:spacing w:after="20"/>
            </w:pPr>
            <w:r/>
            <w:r>
              <w:rPr>
                <w:b w:val="0"/>
                <w:i w:val="0"/>
                <w:sz w:val="17"/>
              </w:rPr>
              <w:t>~$136.4M</w:t>
            </w:r>
          </w:p>
        </w:tc>
        <w:tc>
          <w:tcPr>
            <w:tcW w:type="dxa" w:w="2016"/>
          </w:tcPr>
          <w:p>
            <w:pPr>
              <w:spacing w:after="20"/>
            </w:pPr>
            <w:r/>
            <w:r>
              <w:rPr>
                <w:b w:val="0"/>
                <w:i w:val="0"/>
                <w:sz w:val="17"/>
              </w:rPr>
              <w:t>~$68.2M</w:t>
            </w:r>
          </w:p>
        </w:tc>
        <w:tc>
          <w:tcPr>
            <w:tcW w:type="dxa" w:w="2736"/>
          </w:tcPr>
          <w:p>
            <w:pPr>
              <w:spacing w:after="20"/>
            </w:pPr>
            <w:r/>
            <w:r>
              <w:rPr>
                <w:b w:val="0"/>
                <w:i w:val="0"/>
                <w:sz w:val="17"/>
              </w:rPr>
              <w:t>$30.0M (cap)</w:t>
            </w:r>
          </w:p>
        </w:tc>
      </w:tr>
      <w:tr>
        <w:tc>
          <w:tcPr>
            <w:tcW w:type="dxa" w:w="2592"/>
          </w:tcPr>
          <w:p>
            <w:pPr>
              <w:spacing w:after="20"/>
            </w:pPr>
            <w:r/>
            <w:r>
              <w:rPr>
                <w:b w:val="0"/>
                <w:i w:val="0"/>
                <w:sz w:val="17"/>
              </w:rPr>
              <w:t>Start of CY11 (Mar. 2033)</w:t>
            </w:r>
          </w:p>
        </w:tc>
        <w:tc>
          <w:tcPr>
            <w:tcW w:type="dxa" w:w="2736"/>
          </w:tcPr>
          <w:p>
            <w:pPr>
              <w:spacing w:after="20"/>
            </w:pPr>
            <w:r/>
            <w:r>
              <w:rPr>
                <w:b w:val="0"/>
                <w:i w:val="0"/>
                <w:sz w:val="17"/>
              </w:rPr>
              <w:t>~$108.5M</w:t>
            </w:r>
          </w:p>
        </w:tc>
        <w:tc>
          <w:tcPr>
            <w:tcW w:type="dxa" w:w="2016"/>
          </w:tcPr>
          <w:p>
            <w:pPr>
              <w:spacing w:after="20"/>
            </w:pPr>
            <w:r/>
            <w:r>
              <w:rPr>
                <w:b w:val="0"/>
                <w:i w:val="0"/>
                <w:sz w:val="17"/>
              </w:rPr>
              <w:t>~$54.3M</w:t>
            </w:r>
          </w:p>
        </w:tc>
        <w:tc>
          <w:tcPr>
            <w:tcW w:type="dxa" w:w="2736"/>
          </w:tcPr>
          <w:p>
            <w:pPr>
              <w:spacing w:after="20"/>
            </w:pPr>
            <w:r/>
            <w:r>
              <w:rPr>
                <w:b w:val="0"/>
                <w:i w:val="0"/>
                <w:sz w:val="17"/>
              </w:rPr>
              <w:t>$30.0M (cap)</w:t>
            </w:r>
          </w:p>
        </w:tc>
      </w:tr>
      <w:tr>
        <w:tc>
          <w:tcPr>
            <w:tcW w:type="dxa" w:w="2592"/>
          </w:tcPr>
          <w:p>
            <w:pPr>
              <w:spacing w:after="20"/>
            </w:pPr>
            <w:r/>
            <w:r>
              <w:rPr>
                <w:b w:val="0"/>
                <w:i w:val="0"/>
                <w:sz w:val="17"/>
              </w:rPr>
              <w:t>Start of CY16 (Mar. 2038)</w:t>
            </w:r>
          </w:p>
        </w:tc>
        <w:tc>
          <w:tcPr>
            <w:tcW w:type="dxa" w:w="2736"/>
          </w:tcPr>
          <w:p>
            <w:pPr>
              <w:spacing w:after="20"/>
            </w:pPr>
            <w:r/>
            <w:r>
              <w:rPr>
                <w:b w:val="0"/>
                <w:i w:val="0"/>
                <w:sz w:val="17"/>
              </w:rPr>
              <w:t>~$66.3M</w:t>
            </w:r>
          </w:p>
        </w:tc>
        <w:tc>
          <w:tcPr>
            <w:tcW w:type="dxa" w:w="2016"/>
          </w:tcPr>
          <w:p>
            <w:pPr>
              <w:spacing w:after="20"/>
            </w:pPr>
            <w:r/>
            <w:r>
              <w:rPr>
                <w:b w:val="0"/>
                <w:i w:val="0"/>
                <w:sz w:val="17"/>
              </w:rPr>
              <w:t>~$33.2M</w:t>
            </w:r>
          </w:p>
        </w:tc>
        <w:tc>
          <w:tcPr>
            <w:tcW w:type="dxa" w:w="2736"/>
          </w:tcPr>
          <w:p>
            <w:pPr>
              <w:spacing w:after="20"/>
            </w:pPr>
            <w:r/>
            <w:r>
              <w:rPr>
                <w:b w:val="0"/>
                <w:i w:val="0"/>
                <w:sz w:val="17"/>
              </w:rPr>
              <w:t>$30.0M (cap)</w:t>
            </w:r>
          </w:p>
        </w:tc>
      </w:tr>
      <w:tr>
        <w:tc>
          <w:tcPr>
            <w:tcW w:type="dxa" w:w="2592"/>
          </w:tcPr>
          <w:p>
            <w:pPr>
              <w:spacing w:after="20"/>
            </w:pPr>
            <w:r/>
            <w:r>
              <w:rPr>
                <w:b w:val="0"/>
                <w:i w:val="0"/>
                <w:sz w:val="17"/>
              </w:rPr>
              <w:t>Start of CY18 (Mar. 2040)</w:t>
            </w:r>
          </w:p>
        </w:tc>
        <w:tc>
          <w:tcPr>
            <w:tcW w:type="dxa" w:w="2736"/>
          </w:tcPr>
          <w:p>
            <w:pPr>
              <w:spacing w:after="20"/>
            </w:pPr>
            <w:r/>
            <w:r>
              <w:rPr>
                <w:b w:val="0"/>
                <w:i w:val="0"/>
                <w:sz w:val="17"/>
              </w:rPr>
              <w:t>~$43.2M</w:t>
            </w:r>
          </w:p>
        </w:tc>
        <w:tc>
          <w:tcPr>
            <w:tcW w:type="dxa" w:w="2016"/>
          </w:tcPr>
          <w:p>
            <w:pPr>
              <w:spacing w:after="20"/>
            </w:pPr>
            <w:r/>
            <w:r>
              <w:rPr>
                <w:b w:val="0"/>
                <w:i w:val="0"/>
                <w:sz w:val="17"/>
              </w:rPr>
              <w:t>~$21.6M</w:t>
            </w:r>
          </w:p>
        </w:tc>
        <w:tc>
          <w:tcPr>
            <w:tcW w:type="dxa" w:w="2736"/>
          </w:tcPr>
          <w:p>
            <w:pPr>
              <w:spacing w:after="20"/>
            </w:pPr>
            <w:r/>
            <w:r>
              <w:rPr>
                <w:b w:val="0"/>
                <w:i w:val="0"/>
                <w:sz w:val="17"/>
              </w:rPr>
              <w:t>~$21.6M</w:t>
            </w:r>
          </w:p>
        </w:tc>
      </w:tr>
    </w:tbl>
    <w:p>
      <w:pPr>
        <w:spacing w:after="40"/>
      </w:pPr>
    </w:p>
    <w:p>
      <w:pPr>
        <w:pStyle w:val="ListBullet"/>
        <w:spacing w:after="40"/>
      </w:pPr>
      <w:r>
        <w:rPr>
          <w:b/>
          <w:i w:val="0"/>
        </w:rPr>
        <w:t>Congestion sharing (8.5):</w:t>
      </w:r>
      <w:r>
        <w:rPr>
          <w:b w:val="0"/>
          <w:i w:val="0"/>
        </w:rPr>
        <w:t xml:space="preserve"> Seller pays nothing at an annual average Congestion Cost of $8.00/MWh or less. At $12.00/MWh the payment is ~$1.225M (PPA example). The $2.5M annual cap binds at ~$16.16/MWh on P50 volumes. The maximum remaining exposure over CY3–CY20 is ~$45M nominal.</w:t>
      </w:r>
    </w:p>
    <w:p>
      <w:pPr>
        <w:pStyle w:val="ListBullet"/>
        <w:spacing w:after="40"/>
      </w:pPr>
      <w:r>
        <w:rPr>
          <w:b/>
          <w:i w:val="0"/>
        </w:rPr>
        <w:t>Shortfall LD sensitivity (6.3):</w:t>
      </w:r>
      <w:r>
        <w:rPr>
          <w:b w:val="0"/>
          <w:i w:val="0"/>
        </w:rPr>
        <w:t xml:space="preserve"> Every 10,000 MWh below MAD costs ~$269,500 at the CY1–10 price ($26.95/MWh). The MAD cushion in CY1 was 112,300 MWh. On P90 output (~565,000 MWh), Seller remains ~77,000 MWh above the CY2 MAD before considering uncompensated Buyer free curtailment (up to ~30,500 MWh) and excess ERCOT curtailment counted against MAD.</w:t>
      </w:r>
    </w:p>
    <w:p>
      <w:pPr>
        <w:pStyle w:val="Heading1"/>
      </w:pPr>
      <w:r>
        <w:t>5. Operating History, Curtailment and Counterparty Credit Observations</w:t>
      </w:r>
    </w:p>
    <w:p>
      <w:pPr>
        <w:pStyle w:val="Heading2"/>
      </w:pPr>
      <w:r>
        <w:t>5.1 Curtailment — the Technical Summary understates the revenue impact</w:t>
      </w:r>
    </w:p>
    <w:p>
      <w:pPr>
        <w:pStyle w:val="ListBullet"/>
        <w:spacing w:after="40"/>
      </w:pPr>
      <w:r>
        <w:rPr>
          <w:b/>
          <w:i w:val="0"/>
        </w:rPr>
        <w:t>CY1:</w:t>
      </w:r>
      <w:r>
        <w:rPr>
          <w:b w:val="0"/>
          <w:i w:val="0"/>
        </w:rPr>
        <w:t xml:space="preserve"> 620 hours of ERCOT-directed curtailment against the 500-hour System Curtailment Threshold, with ~14,500 MWh of estimated lost generation (~23.4 MWh per curtailed hour). The Technical Summary describes ~11,600 MWh as "excused" and values only the ~2,900 MWh excess at $71,050. Under Section 7.2, Force Majeure treatment excuses the delivery obligation only. Neither Buyer nor ERCOT pays for curtailed energy at any hour count, so </w:t>
      </w:r>
      <w:r>
        <w:rPr>
          <w:b/>
          <w:i w:val="0"/>
        </w:rPr>
        <w:t>the full ~14,500 MWh (~$355,250 at $24.50/MWh) was uncompensated</w:t>
      </w:r>
      <w:r>
        <w:rPr>
          <w:b w:val="0"/>
          <w:i w:val="0"/>
        </w:rPr>
        <w:t>. The excess-hour MWh also count as shortfall against MAD (7.2(b)), which had no consequence in CY1 given the cushion.</w:t>
      </w:r>
    </w:p>
    <w:p>
      <w:pPr>
        <w:pStyle w:val="ListBullet"/>
        <w:spacing w:after="40"/>
      </w:pPr>
      <w:r>
        <w:rPr>
          <w:b/>
          <w:i w:val="0"/>
        </w:rPr>
        <w:t>CY2 (partial):</w:t>
      </w:r>
      <w:r>
        <w:rPr>
          <w:b w:val="0"/>
          <w:i w:val="0"/>
        </w:rPr>
        <w:t xml:space="preserve"> ~410 hours through December 31, 2024, with ~2.5 months remaining. Meridian notes it is "on pace to potentially exceed" 500 hours and that curtailment frequency in ERCOT West is increasing with regional solar build-out. Generation is tracking ~2.1% below pro-rated P50.</w:t>
      </w:r>
    </w:p>
    <w:p>
      <w:pPr>
        <w:pStyle w:val="ListBullet"/>
        <w:spacing w:after="40"/>
      </w:pPr>
      <w:r>
        <w:rPr>
          <w:b/>
          <w:i w:val="0"/>
        </w:rPr>
        <w:t>Implication:</w:t>
      </w:r>
      <w:r>
        <w:rPr>
          <w:b w:val="0"/>
          <w:i w:val="0"/>
        </w:rPr>
        <w:t xml:space="preserve"> The 500-hour threshold was described as the parties’ "shared assumption" (7.2) and is already outdated. The model should run curtailment cases (e.g., 750 / 1,000 / 1,500 hours) on revenue and MAD. Also confirm historical Buyer economic curtailment volumes under 7.1, which the Technical Summary does not report.</w:t>
      </w:r>
    </w:p>
    <w:p>
      <w:pPr>
        <w:pStyle w:val="Heading2"/>
      </w:pPr>
      <w:r>
        <w:t>5.2 BVMPA credit — Credit Summary is a seller-prepared document; key caveats</w:t>
      </w:r>
    </w:p>
    <w:p>
      <w:pPr>
        <w:pStyle w:val="ListBullet"/>
        <w:spacing w:after="40"/>
      </w:pPr>
      <w:r>
        <w:rPr>
          <w:b/>
          <w:i w:val="0"/>
        </w:rPr>
        <w:t>Rating source:</w:t>
      </w:r>
      <w:r>
        <w:rPr>
          <w:b w:val="0"/>
          <w:i w:val="0"/>
        </w:rPr>
        <w:t xml:space="preserve"> The A2/A rating, stable for three years, is from Crestline Ratings only. The PPA’s Investment Grade, Qualified Institution and Downgrade tests all key off Crestline. Confirm whether BVMPA carries ratings from other nationally recognized agencies, and obtain BVMPA audited financial statements, the rate covenant and member-city power supply contracts (term vs. PPA tenor through 2043).</w:t>
      </w:r>
    </w:p>
    <w:p>
      <w:pPr>
        <w:pStyle w:val="ListBullet"/>
        <w:spacing w:after="40"/>
      </w:pPr>
      <w:r>
        <w:rPr>
          <w:b/>
          <w:i w:val="0"/>
        </w:rPr>
        <w:t>Size and coverage:</w:t>
      </w:r>
      <w:r>
        <w:rPr>
          <w:b w:val="0"/>
          <w:i w:val="0"/>
        </w:rPr>
        <w:t xml:space="preserve"> ~$420M annual revenue and 1.45x DSCR (per Meridian). Year 1 PPA payments of ~$20.2M are ~4.8% of revenue (our check confirms the arithmetic). We have not independently verified these figures.</w:t>
      </w:r>
    </w:p>
    <w:p>
      <w:pPr>
        <w:pStyle w:val="ListBullet"/>
        <w:spacing w:after="40"/>
      </w:pPr>
      <w:r>
        <w:rPr>
          <w:b/>
          <w:i w:val="0"/>
        </w:rPr>
        <w:t>Insolvency framing:</w:t>
      </w:r>
      <w:r>
        <w:rPr>
          <w:b w:val="0"/>
          <w:i w:val="0"/>
        </w:rPr>
        <w:t xml:space="preserve"> The Credit Summary states that BVMPA is not eligible for Chapter 11 and that Chapter 9 requires state authorization. Texas law generally authorizes political subdivisions to seek Chapter 9 relief (see Tex. Loc. Gov’t Code ch. 140, to be confirmed by Texas counsel). A Chapter 9 debtor may seek to reject executory contracts such as a PPA. The structural protection is therefore real but less absolute than presented. Winter Storm Uri (February 2021) caused severe financial distress among ERCOT public power and cooperative entities, and BVMPA’s Uri experience should be diligenced.</w:t>
      </w:r>
    </w:p>
    <w:p>
      <w:pPr>
        <w:pStyle w:val="ListBullet"/>
        <w:spacing w:after="40"/>
      </w:pPr>
      <w:r>
        <w:rPr>
          <w:b/>
          <w:i w:val="0"/>
        </w:rPr>
        <w:t>Governmental immunity / enforcement:</w:t>
      </w:r>
      <w:r>
        <w:rPr>
          <w:b w:val="0"/>
          <w:i w:val="0"/>
        </w:rPr>
        <w:t xml:space="preserve"> The PPA has no express immunity waiver or remedies clause addressing BVMPA’s status. Texas counsel should confirm the enforceability of the arbitration clause and monetary remedies against a municipal power agency.</w:t>
      </w:r>
    </w:p>
    <w:p>
      <w:pPr>
        <w:pStyle w:val="ListBullet"/>
        <w:spacing w:after="40"/>
      </w:pPr>
      <w:r>
        <w:rPr>
          <w:b/>
          <w:i w:val="0"/>
        </w:rPr>
        <w:t>Downgrade LC:</w:t>
      </w:r>
      <w:r>
        <w:rPr>
          <w:b w:val="0"/>
          <w:i w:val="0"/>
        </w:rPr>
        <w:t xml:space="preserve"> The Credit Summary cites ~$10.1M per 13.4(b). Section 13.4(d) and Schedule B point to $9.5M (see Section 6).</w:t>
      </w:r>
    </w:p>
    <w:p>
      <w:pPr>
        <w:pStyle w:val="Heading1"/>
      </w:pPr>
      <w:r>
        <w:t>6. Discrepancies Between the PPA and the Meridian-Prepared Materials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val="clear" w:color="auto" w:fill="1F3A5F"/>
          </w:tcPr>
          <w:p>
            <w:r/>
            <w:r>
              <w:rPr>
                <w:b/>
                <w:color w:val="FFFFFF"/>
                <w:sz w:val="16"/>
              </w:rPr>
              <w:t>Topic</w:t>
            </w:r>
          </w:p>
        </w:tc>
        <w:tc>
          <w:tcPr>
            <w:tcW w:type="dxa" w:w="2736"/>
            <w:shd w:val="clear" w:color="auto" w:fill="1F3A5F"/>
          </w:tcPr>
          <w:p>
            <w:r/>
            <w:r>
              <w:rPr>
                <w:b/>
                <w:color w:val="FFFFFF"/>
                <w:sz w:val="16"/>
              </w:rPr>
              <w:t>Meridian Materials Say</w:t>
            </w:r>
          </w:p>
        </w:tc>
        <w:tc>
          <w:tcPr>
            <w:tcW w:type="dxa" w:w="3168"/>
            <w:shd w:val="clear" w:color="auto" w:fill="1F3A5F"/>
          </w:tcPr>
          <w:p>
            <w:r/>
            <w:r>
              <w:rPr>
                <w:b/>
                <w:color w:val="FFFFFF"/>
                <w:sz w:val="16"/>
              </w:rPr>
              <w:t>PPA Says</w:t>
            </w:r>
          </w:p>
        </w:tc>
        <w:tc>
          <w:tcPr>
            <w:tcW w:type="dxa" w:w="2592"/>
            <w:shd w:val="clear" w:color="auto" w:fill="1F3A5F"/>
          </w:tcPr>
          <w:p>
            <w:r/>
            <w:r>
              <w:rPr>
                <w:b/>
                <w:color w:val="FFFFFF"/>
                <w:sz w:val="16"/>
              </w:rPr>
              <w:t>Implication / Action</w:t>
            </w:r>
          </w:p>
        </w:tc>
      </w:tr>
      <w:tr>
        <w:tc>
          <w:tcPr>
            <w:tcW w:type="dxa" w:w="1584"/>
          </w:tcPr>
          <w:p>
            <w:pPr>
              <w:spacing w:after="20"/>
            </w:pPr>
            <w:r/>
            <w:r>
              <w:rPr>
                <w:b w:val="0"/>
                <w:i w:val="0"/>
                <w:sz w:val="16"/>
              </w:rPr>
              <w:t>Execution status</w:t>
            </w:r>
          </w:p>
        </w:tc>
        <w:tc>
          <w:tcPr>
            <w:tcW w:type="dxa" w:w="2736"/>
          </w:tcPr>
          <w:p>
            <w:pPr>
              <w:spacing w:after="20"/>
            </w:pPr>
            <w:r/>
            <w:r>
              <w:rPr>
                <w:b w:val="0"/>
                <w:i w:val="0"/>
                <w:sz w:val="16"/>
              </w:rPr>
              <w:t>Email: PPA is "fully executed and in effect".</w:t>
            </w:r>
          </w:p>
        </w:tc>
        <w:tc>
          <w:tcPr>
            <w:tcW w:type="dxa" w:w="3168"/>
          </w:tcPr>
          <w:p>
            <w:pPr>
              <w:spacing w:after="20"/>
            </w:pPr>
            <w:r/>
            <w:r>
              <w:rPr>
                <w:b w:val="0"/>
                <w:i w:val="0"/>
                <w:sz w:val="16"/>
              </w:rPr>
              <w:t>The copy provided has blank signature lines ("By: ____") for Seller, Buyer and the attesting officer.</w:t>
            </w:r>
          </w:p>
        </w:tc>
        <w:tc>
          <w:tcPr>
            <w:tcW w:type="dxa" w:w="2592"/>
          </w:tcPr>
          <w:p>
            <w:pPr>
              <w:spacing w:after="20"/>
            </w:pPr>
            <w:r/>
            <w:r>
              <w:rPr>
                <w:b w:val="0"/>
                <w:i w:val="0"/>
                <w:sz w:val="16"/>
              </w:rPr>
              <w:t>Obtain the fully signed PPA (and Original Agreement), BVMPA board resolution approving the A&amp;R, and incumbency.</w:t>
            </w:r>
          </w:p>
        </w:tc>
      </w:tr>
      <w:tr>
        <w:tc>
          <w:tcPr>
            <w:tcW w:type="dxa" w:w="1584"/>
          </w:tcPr>
          <w:p>
            <w:pPr>
              <w:spacing w:after="20"/>
            </w:pPr>
            <w:r/>
            <w:r>
              <w:rPr>
                <w:b w:val="0"/>
                <w:i w:val="0"/>
                <w:sz w:val="16"/>
              </w:rPr>
              <w:t>Buyer Downgrade LC amount</w:t>
            </w:r>
          </w:p>
        </w:tc>
        <w:tc>
          <w:tcPr>
            <w:tcW w:type="dxa" w:w="2736"/>
          </w:tcPr>
          <w:p>
            <w:pPr>
              <w:spacing w:after="20"/>
            </w:pPr>
            <w:r/>
            <w:r>
              <w:rPr>
                <w:b w:val="0"/>
                <w:i w:val="0"/>
                <w:sz w:val="16"/>
              </w:rPr>
              <w:t>Credit Summary: ~$10.1M "per Section 13.4(b)".</w:t>
            </w:r>
          </w:p>
        </w:tc>
        <w:tc>
          <w:tcPr>
            <w:tcW w:type="dxa" w:w="3168"/>
          </w:tcPr>
          <w:p>
            <w:pPr>
              <w:spacing w:after="20"/>
            </w:pPr>
            <w:r/>
            <w:r>
              <w:rPr>
                <w:b w:val="0"/>
                <w:i w:val="0"/>
                <w:sz w:val="16"/>
              </w:rPr>
              <w:t>13.4(b) formula: $10,090,625 (CY1). 13.4(d): amount "as set forth in Schedule B". Schedule B §II: $9,500,000 fixed.</w:t>
            </w:r>
          </w:p>
        </w:tc>
        <w:tc>
          <w:tcPr>
            <w:tcW w:type="dxa" w:w="2592"/>
          </w:tcPr>
          <w:p>
            <w:pPr>
              <w:spacing w:after="20"/>
            </w:pPr>
            <w:r/>
            <w:r>
              <w:rPr>
                <w:b w:val="0"/>
                <w:i w:val="0"/>
                <w:sz w:val="16"/>
              </w:rPr>
              <w:t>Treat $9.5M as the likely operative amount. Clarify via BVMPA estoppel or amendment.</w:t>
            </w:r>
          </w:p>
        </w:tc>
      </w:tr>
      <w:tr>
        <w:tc>
          <w:tcPr>
            <w:tcW w:type="dxa" w:w="1584"/>
          </w:tcPr>
          <w:p>
            <w:pPr>
              <w:spacing w:after="20"/>
            </w:pPr>
            <w:r/>
            <w:r>
              <w:rPr>
                <w:b w:val="0"/>
                <w:i w:val="0"/>
                <w:sz w:val="16"/>
              </w:rPr>
              <w:t>ERCOT curtailment economics</w:t>
            </w:r>
          </w:p>
        </w:tc>
        <w:tc>
          <w:tcPr>
            <w:tcW w:type="dxa" w:w="2736"/>
          </w:tcPr>
          <w:p>
            <w:pPr>
              <w:spacing w:after="20"/>
            </w:pPr>
            <w:r/>
            <w:r>
              <w:rPr>
                <w:b w:val="0"/>
                <w:i w:val="0"/>
                <w:sz w:val="16"/>
              </w:rPr>
              <w:t>Technical Summary: ~11,600 MWh "excused"; Seller bears revenue risk only on ~2,900 MWh ($71,050).</w:t>
            </w:r>
          </w:p>
        </w:tc>
        <w:tc>
          <w:tcPr>
            <w:tcW w:type="dxa" w:w="3168"/>
          </w:tcPr>
          <w:p>
            <w:pPr>
              <w:spacing w:after="20"/>
            </w:pPr>
            <w:r/>
            <w:r>
              <w:rPr>
                <w:b w:val="0"/>
                <w:i w:val="0"/>
                <w:sz w:val="16"/>
              </w:rPr>
              <w:t>7.2: FM excuses delivery only. No payment for any ERCOT-curtailed MWh. Excess-hour MWh count against MAD.</w:t>
            </w:r>
          </w:p>
        </w:tc>
        <w:tc>
          <w:tcPr>
            <w:tcW w:type="dxa" w:w="2592"/>
          </w:tcPr>
          <w:p>
            <w:pPr>
              <w:spacing w:after="20"/>
            </w:pPr>
            <w:r/>
            <w:r>
              <w:rPr>
                <w:b w:val="0"/>
                <w:i w:val="0"/>
                <w:sz w:val="16"/>
              </w:rPr>
              <w:t>Revenue impact in CY1 was ~$355,250, not $71,050. Re-base the model.</w:t>
            </w:r>
          </w:p>
        </w:tc>
      </w:tr>
      <w:tr>
        <w:tc>
          <w:tcPr>
            <w:tcW w:type="dxa" w:w="1584"/>
          </w:tcPr>
          <w:p>
            <w:pPr>
              <w:spacing w:after="20"/>
            </w:pPr>
            <w:r/>
            <w:r>
              <w:rPr>
                <w:b w:val="0"/>
                <w:i w:val="0"/>
                <w:sz w:val="16"/>
              </w:rPr>
              <w:t>BESS capacity obligation</w:t>
            </w:r>
          </w:p>
        </w:tc>
        <w:tc>
          <w:tcPr>
            <w:tcW w:type="dxa" w:w="2736"/>
          </w:tcPr>
          <w:p>
            <w:pPr>
              <w:spacing w:after="20"/>
            </w:pPr>
            <w:r/>
            <w:r>
              <w:rPr>
                <w:b w:val="0"/>
                <w:i w:val="0"/>
                <w:sz w:val="16"/>
              </w:rPr>
              <w:t>Technical Summary: supplier warranty of 70% at 20 years; "augmentation may be required".</w:t>
            </w:r>
          </w:p>
        </w:tc>
        <w:tc>
          <w:tcPr>
            <w:tcW w:type="dxa" w:w="3168"/>
          </w:tcPr>
          <w:p>
            <w:pPr>
              <w:spacing w:after="20"/>
            </w:pPr>
            <w:r/>
            <w:r>
              <w:rPr>
                <w:b w:val="0"/>
                <w:i w:val="0"/>
                <w:sz w:val="16"/>
              </w:rPr>
              <w:t>Schedule A §5: Seller "shall augment" to maintain ≥ 270 MWh (90%) for 15 years.</w:t>
            </w:r>
          </w:p>
        </w:tc>
        <w:tc>
          <w:tcPr>
            <w:tcW w:type="dxa" w:w="2592"/>
          </w:tcPr>
          <w:p>
            <w:pPr>
              <w:spacing w:after="20"/>
            </w:pPr>
            <w:r/>
            <w:r>
              <w:rPr>
                <w:b w:val="0"/>
                <w:i w:val="0"/>
                <w:sz w:val="16"/>
              </w:rPr>
              <w:t>A hard contractual obligation. Obtain an augmentation plan, cost estimate and reserve.</w:t>
            </w:r>
          </w:p>
        </w:tc>
      </w:tr>
      <w:tr>
        <w:tc>
          <w:tcPr>
            <w:tcW w:type="dxa" w:w="1584"/>
          </w:tcPr>
          <w:p>
            <w:pPr>
              <w:spacing w:after="20"/>
            </w:pPr>
            <w:r/>
            <w:r>
              <w:rPr>
                <w:b w:val="0"/>
                <w:i w:val="0"/>
                <w:sz w:val="16"/>
              </w:rPr>
              <w:t>Site area</w:t>
            </w:r>
          </w:p>
        </w:tc>
        <w:tc>
          <w:tcPr>
            <w:tcW w:type="dxa" w:w="2736"/>
          </w:tcPr>
          <w:p>
            <w:pPr>
              <w:spacing w:after="20"/>
            </w:pPr>
            <w:r/>
            <w:r>
              <w:rPr>
                <w:b w:val="0"/>
                <w:i w:val="0"/>
                <w:sz w:val="16"/>
              </w:rPr>
              <w:t>Technical Summary: ~1,800 acres of leased ranchland.</w:t>
            </w:r>
          </w:p>
        </w:tc>
        <w:tc>
          <w:tcPr>
            <w:tcW w:type="dxa" w:w="3168"/>
          </w:tcPr>
          <w:p>
            <w:pPr>
              <w:spacing w:after="20"/>
            </w:pPr>
            <w:r/>
            <w:r>
              <w:rPr>
                <w:b w:val="0"/>
                <w:i w:val="0"/>
                <w:sz w:val="16"/>
              </w:rPr>
              <w:t>Schedule A §3: ~2,500 acres under long-term ground lease (30 years + 2×10-year extensions).</w:t>
            </w:r>
          </w:p>
        </w:tc>
        <w:tc>
          <w:tcPr>
            <w:tcW w:type="dxa" w:w="2592"/>
          </w:tcPr>
          <w:p>
            <w:pPr>
              <w:spacing w:after="20"/>
            </w:pPr>
            <w:r/>
            <w:r>
              <w:rPr>
                <w:b w:val="0"/>
                <w:i w:val="0"/>
                <w:sz w:val="16"/>
              </w:rPr>
              <w:t>Reconcile with the title/lease diligence and survey.</w:t>
            </w:r>
          </w:p>
        </w:tc>
      </w:tr>
      <w:tr>
        <w:tc>
          <w:tcPr>
            <w:tcW w:type="dxa" w:w="1584"/>
          </w:tcPr>
          <w:p>
            <w:pPr>
              <w:spacing w:after="20"/>
            </w:pPr>
            <w:r/>
            <w:r>
              <w:rPr>
                <w:b w:val="0"/>
                <w:i w:val="0"/>
                <w:sz w:val="16"/>
              </w:rPr>
              <w:t>Inverters</w:t>
            </w:r>
          </w:p>
        </w:tc>
        <w:tc>
          <w:tcPr>
            <w:tcW w:type="dxa" w:w="2736"/>
          </w:tcPr>
          <w:p>
            <w:pPr>
              <w:spacing w:after="20"/>
            </w:pPr>
            <w:r/>
            <w:r>
              <w:rPr>
                <w:b w:val="0"/>
                <w:i w:val="0"/>
                <w:sz w:val="16"/>
              </w:rPr>
              <w:t>Technical Summary: utility-scale central inverters, 4.4 MVA each.</w:t>
            </w:r>
          </w:p>
        </w:tc>
        <w:tc>
          <w:tcPr>
            <w:tcW w:type="dxa" w:w="3168"/>
          </w:tcPr>
          <w:p>
            <w:pPr>
              <w:spacing w:after="20"/>
            </w:pPr>
            <w:r/>
            <w:r>
              <w:rPr>
                <w:b w:val="0"/>
                <w:i w:val="0"/>
                <w:sz w:val="16"/>
              </w:rPr>
              <w:t>Schedule A §4: central and string inverters, multi-manufacturer configuration.</w:t>
            </w:r>
          </w:p>
        </w:tc>
        <w:tc>
          <w:tcPr>
            <w:tcW w:type="dxa" w:w="2592"/>
          </w:tcPr>
          <w:p>
            <w:pPr>
              <w:spacing w:after="20"/>
            </w:pPr>
            <w:r/>
            <w:r>
              <w:rPr>
                <w:b w:val="0"/>
                <w:i w:val="0"/>
                <w:sz w:val="16"/>
              </w:rPr>
              <w:t>Reconcile with the as-built drawings and warranty/O&amp;M contracts.</w:t>
            </w:r>
          </w:p>
        </w:tc>
      </w:tr>
      <w:tr>
        <w:tc>
          <w:tcPr>
            <w:tcW w:type="dxa" w:w="1584"/>
          </w:tcPr>
          <w:p>
            <w:pPr>
              <w:spacing w:after="20"/>
            </w:pPr>
            <w:r/>
            <w:r>
              <w:rPr>
                <w:b w:val="0"/>
                <w:i w:val="0"/>
                <w:sz w:val="16"/>
              </w:rPr>
              <w:t>Module technology</w:t>
            </w:r>
          </w:p>
        </w:tc>
        <w:tc>
          <w:tcPr>
            <w:tcW w:type="dxa" w:w="2736"/>
          </w:tcPr>
          <w:p>
            <w:pPr>
              <w:spacing w:after="20"/>
            </w:pPr>
            <w:r/>
            <w:r>
              <w:rPr>
                <w:b w:val="0"/>
                <w:i w:val="0"/>
                <w:sz w:val="16"/>
              </w:rPr>
              <w:t>Technical Summary: bifacial monocrystalline silicon ("Series 7 equivalent").</w:t>
            </w:r>
          </w:p>
        </w:tc>
        <w:tc>
          <w:tcPr>
            <w:tcW w:type="dxa" w:w="3168"/>
          </w:tcPr>
          <w:p>
            <w:pPr>
              <w:spacing w:after="20"/>
            </w:pPr>
            <w:r/>
            <w:r>
              <w:rPr>
                <w:b w:val="0"/>
                <w:i w:val="0"/>
                <w:sz w:val="16"/>
              </w:rPr>
              <w:t>Schedule A §4: bifacial mono-Si "equivalent to First Solar Series 7 class performance". First Solar Series 7 is a thin-film CdTe product, not mono-Si.</w:t>
            </w:r>
          </w:p>
        </w:tc>
        <w:tc>
          <w:tcPr>
            <w:tcW w:type="dxa" w:w="2592"/>
          </w:tcPr>
          <w:p>
            <w:pPr>
              <w:spacing w:after="20"/>
            </w:pPr>
            <w:r/>
            <w:r>
              <w:rPr>
                <w:b w:val="0"/>
                <w:i w:val="0"/>
                <w:sz w:val="16"/>
              </w:rPr>
              <w:t>Confirm the actual module make/model and warranty (degradation assumptions depend on it).</w:t>
            </w:r>
          </w:p>
        </w:tc>
      </w:tr>
      <w:tr>
        <w:tc>
          <w:tcPr>
            <w:tcW w:type="dxa" w:w="1584"/>
          </w:tcPr>
          <w:p>
            <w:pPr>
              <w:spacing w:after="20"/>
            </w:pPr>
            <w:r/>
            <w:r>
              <w:rPr>
                <w:b w:val="0"/>
                <w:i w:val="0"/>
                <w:sz w:val="16"/>
              </w:rPr>
              <w:t>MAD illustration math</w:t>
            </w:r>
          </w:p>
        </w:tc>
        <w:tc>
          <w:tcPr>
            <w:tcW w:type="dxa" w:w="2736"/>
          </w:tcPr>
          <w:p>
            <w:pPr>
              <w:spacing w:after="20"/>
            </w:pPr>
            <w:r/>
            <w:r>
              <w:rPr>
                <w:b w:val="0"/>
                <w:i w:val="0"/>
                <w:sz w:val="16"/>
              </w:rPr>
              <w:t>Technical Summary repeats the PPA figures: CY10 468,367; CY20 445,537 MWh.</w:t>
            </w:r>
          </w:p>
        </w:tc>
        <w:tc>
          <w:tcPr>
            <w:tcW w:type="dxa" w:w="3168"/>
          </w:tcPr>
          <w:p>
            <w:pPr>
              <w:spacing w:after="20"/>
            </w:pPr>
            <w:r/>
            <w:r>
              <w:rPr>
                <w:b w:val="0"/>
                <w:i w:val="0"/>
                <w:sz w:val="16"/>
              </w:rPr>
              <w:t>Applying the 6.2/6.8 formula yields CY5 480,273 (PPA: 480,267); CY10 468,386 (468,367); CY15 456,793 (456,715); CY20 445,487 (445,537).</w:t>
            </w:r>
          </w:p>
        </w:tc>
        <w:tc>
          <w:tcPr>
            <w:tcW w:type="dxa" w:w="2592"/>
          </w:tcPr>
          <w:p>
            <w:pPr>
              <w:spacing w:after="20"/>
            </w:pPr>
            <w:r/>
            <w:r>
              <w:rPr>
                <w:b w:val="0"/>
                <w:i w:val="0"/>
                <w:sz w:val="16"/>
              </w:rPr>
              <w:t>Small differences (&lt; 100 MWh). The formula should control, but the PPA has no express formula-over-example rule. Confirm in the estoppel.</w:t>
            </w:r>
          </w:p>
        </w:tc>
      </w:tr>
      <w:tr>
        <w:tc>
          <w:tcPr>
            <w:tcW w:type="dxa" w:w="1584"/>
          </w:tcPr>
          <w:p>
            <w:pPr>
              <w:spacing w:after="20"/>
            </w:pPr>
            <w:r/>
            <w:r>
              <w:rPr>
                <w:b w:val="0"/>
                <w:i w:val="0"/>
                <w:sz w:val="16"/>
              </w:rPr>
              <w:t>Tax credits</w:t>
            </w:r>
          </w:p>
        </w:tc>
        <w:tc>
          <w:tcPr>
            <w:tcW w:type="dxa" w:w="2736"/>
          </w:tcPr>
          <w:p>
            <w:pPr>
              <w:spacing w:after="20"/>
            </w:pPr>
            <w:r/>
            <w:r>
              <w:rPr>
                <w:b w:val="0"/>
                <w:i w:val="0"/>
                <w:sz w:val="16"/>
              </w:rPr>
              <w:t>Credit/Technical Summaries are silent.</w:t>
            </w:r>
          </w:p>
        </w:tc>
        <w:tc>
          <w:tcPr>
            <w:tcW w:type="dxa" w:w="3168"/>
          </w:tcPr>
          <w:p>
            <w:pPr>
              <w:spacing w:after="20"/>
            </w:pPr>
            <w:r/>
            <w:r>
              <w:rPr>
                <w:b w:val="0"/>
                <w:i w:val="0"/>
                <w:sz w:val="16"/>
              </w:rPr>
              <w:t>9.4(b) reopener measured from Sept. 1, 2021 (pre-IRA).</w:t>
            </w:r>
          </w:p>
        </w:tc>
        <w:tc>
          <w:tcPr>
            <w:tcW w:type="dxa" w:w="2592"/>
          </w:tcPr>
          <w:p>
            <w:pPr>
              <w:spacing w:after="20"/>
            </w:pPr>
            <w:r/>
            <w:r>
              <w:rPr>
                <w:b w:val="0"/>
                <w:i w:val="0"/>
                <w:sz w:val="16"/>
              </w:rPr>
              <w:t>Not disclosed by Seller. Raise directly with Whitfield &amp; Crane / Thomas Berwick.</w:t>
            </w:r>
          </w:p>
        </w:tc>
      </w:tr>
      <w:tr>
        <w:tc>
          <w:tcPr>
            <w:tcW w:type="dxa" w:w="1584"/>
          </w:tcPr>
          <w:p>
            <w:pPr>
              <w:spacing w:after="20"/>
            </w:pPr>
            <w:r/>
            <w:r>
              <w:rPr>
                <w:b w:val="0"/>
                <w:i w:val="0"/>
                <w:sz w:val="16"/>
              </w:rPr>
              <w:t>Insolvency risk</w:t>
            </w:r>
          </w:p>
        </w:tc>
        <w:tc>
          <w:tcPr>
            <w:tcW w:type="dxa" w:w="2736"/>
          </w:tcPr>
          <w:p>
            <w:pPr>
              <w:spacing w:after="20"/>
            </w:pPr>
            <w:r/>
            <w:r>
              <w:rPr>
                <w:b w:val="0"/>
                <w:i w:val="0"/>
                <w:sz w:val="16"/>
              </w:rPr>
              <w:t>Credit Summary: Chapter 9 requirement "significantly reduces" insolvency risk.</w:t>
            </w:r>
          </w:p>
        </w:tc>
        <w:tc>
          <w:tcPr>
            <w:tcW w:type="dxa" w:w="3168"/>
          </w:tcPr>
          <w:p>
            <w:pPr>
              <w:spacing w:after="20"/>
            </w:pPr>
            <w:r/>
            <w:r>
              <w:rPr>
                <w:b w:val="0"/>
                <w:i w:val="0"/>
                <w:sz w:val="16"/>
              </w:rPr>
              <w:t>15.3 Insolvency Event applies to Buyer. Texas law generally authorizes Chapter 9 filings by political subdivisions (to be confirmed).</w:t>
            </w:r>
          </w:p>
        </w:tc>
        <w:tc>
          <w:tcPr>
            <w:tcW w:type="dxa" w:w="2592"/>
          </w:tcPr>
          <w:p>
            <w:pPr>
              <w:spacing w:after="20"/>
            </w:pPr>
            <w:r/>
            <w:r>
              <w:rPr>
                <w:b w:val="0"/>
                <w:i w:val="0"/>
                <w:sz w:val="16"/>
              </w:rPr>
              <w:t>Treat as mitigated, not eliminated.</w:t>
            </w:r>
          </w:p>
        </w:tc>
      </w:tr>
    </w:tbl>
    <w:p>
      <w:pPr>
        <w:spacing w:after="40"/>
      </w:pPr>
    </w:p>
    <w:p>
      <w:pPr>
        <w:pStyle w:val="Heading1"/>
      </w:pPr>
      <w:r>
        <w:t>7. Drafting Ambiguities and Internal Inconsistencies</w:t>
      </w:r>
    </w:p>
    <w:p>
      <w:pPr>
        <w:pStyle w:val="ListBullet"/>
        <w:spacing w:after="40"/>
      </w:pPr>
      <w:r>
        <w:rPr>
          <w:b/>
          <w:i w:val="0"/>
        </w:rPr>
        <w:t>Buyer-instructed curtailment vs. MAD (6.2, 7.1, 1.1 "Curtailed Energy").</w:t>
      </w:r>
      <w:r>
        <w:rPr>
          <w:b w:val="0"/>
          <w:i w:val="0"/>
        </w:rPr>
        <w:t xml:space="preserve"> 6.2 excludes all Curtailed Energy from Seller’s deliveries "except as expressly provided in Section 7.2". It does not state that Buyer-instructed curtailment (free or paid) reduces the MAD or is deemed delivered. On a literal reading, Buyer could curtail and then claim Shortfall LDs. Market practice deems such energy delivered.</w:t>
      </w:r>
    </w:p>
    <w:p>
      <w:pPr>
        <w:pStyle w:val="ListBullet"/>
        <w:spacing w:after="40"/>
      </w:pPr>
      <w:r>
        <w:rPr>
          <w:b/>
          <w:i w:val="0"/>
        </w:rPr>
        <w:t>Effect of FM-excused ERCOT curtailment on MAD (7.2).</w:t>
      </w:r>
      <w:r>
        <w:rPr>
          <w:b w:val="0"/>
          <w:i w:val="0"/>
        </w:rPr>
        <w:t xml:space="preserve"> "Excused from its delivery obligations" for the first 500 hours does not specify the mechanic (MAD reduction vs. deemed delivery).</w:t>
      </w:r>
    </w:p>
    <w:p>
      <w:pPr>
        <w:pStyle w:val="ListBullet"/>
        <w:spacing w:after="40"/>
      </w:pPr>
      <w:r>
        <w:rPr>
          <w:b/>
          <w:i w:val="0"/>
        </w:rPr>
        <w:t>Seller Curtailment scope (1.1 vs 7.4).</w:t>
      </w:r>
      <w:r>
        <w:rPr>
          <w:b w:val="0"/>
          <w:i w:val="0"/>
        </w:rPr>
        <w:t xml:space="preserve"> The definition includes maintenance and equipment failure, while 7.4’s 120% LD is framed around voluntary curtailment/diversion. Forced outages could be argued to attract 120% LDs.</w:t>
      </w:r>
    </w:p>
    <w:p>
      <w:pPr>
        <w:pStyle w:val="ListBullet"/>
        <w:spacing w:after="40"/>
      </w:pPr>
      <w:r>
        <w:rPr>
          <w:b/>
          <w:i w:val="0"/>
        </w:rPr>
        <w:t>Buyer Downgrade LC (13.4(b) vs 13.4(d)/Schedule B).</w:t>
      </w:r>
      <w:r>
        <w:rPr>
          <w:b w:val="0"/>
          <w:i w:val="0"/>
        </w:rPr>
        <w:t xml:space="preserve"> $10,090,625 formula vs. $9,500,000 fixed.</w:t>
      </w:r>
    </w:p>
    <w:p>
      <w:pPr>
        <w:pStyle w:val="ListBullet"/>
        <w:spacing w:after="40"/>
      </w:pPr>
      <w:r>
        <w:rPr>
          <w:b/>
          <w:i w:val="0"/>
        </w:rPr>
        <w:t>Liability cap scope (15.5).</w:t>
      </w:r>
      <w:r>
        <w:rPr>
          <w:b w:val="0"/>
          <w:i w:val="0"/>
        </w:rPr>
        <w:t xml:space="preserve"> It is unclear whether the cap applies to ordinary payment obligations (Contract Price, BESS payments, 8.5 congestion reimbursements) or only to damages. LDs are carved out of the consequential-damages waiver but not from the aggregate cap.</w:t>
      </w:r>
    </w:p>
    <w:p>
      <w:pPr>
        <w:pStyle w:val="ListBullet"/>
        <w:spacing w:after="40"/>
      </w:pPr>
      <w:r>
        <w:rPr>
          <w:b/>
          <w:i w:val="0"/>
        </w:rPr>
        <w:t>Section 4.3 cross-reference.</w:t>
      </w:r>
      <w:r>
        <w:rPr>
          <w:b w:val="0"/>
          <w:i w:val="0"/>
        </w:rPr>
        <w:t xml:space="preserve"> 15.5 carves out "delay liquidated damages under Section 4.3", but the A&amp;R has no stand-alone Section 4.3 (it is described in 4.2). Harmless now that COD is achieved.</w:t>
      </w:r>
    </w:p>
    <w:p>
      <w:pPr>
        <w:pStyle w:val="ListBullet"/>
        <w:spacing w:after="40"/>
      </w:pPr>
      <w:r>
        <w:rPr>
          <w:b/>
          <w:i w:val="0"/>
        </w:rPr>
        <w:t>Survival period.</w:t>
      </w:r>
      <w:r>
        <w:rPr>
          <w:b w:val="0"/>
          <w:i w:val="0"/>
        </w:rPr>
        <w:t xml:space="preserve"> 2.2 (24 months) vs. 20.1 (3 years) for confidentiality.</w:t>
      </w:r>
    </w:p>
    <w:p>
      <w:pPr>
        <w:pStyle w:val="ListBullet"/>
        <w:spacing w:after="40"/>
      </w:pPr>
      <w:r>
        <w:rPr>
          <w:b/>
          <w:i w:val="0"/>
        </w:rPr>
        <w:t>Force Majeure.</w:t>
      </w:r>
      <w:r>
        <w:rPr>
          <w:b w:val="0"/>
          <w:i w:val="0"/>
        </w:rPr>
        <w:t xml:space="preserve"> 17.1(a) (earthquakes generally) vs. 17.1(f) (M5.0 within 100 miles). "Issuance of new or amended permits" is listed as FM in 17.1(e).</w:t>
      </w:r>
    </w:p>
    <w:p>
      <w:pPr>
        <w:pStyle w:val="ListBullet"/>
        <w:spacing w:after="40"/>
      </w:pPr>
      <w:r>
        <w:rPr>
          <w:b/>
          <w:i w:val="0"/>
        </w:rPr>
        <w:t>BESS Availability measurement.</w:t>
      </w:r>
      <w:r>
        <w:rPr>
          <w:b w:val="0"/>
          <w:i w:val="0"/>
        </w:rPr>
        <w:t xml:space="preserve"> Rolling 30-day (1.1; 7.3(b)(i)) vs. calendar-month proration (8.2(e)).</w:t>
      </w:r>
    </w:p>
    <w:p>
      <w:pPr>
        <w:pStyle w:val="ListBullet"/>
        <w:spacing w:after="40"/>
      </w:pPr>
      <w:r>
        <w:rPr>
          <w:b/>
          <w:i w:val="0"/>
        </w:rPr>
        <w:t>Delivery Point settlement.</w:t>
      </w:r>
      <w:r>
        <w:rPr>
          <w:b w:val="0"/>
          <w:i w:val="0"/>
        </w:rPr>
        <w:t xml:space="preserve"> Defined as corresponding to LZ_WEST (a load zone), with no treatment of resource-node basis.</w:t>
      </w:r>
    </w:p>
    <w:p>
      <w:pPr>
        <w:pStyle w:val="ListBullet"/>
        <w:spacing w:after="40"/>
      </w:pPr>
      <w:r>
        <w:rPr>
          <w:b/>
          <w:i w:val="0"/>
        </w:rPr>
        <w:t>Environmental Attributes vs. Tax Credits.</w:t>
      </w:r>
      <w:r>
        <w:rPr>
          <w:b w:val="0"/>
          <w:i w:val="0"/>
        </w:rPr>
        <w:t xml:space="preserve"> No express carve-out of Tax Credits from the broad Environmental Attributes definition. RECs on grid-charged Discharged Energy are not addressed.</w:t>
      </w:r>
    </w:p>
    <w:p>
      <w:pPr>
        <w:pStyle w:val="ListBullet"/>
        <w:spacing w:after="40"/>
      </w:pPr>
      <w:r>
        <w:rPr>
          <w:b/>
          <w:i w:val="0"/>
        </w:rPr>
        <w:t>Regulatory Cost Event causation (16.5(a)).</w:t>
      </w:r>
      <w:r>
        <w:rPr>
          <w:b w:val="0"/>
          <w:i w:val="0"/>
        </w:rPr>
        <w:t xml:space="preserve"> "As a result of" a Change in Law, where All-In Cost includes market-driven congestion, invites disputes over apportionment between regulatory and market causes.</w:t>
      </w:r>
    </w:p>
    <w:p>
      <w:pPr>
        <w:pStyle w:val="Heading1"/>
      </w:pPr>
      <w:r>
        <w:t>8. Recommended Actions and Transaction Protections</w:t>
      </w:r>
    </w:p>
    <w:p>
      <w:pPr>
        <w:pStyle w:val="Heading2"/>
      </w:pPr>
      <w:r>
        <w:t>8.1 Conditions precedent / BVMPA deliverables</w:t>
      </w:r>
    </w:p>
    <w:p>
      <w:pPr>
        <w:pStyle w:val="ListBullet"/>
        <w:spacing w:after="40"/>
      </w:pPr>
      <w:r>
        <w:rPr>
          <w:b/>
          <w:i w:val="0"/>
        </w:rPr>
        <w:t>BVMPA Change of Control consent</w:t>
      </w:r>
      <w:r>
        <w:rPr>
          <w:b w:val="0"/>
          <w:i w:val="0"/>
        </w:rPr>
        <w:t xml:space="preserve"> under 14.2(b), with the complete 14.2(c) package (org chart to ultimate owners, ratings and financials of the acquirer/guarantor, transaction description, O&amp;M capability/operator arrangements) delivered as early as possible. Calendar the 45-Business-Day deemed-consent date, but do not rely on deemed consent alone for closing.</w:t>
      </w:r>
    </w:p>
    <w:p>
      <w:pPr>
        <w:pStyle w:val="ListBullet"/>
        <w:spacing w:after="40"/>
      </w:pPr>
      <w:r>
        <w:rPr>
          <w:b/>
          <w:i w:val="0"/>
        </w:rPr>
        <w:t>BVMPA estoppel certificate</w:t>
      </w:r>
      <w:r>
        <w:rPr>
          <w:b w:val="0"/>
          <w:i w:val="0"/>
        </w:rPr>
        <w:t xml:space="preserve"> confirming: the PPA is in full force with no amendments, side letters or waivers; no defaults or disputes; no Favorable Tax Change notice and (ideally) a waiver of any 9.4(b) claim relating to the IRA; no Regulatory Cost Event or 16.5 notice; curtailment hours and Free Curtailment volumes by Contract Year; any congestion reimbursement owed; current LC amounts (Seller $7.5M; Buyer Downgrade LC = $9.5M or the formula amount); and treatment of Buyer-curtailed energy for MAD purposes.</w:t>
      </w:r>
    </w:p>
    <w:p>
      <w:pPr>
        <w:pStyle w:val="ListBullet"/>
        <w:spacing w:after="40"/>
      </w:pPr>
      <w:r>
        <w:rPr>
          <w:b/>
          <w:i w:val="0"/>
        </w:rPr>
        <w:t>Lender consent agreement</w:t>
      </w:r>
      <w:r>
        <w:rPr>
          <w:b w:val="0"/>
          <w:i w:val="0"/>
        </w:rPr>
        <w:t xml:space="preserve"> (14.3), if acquisition financing or back-leverage is contemplated, negotiated alongside the CoC consent.</w:t>
      </w:r>
    </w:p>
    <w:p>
      <w:pPr>
        <w:pStyle w:val="ListBullet"/>
        <w:spacing w:after="40"/>
      </w:pPr>
      <w:r>
        <w:rPr>
          <w:b/>
          <w:i w:val="0"/>
        </w:rPr>
        <w:t>Replacement credit support</w:t>
      </w:r>
      <w:r>
        <w:rPr>
          <w:b w:val="0"/>
          <w:i w:val="0"/>
        </w:rPr>
        <w:t xml:space="preserve"> at closing for the $7.5M Seller LC (and any parent guaranty BVMPA requires as a consent condition), arranged so there is no lapse under 15.1(d).</w:t>
      </w:r>
    </w:p>
    <w:p>
      <w:pPr>
        <w:pStyle w:val="Heading2"/>
      </w:pPr>
      <w:r>
        <w:t>8.2 Purchase agreement protections</w:t>
      </w:r>
    </w:p>
    <w:p>
      <w:pPr>
        <w:pStyle w:val="ListBullet"/>
        <w:spacing w:after="40"/>
      </w:pPr>
      <w:r>
        <w:rPr>
          <w:b w:val="0"/>
          <w:i w:val="0"/>
        </w:rPr>
        <w:t>A specific indemnity (surviving to the end of the Delivery Term or the reopener exposure period), escrow or price adjustment for any 9.4(b) Contract Price reduction attributable to tax law changes enacted before closing (including the IRA).</w:t>
      </w:r>
    </w:p>
    <w:p>
      <w:pPr>
        <w:pStyle w:val="ListBullet"/>
        <w:spacing w:after="40"/>
      </w:pPr>
      <w:r>
        <w:rPr>
          <w:b w:val="0"/>
          <w:i w:val="0"/>
        </w:rPr>
        <w:t>Reps on: an executed and complete PPA; no amendments/side letters/waivers; no notices of default, FM, Regulatory Cost Event or Tax Reopener; accuracy of curtailment and invoicing data; compliance with the Schedule C insurance program (including the $500k property deductible cap); BESS capacity ≥ 270 MWh and the status of augmentation; tax credit claims and recapture position.</w:t>
      </w:r>
    </w:p>
    <w:p>
      <w:pPr>
        <w:pStyle w:val="ListBullet"/>
        <w:spacing w:after="40"/>
      </w:pPr>
      <w:r>
        <w:rPr>
          <w:b w:val="0"/>
          <w:i w:val="0"/>
        </w:rPr>
        <w:t>Address ITC recapture and tax-equity/transfer consequences of the acquisition with tax counsel (the Facility was placed in service in 2023, so the recapture period runs to ~2028).</w:t>
      </w:r>
    </w:p>
    <w:p>
      <w:pPr>
        <w:pStyle w:val="ListBullet"/>
        <w:spacing w:after="40"/>
      </w:pPr>
      <w:r>
        <w:rPr>
          <w:b w:val="0"/>
          <w:i w:val="0"/>
        </w:rPr>
        <w:t>Covenant to cooperate with BVMPA consent, plus an outside date sized to the 45-Business-Day clock.</w:t>
      </w:r>
    </w:p>
    <w:p>
      <w:pPr>
        <w:pStyle w:val="Heading2"/>
      </w:pPr>
      <w:r>
        <w:t>8.3 Confirmatory diligence / model inputs</w:t>
      </w:r>
    </w:p>
    <w:p>
      <w:pPr>
        <w:pStyle w:val="ListBullet"/>
        <w:spacing w:after="40"/>
      </w:pPr>
      <w:r>
        <w:rPr>
          <w:b w:val="0"/>
          <w:i w:val="0"/>
        </w:rPr>
        <w:t>IE nodal curtailment and congestion study (Pecos 345 kV / LZ_WEST–LZ_SOUTH), including planned transmission upgrades. Obtain CY1–CY2 settlement, invoice and congestion data.</w:t>
      </w:r>
    </w:p>
    <w:p>
      <w:pPr>
        <w:pStyle w:val="ListBullet"/>
        <w:spacing w:after="40"/>
      </w:pPr>
      <w:r>
        <w:rPr>
          <w:b w:val="0"/>
          <w:i w:val="0"/>
        </w:rPr>
        <w:t>BESS: augmentation plan and capex, LTSA/warranty terms, charging cost and RTE assumptions, AS revenue actually shared (40%) to date.</w:t>
      </w:r>
    </w:p>
    <w:p>
      <w:pPr>
        <w:pStyle w:val="ListBullet"/>
        <w:spacing w:after="40"/>
      </w:pPr>
      <w:r>
        <w:rPr>
          <w:b w:val="0"/>
          <w:i w:val="0"/>
        </w:rPr>
        <w:t>Tax: ITC vs PTC election, credit amount, any §6418 transfer or tax equity, and the A&amp;R negotiation record on IRA pricing (Thomas Berwick / Whitfield &amp; Crane).</w:t>
      </w:r>
    </w:p>
    <w:p>
      <w:pPr>
        <w:pStyle w:val="ListBullet"/>
        <w:spacing w:after="40"/>
      </w:pPr>
      <w:r>
        <w:rPr>
          <w:b w:val="0"/>
          <w:i w:val="0"/>
        </w:rPr>
        <w:t>BVMPA: multi-agency ratings, audited financials, rate covenant, member-city contract tenors, Uri impacts, immunity and Chapter 9 analysis by Texas public-power counsel.</w:t>
      </w:r>
    </w:p>
    <w:p>
      <w:pPr>
        <w:pStyle w:val="ListBullet"/>
        <w:spacing w:after="40"/>
      </w:pPr>
      <w:r>
        <w:rPr>
          <w:b w:val="0"/>
          <w:i w:val="0"/>
        </w:rPr>
        <w:t>Technical reconciliation of the Schedule A vs. Technical Summary discrepancies (site area, inverters, modules).</w:t>
      </w:r>
    </w:p>
    <w:p>
      <w:pPr>
        <w:pStyle w:val="ListBullet"/>
        <w:spacing w:after="40"/>
      </w:pPr>
      <w:r>
        <w:rPr>
          <w:b w:val="0"/>
          <w:i w:val="0"/>
        </w:rPr>
        <w:t>Model downside cases for the 16.5 termination ($30M payment then merchant), flat BESS payment, congestion at the cap, and elevated curtailment.</w:t>
      </w:r>
    </w:p>
    <w:p>
      <w:pPr>
        <w:pStyle w:val="Heading1"/>
      </w:pPr>
      <w:r>
        <w:t>9. Scope, Assumptions and Limitations</w:t>
      </w:r>
    </w:p>
    <w:p>
      <w:pPr>
        <w:pStyle w:val="ListBullet"/>
        <w:spacing w:after="40"/>
      </w:pPr>
      <w:r>
        <w:rPr>
          <w:b w:val="0"/>
          <w:i w:val="0"/>
        </w:rPr>
        <w:t>This summary is based solely on the four documents listed above. We have not reviewed the Original Agreement, interconnection agreement, ground lease, EPC/O&amp;M/BESS supply contracts, tax credit documentation, insurance certificates, or ERCOT settlement data.</w:t>
      </w:r>
    </w:p>
    <w:p>
      <w:pPr>
        <w:pStyle w:val="ListBullet"/>
        <w:spacing w:after="40"/>
      </w:pPr>
      <w:r>
        <w:rPr>
          <w:b w:val="0"/>
          <w:i w:val="0"/>
        </w:rPr>
        <w:t>Market-standard characterizations are qualitative judgments for IC orientation and should not be read as a statistical benchmark. Federal tax and Texas public-law points are flagged for confirmation by tax and Texas counsel.</w:t>
      </w:r>
    </w:p>
    <w:p>
      <w:pPr>
        <w:pStyle w:val="ListBullet"/>
        <w:spacing w:after="40"/>
      </w:pPr>
      <w:r>
        <w:rPr>
          <w:b w:val="0"/>
          <w:i w:val="0"/>
        </w:rPr>
        <w:t>Financial figures are our arithmetic from PPA formulas at P50, without curtailment, congestion, AS revenue or availability adjustments. NPVs use a 7.5% discount rate (the PPA rate) and a mid-year convention.</w:t>
      </w:r>
    </w:p>
    <w:p>
      <w:pPr>
        <w:pStyle w:val="ListBullet"/>
        <w:spacing w:after="40"/>
      </w:pPr>
      <w:r>
        <w:rPr>
          <w:b w:val="0"/>
          <w:i w:val="0"/>
        </w:rPr>
        <w:t>The Credit Summary and Technical Summary were prepared by Seller’s Parent and are expressly not representations or warranties. Figures drawn from them have not been independently verified.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