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AND CONFIDENTIAL — ATTORNEY-CLIENT COMMUNICATION / ATTORNEY WORK PRODUCT</w:t>
      </w:r>
    </w:p>
    <w:p>
      <w:pPr>
        <w:spacing w:after="200"/>
        <w:jc w:val="center"/>
      </w:pPr>
      <w:r>
        <w:rPr>
          <w:b/>
          <w:i w:val="0"/>
          <w:sz w:val="18"/>
        </w:rPr>
        <w:t>DRAFT FOR CLIENT REVIEW — NOT FOR DISTRIBUTION TO STONEBRIDGE UNTIL OPEN ISSUES ARE RESOLVED</w:t>
      </w:r>
    </w:p>
    <w:p>
      <w:pPr>
        <w:spacing w:after="0"/>
        <w:jc w:val="center"/>
      </w:pPr>
      <w:r>
        <w:rPr>
          <w:b/>
          <w:i w:val="0"/>
          <w:sz w:val="36"/>
        </w:rPr>
        <w:t>Ridgeline Solar &amp; Storage Facility</w:t>
      </w:r>
    </w:p>
    <w:p>
      <w:pPr>
        <w:spacing w:after="200"/>
        <w:jc w:val="center"/>
      </w:pPr>
      <w:r>
        <w:rPr>
          <w:b/>
          <w:i w:val="0"/>
          <w:sz w:val="28"/>
        </w:rPr>
        <w:t>Regulatory Compliance Tracking Matrix and Critical Issues Report</w:t>
      </w:r>
    </w:p>
    <w:p>
      <w:pPr>
        <w:spacing w:after="60"/>
      </w:pPr>
      <w:r>
        <w:rPr>
          <w:b/>
        </w:rPr>
        <w:t xml:space="preserve">To: </w:t>
      </w:r>
      <w:r>
        <w:t>Priya Venkataraman, General Counsel, Clearwater Energy Holdings LLC</w:t>
      </w:r>
    </w:p>
    <w:p>
      <w:pPr>
        <w:spacing w:after="60"/>
      </w:pPr>
      <w:r>
        <w:rPr>
          <w:b/>
        </w:rPr>
        <w:t xml:space="preserve">Cc: </w:t>
      </w:r>
      <w:r>
        <w:t>Michael Tran, Vice President of Construction; Catherine Amherst, Bridgeway Firth LLP</w:t>
      </w:r>
    </w:p>
    <w:p>
      <w:pPr>
        <w:spacing w:after="60"/>
      </w:pPr>
      <w:r>
        <w:rPr>
          <w:b/>
        </w:rPr>
        <w:t xml:space="preserve">Re: </w:t>
      </w:r>
      <w:r>
        <w:t>Conditions and obligations under (1) TPUC CPCN Order, Docket No. PUC-2024-0347 (Oct. 18, 2024); (2) TDEQ Environmental Compliance Order No. ENV-2024-1192 (Nov. 5, 2024); (3) FAA Determination of No Hazard, Aeronautical Study No. 2024-ASW-8851-OE (Sept. 27, 2024). Cross-referenced against the Nov. 12, 2024 Proposed Construction Sequence and Key Milestones memorandum (the "Memo").</w:t>
      </w:r>
    </w:p>
    <w:p>
      <w:pPr>
        <w:spacing w:after="60"/>
      </w:pPr>
      <w:r>
        <w:rPr>
          <w:b/>
        </w:rPr>
        <w:t xml:space="preserve">Status as of: </w:t>
      </w:r>
      <w:r>
        <w:t>Memo date (Nov. 12, 2024). All calculated dates use calendar days unless stated otherwise. "D" means the date of first ground disturbance in the relevant area.</w:t>
      </w:r>
    </w:p>
    <w:p>
      <w:pPr>
        <w:pStyle w:val="Heading1"/>
      </w:pPr>
      <w:r>
        <w:t>1. Executive Summary</w:t>
      </w:r>
    </w:p>
    <w:p>
      <w:pPr>
        <w:spacing w:after="80"/>
      </w:pPr>
      <w:r>
        <w:rPr>
          <w:b w:val="0"/>
          <w:i w:val="0"/>
        </w:rPr>
        <w:t>We extracted 56 conditions and obligations from the three approvals: 26 from the CPCN (including the rehearing deadline), 22 from the ECO (including the operative definitions) and 8 from the FAA Determination. We then tested each against the Memo's sequence and milestone table. The Memo's schedule is not compliant as currently drafted. Thirteen issues need resolution before NTP is issued and before the schedule goes to Stonebridge Capital Markets as part of the financing diligence package. The most time-sensitive are:</w:t>
      </w:r>
    </w:p>
    <w:p>
      <w:pPr>
        <w:pStyle w:val="ListBullet"/>
        <w:spacing w:after="40"/>
      </w:pPr>
      <w:r>
        <w:rPr>
          <w:b/>
        </w:rPr>
        <w:t>Notice / IA (Issues 1–2).</w:t>
      </w:r>
      <w:r>
        <w:t xml:space="preserve"> The planned Nov. 15, 2024 TPUC 60-day notice must include the fully executed Midplains IA (CPCN Cond. 3(d)). The IA is not signed, and its Jan. 16, 2025 hard deadline (Cond. 5, which carries revocation exposure) falls after the Memo's Jan. 10 financial close. For a Feb. 1, 2025 start, the IA must be executed and a complete notice filed by Dec. 3, 2024. If the IA is signed on Jan. 16, the earliest compliant start is Mar. 17, 2025.</w:t>
      </w:r>
    </w:p>
    <w:p>
      <w:pPr>
        <w:pStyle w:val="ListBullet"/>
        <w:spacing w:after="40"/>
      </w:pPr>
      <w:r>
        <w:rPr>
          <w:b/>
        </w:rPr>
        <w:t>Two COD definitions (Issue 3).</w:t>
      </w:r>
      <w:r>
        <w:t xml:space="preserve"> The CPCN defines COD as first delivery of electricity to the grid; the ECO defines it as full commissioning. On the Memo's schedule, CPCN COD likely occurs around July 2026. That moves the COD notice, the decommissioning bond and the first community benefit payment (likely due around July 2027, not Dec. 1, 2027), as well as the start of the CPCN avian term.</w:t>
      </w:r>
    </w:p>
    <w:p>
      <w:pPr>
        <w:pStyle w:val="ListBullet"/>
        <w:spacing w:after="40"/>
      </w:pPr>
      <w:r>
        <w:rPr>
          <w:b/>
        </w:rPr>
        <w:t>BESS energization (Issue 4).</w:t>
      </w:r>
      <w:r>
        <w:t xml:space="preserve"> BESS components would be energized from Jan. 2026, but the required independent fire-suppression certification is scheduled for May 2026, and the Emergency Response Plan (due 60 days before energization) does not appear in the Memo.</w:t>
      </w:r>
    </w:p>
    <w:p>
      <w:pPr>
        <w:pStyle w:val="ListBullet"/>
        <w:spacing w:after="40"/>
      </w:pPr>
      <w:r>
        <w:rPr>
          <w:b/>
        </w:rPr>
        <w:t>Bond discrepancy (Issue 5).</w:t>
      </w:r>
      <w:r>
        <w:t xml:space="preserve"> Condition 14 sets the bond at $18.5M, while the findings require at least the $19.2M estimate. The rehearing/reconsideration window closes Nov. 17, 2024 (a Sunday, so effectively Nov. 18).</w:t>
      </w:r>
    </w:p>
    <w:p>
      <w:pPr>
        <w:pStyle w:val="ListBullet"/>
        <w:spacing w:after="40"/>
      </w:pPr>
      <w:r>
        <w:rPr>
          <w:b/>
        </w:rPr>
        <w:t>ECO and other pre-commencement gaps (Issues 7–11).</w:t>
      </w:r>
      <w:r>
        <w:t xml:space="preserve"> The vegetative screening plan (due about Dec. 2, 2024), the per-area biological survey timing (submit by D-30), the HMMP, UDP, Environmental Monitor, the four-station PM10 network, construction-noise notices, road-crossing permits, the wetland delineation, insurance and the mitigation fee are all missing from the Memo or understated in it.</w:t>
      </w:r>
    </w:p>
    <w:p>
      <w:pPr>
        <w:spacing w:after="80"/>
      </w:pPr>
      <w:r>
        <w:rPr>
          <w:b w:val="0"/>
          <w:i/>
          <w:sz w:val="18"/>
        </w:rPr>
        <w:t>Status legend: CRITICAL means non-compliant as scheduled, or a lapse could cause revocation, expiry or a stop-work order. AT RISK means achievable but with little or no float, or the Memo misstates the requirement. GAP means the obligation is not addressed in the Memo. ALIGNED means the Memo is consistent with the requirement. ONGOING means a continuing obligation to track.</w:t>
      </w:r>
    </w:p>
    <w:p>
      <w:pPr>
        <w:pStyle w:val="Heading1"/>
      </w:pPr>
      <w:r>
        <w:t>2. Critical Issues</w:t>
      </w:r>
    </w:p>
    <w:p>
      <w:pPr>
        <w:spacing w:after="80"/>
      </w:pPr>
      <w:r>
        <w:rPr>
          <w:b w:val="0"/>
          <w:i/>
          <w:sz w:val="18"/>
        </w:rPr>
        <w:t>The issues are ranked by schedule urgency and consequence. Each identifies the governing provision, the conflict with the Memo, and the recommended action.</w:t>
      </w:r>
    </w:p>
    <w:p>
      <w:pPr>
        <w:pStyle w:val="Heading3"/>
      </w:pPr>
      <w:r>
        <w:t>Issue 1: TPUC 60-day pre-construction notice cannot be validly filed on Nov. 15, 2024; Feb. 1, 2025 start is at risk</w:t>
      </w:r>
    </w:p>
    <w:p>
      <w:pPr>
        <w:spacing w:after="60"/>
      </w:pPr>
      <w:r>
        <w:rPr>
          <w:b/>
        </w:rPr>
        <w:t xml:space="preserve">Analysis. </w:t>
      </w:r>
      <w:r>
        <w:t>CPCN Condition 3 requires the 60-day notice to include (d) "a copy of the fully executed Interconnection Agreement with Midplains Transmission Co." and (b) a summary of pre-construction conditions satisfied. The memo plans to file on or about November 15, 2024, but the IA is not executed (memo §2, §7: Midplains is slow on technical appendices; execution expected "early Q1 2025"). A notice filed without the executed IA does not comply with Condition 3, and the 60-day clock arguably does not start. Measured from a compliant notice, the IA must be executed and the complete notice filed no later than December 3, 2024 to support ground disturbance on February 1, 2025. If the IA is signed only on the January 16, 2025 deadline, the earliest compliant start of construction is March 17, 2025. The memo also contemplates site-access grading in "late January" 2025, which is ground disturbance (TDEQ Finding 8) and would likely be treated as start of construction.</w:t>
      </w:r>
    </w:p>
    <w:p>
      <w:pPr>
        <w:spacing w:after="60"/>
      </w:pPr>
      <w:r>
        <w:rPr>
          <w:b/>
        </w:rPr>
        <w:t xml:space="preserve">Recommendation. </w:t>
      </w:r>
      <w:r>
        <w:t>Do not file a notice that omits the IA. Either (i) drive IA execution and file a complete notice by Dec. 3, 2024, or (ii) before Nov. 15, ask TPUC Staff (James Orland) whether a notice now, supplemented with the IA on execution, is acceptable, or seek a waiver or clarification of Condition 3(d). Re-baseline NTP and ground disturbance to at least 60 days after a compliant notice. Until TPUC confirms otherwise in writing, treat "start of construction" as the first ground disturbance, consistent with TDEQ Finding 8.</w:t>
      </w:r>
    </w:p>
    <w:p>
      <w:pPr>
        <w:pStyle w:val="Heading3"/>
      </w:pPr>
      <w:r>
        <w:t>Issue 2: IA execution deadline (Jan. 16, 2025) vs. memo target of "early Q1 2025": CPCN revocation exposure; gates financial close and gen-tie</w:t>
      </w:r>
    </w:p>
    <w:p>
      <w:pPr>
        <w:spacing w:after="60"/>
      </w:pPr>
      <w:r>
        <w:rPr>
          <w:b/>
        </w:rPr>
        <w:t xml:space="preserve">Analysis. </w:t>
      </w:r>
      <w:r>
        <w:t>CPCN Condition 5 requires the IA to be executed by January 16, 2025 and a copy filed within 5 business days of execution. Failure "may result in revocation of this CPCN upon motion by any party or by the Commission on its own initiative," and the intervenors (the Pullmans and Harmon County) could bring that motion. The Order (§V.D) treats IA execution as a prerequisite to gen-tie construction and to financial close. The memo nevertheless targets financial close on January 10, 2025 while the IA is still open. Condition 5 has no built-in extension mechanism.</w:t>
      </w:r>
    </w:p>
    <w:p>
      <w:pPr>
        <w:spacing w:after="60"/>
      </w:pPr>
      <w:r>
        <w:rPr>
          <w:b/>
        </w:rPr>
        <w:t xml:space="preserve">Recommendation. </w:t>
      </w:r>
      <w:r>
        <w:t>Escalate with Midplains now and set an internal IA signing target of Dec. 2, 2024 or earlier (see Issue 1). In parallel, prepare a motion to extend the Condition 5 deadline for good cause, to be filed well before Jan. 16, 2025 if execution by mid-December is unlikely. Confirm with Stonebridge (J. Kressel) that the IA is a closing condition, and re-sequence financial close to follow IA execution.</w:t>
      </w:r>
    </w:p>
    <w:p>
      <w:pPr>
        <w:pStyle w:val="Heading3"/>
      </w:pPr>
      <w:r>
        <w:t>Issue 3: Conflicting COD definitions: under the CPCN, the memo schedule likely triggers COD about July 2026, not Dec. 1, 2026</w:t>
      </w:r>
    </w:p>
    <w:p>
      <w:pPr>
        <w:spacing w:after="60"/>
      </w:pPr>
      <w:r>
        <w:rPr>
          <w:b/>
        </w:rPr>
        <w:t xml:space="preserve">Analysis. </w:t>
      </w:r>
      <w:r>
        <w:t>CPCN Condition 10 and §IX define COD as the date the Facility "first generates electricity for delivery to the grid." TDEQ Finding 9 defines COD as the date all components are "fully installed, tested, and commissioned." The memo uses December 1, 2026 for both. Its own schedule has BESS energization in July 2026, solar energization by section in July to September 2026, and BESS charge/discharge cycling in April to June 2026. Any test energy delivered to the grid would trigger CPCN COD, possibly in Q2 or Q3 2026. Every CPCN COD-linked date then moves earlier: the COD notice (10 business days); the decommissioning bond (12 months, so about July 2027, not Dec. 1, 2027); the first $150,000 community benefit fund payment (about July 2027); the start of the avian monitoring term under CPCN Condition 21; and the obligations tied to start of operations (Condition 7 glare mitigation, Condition 17 screening). The Order itself warns (§V.F) that the regulatory definition may differ from commercial definitions.</w:t>
      </w:r>
    </w:p>
    <w:p>
      <w:pPr>
        <w:spacing w:after="60"/>
      </w:pPr>
      <w:r>
        <w:rPr>
          <w:b/>
        </w:rPr>
        <w:t xml:space="preserve">Recommendation. </w:t>
      </w:r>
      <w:r>
        <w:t>Run two COD tracks in the compliance calendar: "CPCN COD" (first grid delivery, including test energy) and "TDEQ COD" (full commissioning). Before energization, confirm with Midplains and TPUC Staff whether test energy counts. Put the 10-business-day COD notice, the bond, the community benefit fund payment and avian monitoring on the CPCN track. Correct the memo's post-COD milestones before the schedule goes to Stonebridge.</w:t>
      </w:r>
    </w:p>
    <w:p>
      <w:pPr>
        <w:pStyle w:val="Heading3"/>
      </w:pPr>
      <w:r>
        <w:t>Issue 4: BESS commissioning sequence conflicts with fire-suppression certification and ERP deadlines</w:t>
      </w:r>
    </w:p>
    <w:p>
      <w:pPr>
        <w:spacing w:after="60"/>
      </w:pPr>
      <w:r>
        <w:rPr>
          <w:b/>
        </w:rPr>
        <w:t xml:space="preserve">Analysis. </w:t>
      </w:r>
      <w:r>
        <w:t>TDEQ Condition 15 requires certification by an independent, Talmadge-licensed fire protection engineer "prior to the energization of any BESS component." The certification must be filed with TDEQ at least 15 days before BESS energization. The BESS Emergency Response Plan (ERP) must be submitted to TDEQ and the Harmon County Fire Department for approval at least 60 days before energization. The memo schedules electrical integration with the substation, PCS testing and HVAC commissioning for January to March 2026, and charge/discharge cycling for April to June 2026. Both involve energizing BESS components, yet certification is scheduled for May 2026 and the ERP is not mentioned. Energizing 4 or more months before certification would violate the ECO and expose Clearwater to a stop-work order and civil penalties of up to $10,000 per day per violation (TDEQ Condition 19).</w:t>
      </w:r>
    </w:p>
    <w:p>
      <w:pPr>
        <w:spacing w:after="60"/>
      </w:pPr>
      <w:r>
        <w:rPr>
          <w:b/>
        </w:rPr>
        <w:t xml:space="preserve">Recommendation. </w:t>
      </w:r>
      <w:r>
        <w:t>Move third-party certification ahead of the first energization of any BESS component (target Nov.–Dec. 2025). File the certification with TDEQ at least 15 days before, and the ERP at least 60 days before (about early Nov. 2025 for a January 2026 energization). Alternatively, hold all BESS energization until after a May 2026 certification and re-sequence commissioning. Confirm the 50,000-gallon fire water supply and hydrants are in place before energization.</w:t>
      </w:r>
    </w:p>
    <w:p>
      <w:pPr>
        <w:pStyle w:val="Heading3"/>
      </w:pPr>
      <w:r>
        <w:t>Issue 5: Decommissioning bond amount in Condition 14 ($18.5M) is inconsistent with the Order's findings ($19.2M)</w:t>
      </w:r>
    </w:p>
    <w:p>
      <w:pPr>
        <w:spacing w:after="60"/>
      </w:pPr>
      <w:r>
        <w:rPr>
          <w:b/>
        </w:rPr>
        <w:t xml:space="preserve">Analysis. </w:t>
      </w:r>
      <w:r>
        <w:t>Finding 24 and §V.E require a bond "not less than the estimated decommissioning cost" of $19,200,000. Condition 14 sets the bond at $18,500,000, which is $700,000 short. The memo does not state an amount. The 30-day rehearing/reconsideration window from October 18, 2024 closes November 17, 2024 (a Sunday). The timing point in Issue 3 also applies: the bond is due within 12 months of CPCN COD, not 12 months after the commercial COD.</w:t>
      </w:r>
    </w:p>
    <w:p>
      <w:pPr>
        <w:spacing w:after="60"/>
      </w:pPr>
      <w:r>
        <w:rPr>
          <w:b/>
        </w:rPr>
        <w:t xml:space="preserve">Recommendation. </w:t>
      </w:r>
      <w:r>
        <w:t>Decide by Nov. 17, 2024 (next business day Nov. 18) whether to file a motion for clarification or request an errata from TPUC. Absent clarification, plan to post at least $19.2M, which satisfies both the condition and the findings. Size the letter-of-credit facility in the financing model: issuer rated A- or better, form approved by TPUC General Counsel, TPUC as trustee. Calendar the 5-year adjustments.</w:t>
      </w:r>
    </w:p>
    <w:p>
      <w:pPr>
        <w:pStyle w:val="Heading3"/>
      </w:pPr>
      <w:r>
        <w:t>Issue 6: Operational noise limit applies at the property line; the noise study modeled the residence</w:t>
      </w:r>
    </w:p>
    <w:p>
      <w:pPr>
        <w:spacing w:after="60"/>
      </w:pPr>
      <w:r>
        <w:rPr>
          <w:b/>
        </w:rPr>
        <w:t xml:space="preserve">Analysis. </w:t>
      </w:r>
      <w:r>
        <w:t>CPCN Condition 8 sets a 45 dBA (Leq, 1-hour) not-to-exceed limit "measured at the property line of the nearest non-participating residence." The Pullman property adjoins the northern boundary of Sections 14 and 15, so its property line is the Project boundary. The Henley study predicts 42 dBA (typical) and 44 dBA (worst case) at the residence, about 900 feet from the nearest array (Finding 13). Levels at the shared boundary will be higher. The memo assumes compliance at "property-line measurement points" without new modeling. On a complaint, Clearwater must take measurements within 30 days, file results within 15 days, and cure within 90 days.</w:t>
      </w:r>
    </w:p>
    <w:p>
      <w:pPr>
        <w:spacing w:after="60"/>
      </w:pPr>
      <w:r>
        <w:rPr>
          <w:b/>
        </w:rPr>
        <w:t xml:space="preserve">Recommendation. </w:t>
      </w:r>
      <w:r>
        <w:t>Commission updated acoustic modeling at the Pullman property line and other non-participating boundaries before inverter and BESS HVAC procurement is final. Site inverters and BESS HVAC away from the northern boundary as needed. Equipment changes may trigger the ISIS reactive-power test (CPCN Condition 6, more than 5% change) and TDEQ Condition 18.</w:t>
      </w:r>
    </w:p>
    <w:p>
      <w:pPr>
        <w:pStyle w:val="Heading3"/>
      </w:pPr>
      <w:r>
        <w:t>Issue 7: Vegetative screening plan is due about Dec. 2, 2024 and is not in the memo</w:t>
      </w:r>
    </w:p>
    <w:p>
      <w:pPr>
        <w:spacing w:after="60"/>
      </w:pPr>
      <w:r>
        <w:rPr>
          <w:b/>
        </w:rPr>
        <w:t xml:space="preserve">Analysis. </w:t>
      </w:r>
      <w:r>
        <w:t>TDEQ Condition 6 requires the screening plan to be submitted for TDEQ approval at least 60 days before planting begins. Planting must be completed before solar array installation begins in Sections 14 and 15, must reach 80% opacity within 3 years (certified by a licensed landscape architect), and must be at least 50 feet wide along the entire northern boundary. The memo starts planting in February to March 2025, "weather permitting," so the plan is due by about December 2, 2024 for a February 1 planting start. CPCN Condition 17 separately requires installation before Facility operations. How the 50-foot buffer relates to the SUP's 75-foot setback is unresolved (CPCN §V.C).</w:t>
      </w:r>
    </w:p>
    <w:p>
      <w:pPr>
        <w:spacing w:after="60"/>
      </w:pPr>
      <w:r>
        <w:rPr>
          <w:b/>
        </w:rPr>
        <w:t xml:space="preserve">Recommendation. </w:t>
      </w:r>
      <w:r>
        <w:t>Finalize and submit the screening plan (species, sizes, spacing, density, irrigation, maintenance) by Dec. 2, 2024, or move planting later. Make completed planting a hard predecessor to tracker and module installation in Sections 14 and 15. Get written clarification from TDEQ and Harmon County on whether the buffer and setback overlap, and design to the more restrictive outcome (CPCN Condition 22).</w:t>
      </w:r>
    </w:p>
    <w:p>
      <w:pPr>
        <w:pStyle w:val="Heading3"/>
      </w:pPr>
      <w:r>
        <w:t>Issue 8: Pre-construction biological surveys: memo omits the 30-day submittal rule and the per-area survey requirement</w:t>
      </w:r>
    </w:p>
    <w:p>
      <w:pPr>
        <w:spacing w:after="60"/>
      </w:pPr>
      <w:r>
        <w:rPr>
          <w:b/>
        </w:rPr>
        <w:t xml:space="preserve">Analysis. </w:t>
      </w:r>
      <w:r>
        <w:t>TDEQ Condition 2 requires each survey to be conducted no earlier than 60 days before ground disturbance and submitted to TDEQ (attn. R. Tannenbaum) no later than 30 days before ground disturbance. The biologist must be approved by TDEQ in advance. A separate survey is required for each phase and each discrete area. CPCN Condition 19 requires results to be filed with TDEQ and TPUC within 10 business days of completion. For a February 1, 2025 start, the survey window is December 3, 2024 to about January 2, 2025, with submittal due January 2, 2025. The memo's "late December" target leaves almost no margin, and any slip in the start date (Issue 1) makes the survey stale. The memo addresses only Phase 1. The off-site gen-tie corridor, the Willow Creek riparian corridor, the substation/BESS pad and each laydown yard need their own timely surveys.</w:t>
      </w:r>
    </w:p>
    <w:p>
      <w:pPr>
        <w:spacing w:after="60"/>
      </w:pPr>
      <w:r>
        <w:rPr>
          <w:b/>
        </w:rPr>
        <w:t xml:space="preserve">Recommendation. </w:t>
      </w:r>
      <w:r>
        <w:t>Obtain TDEQ approval of the biologist now. Schedule each survey within its 60-to-30-day window, keyed to the actual disturbance date. Build a survey matrix by area and phase, including a gen-tie survey in Feb.–Mar. 2025 for an April start. File results with TPUC within 10 business days.</w:t>
      </w:r>
    </w:p>
    <w:p>
      <w:pPr>
        <w:pStyle w:val="Heading3"/>
      </w:pPr>
      <w:r>
        <w:t>Issue 9: TDEQ pre-commencement deliverables missing from the memo; SWPPP approval has no float</w:t>
      </w:r>
    </w:p>
    <w:p>
      <w:pPr>
        <w:spacing w:after="60"/>
      </w:pPr>
      <w:r>
        <w:rPr>
          <w:b/>
        </w:rPr>
        <w:t xml:space="preserve">Analysis. </w:t>
      </w:r>
      <w:r>
        <w:t>Before construction commencement (any ground disturbance, TDEQ Finding 8): the SWPPP must be submitted at least 30 days before and approved in writing before commencement (TDEQ review takes 15 business days, so a Dec. 15, 2024 submission yields approval on about Jan. 7, 2025 if no revisions are requested); the HMMP must be submitted at least 30 days before (Condition 11); the Unanticipated Discovery Plan must be prepared with SHPO and approved by TDEQ (Condition 14); the Environmental Monitor must be retained and approved by TDEQ at least 30 days before (Condition 17); erosion and sediment controls must be operational (Condition 7); and the wetland delineation must be complete (Condition 8). Only the SWPPP appears in the memo. Also required: notice to TDEQ within 5 business days after commencement (Condition 16); CGL insurance of $5M per occurrence / $10M aggregate naming TPUC, the State and the County as additional insureds (CPCN Condition 23); and road-crossing permits filed with TPUC before gen-tie construction (CPCN Condition 16).</w:t>
      </w:r>
    </w:p>
    <w:p>
      <w:pPr>
        <w:spacing w:after="60"/>
      </w:pPr>
      <w:r>
        <w:rPr>
          <w:b/>
        </w:rPr>
        <w:t xml:space="preserve">Recommendation. </w:t>
      </w:r>
      <w:r>
        <w:t>Add each item to the pre-NTP checklist with an owner. Submit the SWPPP and HMMP by early December 2024 to leave room for one revision cycle. Nominate the Environmental Monitor to TDEQ in November 2024.</w:t>
      </w:r>
    </w:p>
    <w:p>
      <w:pPr>
        <w:pStyle w:val="Heading3"/>
      </w:pPr>
      <w:r>
        <w:t>Issue 10: Willow Creek / gen-tie sequencing: TDEQ restriction covers the entire 100-ft riparian corridor, not only in-stream work</w:t>
      </w:r>
    </w:p>
    <w:p>
      <w:pPr>
        <w:spacing w:after="60"/>
      </w:pPr>
      <w:r>
        <w:rPr>
          <w:b/>
        </w:rPr>
        <w:t xml:space="preserve">Analysis. </w:t>
      </w:r>
      <w:r>
        <w:t>TDEQ Condition 3 limits all activity within 100 feet of the ordinary high water mark (clearing, grading, staging, structure installation) to June 1 through September 30. It also requires continuous upstream and downstream turbidity monitoring with weekly reports to TDEQ, a stop-work order and 24-hour notice for any exceedance of +50 NTU, and no permanent structures below the high water mark. CPCN Condition 20 requires disturbed streambanks to be restored within 30 days of completing the crossing. That restoration is itself corridor work and must also finish by September 30 unless TDEQ authorizes otherwise in writing. The memo describes the window as applying to "in-stream work" and starts gen-tie work in April 2025, but any work within 100 feet of Willow Creek before June 1 is prohibited. If the crossing runs past about August 31, restoration may not fit within the window. If the 2025 window is missed, the next window opens June 2026, which threatens the FAA and CPCN dates and COD.</w:t>
      </w:r>
    </w:p>
    <w:p>
      <w:pPr>
        <w:spacing w:after="60"/>
      </w:pPr>
      <w:r>
        <w:rPr>
          <w:b/>
        </w:rPr>
        <w:t xml:space="preserve">Recommendation. </w:t>
      </w:r>
      <w:r>
        <w:t>Exclude the 100-ft corridor from the April–May gen-tie work fronts. Target completion of the crossing by about Aug. 15, 2025 and restoration by Sept. 30, 2025. Mobilize turbidity monitoring and the weekly reporting protocol before June 1. Maintain the 50-ft setback from delineated wetlands along the gen-tie alignment.</w:t>
      </w:r>
    </w:p>
    <w:p>
      <w:pPr>
        <w:pStyle w:val="Heading3"/>
      </w:pPr>
      <w:r>
        <w:t>Issue 11: Dust monitoring network does not meet the ECO</w:t>
      </w:r>
    </w:p>
    <w:p>
      <w:pPr>
        <w:spacing w:after="60"/>
      </w:pPr>
      <w:r>
        <w:rPr>
          <w:b/>
        </w:rPr>
        <w:t xml:space="preserve">Analysis. </w:t>
      </w:r>
      <w:r>
        <w:t>TDEQ Condition 5 requires at least four PM10 stations, one on each cardinal side (north, south, east and west). It also requires TDEQ approval of chemical suppressants, a halt of dust-generating work within 500 feet of any reading above 150 µg/m³, and notice to TDEQ within 24 hours. The memo proposes stations only on the northern and eastern boundaries and proposes magnesium chloride "or equivalent" without TDEQ approval.</w:t>
      </w:r>
    </w:p>
    <w:p>
      <w:pPr>
        <w:spacing w:after="60"/>
      </w:pPr>
      <w:r>
        <w:rPr>
          <w:b/>
        </w:rPr>
        <w:t xml:space="preserve">Recommendation. </w:t>
      </w:r>
      <w:r>
        <w:t>Install at least four stations before ground disturbance, obtain TDEQ approval of the suppressants, and adopt an exceedance-response protocol.</w:t>
      </w:r>
    </w:p>
    <w:p>
      <w:pPr>
        <w:pStyle w:val="Heading3"/>
      </w:pPr>
      <w:r>
        <w:t>Issue 12: FAA / CPCN structure and airspace discrepancies</w:t>
      </w:r>
    </w:p>
    <w:p>
      <w:pPr>
        <w:spacing w:after="60"/>
      </w:pPr>
      <w:r>
        <w:rPr>
          <w:b/>
        </w:rPr>
        <w:t xml:space="preserve">Analysis. </w:t>
      </w:r>
      <w:r>
        <w:t>(a) FAA Condition 1(b) caps the project substation at 80 ft AGL; CPCN Condition 13(b) allows 180 ft. The FAA limit governs, and the memo does not mention it. (b) FAA Condition 1(d) caps BESS enclosures at 15 ft. (c) The FAA states the nearest public-use airport is Hollis Municipal (85F), about 18 nm northeast, and that no public-use airport is within notification distances. The memo's glare scope refers to Vance Municipal Airport about 6.2 miles southeast. Because the FAA determination rests "entirely" on the Form 7460-1 information (Section 7), an omitted nearby airport is a validity risk. (d) The CPCN describes the gen-tie as steel monopoles; the memo and the FAA describe monopole and lattice structures. (e) Cranes above 200 ft AGL are also expected for heavy substation equipment, not only gen-tie erection. Each needs a separate Form 7460-1 at least 45 days in advance, may not be deployed until the FAA issues a determination (CPCN Condition 15), and requires concurrent notice to TPUC. (f) Obstruction lighting must be operational before each structure over 150 ft reaches full height, and Form 7460-2 must be filed within 5 days.</w:t>
      </w:r>
    </w:p>
    <w:p>
      <w:pPr>
        <w:spacing w:after="60"/>
      </w:pPr>
      <w:r>
        <w:rPr>
          <w:b/>
        </w:rPr>
        <w:t xml:space="preserve">Recommendation. </w:t>
      </w:r>
      <w:r>
        <w:t>Confirm the substation design is 80 ft or lower. Verify Vance Municipal Airport's status and location and, if it is public-use, consult the FAA Southwest Regional Office (Condition 7). Confirm the CPCN record covers lattice structures or notify TPUC (Conditions 1 and 24). Add substation cranes to the FAA filing schedule.</w:t>
      </w:r>
    </w:p>
    <w:p>
      <w:pPr>
        <w:pStyle w:val="Heading3"/>
      </w:pPr>
      <w:r>
        <w:t>Issue 13: Harmon County SUP not provided, although its conditions are incorporated into the CPCN</w:t>
      </w:r>
    </w:p>
    <w:p>
      <w:pPr>
        <w:spacing w:after="60"/>
      </w:pPr>
      <w:r>
        <w:rPr>
          <w:b/>
        </w:rPr>
        <w:t xml:space="preserve">Analysis. </w:t>
      </w:r>
      <w:r>
        <w:t>CPCN Condition 22 incorporates SUP No. HC-2024-0038 by reference, makes any SUP violation a CPCN violation, and applies the more restrictive requirement in any conflict. The CPCN describes the 75-ft setback only as "reported" and "as represented by the Applicant." The SUP's road-improvement, dust and screening conditions could not be extracted for this matrix.</w:t>
      </w:r>
    </w:p>
    <w:p>
      <w:pPr>
        <w:spacing w:after="60"/>
      </w:pPr>
      <w:r>
        <w:rPr>
          <w:b/>
        </w:rPr>
        <w:t xml:space="preserve">Recommendation. </w:t>
      </w:r>
      <w:r>
        <w:t>Obtain and review the SUP, and add its conditions to this matrix before the construction management plan and the Stonebridge diligence package are finalized.</w:t>
      </w:r>
    </w:p>
    <w:p>
      <w:pPr>
        <w:pStyle w:val="Heading1"/>
      </w:pPr>
      <w:r>
        <w:t>3. Compliance Tracking Matrix</w:t>
      </w:r>
    </w:p>
    <w:p>
      <w:pPr>
        <w:spacing w:after="80"/>
      </w:pPr>
      <w:r>
        <w:rPr>
          <w:b w:val="0"/>
          <w:i/>
          <w:sz w:val="18"/>
        </w:rPr>
        <w:t>Columns: ID; source citation; requirement; trigger or deadline as stated in the approval; calculated date; the Memo's treatment; status; recommended action and suggested owner. Owners are suggested functional leads for Clearwater to confirm.</w:t>
      </w:r>
    </w:p>
    <w:p>
      <w:pPr>
        <w:pStyle w:val="Heading2"/>
      </w:pPr>
      <w:r>
        <w:t>3A. TPUC Certificate of Public Convenience and Necessity (Docket No. PUC-2024-0347)</w:t>
      </w:r>
    </w:p>
    <w:tbl>
      <w:tblPr>
        <w:tblStyle w:val="TableGrid"/>
        <w:tblW w:type="auto" w:w="0"/>
        <w:jc w:val="center"/>
        <w:tblLayout w:type="fixed"/>
        <w:tblLook w:firstColumn="1" w:firstRow="1" w:lastColumn="0" w:lastRow="0" w:noHBand="0" w:noVBand="1" w:val="04A0"/>
      </w:tblPr>
      <w:tblGrid>
        <w:gridCol w:w="648"/>
        <w:gridCol w:w="1080"/>
        <w:gridCol w:w="3671"/>
        <w:gridCol w:w="1584"/>
        <w:gridCol w:w="1655"/>
        <w:gridCol w:w="2088"/>
        <w:gridCol w:w="1007"/>
        <w:gridCol w:w="2376"/>
      </w:tblGrid>
      <w:tr>
        <w:trPr>
          <w:tblHeader w:val="true"/>
        </w:trPr>
        <w:tc>
          <w:tcPr>
            <w:tcW w:type="dxa" w:w="648"/>
            <w:shd w:val="clear" w:color="auto" w:fill="1F3A5F"/>
          </w:tcPr>
          <w:p>
            <w:r/>
            <w:r>
              <w:rPr>
                <w:b/>
                <w:color w:val="FFFFFF"/>
                <w:sz w:val="16"/>
              </w:rPr>
              <w:t>ID</w:t>
            </w:r>
          </w:p>
        </w:tc>
        <w:tc>
          <w:tcPr>
            <w:tcW w:type="dxa" w:w="1080"/>
            <w:shd w:val="clear" w:color="auto" w:fill="1F3A5F"/>
          </w:tcPr>
          <w:p>
            <w:r/>
            <w:r>
              <w:rPr>
                <w:b/>
                <w:color w:val="FFFFFF"/>
                <w:sz w:val="16"/>
              </w:rPr>
              <w:t>Source</w:t>
            </w:r>
          </w:p>
        </w:tc>
        <w:tc>
          <w:tcPr>
            <w:tcW w:type="dxa" w:w="3672"/>
            <w:shd w:val="clear" w:color="auto" w:fill="1F3A5F"/>
          </w:tcPr>
          <w:p>
            <w:r/>
            <w:r>
              <w:rPr>
                <w:b/>
                <w:color w:val="FFFFFF"/>
                <w:sz w:val="16"/>
              </w:rPr>
              <w:t>Requirement / Obligation</w:t>
            </w:r>
          </w:p>
        </w:tc>
        <w:tc>
          <w:tcPr>
            <w:tcW w:type="dxa" w:w="1584"/>
            <w:shd w:val="clear" w:color="auto" w:fill="1F3A5F"/>
          </w:tcPr>
          <w:p>
            <w:r/>
            <w:r>
              <w:rPr>
                <w:b/>
                <w:color w:val="FFFFFF"/>
                <w:sz w:val="16"/>
              </w:rPr>
              <w:t>Trigger / Deadline</w:t>
            </w:r>
          </w:p>
        </w:tc>
        <w:tc>
          <w:tcPr>
            <w:tcW w:type="dxa" w:w="1656"/>
            <w:shd w:val="clear" w:color="auto" w:fill="1F3A5F"/>
          </w:tcPr>
          <w:p>
            <w:r/>
            <w:r>
              <w:rPr>
                <w:b/>
                <w:color w:val="FFFFFF"/>
                <w:sz w:val="16"/>
              </w:rPr>
              <w:t>Calculated Date</w:t>
            </w:r>
          </w:p>
        </w:tc>
        <w:tc>
          <w:tcPr>
            <w:tcW w:type="dxa" w:w="2088"/>
            <w:shd w:val="clear" w:color="auto" w:fill="1F3A5F"/>
          </w:tcPr>
          <w:p>
            <w:r/>
            <w:r>
              <w:rPr>
                <w:b/>
                <w:color w:val="FFFFFF"/>
                <w:sz w:val="16"/>
              </w:rPr>
              <w:t>Memo Cross-Reference</w:t>
            </w:r>
          </w:p>
        </w:tc>
        <w:tc>
          <w:tcPr>
            <w:tcW w:type="dxa" w:w="1008"/>
            <w:shd w:val="clear" w:color="auto" w:fill="1F3A5F"/>
          </w:tcPr>
          <w:p>
            <w:r/>
            <w:r>
              <w:rPr>
                <w:b/>
                <w:color w:val="FFFFFF"/>
                <w:sz w:val="16"/>
              </w:rPr>
              <w:t>Status</w:t>
            </w:r>
          </w:p>
        </w:tc>
        <w:tc>
          <w:tcPr>
            <w:tcW w:type="dxa" w:w="2376"/>
            <w:shd w:val="clear" w:color="auto" w:fill="1F3A5F"/>
          </w:tcPr>
          <w:p>
            <w:r/>
            <w:r>
              <w:rPr>
                <w:b/>
                <w:color w:val="FFFFFF"/>
                <w:sz w:val="16"/>
              </w:rPr>
              <w:t>Action / Owner</w:t>
            </w:r>
          </w:p>
        </w:tc>
      </w:tr>
      <w:tr>
        <w:tc>
          <w:tcPr>
            <w:tcW w:type="dxa" w:w="648"/>
          </w:tcPr>
          <w:p>
            <w:r/>
            <w:r>
              <w:rPr>
                <w:b/>
                <w:sz w:val="16"/>
              </w:rPr>
              <w:t>C-1</w:t>
            </w:r>
          </w:p>
        </w:tc>
        <w:tc>
          <w:tcPr>
            <w:tcW w:type="dxa" w:w="1080"/>
          </w:tcPr>
          <w:p>
            <w:r/>
            <w:r>
              <w:rPr>
                <w:sz w:val="16"/>
              </w:rPr>
              <w:t>CPCN Cond. 1</w:t>
            </w:r>
          </w:p>
        </w:tc>
        <w:tc>
          <w:tcPr>
            <w:tcW w:type="dxa" w:w="3672"/>
          </w:tcPr>
          <w:p>
            <w:r/>
            <w:r>
              <w:rPr>
                <w:sz w:val="16"/>
              </w:rPr>
              <w:t>Scope of authorization: 250 MW AC PV, 100 MW/400 MWh BESS, about 4.7-mi 345 kV gen-tie, on about 1,850 ac in Secs. 14/15/22/23. Any material modification, expansion or reconfiguration requires prior Commission approval.</w:t>
            </w:r>
          </w:p>
        </w:tc>
        <w:tc>
          <w:tcPr>
            <w:tcW w:type="dxa" w:w="1584"/>
          </w:tcPr>
          <w:p>
            <w:r/>
            <w:r>
              <w:rPr>
                <w:sz w:val="16"/>
              </w:rPr>
              <w:t>Before any material change</w:t>
            </w:r>
          </w:p>
        </w:tc>
        <w:tc>
          <w:tcPr>
            <w:tcW w:type="dxa" w:w="1656"/>
          </w:tcPr>
          <w:p>
            <w:r/>
            <w:r>
              <w:rPr>
                <w:sz w:val="16"/>
              </w:rPr>
              <w:t>Continuing</w:t>
            </w:r>
          </w:p>
        </w:tc>
        <w:tc>
          <w:tcPr>
            <w:tcW w:type="dxa" w:w="2088"/>
          </w:tcPr>
          <w:p>
            <w:r/>
            <w:r>
              <w:rPr>
                <w:sz w:val="16"/>
              </w:rPr>
              <w:t>Memo describes gen-tie as "lattice steel towers and monopole structures"; Order §III describes steel monopoles only.</w:t>
            </w:r>
          </w:p>
        </w:tc>
        <w:tc>
          <w:tcPr>
            <w:tcW w:type="dxa" w:w="1008"/>
            <w:shd w:val="clear" w:color="auto" w:fill="ED7D31"/>
          </w:tcPr>
          <w:p>
            <w:r/>
            <w:r>
              <w:rPr>
                <w:b/>
                <w:color w:val="FFFFFF"/>
                <w:sz w:val="16"/>
              </w:rPr>
              <w:t>AT RISK</w:t>
            </w:r>
          </w:p>
        </w:tc>
        <w:tc>
          <w:tcPr>
            <w:tcW w:type="dxa" w:w="2376"/>
          </w:tcPr>
          <w:p>
            <w:r/>
            <w:r>
              <w:rPr>
                <w:sz w:val="16"/>
              </w:rPr>
              <w:t>Confirm the lattice design is within the authorized scope, or notify/seek approval (see C-24). Owner: Engineering / Legal.</w:t>
            </w:r>
          </w:p>
        </w:tc>
      </w:tr>
      <w:tr>
        <w:tc>
          <w:tcPr>
            <w:tcW w:type="dxa" w:w="648"/>
          </w:tcPr>
          <w:p>
            <w:r/>
            <w:r>
              <w:rPr>
                <w:b/>
                <w:sz w:val="16"/>
              </w:rPr>
              <w:t>C-2</w:t>
            </w:r>
          </w:p>
        </w:tc>
        <w:tc>
          <w:tcPr>
            <w:tcW w:type="dxa" w:w="1080"/>
          </w:tcPr>
          <w:p>
            <w:r/>
            <w:r>
              <w:rPr>
                <w:sz w:val="16"/>
              </w:rPr>
              <w:t>CPCN Cond. 2; §V.F</w:t>
            </w:r>
          </w:p>
        </w:tc>
        <w:tc>
          <w:tcPr>
            <w:tcW w:type="dxa" w:w="3672"/>
          </w:tcPr>
          <w:p>
            <w:r/>
            <w:r>
              <w:rPr>
                <w:sz w:val="16"/>
              </w:rPr>
              <w:t>Construction must commence within 18 months of the Order; otherwise the CPCN expires automatically. A good-cause extension motion must be filed at least 60 days before expiry.</w:t>
            </w:r>
          </w:p>
        </w:tc>
        <w:tc>
          <w:tcPr>
            <w:tcW w:type="dxa" w:w="1584"/>
          </w:tcPr>
          <w:p>
            <w:r/>
            <w:r>
              <w:rPr>
                <w:sz w:val="16"/>
              </w:rPr>
              <w:t>Commence by Apr. 18, 2026 (Sat.); extension motion by Feb. 17, 2026</w:t>
            </w:r>
          </w:p>
        </w:tc>
        <w:tc>
          <w:tcPr>
            <w:tcW w:type="dxa" w:w="1656"/>
          </w:tcPr>
          <w:p>
            <w:r/>
            <w:r>
              <w:rPr>
                <w:sz w:val="16"/>
              </w:rPr>
              <w:t>Apr. 18, 2026 / Feb. 17, 2026</w:t>
            </w:r>
          </w:p>
        </w:tc>
        <w:tc>
          <w:tcPr>
            <w:tcW w:type="dxa" w:w="2088"/>
          </w:tcPr>
          <w:p>
            <w:r/>
            <w:r>
              <w:rPr>
                <w:sz w:val="16"/>
              </w:rPr>
              <w:t>Planned start Feb. 2025, so ample margin.</w:t>
            </w:r>
          </w:p>
        </w:tc>
        <w:tc>
          <w:tcPr>
            <w:tcW w:type="dxa" w:w="1008"/>
            <w:shd w:val="clear" w:color="auto" w:fill="70AD47"/>
          </w:tcPr>
          <w:p>
            <w:r/>
            <w:r>
              <w:rPr>
                <w:b/>
                <w:color w:val="FFFFFF"/>
                <w:sz w:val="16"/>
              </w:rPr>
              <w:t>ALIGNED</w:t>
            </w:r>
          </w:p>
        </w:tc>
        <w:tc>
          <w:tcPr>
            <w:tcW w:type="dxa" w:w="2376"/>
          </w:tcPr>
          <w:p>
            <w:r/>
            <w:r>
              <w:rPr>
                <w:sz w:val="16"/>
              </w:rPr>
              <w:t>Calendar the Feb. 17, 2026 fallback motion date. Owner: Legal.</w:t>
            </w:r>
          </w:p>
        </w:tc>
      </w:tr>
      <w:tr>
        <w:tc>
          <w:tcPr>
            <w:tcW w:type="dxa" w:w="648"/>
          </w:tcPr>
          <w:p>
            <w:r/>
            <w:r>
              <w:rPr>
                <w:b/>
                <w:sz w:val="16"/>
              </w:rPr>
              <w:t>C-3</w:t>
            </w:r>
          </w:p>
        </w:tc>
        <w:tc>
          <w:tcPr>
            <w:tcW w:type="dxa" w:w="1080"/>
          </w:tcPr>
          <w:p>
            <w:r/>
            <w:r>
              <w:rPr>
                <w:sz w:val="16"/>
              </w:rPr>
              <w:t>CPCN Cond. 3; §V.F</w:t>
            </w:r>
          </w:p>
        </w:tc>
        <w:tc>
          <w:tcPr>
            <w:tcW w:type="dxa" w:w="3672"/>
          </w:tcPr>
          <w:p>
            <w:r/>
            <w:r>
              <w:rPr>
                <w:sz w:val="16"/>
              </w:rPr>
              <w:t>Written notice to TPUC at least 60 days before start of construction, including (a) anticipated start date; (b) summary of pre-construction conditions satisfied and status of all permits, approvals and agreements; (c) on-site construction manager name and contact details; (d) copy of the fully executed IA.</w:t>
            </w:r>
          </w:p>
        </w:tc>
        <w:tc>
          <w:tcPr>
            <w:tcW w:type="dxa" w:w="1584"/>
          </w:tcPr>
          <w:p>
            <w:r/>
            <w:r>
              <w:rPr>
                <w:sz w:val="16"/>
              </w:rPr>
              <w:t>At least 60 days before start of construction</w:t>
            </w:r>
          </w:p>
        </w:tc>
        <w:tc>
          <w:tcPr>
            <w:tcW w:type="dxa" w:w="1656"/>
          </w:tcPr>
          <w:p>
            <w:r/>
            <w:r>
              <w:rPr>
                <w:sz w:val="16"/>
              </w:rPr>
              <w:t>For a Feb. 1, 2025 start: complete notice by Dec. 3, 2024. If the IA is signed Jan. 16, 2025: earliest start Mar. 17, 2025.</w:t>
            </w:r>
          </w:p>
        </w:tc>
        <w:tc>
          <w:tcPr>
            <w:tcW w:type="dxa" w:w="2088"/>
          </w:tcPr>
          <w:p>
            <w:r/>
            <w:r>
              <w:rPr>
                <w:sz w:val="16"/>
              </w:rPr>
              <w:t>Memo: file about Nov. 15, 2024; IA not executed (expected early Q1 2025).</w:t>
            </w:r>
          </w:p>
        </w:tc>
        <w:tc>
          <w:tcPr>
            <w:tcW w:type="dxa" w:w="1008"/>
            <w:shd w:val="clear" w:color="auto" w:fill="C00000"/>
          </w:tcPr>
          <w:p>
            <w:r/>
            <w:r>
              <w:rPr>
                <w:b/>
                <w:color w:val="FFFFFF"/>
                <w:sz w:val="16"/>
              </w:rPr>
              <w:t>CRITICAL</w:t>
            </w:r>
          </w:p>
        </w:tc>
        <w:tc>
          <w:tcPr>
            <w:tcW w:type="dxa" w:w="2376"/>
          </w:tcPr>
          <w:p>
            <w:r/>
            <w:r>
              <w:rPr>
                <w:sz w:val="16"/>
              </w:rPr>
              <w:t>See Critical Issue 1. Hold the filing until the IA is executed, or obtain TPUC Staff guidance. Owner: Legal (Bridgeway Firth).</w:t>
            </w:r>
          </w:p>
        </w:tc>
      </w:tr>
      <w:tr>
        <w:tc>
          <w:tcPr>
            <w:tcW w:type="dxa" w:w="648"/>
          </w:tcPr>
          <w:p>
            <w:r/>
            <w:r>
              <w:rPr>
                <w:b/>
                <w:sz w:val="16"/>
              </w:rPr>
              <w:t>C-4</w:t>
            </w:r>
          </w:p>
        </w:tc>
        <w:tc>
          <w:tcPr>
            <w:tcW w:type="dxa" w:w="1080"/>
          </w:tcPr>
          <w:p>
            <w:r/>
            <w:r>
              <w:rPr>
                <w:sz w:val="16"/>
              </w:rPr>
              <w:t>CPCN Cond. 4</w:t>
            </w:r>
          </w:p>
        </w:tc>
        <w:tc>
          <w:tcPr>
            <w:tcW w:type="dxa" w:w="3672"/>
          </w:tcPr>
          <w:p>
            <w:r/>
            <w:r>
              <w:rPr>
                <w:sz w:val="16"/>
              </w:rPr>
              <w:t>Quarterly construction progress reports on Jan. 15, Apr. 15, Jul. 15 and Oct. 15, beginning with the first such date after start of construction. Content: % complete; updated schedule and COD; material design deviations; environmental compliance status, including NOVs; budget vs. actual.</w:t>
            </w:r>
          </w:p>
        </w:tc>
        <w:tc>
          <w:tcPr>
            <w:tcW w:type="dxa" w:w="1584"/>
          </w:tcPr>
          <w:p>
            <w:r/>
            <w:r>
              <w:rPr>
                <w:sz w:val="16"/>
              </w:rPr>
              <w:t>Quarterly during construction</w:t>
            </w:r>
          </w:p>
        </w:tc>
        <w:tc>
          <w:tcPr>
            <w:tcW w:type="dxa" w:w="1656"/>
          </w:tcPr>
          <w:p>
            <w:r/>
            <w:r>
              <w:rPr>
                <w:sz w:val="16"/>
              </w:rPr>
              <w:t>First report Apr. 15, 2025 (for a Feb.–Mar. 2025 start); then quarterly through COD.</w:t>
            </w:r>
          </w:p>
        </w:tc>
        <w:tc>
          <w:tcPr>
            <w:tcW w:type="dxa" w:w="2088"/>
          </w:tcPr>
          <w:p>
            <w:r/>
            <w:r>
              <w:rPr>
                <w:sz w:val="16"/>
              </w:rPr>
              <w:t>Memo: first report Apr. 15, 2025, then Jul. 15, Oct. 15.</w:t>
            </w:r>
          </w:p>
        </w:tc>
        <w:tc>
          <w:tcPr>
            <w:tcW w:type="dxa" w:w="1008"/>
            <w:shd w:val="clear" w:color="auto" w:fill="70AD47"/>
          </w:tcPr>
          <w:p>
            <w:r/>
            <w:r>
              <w:rPr>
                <w:b/>
                <w:color w:val="FFFFFF"/>
                <w:sz w:val="16"/>
              </w:rPr>
              <w:t>ALIGNED</w:t>
            </w:r>
          </w:p>
        </w:tc>
        <w:tc>
          <w:tcPr>
            <w:tcW w:type="dxa" w:w="2376"/>
          </w:tcPr>
          <w:p>
            <w:r/>
            <w:r>
              <w:rPr>
                <w:sz w:val="16"/>
              </w:rPr>
              <w:t>Build a template covering items (a)–(e), including the budget summary. Owner: Construction / Legal.</w:t>
            </w:r>
          </w:p>
        </w:tc>
      </w:tr>
      <w:tr>
        <w:tc>
          <w:tcPr>
            <w:tcW w:type="dxa" w:w="648"/>
          </w:tcPr>
          <w:p>
            <w:r/>
            <w:r>
              <w:rPr>
                <w:b/>
                <w:sz w:val="16"/>
              </w:rPr>
              <w:t>C-5</w:t>
            </w:r>
          </w:p>
        </w:tc>
        <w:tc>
          <w:tcPr>
            <w:tcW w:type="dxa" w:w="1080"/>
          </w:tcPr>
          <w:p>
            <w:r/>
            <w:r>
              <w:rPr>
                <w:sz w:val="16"/>
              </w:rPr>
              <w:t>CPCN Cond. 5; Finding 20; §V.D</w:t>
            </w:r>
          </w:p>
        </w:tc>
        <w:tc>
          <w:tcPr>
            <w:tcW w:type="dxa" w:w="3672"/>
          </w:tcPr>
          <w:p>
            <w:r/>
            <w:r>
              <w:rPr>
                <w:sz w:val="16"/>
              </w:rPr>
              <w:t>Execute the IA with Midplains within 90 days of the Order. File a copy with TPUC within 5 business days of execution. Failure may result in revocation on motion by any party or by the Commission.</w:t>
            </w:r>
          </w:p>
        </w:tc>
        <w:tc>
          <w:tcPr>
            <w:tcW w:type="dxa" w:w="1584"/>
          </w:tcPr>
          <w:p>
            <w:r/>
            <w:r>
              <w:rPr>
                <w:sz w:val="16"/>
              </w:rPr>
              <w:t>90 days after Oct. 18, 2024</w:t>
            </w:r>
          </w:p>
        </w:tc>
        <w:tc>
          <w:tcPr>
            <w:tcW w:type="dxa" w:w="1656"/>
          </w:tcPr>
          <w:p>
            <w:r/>
            <w:r>
              <w:rPr>
                <w:sz w:val="16"/>
              </w:rPr>
              <w:t>Jan. 16, 2025 (Thu.); filing within 5 business days after execution</w:t>
            </w:r>
          </w:p>
        </w:tc>
        <w:tc>
          <w:tcPr>
            <w:tcW w:type="dxa" w:w="2088"/>
          </w:tcPr>
          <w:p>
            <w:r/>
            <w:r>
              <w:rPr>
                <w:sz w:val="16"/>
              </w:rPr>
              <w:t>Memo: "early Q1 2025 (negotiations ongoing)"; Midplains slow on the protection/relay appendices; financial close Jan. 10, 2025.</w:t>
            </w:r>
          </w:p>
        </w:tc>
        <w:tc>
          <w:tcPr>
            <w:tcW w:type="dxa" w:w="1008"/>
            <w:shd w:val="clear" w:color="auto" w:fill="C00000"/>
          </w:tcPr>
          <w:p>
            <w:r/>
            <w:r>
              <w:rPr>
                <w:b/>
                <w:color w:val="FFFFFF"/>
                <w:sz w:val="16"/>
              </w:rPr>
              <w:t>CRITICAL</w:t>
            </w:r>
          </w:p>
        </w:tc>
        <w:tc>
          <w:tcPr>
            <w:tcW w:type="dxa" w:w="2376"/>
          </w:tcPr>
          <w:p>
            <w:r/>
            <w:r>
              <w:rPr>
                <w:sz w:val="16"/>
              </w:rPr>
              <w:t>See Critical Issue 2. Escalate with Midplains and prepare an extension motion. Owner: Interconnection team / Legal.</w:t>
            </w:r>
          </w:p>
        </w:tc>
      </w:tr>
      <w:tr>
        <w:tc>
          <w:tcPr>
            <w:tcW w:type="dxa" w:w="648"/>
          </w:tcPr>
          <w:p>
            <w:r/>
            <w:r>
              <w:rPr>
                <w:b/>
                <w:sz w:val="16"/>
              </w:rPr>
              <w:t>C-6</w:t>
            </w:r>
          </w:p>
        </w:tc>
        <w:tc>
          <w:tcPr>
            <w:tcW w:type="dxa" w:w="1080"/>
          </w:tcPr>
          <w:p>
            <w:r/>
            <w:r>
              <w:rPr>
                <w:sz w:val="16"/>
              </w:rPr>
              <w:t>CPCN Cond. 6; §V.D</w:t>
            </w:r>
          </w:p>
        </w:tc>
        <w:tc>
          <w:tcPr>
            <w:tcW w:type="dxa" w:w="3672"/>
          </w:tcPr>
          <w:p>
            <w:r/>
            <w:r>
              <w:rPr>
                <w:sz w:val="16"/>
              </w:rPr>
              <w:t>If a material design change during construction alters reactive power output by more than 5%, file a revised ISIS (same methodology, plus a technical memo) and obtain Commission approval before implementing. Affected components may not proceed until approval.</w:t>
            </w:r>
          </w:p>
        </w:tc>
        <w:tc>
          <w:tcPr>
            <w:tcW w:type="dxa" w:w="1584"/>
          </w:tcPr>
          <w:p>
            <w:r/>
            <w:r>
              <w:rPr>
                <w:sz w:val="16"/>
              </w:rPr>
              <w:t>Before implementing the change</w:t>
            </w:r>
          </w:p>
        </w:tc>
        <w:tc>
          <w:tcPr>
            <w:tcW w:type="dxa" w:w="1656"/>
          </w:tcPr>
          <w:p>
            <w:r/>
            <w:r>
              <w:rPr>
                <w:sz w:val="16"/>
              </w:rPr>
              <w:t>Event-driven</w:t>
            </w:r>
          </w:p>
        </w:tc>
        <w:tc>
          <w:tcPr>
            <w:tcW w:type="dxa" w:w="2088"/>
          </w:tcPr>
          <w:p>
            <w:r/>
            <w:r>
              <w:rPr>
                <w:sz w:val="16"/>
              </w:rPr>
              <w:t>Not addressed. Memo contemplates inverter and BESS equipment selection for noise compliance.</w:t>
            </w:r>
          </w:p>
        </w:tc>
        <w:tc>
          <w:tcPr>
            <w:tcW w:type="dxa" w:w="1008"/>
            <w:shd w:val="clear" w:color="auto" w:fill="FFC000"/>
          </w:tcPr>
          <w:p>
            <w:r/>
            <w:r>
              <w:rPr>
                <w:b/>
                <w:sz w:val="16"/>
              </w:rPr>
              <w:t>GAP</w:t>
            </w:r>
          </w:p>
        </w:tc>
        <w:tc>
          <w:tcPr>
            <w:tcW w:type="dxa" w:w="2376"/>
          </w:tcPr>
          <w:p>
            <w:r/>
            <w:r>
              <w:rPr>
                <w:sz w:val="16"/>
              </w:rPr>
              <w:t>Screen every inverter, PCS or BESS change against the 5% threshold. Owner: Engineering.</w:t>
            </w:r>
          </w:p>
        </w:tc>
      </w:tr>
      <w:tr>
        <w:tc>
          <w:tcPr>
            <w:tcW w:type="dxa" w:w="648"/>
          </w:tcPr>
          <w:p>
            <w:r/>
            <w:r>
              <w:rPr>
                <w:b/>
                <w:sz w:val="16"/>
              </w:rPr>
              <w:t>C-7</w:t>
            </w:r>
          </w:p>
        </w:tc>
        <w:tc>
          <w:tcPr>
            <w:tcW w:type="dxa" w:w="1080"/>
          </w:tcPr>
          <w:p>
            <w:r/>
            <w:r>
              <w:rPr>
                <w:sz w:val="16"/>
              </w:rPr>
              <w:t>CPCN Cond. 7; Finding 14; §V.C</w:t>
            </w:r>
          </w:p>
        </w:tc>
        <w:tc>
          <w:tcPr>
            <w:tcW w:type="dxa" w:w="3672"/>
          </w:tcPr>
          <w:p>
            <w:r/>
            <w:r>
              <w:rPr>
                <w:sz w:val="16"/>
              </w:rPr>
              <w:t>File a glare analysis (SGHAT or equivalent) within 120 days of the Order, covering (a) all residences within 1 mile; (b) adjacent and crossing public roads, including CR-118 and CR-204; (c) airports and airstrips within 10 nm. If significant impacts are found, propose mitigation and implement it, subject to approval, before operations.</w:t>
            </w:r>
          </w:p>
        </w:tc>
        <w:tc>
          <w:tcPr>
            <w:tcW w:type="dxa" w:w="1584"/>
          </w:tcPr>
          <w:p>
            <w:r/>
            <w:r>
              <w:rPr>
                <w:sz w:val="16"/>
              </w:rPr>
              <w:t>120 days after Oct. 18, 2024</w:t>
            </w:r>
          </w:p>
        </w:tc>
        <w:tc>
          <w:tcPr>
            <w:tcW w:type="dxa" w:w="1656"/>
          </w:tcPr>
          <w:p>
            <w:r/>
            <w:r>
              <w:rPr>
                <w:sz w:val="16"/>
              </w:rPr>
              <w:t>Feb. 15, 2025 (Sat.), so file by Fri. Feb. 14, 2025</w:t>
            </w:r>
          </w:p>
        </w:tc>
        <w:tc>
          <w:tcPr>
            <w:tcW w:type="dxa" w:w="2088"/>
          </w:tcPr>
          <w:p>
            <w:r/>
            <w:r>
              <w:rPr>
                <w:sz w:val="16"/>
              </w:rPr>
              <w:t>Memo: SunPath report "early February 2025"; scope described as Vance Municipal Airport (6.2 mi SE) and roadways only.</w:t>
            </w:r>
          </w:p>
        </w:tc>
        <w:tc>
          <w:tcPr>
            <w:tcW w:type="dxa" w:w="1008"/>
            <w:shd w:val="clear" w:color="auto" w:fill="ED7D31"/>
          </w:tcPr>
          <w:p>
            <w:r/>
            <w:r>
              <w:rPr>
                <w:b/>
                <w:color w:val="FFFFFF"/>
                <w:sz w:val="16"/>
              </w:rPr>
              <w:t>AT RISK</w:t>
            </w:r>
          </w:p>
        </w:tc>
        <w:tc>
          <w:tcPr>
            <w:tcW w:type="dxa" w:w="2376"/>
          </w:tcPr>
          <w:p>
            <w:r/>
            <w:r>
              <w:rPr>
                <w:sz w:val="16"/>
              </w:rPr>
              <w:t>Lock SunPath to a firm delivery date of Feb. 7, 2025 or earlier. Expand scope to residences within 1 mile and to all airstrips (including private and agricultural) within 10 nm. Owner: Development / SunPath.</w:t>
            </w:r>
          </w:p>
        </w:tc>
      </w:tr>
      <w:tr>
        <w:tc>
          <w:tcPr>
            <w:tcW w:type="dxa" w:w="648"/>
          </w:tcPr>
          <w:p>
            <w:r/>
            <w:r>
              <w:rPr>
                <w:b/>
                <w:sz w:val="16"/>
              </w:rPr>
              <w:t>C-8</w:t>
            </w:r>
          </w:p>
        </w:tc>
        <w:tc>
          <w:tcPr>
            <w:tcW w:type="dxa" w:w="1080"/>
          </w:tcPr>
          <w:p>
            <w:r/>
            <w:r>
              <w:rPr>
                <w:sz w:val="16"/>
              </w:rPr>
              <w:t>CPCN Cond. 8; §V.C; Finding 13</w:t>
            </w:r>
          </w:p>
        </w:tc>
        <w:tc>
          <w:tcPr>
            <w:tcW w:type="dxa" w:w="3672"/>
          </w:tcPr>
          <w:p>
            <w:r/>
            <w:r>
              <w:rPr>
                <w:sz w:val="16"/>
              </w:rPr>
              <w:t>Operational noise of 45 dBA or less (Leq, 1-hour) at the property line of the nearest non-participating residence. On a complaint: measure within 30 days, file within 15 days of measurement, and correct and demonstrate compliance within 90 days.</w:t>
            </w:r>
          </w:p>
        </w:tc>
        <w:tc>
          <w:tcPr>
            <w:tcW w:type="dxa" w:w="1584"/>
          </w:tcPr>
          <w:p>
            <w:r/>
            <w:r>
              <w:rPr>
                <w:sz w:val="16"/>
              </w:rPr>
              <w:t>During operations; complaint-driven</w:t>
            </w:r>
          </w:p>
        </w:tc>
        <w:tc>
          <w:tcPr>
            <w:tcW w:type="dxa" w:w="1656"/>
          </w:tcPr>
          <w:p>
            <w:r/>
            <w:r>
              <w:rPr>
                <w:sz w:val="16"/>
              </w:rPr>
              <w:t>Continuing from operations</w:t>
            </w:r>
          </w:p>
        </w:tc>
        <w:tc>
          <w:tcPr>
            <w:tcW w:type="dxa" w:w="2088"/>
          </w:tcPr>
          <w:p>
            <w:r/>
            <w:r>
              <w:rPr>
                <w:sz w:val="16"/>
              </w:rPr>
              <w:t>Memo: equipment selection and post-energization testing; assumes the residence-based study applies.</w:t>
            </w:r>
          </w:p>
        </w:tc>
        <w:tc>
          <w:tcPr>
            <w:tcW w:type="dxa" w:w="1008"/>
            <w:shd w:val="clear" w:color="auto" w:fill="ED7D31"/>
          </w:tcPr>
          <w:p>
            <w:r/>
            <w:r>
              <w:rPr>
                <w:b/>
                <w:color w:val="FFFFFF"/>
                <w:sz w:val="16"/>
              </w:rPr>
              <w:t>AT RISK</w:t>
            </w:r>
          </w:p>
        </w:tc>
        <w:tc>
          <w:tcPr>
            <w:tcW w:type="dxa" w:w="2376"/>
          </w:tcPr>
          <w:p>
            <w:r/>
            <w:r>
              <w:rPr>
                <w:sz w:val="16"/>
              </w:rPr>
              <w:t>See Critical Issue 6. Remodel at the property line. Owner: Engineering / acoustical consultant.</w:t>
            </w:r>
          </w:p>
        </w:tc>
      </w:tr>
      <w:tr>
        <w:tc>
          <w:tcPr>
            <w:tcW w:type="dxa" w:w="648"/>
          </w:tcPr>
          <w:p>
            <w:r/>
            <w:r>
              <w:rPr>
                <w:b/>
                <w:sz w:val="16"/>
              </w:rPr>
              <w:t>C-9</w:t>
            </w:r>
          </w:p>
        </w:tc>
        <w:tc>
          <w:tcPr>
            <w:tcW w:type="dxa" w:w="1080"/>
          </w:tcPr>
          <w:p>
            <w:r/>
            <w:r>
              <w:rPr>
                <w:sz w:val="16"/>
              </w:rPr>
              <w:t>CPCN Cond. 9; Finding 25</w:t>
            </w:r>
          </w:p>
        </w:tc>
        <w:tc>
          <w:tcPr>
            <w:tcW w:type="dxa" w:w="3672"/>
          </w:tcPr>
          <w:p>
            <w:r/>
            <w:r>
              <w:rPr>
                <w:sz w:val="16"/>
              </w:rPr>
              <w:t>Community benefit fund: $150,000 per year for 30 years ($4.5M total), payable to the Harmon County Board of Commissioners (or its fiscal agent or successor), beginning on the first anniversary of COD.</w:t>
            </w:r>
          </w:p>
        </w:tc>
        <w:tc>
          <w:tcPr>
            <w:tcW w:type="dxa" w:w="1584"/>
          </w:tcPr>
          <w:p>
            <w:r/>
            <w:r>
              <w:rPr>
                <w:sz w:val="16"/>
              </w:rPr>
              <w:t>First anniversary of CPCN COD</w:t>
            </w:r>
          </w:p>
        </w:tc>
        <w:tc>
          <w:tcPr>
            <w:tcW w:type="dxa" w:w="1656"/>
          </w:tcPr>
          <w:p>
            <w:r/>
            <w:r>
              <w:rPr>
                <w:sz w:val="16"/>
              </w:rPr>
              <w:t>About Jul. 2027 if first grid delivery is in Jul. 2026 (memo assumes Dec. 1, 2027)</w:t>
            </w:r>
          </w:p>
        </w:tc>
        <w:tc>
          <w:tcPr>
            <w:tcW w:type="dxa" w:w="2088"/>
          </w:tcPr>
          <w:p>
            <w:r/>
            <w:r>
              <w:rPr>
                <w:sz w:val="16"/>
              </w:rPr>
              <w:t>Memo: first payment Dec. 1, 2027.</w:t>
            </w:r>
          </w:p>
        </w:tc>
        <w:tc>
          <w:tcPr>
            <w:tcW w:type="dxa" w:w="1008"/>
            <w:shd w:val="clear" w:color="auto" w:fill="ED7D31"/>
          </w:tcPr>
          <w:p>
            <w:r/>
            <w:r>
              <w:rPr>
                <w:b/>
                <w:color w:val="FFFFFF"/>
                <w:sz w:val="16"/>
              </w:rPr>
              <w:t>AT RISK</w:t>
            </w:r>
          </w:p>
        </w:tc>
        <w:tc>
          <w:tcPr>
            <w:tcW w:type="dxa" w:w="2376"/>
          </w:tcPr>
          <w:p>
            <w:r/>
            <w:r>
              <w:rPr>
                <w:sz w:val="16"/>
              </w:rPr>
              <w:t>Key the payment to CPCN COD (first grid delivery). See Critical Issue 3. Owner: Finance.</w:t>
            </w:r>
          </w:p>
        </w:tc>
      </w:tr>
      <w:tr>
        <w:tc>
          <w:tcPr>
            <w:tcW w:type="dxa" w:w="648"/>
          </w:tcPr>
          <w:p>
            <w:r/>
            <w:r>
              <w:rPr>
                <w:b/>
                <w:sz w:val="16"/>
              </w:rPr>
              <w:t>C-10</w:t>
            </w:r>
          </w:p>
        </w:tc>
        <w:tc>
          <w:tcPr>
            <w:tcW w:type="dxa" w:w="1080"/>
          </w:tcPr>
          <w:p>
            <w:r/>
            <w:r>
              <w:rPr>
                <w:sz w:val="16"/>
              </w:rPr>
              <w:t>CPCN Cond. 10; §V.F; §IX</w:t>
            </w:r>
          </w:p>
        </w:tc>
        <w:tc>
          <w:tcPr>
            <w:tcW w:type="dxa" w:w="3672"/>
          </w:tcPr>
          <w:p>
            <w:r/>
            <w:r>
              <w:rPr>
                <w:sz w:val="16"/>
              </w:rPr>
              <w:t>COD means first generation of electricity for delivery to the grid. Notify TPUC within 10 business days of COD, with documentation.</w:t>
            </w:r>
          </w:p>
        </w:tc>
        <w:tc>
          <w:tcPr>
            <w:tcW w:type="dxa" w:w="1584"/>
          </w:tcPr>
          <w:p>
            <w:r/>
            <w:r>
              <w:rPr>
                <w:sz w:val="16"/>
              </w:rPr>
              <w:t>10 business days after first grid delivery</w:t>
            </w:r>
          </w:p>
        </w:tc>
        <w:tc>
          <w:tcPr>
            <w:tcW w:type="dxa" w:w="1656"/>
          </w:tcPr>
          <w:p>
            <w:r/>
            <w:r>
              <w:rPr>
                <w:sz w:val="16"/>
              </w:rPr>
              <w:t>Likely Q3 2026 under the memo schedule</w:t>
            </w:r>
          </w:p>
        </w:tc>
        <w:tc>
          <w:tcPr>
            <w:tcW w:type="dxa" w:w="2088"/>
          </w:tcPr>
          <w:p>
            <w:r/>
            <w:r>
              <w:rPr>
                <w:sz w:val="16"/>
              </w:rPr>
              <w:t>Memo treats Dec. 1, 2026 as COD for all purposes.</w:t>
            </w:r>
          </w:p>
        </w:tc>
        <w:tc>
          <w:tcPr>
            <w:tcW w:type="dxa" w:w="1008"/>
            <w:shd w:val="clear" w:color="auto" w:fill="C00000"/>
          </w:tcPr>
          <w:p>
            <w:r/>
            <w:r>
              <w:rPr>
                <w:b/>
                <w:color w:val="FFFFFF"/>
                <w:sz w:val="16"/>
              </w:rPr>
              <w:t>CRITICAL</w:t>
            </w:r>
          </w:p>
        </w:tc>
        <w:tc>
          <w:tcPr>
            <w:tcW w:type="dxa" w:w="2376"/>
          </w:tcPr>
          <w:p>
            <w:r/>
            <w:r>
              <w:rPr>
                <w:sz w:val="16"/>
              </w:rPr>
              <w:t>See Critical Issue 3. Owner: Legal / Operations.</w:t>
            </w:r>
          </w:p>
        </w:tc>
      </w:tr>
      <w:tr>
        <w:tc>
          <w:tcPr>
            <w:tcW w:type="dxa" w:w="648"/>
          </w:tcPr>
          <w:p>
            <w:r/>
            <w:r>
              <w:rPr>
                <w:b/>
                <w:sz w:val="16"/>
              </w:rPr>
              <w:t>C-11</w:t>
            </w:r>
          </w:p>
        </w:tc>
        <w:tc>
          <w:tcPr>
            <w:tcW w:type="dxa" w:w="1080"/>
          </w:tcPr>
          <w:p>
            <w:r/>
            <w:r>
              <w:rPr>
                <w:sz w:val="16"/>
              </w:rPr>
              <w:t>CPCN Cond. 11</w:t>
            </w:r>
          </w:p>
        </w:tc>
        <w:tc>
          <w:tcPr>
            <w:tcW w:type="dxa" w:w="3672"/>
          </w:tcPr>
          <w:p>
            <w:r/>
            <w:r>
              <w:rPr>
                <w:sz w:val="16"/>
              </w:rPr>
              <w:t>Comply with the TDEQ ECO. Promptly notify TPUC of material TDEQ non-compliance (NOVs, enforcement orders, consent agreements). Report ECO amendments materially affecting the CPCN within 10 business days.</w:t>
            </w:r>
          </w:p>
        </w:tc>
        <w:tc>
          <w:tcPr>
            <w:tcW w:type="dxa" w:w="1584"/>
          </w:tcPr>
          <w:p>
            <w:r/>
            <w:r>
              <w:rPr>
                <w:sz w:val="16"/>
              </w:rPr>
              <w:t>Prompt / 10 business days</w:t>
            </w:r>
          </w:p>
        </w:tc>
        <w:tc>
          <w:tcPr>
            <w:tcW w:type="dxa" w:w="1656"/>
          </w:tcPr>
          <w:p>
            <w:r/>
            <w:r>
              <w:rPr>
                <w:sz w:val="16"/>
              </w:rPr>
              <w:t>Event-driven</w:t>
            </w:r>
          </w:p>
        </w:tc>
        <w:tc>
          <w:tcPr>
            <w:tcW w:type="dxa" w:w="2088"/>
          </w:tcPr>
          <w:p>
            <w:r/>
            <w:r>
              <w:rPr>
                <w:sz w:val="16"/>
              </w:rPr>
              <w:t>Not addressed.</w:t>
            </w:r>
          </w:p>
        </w:tc>
        <w:tc>
          <w:tcPr>
            <w:tcW w:type="dxa" w:w="1008"/>
            <w:shd w:val="clear" w:color="auto" w:fill="FFC000"/>
          </w:tcPr>
          <w:p>
            <w:r/>
            <w:r>
              <w:rPr>
                <w:b/>
                <w:sz w:val="16"/>
              </w:rPr>
              <w:t>GAP</w:t>
            </w:r>
          </w:p>
        </w:tc>
        <w:tc>
          <w:tcPr>
            <w:tcW w:type="dxa" w:w="2376"/>
          </w:tcPr>
          <w:p>
            <w:r/>
            <w:r>
              <w:rPr>
                <w:sz w:val="16"/>
              </w:rPr>
              <w:t>Route all TDEQ correspondence through Legal for TPUC reporting. Owner: Legal / Environmental.</w:t>
            </w:r>
          </w:p>
        </w:tc>
      </w:tr>
      <w:tr>
        <w:tc>
          <w:tcPr>
            <w:tcW w:type="dxa" w:w="648"/>
          </w:tcPr>
          <w:p>
            <w:r/>
            <w:r>
              <w:rPr>
                <w:b/>
                <w:sz w:val="16"/>
              </w:rPr>
              <w:t>C-12</w:t>
            </w:r>
          </w:p>
        </w:tc>
        <w:tc>
          <w:tcPr>
            <w:tcW w:type="dxa" w:w="1080"/>
          </w:tcPr>
          <w:p>
            <w:r/>
            <w:r>
              <w:rPr>
                <w:sz w:val="16"/>
              </w:rPr>
              <w:t>CPCN Cond. 12</w:t>
            </w:r>
          </w:p>
        </w:tc>
        <w:tc>
          <w:tcPr>
            <w:tcW w:type="dxa" w:w="3672"/>
          </w:tcPr>
          <w:p>
            <w:r/>
            <w:r>
              <w:rPr>
                <w:sz w:val="16"/>
              </w:rPr>
              <w:t>Comply with the FAA Determination, including marking and lighting and the construction commencement deadline. Maintain obstruction lighting on structures over 150 ft AGL per AC 70/7460-1M.</w:t>
            </w:r>
          </w:p>
        </w:tc>
        <w:tc>
          <w:tcPr>
            <w:tcW w:type="dxa" w:w="1584"/>
          </w:tcPr>
          <w:p>
            <w:r/>
            <w:r>
              <w:rPr>
                <w:sz w:val="16"/>
              </w:rPr>
              <w:t>Continuing</w:t>
            </w:r>
          </w:p>
        </w:tc>
        <w:tc>
          <w:tcPr>
            <w:tcW w:type="dxa" w:w="1656"/>
          </w:tcPr>
          <w:p>
            <w:r/>
            <w:r>
              <w:rPr>
                <w:sz w:val="16"/>
              </w:rPr>
              <w:t>See F-1 to F-8</w:t>
            </w:r>
          </w:p>
        </w:tc>
        <w:tc>
          <w:tcPr>
            <w:tcW w:type="dxa" w:w="2088"/>
          </w:tcPr>
          <w:p>
            <w:r/>
            <w:r>
              <w:rPr>
                <w:sz w:val="16"/>
              </w:rPr>
              <w:t>Memo acknowledges lighting and Form 7460-2.</w:t>
            </w:r>
          </w:p>
        </w:tc>
        <w:tc>
          <w:tcPr>
            <w:tcW w:type="dxa" w:w="1008"/>
            <w:shd w:val="clear" w:color="auto" w:fill="5B9BD5"/>
          </w:tcPr>
          <w:p>
            <w:r/>
            <w:r>
              <w:rPr>
                <w:b/>
                <w:color w:val="FFFFFF"/>
                <w:sz w:val="16"/>
              </w:rPr>
              <w:t>ONGOING</w:t>
            </w:r>
          </w:p>
        </w:tc>
        <w:tc>
          <w:tcPr>
            <w:tcW w:type="dxa" w:w="2376"/>
          </w:tcPr>
          <w:p>
            <w:r/>
            <w:r>
              <w:rPr>
                <w:sz w:val="16"/>
              </w:rPr>
              <w:t>Cross-tracked under the FAA rows. Owner: Engineering.</w:t>
            </w:r>
          </w:p>
        </w:tc>
      </w:tr>
      <w:tr>
        <w:tc>
          <w:tcPr>
            <w:tcW w:type="dxa" w:w="648"/>
          </w:tcPr>
          <w:p>
            <w:r/>
            <w:r>
              <w:rPr>
                <w:b/>
                <w:sz w:val="16"/>
              </w:rPr>
              <w:t>C-13</w:t>
            </w:r>
          </w:p>
        </w:tc>
        <w:tc>
          <w:tcPr>
            <w:tcW w:type="dxa" w:w="1080"/>
          </w:tcPr>
          <w:p>
            <w:r/>
            <w:r>
              <w:rPr>
                <w:sz w:val="16"/>
              </w:rPr>
              <w:t>CPCN Cond. 13</w:t>
            </w:r>
          </w:p>
        </w:tc>
        <w:tc>
          <w:tcPr>
            <w:tcW w:type="dxa" w:w="3672"/>
          </w:tcPr>
          <w:p>
            <w:r/>
            <w:r>
              <w:rPr>
                <w:sz w:val="16"/>
              </w:rPr>
              <w:t>Maximum heights: solar arrays 15 ft AGL (at full tilt); gen-tie structures and substation 180 ft AGL. Any increase requires prior TPUC approval and a supplemental FAA study.</w:t>
            </w:r>
          </w:p>
        </w:tc>
        <w:tc>
          <w:tcPr>
            <w:tcW w:type="dxa" w:w="1584"/>
          </w:tcPr>
          <w:p>
            <w:r/>
            <w:r>
              <w:rPr>
                <w:sz w:val="16"/>
              </w:rPr>
              <w:t>Design / continuing</w:t>
            </w:r>
          </w:p>
        </w:tc>
        <w:tc>
          <w:tcPr>
            <w:tcW w:type="dxa" w:w="1656"/>
          </w:tcPr>
          <w:p>
            <w:r/>
            <w:r>
              <w:rPr>
                <w:sz w:val="16"/>
              </w:rPr>
              <w:t>n/a</w:t>
            </w:r>
          </w:p>
        </w:tc>
        <w:tc>
          <w:tcPr>
            <w:tcW w:type="dxa" w:w="2088"/>
          </w:tcPr>
          <w:p>
            <w:r/>
            <w:r>
              <w:rPr>
                <w:sz w:val="16"/>
              </w:rPr>
              <w:t>Memo: gen-tie up to 180 ft. Substation height not stated. FAA caps the substation at 80 ft (F-1).</w:t>
            </w:r>
          </w:p>
        </w:tc>
        <w:tc>
          <w:tcPr>
            <w:tcW w:type="dxa" w:w="1008"/>
            <w:shd w:val="clear" w:color="auto" w:fill="ED7D31"/>
          </w:tcPr>
          <w:p>
            <w:r/>
            <w:r>
              <w:rPr>
                <w:b/>
                <w:color w:val="FFFFFF"/>
                <w:sz w:val="16"/>
              </w:rPr>
              <w:t>AT RISK</w:t>
            </w:r>
          </w:p>
        </w:tc>
        <w:tc>
          <w:tcPr>
            <w:tcW w:type="dxa" w:w="2376"/>
          </w:tcPr>
          <w:p>
            <w:r/>
            <w:r>
              <w:rPr>
                <w:sz w:val="16"/>
              </w:rPr>
              <w:t>Design to the more restrictive FAA 80-ft substation limit. Owner: Engineering.</w:t>
            </w:r>
          </w:p>
        </w:tc>
      </w:tr>
      <w:tr>
        <w:tc>
          <w:tcPr>
            <w:tcW w:type="dxa" w:w="648"/>
          </w:tcPr>
          <w:p>
            <w:r/>
            <w:r>
              <w:rPr>
                <w:b/>
                <w:sz w:val="16"/>
              </w:rPr>
              <w:t>C-14</w:t>
            </w:r>
          </w:p>
        </w:tc>
        <w:tc>
          <w:tcPr>
            <w:tcW w:type="dxa" w:w="1080"/>
          </w:tcPr>
          <w:p>
            <w:r/>
            <w:r>
              <w:rPr>
                <w:sz w:val="16"/>
              </w:rPr>
              <w:t>CPCN Cond. 14; Finding 24; §V.E</w:t>
            </w:r>
          </w:p>
        </w:tc>
        <w:tc>
          <w:tcPr>
            <w:tcW w:type="dxa" w:w="3672"/>
          </w:tcPr>
          <w:p>
            <w:r/>
            <w:r>
              <w:rPr>
                <w:sz w:val="16"/>
              </w:rPr>
              <w:t>Decommissioning bond: irrevocable standby LC from an issuer rated A- or better by an NRSRO, posted within 12 months of COD. Condition states $18.5M; findings require not less than the $19.2M estimate. Payable to TPUC as trustee for Harmon County citizens; form approved by TPUC General Counsel; maintained for life; adjusted every 5 years on an independent estimate.</w:t>
            </w:r>
          </w:p>
        </w:tc>
        <w:tc>
          <w:tcPr>
            <w:tcW w:type="dxa" w:w="1584"/>
          </w:tcPr>
          <w:p>
            <w:r/>
            <w:r>
              <w:rPr>
                <w:sz w:val="16"/>
              </w:rPr>
              <w:t>12 months after CPCN COD; 5-year resets</w:t>
            </w:r>
          </w:p>
        </w:tc>
        <w:tc>
          <w:tcPr>
            <w:tcW w:type="dxa" w:w="1656"/>
          </w:tcPr>
          <w:p>
            <w:r/>
            <w:r>
              <w:rPr>
                <w:sz w:val="16"/>
              </w:rPr>
              <w:t>About Jul. 2027 (memo: Dec. 1, 2027)</w:t>
            </w:r>
          </w:p>
        </w:tc>
        <w:tc>
          <w:tcPr>
            <w:tcW w:type="dxa" w:w="2088"/>
          </w:tcPr>
          <w:p>
            <w:r/>
            <w:r>
              <w:rPr>
                <w:sz w:val="16"/>
              </w:rPr>
              <w:t>Memo: posting Dec. 1, 2027; amount not stated.</w:t>
            </w:r>
          </w:p>
        </w:tc>
        <w:tc>
          <w:tcPr>
            <w:tcW w:type="dxa" w:w="1008"/>
            <w:shd w:val="clear" w:color="auto" w:fill="C00000"/>
          </w:tcPr>
          <w:p>
            <w:r/>
            <w:r>
              <w:rPr>
                <w:b/>
                <w:color w:val="FFFFFF"/>
                <w:sz w:val="16"/>
              </w:rPr>
              <w:t>CRITICAL</w:t>
            </w:r>
          </w:p>
        </w:tc>
        <w:tc>
          <w:tcPr>
            <w:tcW w:type="dxa" w:w="2376"/>
          </w:tcPr>
          <w:p>
            <w:r/>
            <w:r>
              <w:rPr>
                <w:sz w:val="16"/>
              </w:rPr>
              <w:t>See Critical Issue 5. Seek clarification by Nov. 17/18, 2024. Owner: Legal / Finance.</w:t>
            </w:r>
          </w:p>
        </w:tc>
      </w:tr>
      <w:tr>
        <w:tc>
          <w:tcPr>
            <w:tcW w:type="dxa" w:w="648"/>
          </w:tcPr>
          <w:p>
            <w:r/>
            <w:r>
              <w:rPr>
                <w:b/>
                <w:sz w:val="16"/>
              </w:rPr>
              <w:t>C-15</w:t>
            </w:r>
          </w:p>
        </w:tc>
        <w:tc>
          <w:tcPr>
            <w:tcW w:type="dxa" w:w="1080"/>
          </w:tcPr>
          <w:p>
            <w:r/>
            <w:r>
              <w:rPr>
                <w:sz w:val="16"/>
              </w:rPr>
              <w:t>CPCN Cond. 15</w:t>
            </w:r>
          </w:p>
        </w:tc>
        <w:tc>
          <w:tcPr>
            <w:tcW w:type="dxa" w:w="3672"/>
          </w:tcPr>
          <w:p>
            <w:r/>
            <w:r>
              <w:rPr>
                <w:sz w:val="16"/>
              </w:rPr>
              <w:t>Cranes or temporary structures over 200 ft AGL: separate FAA aeronautical study filing at least 45 days before deployment; notify TPUC concurrently; do not deploy until the FAA issues a determination.</w:t>
            </w:r>
          </w:p>
        </w:tc>
        <w:tc>
          <w:tcPr>
            <w:tcW w:type="dxa" w:w="1584"/>
          </w:tcPr>
          <w:p>
            <w:r/>
            <w:r>
              <w:rPr>
                <w:sz w:val="16"/>
              </w:rPr>
              <w:t>At least 45 days before each crane deployment</w:t>
            </w:r>
          </w:p>
        </w:tc>
        <w:tc>
          <w:tcPr>
            <w:tcW w:type="dxa" w:w="1656"/>
          </w:tcPr>
          <w:p>
            <w:r/>
            <w:r>
              <w:rPr>
                <w:sz w:val="16"/>
              </w:rPr>
              <w:t>Gen-tie erection from Apr. 2025: first filings by about mid-Feb. 2025</w:t>
            </w:r>
          </w:p>
        </w:tc>
        <w:tc>
          <w:tcPr>
            <w:tcW w:type="dxa" w:w="2088"/>
          </w:tcPr>
          <w:p>
            <w:r/>
            <w:r>
              <w:rPr>
                <w:sz w:val="16"/>
              </w:rPr>
              <w:t>Memo: 45-day filings for gen-tie cranes; omits TPUC concurrent notice, the no-deploy rule, and substation cranes.</w:t>
            </w:r>
          </w:p>
        </w:tc>
        <w:tc>
          <w:tcPr>
            <w:tcW w:type="dxa" w:w="1008"/>
            <w:shd w:val="clear" w:color="auto" w:fill="ED7D31"/>
          </w:tcPr>
          <w:p>
            <w:r/>
            <w:r>
              <w:rPr>
                <w:b/>
                <w:color w:val="FFFFFF"/>
                <w:sz w:val="16"/>
              </w:rPr>
              <w:t>AT RISK</w:t>
            </w:r>
          </w:p>
        </w:tc>
        <w:tc>
          <w:tcPr>
            <w:tcW w:type="dxa" w:w="2376"/>
          </w:tcPr>
          <w:p>
            <w:r/>
            <w:r>
              <w:rPr>
                <w:sz w:val="16"/>
              </w:rPr>
              <w:t>File early, since the FAA may take longer than 45 days. Add substation cranes and TPUC notices. Owner: Construction.</w:t>
            </w:r>
          </w:p>
        </w:tc>
      </w:tr>
      <w:tr>
        <w:tc>
          <w:tcPr>
            <w:tcW w:type="dxa" w:w="648"/>
          </w:tcPr>
          <w:p>
            <w:r/>
            <w:r>
              <w:rPr>
                <w:b/>
                <w:sz w:val="16"/>
              </w:rPr>
              <w:t>C-16</w:t>
            </w:r>
          </w:p>
        </w:tc>
        <w:tc>
          <w:tcPr>
            <w:tcW w:type="dxa" w:w="1080"/>
          </w:tcPr>
          <w:p>
            <w:r/>
            <w:r>
              <w:rPr>
                <w:sz w:val="16"/>
              </w:rPr>
              <w:t>CPCN Cond. 16</w:t>
            </w:r>
          </w:p>
        </w:tc>
        <w:tc>
          <w:tcPr>
            <w:tcW w:type="dxa" w:w="3672"/>
          </w:tcPr>
          <w:p>
            <w:r/>
            <w:r>
              <w:rPr>
                <w:sz w:val="16"/>
              </w:rPr>
              <w:t>Before gen-tie construction at the CR-118 and CR-204 crossings, obtain road-crossing permits from Harmon County and the Talmadge Department of Transportation, as applicable, and file copies with TPUC before gen-tie construction begins.</w:t>
            </w:r>
          </w:p>
        </w:tc>
        <w:tc>
          <w:tcPr>
            <w:tcW w:type="dxa" w:w="1584"/>
          </w:tcPr>
          <w:p>
            <w:r/>
            <w:r>
              <w:rPr>
                <w:sz w:val="16"/>
              </w:rPr>
              <w:t>Before gen-tie construction</w:t>
            </w:r>
          </w:p>
        </w:tc>
        <w:tc>
          <w:tcPr>
            <w:tcW w:type="dxa" w:w="1656"/>
          </w:tcPr>
          <w:p>
            <w:r/>
            <w:r>
              <w:rPr>
                <w:sz w:val="16"/>
              </w:rPr>
              <w:t>Before Apr. 2025</w:t>
            </w:r>
          </w:p>
        </w:tc>
        <w:tc>
          <w:tcPr>
            <w:tcW w:type="dxa" w:w="2088"/>
          </w:tcPr>
          <w:p>
            <w:r/>
            <w:r>
              <w:rPr>
                <w:sz w:val="16"/>
              </w:rPr>
              <w:t>Not addressed.</w:t>
            </w:r>
          </w:p>
        </w:tc>
        <w:tc>
          <w:tcPr>
            <w:tcW w:type="dxa" w:w="1008"/>
            <w:shd w:val="clear" w:color="auto" w:fill="FFC000"/>
          </w:tcPr>
          <w:p>
            <w:r/>
            <w:r>
              <w:rPr>
                <w:b/>
                <w:sz w:val="16"/>
              </w:rPr>
              <w:t>GAP</w:t>
            </w:r>
          </w:p>
        </w:tc>
        <w:tc>
          <w:tcPr>
            <w:tcW w:type="dxa" w:w="2376"/>
          </w:tcPr>
          <w:p>
            <w:r/>
            <w:r>
              <w:rPr>
                <w:sz w:val="16"/>
              </w:rPr>
              <w:t>Apply to Harmon County and Talmadge DOT in Q4 2024. Owner: Permitting.</w:t>
            </w:r>
          </w:p>
        </w:tc>
      </w:tr>
      <w:tr>
        <w:tc>
          <w:tcPr>
            <w:tcW w:type="dxa" w:w="648"/>
          </w:tcPr>
          <w:p>
            <w:r/>
            <w:r>
              <w:rPr>
                <w:b/>
                <w:sz w:val="16"/>
              </w:rPr>
              <w:t>C-17</w:t>
            </w:r>
          </w:p>
        </w:tc>
        <w:tc>
          <w:tcPr>
            <w:tcW w:type="dxa" w:w="1080"/>
          </w:tcPr>
          <w:p>
            <w:r/>
            <w:r>
              <w:rPr>
                <w:sz w:val="16"/>
              </w:rPr>
              <w:t>CPCN Cond. 17</w:t>
            </w:r>
          </w:p>
        </w:tc>
        <w:tc>
          <w:tcPr>
            <w:tcW w:type="dxa" w:w="3672"/>
          </w:tcPr>
          <w:p>
            <w:r/>
            <w:r>
              <w:rPr>
                <w:sz w:val="16"/>
              </w:rPr>
              <w:t>Vegetative screening buffer at least 50 ft wide along the northern boundary of Secs. 14/15 (Pullman), native species, installed before the start of Facility operations, maintained for life; replace dead plantings within 1 growing season.</w:t>
            </w:r>
          </w:p>
        </w:tc>
        <w:tc>
          <w:tcPr>
            <w:tcW w:type="dxa" w:w="1584"/>
          </w:tcPr>
          <w:p>
            <w:r/>
            <w:r>
              <w:rPr>
                <w:sz w:val="16"/>
              </w:rPr>
              <w:t>Before operations; continuing</w:t>
            </w:r>
          </w:p>
        </w:tc>
        <w:tc>
          <w:tcPr>
            <w:tcW w:type="dxa" w:w="1656"/>
          </w:tcPr>
          <w:p>
            <w:r/>
            <w:r>
              <w:rPr>
                <w:sz w:val="16"/>
              </w:rPr>
              <w:t>Before first grid delivery (about Jul. 2026)</w:t>
            </w:r>
          </w:p>
        </w:tc>
        <w:tc>
          <w:tcPr>
            <w:tcW w:type="dxa" w:w="2088"/>
          </w:tcPr>
          <w:p>
            <w:r/>
            <w:r>
              <w:rPr>
                <w:sz w:val="16"/>
              </w:rPr>
              <w:t>Memo: planting Feb.–Mar. 2025, weather permitting.</w:t>
            </w:r>
          </w:p>
        </w:tc>
        <w:tc>
          <w:tcPr>
            <w:tcW w:type="dxa" w:w="1008"/>
            <w:shd w:val="clear" w:color="auto" w:fill="ED7D31"/>
          </w:tcPr>
          <w:p>
            <w:r/>
            <w:r>
              <w:rPr>
                <w:b/>
                <w:color w:val="FFFFFF"/>
                <w:sz w:val="16"/>
              </w:rPr>
              <w:t>AT RISK</w:t>
            </w:r>
          </w:p>
        </w:tc>
        <w:tc>
          <w:tcPr>
            <w:tcW w:type="dxa" w:w="2376"/>
          </w:tcPr>
          <w:p>
            <w:r/>
            <w:r>
              <w:rPr>
                <w:sz w:val="16"/>
              </w:rPr>
              <w:t>See E-6 and Critical Issue 7. Owner: Environmental.</w:t>
            </w:r>
          </w:p>
        </w:tc>
      </w:tr>
      <w:tr>
        <w:tc>
          <w:tcPr>
            <w:tcW w:type="dxa" w:w="648"/>
          </w:tcPr>
          <w:p>
            <w:r/>
            <w:r>
              <w:rPr>
                <w:b/>
                <w:sz w:val="16"/>
              </w:rPr>
              <w:t>C-18</w:t>
            </w:r>
          </w:p>
        </w:tc>
        <w:tc>
          <w:tcPr>
            <w:tcW w:type="dxa" w:w="1080"/>
          </w:tcPr>
          <w:p>
            <w:r/>
            <w:r>
              <w:rPr>
                <w:sz w:val="16"/>
              </w:rPr>
              <w:t>CPCN Cond. 18</w:t>
            </w:r>
          </w:p>
        </w:tc>
        <w:tc>
          <w:tcPr>
            <w:tcW w:type="dxa" w:w="3672"/>
          </w:tcPr>
          <w:p>
            <w:r/>
            <w:r>
              <w:rPr>
                <w:sz w:val="16"/>
              </w:rPr>
              <w:t>Implement the SWPPP and dust suppression plan through construction and operations. PM10 must not exceed 150 µg/m³ at the Project boundary during construction. Keep records available to TPUC and TDEQ.</w:t>
            </w:r>
          </w:p>
        </w:tc>
        <w:tc>
          <w:tcPr>
            <w:tcW w:type="dxa" w:w="1584"/>
          </w:tcPr>
          <w:p>
            <w:r/>
            <w:r>
              <w:rPr>
                <w:sz w:val="16"/>
              </w:rPr>
              <w:t>Construction and operations</w:t>
            </w:r>
          </w:p>
        </w:tc>
        <w:tc>
          <w:tcPr>
            <w:tcW w:type="dxa" w:w="1656"/>
          </w:tcPr>
          <w:p>
            <w:r/>
            <w:r>
              <w:rPr>
                <w:sz w:val="16"/>
              </w:rPr>
              <w:t>Continuing</w:t>
            </w:r>
          </w:p>
        </w:tc>
        <w:tc>
          <w:tcPr>
            <w:tcW w:type="dxa" w:w="2088"/>
          </w:tcPr>
          <w:p>
            <w:r/>
            <w:r>
              <w:rPr>
                <w:sz w:val="16"/>
              </w:rPr>
              <w:t>Memo: water trucks, MgCl2, monitors on north and east only.</w:t>
            </w:r>
          </w:p>
        </w:tc>
        <w:tc>
          <w:tcPr>
            <w:tcW w:type="dxa" w:w="1008"/>
            <w:shd w:val="clear" w:color="auto" w:fill="ED7D31"/>
          </w:tcPr>
          <w:p>
            <w:r/>
            <w:r>
              <w:rPr>
                <w:b/>
                <w:color w:val="FFFFFF"/>
                <w:sz w:val="16"/>
              </w:rPr>
              <w:t>AT RISK</w:t>
            </w:r>
          </w:p>
        </w:tc>
        <w:tc>
          <w:tcPr>
            <w:tcW w:type="dxa" w:w="2376"/>
          </w:tcPr>
          <w:p>
            <w:r/>
            <w:r>
              <w:rPr>
                <w:sz w:val="16"/>
              </w:rPr>
              <w:t>See E-4 and E-5. Owner: Environmental / EPC.</w:t>
            </w:r>
          </w:p>
        </w:tc>
      </w:tr>
      <w:tr>
        <w:tc>
          <w:tcPr>
            <w:tcW w:type="dxa" w:w="648"/>
          </w:tcPr>
          <w:p>
            <w:r/>
            <w:r>
              <w:rPr>
                <w:b/>
                <w:sz w:val="16"/>
              </w:rPr>
              <w:t>C-19</w:t>
            </w:r>
          </w:p>
        </w:tc>
        <w:tc>
          <w:tcPr>
            <w:tcW w:type="dxa" w:w="1080"/>
          </w:tcPr>
          <w:p>
            <w:r/>
            <w:r>
              <w:rPr>
                <w:sz w:val="16"/>
              </w:rPr>
              <w:t>CPCN Cond. 19</w:t>
            </w:r>
          </w:p>
        </w:tc>
        <w:tc>
          <w:tcPr>
            <w:tcW w:type="dxa" w:w="3672"/>
          </w:tcPr>
          <w:p>
            <w:r/>
            <w:r>
              <w:rPr>
                <w:sz w:val="16"/>
              </w:rPr>
              <w:t>Pre-construction biological surveys within 60 days before ground disturbance for each phase. File results with TDEQ and TPUC within 10 business days of completion. If listed species are present, coordinate avoidance or mitigation with TDEQ before disturbance.</w:t>
            </w:r>
          </w:p>
        </w:tc>
        <w:tc>
          <w:tcPr>
            <w:tcW w:type="dxa" w:w="1584"/>
          </w:tcPr>
          <w:p>
            <w:r/>
            <w:r>
              <w:rPr>
                <w:sz w:val="16"/>
              </w:rPr>
              <w:t>Each phase</w:t>
            </w:r>
          </w:p>
        </w:tc>
        <w:tc>
          <w:tcPr>
            <w:tcW w:type="dxa" w:w="1656"/>
          </w:tcPr>
          <w:p>
            <w:r/>
            <w:r>
              <w:rPr>
                <w:sz w:val="16"/>
              </w:rPr>
              <w:t>Phase 1: survey Dec. 3, 2024 – ~Jan. 2, 2025 for a Feb. 1 start</w:t>
            </w:r>
          </w:p>
        </w:tc>
        <w:tc>
          <w:tcPr>
            <w:tcW w:type="dxa" w:w="2088"/>
          </w:tcPr>
          <w:p>
            <w:r/>
            <w:r>
              <w:rPr>
                <w:sz w:val="16"/>
              </w:rPr>
              <w:t>Memo: Phase 1 surveys done late Dec. 2024; no TPUC filing or later-phase surveys.</w:t>
            </w:r>
          </w:p>
        </w:tc>
        <w:tc>
          <w:tcPr>
            <w:tcW w:type="dxa" w:w="1008"/>
            <w:shd w:val="clear" w:color="auto" w:fill="ED7D31"/>
          </w:tcPr>
          <w:p>
            <w:r/>
            <w:r>
              <w:rPr>
                <w:b/>
                <w:color w:val="FFFFFF"/>
                <w:sz w:val="16"/>
              </w:rPr>
              <w:t>AT RISK</w:t>
            </w:r>
          </w:p>
        </w:tc>
        <w:tc>
          <w:tcPr>
            <w:tcW w:type="dxa" w:w="2376"/>
          </w:tcPr>
          <w:p>
            <w:r/>
            <w:r>
              <w:rPr>
                <w:sz w:val="16"/>
              </w:rPr>
              <w:t>See E-2 and Critical Issue 8. Owner: Environmental / Ridgecrest.</w:t>
            </w:r>
          </w:p>
        </w:tc>
      </w:tr>
      <w:tr>
        <w:tc>
          <w:tcPr>
            <w:tcW w:type="dxa" w:w="648"/>
          </w:tcPr>
          <w:p>
            <w:r/>
            <w:r>
              <w:rPr>
                <w:b/>
                <w:sz w:val="16"/>
              </w:rPr>
              <w:t>C-20</w:t>
            </w:r>
          </w:p>
        </w:tc>
        <w:tc>
          <w:tcPr>
            <w:tcW w:type="dxa" w:w="1080"/>
          </w:tcPr>
          <w:p>
            <w:r/>
            <w:r>
              <w:rPr>
                <w:sz w:val="16"/>
              </w:rPr>
              <w:t>CPCN Cond. 20</w:t>
            </w:r>
          </w:p>
        </w:tc>
        <w:tc>
          <w:tcPr>
            <w:tcW w:type="dxa" w:w="3672"/>
          </w:tcPr>
          <w:p>
            <w:r/>
            <w:r>
              <w:rPr>
                <w:sz w:val="16"/>
              </w:rPr>
              <w:t>Willow Creek crossing limited to Jun. 1 – Sep. 30. Clear-span design with no in-stream piers. Erosion and sediment controls per the ECO. Restore temporarily disturbed streambanks within 30 days of completing the crossing.</w:t>
            </w:r>
          </w:p>
        </w:tc>
        <w:tc>
          <w:tcPr>
            <w:tcW w:type="dxa" w:w="1584"/>
          </w:tcPr>
          <w:p>
            <w:r/>
            <w:r>
              <w:rPr>
                <w:sz w:val="16"/>
              </w:rPr>
              <w:t>Seasonal window; restoration 30 days after completion</w:t>
            </w:r>
          </w:p>
        </w:tc>
        <w:tc>
          <w:tcPr>
            <w:tcW w:type="dxa" w:w="1656"/>
          </w:tcPr>
          <w:p>
            <w:r/>
            <w:r>
              <w:rPr>
                <w:sz w:val="16"/>
              </w:rPr>
              <w:t>Jun. 1 – Sep. 30, 2025</w:t>
            </w:r>
          </w:p>
        </w:tc>
        <w:tc>
          <w:tcPr>
            <w:tcW w:type="dxa" w:w="2088"/>
          </w:tcPr>
          <w:p>
            <w:r/>
            <w:r>
              <w:rPr>
                <w:sz w:val="16"/>
              </w:rPr>
              <w:t>Memo: crossing Jun.–Aug. 2025; no restoration step.</w:t>
            </w:r>
          </w:p>
        </w:tc>
        <w:tc>
          <w:tcPr>
            <w:tcW w:type="dxa" w:w="1008"/>
            <w:shd w:val="clear" w:color="auto" w:fill="ED7D31"/>
          </w:tcPr>
          <w:p>
            <w:r/>
            <w:r>
              <w:rPr>
                <w:b/>
                <w:color w:val="FFFFFF"/>
                <w:sz w:val="16"/>
              </w:rPr>
              <w:t>AT RISK</w:t>
            </w:r>
          </w:p>
        </w:tc>
        <w:tc>
          <w:tcPr>
            <w:tcW w:type="dxa" w:w="2376"/>
          </w:tcPr>
          <w:p>
            <w:r/>
            <w:r>
              <w:rPr>
                <w:sz w:val="16"/>
              </w:rPr>
              <w:t>See E-3 and Critical Issue 10. Owner: Construction.</w:t>
            </w:r>
          </w:p>
        </w:tc>
      </w:tr>
      <w:tr>
        <w:tc>
          <w:tcPr>
            <w:tcW w:type="dxa" w:w="648"/>
          </w:tcPr>
          <w:p>
            <w:r/>
            <w:r>
              <w:rPr>
                <w:b/>
                <w:sz w:val="16"/>
              </w:rPr>
              <w:t>C-21</w:t>
            </w:r>
          </w:p>
        </w:tc>
        <w:tc>
          <w:tcPr>
            <w:tcW w:type="dxa" w:w="1080"/>
          </w:tcPr>
          <w:p>
            <w:r/>
            <w:r>
              <w:rPr>
                <w:sz w:val="16"/>
              </w:rPr>
              <w:t>CPCN Cond. 21</w:t>
            </w:r>
          </w:p>
        </w:tc>
        <w:tc>
          <w:tcPr>
            <w:tcW w:type="dxa" w:w="3672"/>
          </w:tcPr>
          <w:p>
            <w:r/>
            <w:r>
              <w:rPr>
                <w:sz w:val="16"/>
              </w:rPr>
              <w:t>Annual avian mortality monitoring for 3 years after COD using TDEQ-approved protocols. Reports to TDEQ and TPUC by Mar. 1 of each year following the monitoring period. Consult TDEQ on additional mitigation if mortality significantly exceeds baseline.</w:t>
            </w:r>
          </w:p>
        </w:tc>
        <w:tc>
          <w:tcPr>
            <w:tcW w:type="dxa" w:w="1584"/>
          </w:tcPr>
          <w:p>
            <w:r/>
            <w:r>
              <w:rPr>
                <w:sz w:val="16"/>
              </w:rPr>
              <w:t>3 years from CPCN COD</w:t>
            </w:r>
          </w:p>
        </w:tc>
        <w:tc>
          <w:tcPr>
            <w:tcW w:type="dxa" w:w="1656"/>
          </w:tcPr>
          <w:p>
            <w:r/>
            <w:r>
              <w:rPr>
                <w:sz w:val="16"/>
              </w:rPr>
              <w:t>Start about Jul. 2026 under the CPCN definition</w:t>
            </w:r>
          </w:p>
        </w:tc>
        <w:tc>
          <w:tcPr>
            <w:tcW w:type="dxa" w:w="2088"/>
          </w:tcPr>
          <w:p>
            <w:r/>
            <w:r>
              <w:rPr>
                <w:sz w:val="16"/>
              </w:rPr>
              <w:t>Memo: 3 years post-COD; reports to TDEQ only, first Mar. 1, 2028.</w:t>
            </w:r>
          </w:p>
        </w:tc>
        <w:tc>
          <w:tcPr>
            <w:tcW w:type="dxa" w:w="1008"/>
            <w:shd w:val="clear" w:color="auto" w:fill="ED7D31"/>
          </w:tcPr>
          <w:p>
            <w:r/>
            <w:r>
              <w:rPr>
                <w:b/>
                <w:color w:val="FFFFFF"/>
                <w:sz w:val="16"/>
              </w:rPr>
              <w:t>AT RISK</w:t>
            </w:r>
          </w:p>
        </w:tc>
        <w:tc>
          <w:tcPr>
            <w:tcW w:type="dxa" w:w="2376"/>
          </w:tcPr>
          <w:p>
            <w:r/>
            <w:r>
              <w:rPr>
                <w:sz w:val="16"/>
              </w:rPr>
              <w:t>Start monitoring at the earlier (CPCN) COD and run through the later (TDEQ) term. Copy TPUC on every report. Owner: Environmental.</w:t>
            </w:r>
          </w:p>
        </w:tc>
      </w:tr>
      <w:tr>
        <w:tc>
          <w:tcPr>
            <w:tcW w:type="dxa" w:w="648"/>
          </w:tcPr>
          <w:p>
            <w:r/>
            <w:r>
              <w:rPr>
                <w:b/>
                <w:sz w:val="16"/>
              </w:rPr>
              <w:t>C-22</w:t>
            </w:r>
          </w:p>
        </w:tc>
        <w:tc>
          <w:tcPr>
            <w:tcW w:type="dxa" w:w="1080"/>
          </w:tcPr>
          <w:p>
            <w:r/>
            <w:r>
              <w:rPr>
                <w:sz w:val="16"/>
              </w:rPr>
              <w:t>CPCN Cond. 22; Finding 7; §V.C</w:t>
            </w:r>
          </w:p>
        </w:tc>
        <w:tc>
          <w:tcPr>
            <w:tcW w:type="dxa" w:w="3672"/>
          </w:tcPr>
          <w:p>
            <w:r/>
            <w:r>
              <w:rPr>
                <w:sz w:val="16"/>
              </w:rPr>
              <w:t>Comply with Harmon County SUP No. HC-2024-0038 (incorporated by reference). An SUP violation is a CPCN violation. The more restrictive requirement governs. The reported 75-ft setback applies from all property lines.</w:t>
            </w:r>
          </w:p>
        </w:tc>
        <w:tc>
          <w:tcPr>
            <w:tcW w:type="dxa" w:w="1584"/>
          </w:tcPr>
          <w:p>
            <w:r/>
            <w:r>
              <w:rPr>
                <w:sz w:val="16"/>
              </w:rPr>
              <w:t>Continuing</w:t>
            </w:r>
          </w:p>
        </w:tc>
        <w:tc>
          <w:tcPr>
            <w:tcW w:type="dxa" w:w="1656"/>
          </w:tcPr>
          <w:p>
            <w:r/>
            <w:r>
              <w:rPr>
                <w:sz w:val="16"/>
              </w:rPr>
              <w:t>n/a</w:t>
            </w:r>
          </w:p>
        </w:tc>
        <w:tc>
          <w:tcPr>
            <w:tcW w:type="dxa" w:w="2088"/>
          </w:tcPr>
          <w:p>
            <w:r/>
            <w:r>
              <w:rPr>
                <w:sz w:val="16"/>
              </w:rPr>
              <w:t>Memo lists the SUP as received but does not address its conditions.</w:t>
            </w:r>
          </w:p>
        </w:tc>
        <w:tc>
          <w:tcPr>
            <w:tcW w:type="dxa" w:w="1008"/>
            <w:shd w:val="clear" w:color="auto" w:fill="FFC000"/>
          </w:tcPr>
          <w:p>
            <w:r/>
            <w:r>
              <w:rPr>
                <w:b/>
                <w:sz w:val="16"/>
              </w:rPr>
              <w:t>GAP</w:t>
            </w:r>
          </w:p>
        </w:tc>
        <w:tc>
          <w:tcPr>
            <w:tcW w:type="dxa" w:w="2376"/>
          </w:tcPr>
          <w:p>
            <w:r/>
            <w:r>
              <w:rPr>
                <w:sz w:val="16"/>
              </w:rPr>
              <w:t>See Critical Issue 13. Obtain the SUP. Owner: Legal.</w:t>
            </w:r>
          </w:p>
        </w:tc>
      </w:tr>
      <w:tr>
        <w:tc>
          <w:tcPr>
            <w:tcW w:type="dxa" w:w="648"/>
          </w:tcPr>
          <w:p>
            <w:r/>
            <w:r>
              <w:rPr>
                <w:b/>
                <w:sz w:val="16"/>
              </w:rPr>
              <w:t>C-23</w:t>
            </w:r>
          </w:p>
        </w:tc>
        <w:tc>
          <w:tcPr>
            <w:tcW w:type="dxa" w:w="1080"/>
          </w:tcPr>
          <w:p>
            <w:r/>
            <w:r>
              <w:rPr>
                <w:sz w:val="16"/>
              </w:rPr>
              <w:t>CPCN Cond. 23</w:t>
            </w:r>
          </w:p>
        </w:tc>
        <w:tc>
          <w:tcPr>
            <w:tcW w:type="dxa" w:w="3672"/>
          </w:tcPr>
          <w:p>
            <w:r/>
            <w:r>
              <w:rPr>
                <w:sz w:val="16"/>
              </w:rPr>
              <w:t>CGL insurance of at least $5M per occurrence / $10M aggregate during construction and operations, naming TPUC, the State of Talmadge and Harmon County as additional insureds. Indemnify the County, the State and TPUC.</w:t>
            </w:r>
          </w:p>
        </w:tc>
        <w:tc>
          <w:tcPr>
            <w:tcW w:type="dxa" w:w="1584"/>
          </w:tcPr>
          <w:p>
            <w:r/>
            <w:r>
              <w:rPr>
                <w:sz w:val="16"/>
              </w:rPr>
              <w:t>Before construction; continuing</w:t>
            </w:r>
          </w:p>
        </w:tc>
        <w:tc>
          <w:tcPr>
            <w:tcW w:type="dxa" w:w="1656"/>
          </w:tcPr>
          <w:p>
            <w:r/>
            <w:r>
              <w:rPr>
                <w:sz w:val="16"/>
              </w:rPr>
              <w:t>Before first ground disturbance</w:t>
            </w:r>
          </w:p>
        </w:tc>
        <w:tc>
          <w:tcPr>
            <w:tcW w:type="dxa" w:w="2088"/>
          </w:tcPr>
          <w:p>
            <w:r/>
            <w:r>
              <w:rPr>
                <w:sz w:val="16"/>
              </w:rPr>
              <w:t>Not addressed.</w:t>
            </w:r>
          </w:p>
        </w:tc>
        <w:tc>
          <w:tcPr>
            <w:tcW w:type="dxa" w:w="1008"/>
            <w:shd w:val="clear" w:color="auto" w:fill="FFC000"/>
          </w:tcPr>
          <w:p>
            <w:r/>
            <w:r>
              <w:rPr>
                <w:b/>
                <w:sz w:val="16"/>
              </w:rPr>
              <w:t>GAP</w:t>
            </w:r>
          </w:p>
        </w:tc>
        <w:tc>
          <w:tcPr>
            <w:tcW w:type="dxa" w:w="2376"/>
          </w:tcPr>
          <w:p>
            <w:r/>
            <w:r>
              <w:rPr>
                <w:sz w:val="16"/>
              </w:rPr>
              <w:t>Bind the policy and endorsements before NTP. Owner: Risk / Finance.</w:t>
            </w:r>
          </w:p>
        </w:tc>
      </w:tr>
      <w:tr>
        <w:tc>
          <w:tcPr>
            <w:tcW w:type="dxa" w:w="648"/>
          </w:tcPr>
          <w:p>
            <w:r/>
            <w:r>
              <w:rPr>
                <w:b/>
                <w:sz w:val="16"/>
              </w:rPr>
              <w:t>C-24</w:t>
            </w:r>
          </w:p>
        </w:tc>
        <w:tc>
          <w:tcPr>
            <w:tcW w:type="dxa" w:w="1080"/>
          </w:tcPr>
          <w:p>
            <w:r/>
            <w:r>
              <w:rPr>
                <w:sz w:val="16"/>
              </w:rPr>
              <w:t>CPCN Cond. 24</w:t>
            </w:r>
          </w:p>
        </w:tc>
        <w:tc>
          <w:tcPr>
            <w:tcW w:type="dxa" w:w="3672"/>
          </w:tcPr>
          <w:p>
            <w:r/>
            <w:r>
              <w:rPr>
                <w:sz w:val="16"/>
              </w:rPr>
              <w:t>Promptly notify TPUC of material changes in: (a) design, capacity or configuration; (b) financing structure, including investor, lender or material terms; (c) ownership or control; (d) timeline, including any COD delay over 60 days. TPUC may require prior approval.</w:t>
            </w:r>
          </w:p>
        </w:tc>
        <w:tc>
          <w:tcPr>
            <w:tcW w:type="dxa" w:w="1584"/>
          </w:tcPr>
          <w:p>
            <w:r/>
            <w:r>
              <w:rPr>
                <w:sz w:val="16"/>
              </w:rPr>
              <w:t>Prompt</w:t>
            </w:r>
          </w:p>
        </w:tc>
        <w:tc>
          <w:tcPr>
            <w:tcW w:type="dxa" w:w="1656"/>
          </w:tcPr>
          <w:p>
            <w:r/>
            <w:r>
              <w:rPr>
                <w:sz w:val="16"/>
              </w:rPr>
              <w:t>Event-driven</w:t>
            </w:r>
          </w:p>
        </w:tc>
        <w:tc>
          <w:tcPr>
            <w:tcW w:type="dxa" w:w="2088"/>
          </w:tcPr>
          <w:p>
            <w:r/>
            <w:r>
              <w:rPr>
                <w:sz w:val="16"/>
              </w:rPr>
              <w:t>Memo: schedule may slip (IA, financial close); financing still being finalized.</w:t>
            </w:r>
          </w:p>
        </w:tc>
        <w:tc>
          <w:tcPr>
            <w:tcW w:type="dxa" w:w="1008"/>
            <w:shd w:val="clear" w:color="auto" w:fill="ED7D31"/>
          </w:tcPr>
          <w:p>
            <w:r/>
            <w:r>
              <w:rPr>
                <w:b/>
                <w:color w:val="FFFFFF"/>
                <w:sz w:val="16"/>
              </w:rPr>
              <w:t>AT RISK</w:t>
            </w:r>
          </w:p>
        </w:tc>
        <w:tc>
          <w:tcPr>
            <w:tcW w:type="dxa" w:w="2376"/>
          </w:tcPr>
          <w:p>
            <w:r/>
            <w:r>
              <w:rPr>
                <w:sz w:val="16"/>
              </w:rPr>
              <w:t>Notify TPUC if the COD estimate moves more than 60 days, or if financing terms or the gen-tie design change. Owner: Legal.</w:t>
            </w:r>
          </w:p>
        </w:tc>
      </w:tr>
      <w:tr>
        <w:tc>
          <w:tcPr>
            <w:tcW w:type="dxa" w:w="648"/>
          </w:tcPr>
          <w:p>
            <w:r/>
            <w:r>
              <w:rPr>
                <w:b/>
                <w:sz w:val="16"/>
              </w:rPr>
              <w:t>C-25</w:t>
            </w:r>
          </w:p>
        </w:tc>
        <w:tc>
          <w:tcPr>
            <w:tcW w:type="dxa" w:w="1080"/>
          </w:tcPr>
          <w:p>
            <w:r/>
            <w:r>
              <w:rPr>
                <w:sz w:val="16"/>
              </w:rPr>
              <w:t>CPCN Cond. 25</w:t>
            </w:r>
          </w:p>
        </w:tc>
        <w:tc>
          <w:tcPr>
            <w:tcW w:type="dxa" w:w="3672"/>
          </w:tcPr>
          <w:p>
            <w:r/>
            <w:r>
              <w:rPr>
                <w:sz w:val="16"/>
              </w:rPr>
              <w:t>No transfer or assignment of the CPCN without prior TPUC approval. A change of control is deemed a transfer. The application must be filed at least 90 days before closing.</w:t>
            </w:r>
          </w:p>
        </w:tc>
        <w:tc>
          <w:tcPr>
            <w:tcW w:type="dxa" w:w="1584"/>
          </w:tcPr>
          <w:p>
            <w:r/>
            <w:r>
              <w:rPr>
                <w:sz w:val="16"/>
              </w:rPr>
              <w:t>At least 90 days before closing</w:t>
            </w:r>
          </w:p>
        </w:tc>
        <w:tc>
          <w:tcPr>
            <w:tcW w:type="dxa" w:w="1656"/>
          </w:tcPr>
          <w:p>
            <w:r/>
            <w:r>
              <w:rPr>
                <w:sz w:val="16"/>
              </w:rPr>
              <w:t>Before tax-equity or back-leverage closing, if applicable</w:t>
            </w:r>
          </w:p>
        </w:tc>
        <w:tc>
          <w:tcPr>
            <w:tcW w:type="dxa" w:w="2088"/>
          </w:tcPr>
          <w:p>
            <w:r/>
            <w:r>
              <w:rPr>
                <w:sz w:val="16"/>
              </w:rPr>
              <w:t>Memo: tax equity ($235M) and back-leverage ($130M) close Jan. 10, 2025.</w:t>
            </w:r>
          </w:p>
        </w:tc>
        <w:tc>
          <w:tcPr>
            <w:tcW w:type="dxa" w:w="1008"/>
            <w:shd w:val="clear" w:color="auto" w:fill="ED7D31"/>
          </w:tcPr>
          <w:p>
            <w:r/>
            <w:r>
              <w:rPr>
                <w:b/>
                <w:color w:val="FFFFFF"/>
                <w:sz w:val="16"/>
              </w:rPr>
              <w:t>AT RISK</w:t>
            </w:r>
          </w:p>
        </w:tc>
        <w:tc>
          <w:tcPr>
            <w:tcW w:type="dxa" w:w="2376"/>
          </w:tcPr>
          <w:p>
            <w:r/>
            <w:r>
              <w:rPr>
                <w:sz w:val="16"/>
              </w:rPr>
              <w:t>Confirm whether the tax-equity structure (or any project-company drop-down or lender collateral assignment) is a transfer or change of control. If so, the 90-day lead time is already past for Jan. 10. Owner: Legal / Finance.</w:t>
            </w:r>
          </w:p>
        </w:tc>
      </w:tr>
      <w:tr>
        <w:tc>
          <w:tcPr>
            <w:tcW w:type="dxa" w:w="648"/>
          </w:tcPr>
          <w:p>
            <w:r/>
            <w:r>
              <w:rPr>
                <w:b/>
                <w:sz w:val="16"/>
              </w:rPr>
              <w:t>C-26</w:t>
            </w:r>
          </w:p>
        </w:tc>
        <w:tc>
          <w:tcPr>
            <w:tcW w:type="dxa" w:w="1080"/>
          </w:tcPr>
          <w:p>
            <w:r/>
            <w:r>
              <w:rPr>
                <w:sz w:val="16"/>
              </w:rPr>
              <w:t>CPCN §VII (Ordering ¶); TPUC Rule 165:5-9-1</w:t>
            </w:r>
          </w:p>
        </w:tc>
        <w:tc>
          <w:tcPr>
            <w:tcW w:type="dxa" w:w="3672"/>
          </w:tcPr>
          <w:p>
            <w:r/>
            <w:r>
              <w:rPr>
                <w:sz w:val="16"/>
              </w:rPr>
              <w:t>Any party may seek rehearing or reconsideration within 30 days of issuance.</w:t>
            </w:r>
          </w:p>
        </w:tc>
        <w:tc>
          <w:tcPr>
            <w:tcW w:type="dxa" w:w="1584"/>
          </w:tcPr>
          <w:p>
            <w:r/>
            <w:r>
              <w:rPr>
                <w:sz w:val="16"/>
              </w:rPr>
              <w:t>30 days after Oct. 18, 2024</w:t>
            </w:r>
          </w:p>
        </w:tc>
        <w:tc>
          <w:tcPr>
            <w:tcW w:type="dxa" w:w="1656"/>
          </w:tcPr>
          <w:p>
            <w:r/>
            <w:r>
              <w:rPr>
                <w:sz w:val="16"/>
              </w:rPr>
              <w:t>Nov. 17, 2024 (Sun.), so effectively Nov. 18, 2024</w:t>
            </w:r>
          </w:p>
        </w:tc>
        <w:tc>
          <w:tcPr>
            <w:tcW w:type="dxa" w:w="2088"/>
          </w:tcPr>
          <w:p>
            <w:r/>
            <w:r>
              <w:rPr>
                <w:sz w:val="16"/>
              </w:rPr>
              <w:t>Not addressed.</w:t>
            </w:r>
          </w:p>
        </w:tc>
        <w:tc>
          <w:tcPr>
            <w:tcW w:type="dxa" w:w="1008"/>
            <w:shd w:val="clear" w:color="auto" w:fill="C00000"/>
          </w:tcPr>
          <w:p>
            <w:r/>
            <w:r>
              <w:rPr>
                <w:b/>
                <w:color w:val="FFFFFF"/>
                <w:sz w:val="16"/>
              </w:rPr>
              <w:t>CRITICAL</w:t>
            </w:r>
          </w:p>
        </w:tc>
        <w:tc>
          <w:tcPr>
            <w:tcW w:type="dxa" w:w="2376"/>
          </w:tcPr>
          <w:p>
            <w:r/>
            <w:r>
              <w:rPr>
                <w:sz w:val="16"/>
              </w:rPr>
              <w:t>Decide by this date whether to seek clarification of the bond amount (C-14), Cond. 3(d) and the COD definition. Owner: Legal.</w:t>
            </w:r>
          </w:p>
        </w:tc>
      </w:tr>
    </w:tbl>
    <w:p>
      <w:pPr>
        <w:spacing w:after="40"/>
      </w:pPr>
    </w:p>
    <w:p>
      <w:pPr>
        <w:pStyle w:val="Heading2"/>
      </w:pPr>
      <w:r>
        <w:t>3B. TDEQ Environmental Compliance Order (ECO No. ENV-2024-1192)</w:t>
      </w:r>
    </w:p>
    <w:tbl>
      <w:tblPr>
        <w:tblStyle w:val="TableGrid"/>
        <w:tblW w:type="auto" w:w="0"/>
        <w:jc w:val="center"/>
        <w:tblLayout w:type="fixed"/>
        <w:tblLook w:firstColumn="1" w:firstRow="1" w:lastColumn="0" w:lastRow="0" w:noHBand="0" w:noVBand="1" w:val="04A0"/>
      </w:tblPr>
      <w:tblGrid>
        <w:gridCol w:w="648"/>
        <w:gridCol w:w="1080"/>
        <w:gridCol w:w="3671"/>
        <w:gridCol w:w="1584"/>
        <w:gridCol w:w="1655"/>
        <w:gridCol w:w="2088"/>
        <w:gridCol w:w="1007"/>
        <w:gridCol w:w="2376"/>
      </w:tblGrid>
      <w:tr>
        <w:trPr>
          <w:tblHeader w:val="true"/>
        </w:trPr>
        <w:tc>
          <w:tcPr>
            <w:tcW w:type="dxa" w:w="648"/>
            <w:shd w:val="clear" w:color="auto" w:fill="1F3A5F"/>
          </w:tcPr>
          <w:p>
            <w:r/>
            <w:r>
              <w:rPr>
                <w:b/>
                <w:color w:val="FFFFFF"/>
                <w:sz w:val="16"/>
              </w:rPr>
              <w:t>ID</w:t>
            </w:r>
          </w:p>
        </w:tc>
        <w:tc>
          <w:tcPr>
            <w:tcW w:type="dxa" w:w="1080"/>
            <w:shd w:val="clear" w:color="auto" w:fill="1F3A5F"/>
          </w:tcPr>
          <w:p>
            <w:r/>
            <w:r>
              <w:rPr>
                <w:b/>
                <w:color w:val="FFFFFF"/>
                <w:sz w:val="16"/>
              </w:rPr>
              <w:t>Source</w:t>
            </w:r>
          </w:p>
        </w:tc>
        <w:tc>
          <w:tcPr>
            <w:tcW w:type="dxa" w:w="3672"/>
            <w:shd w:val="clear" w:color="auto" w:fill="1F3A5F"/>
          </w:tcPr>
          <w:p>
            <w:r/>
            <w:r>
              <w:rPr>
                <w:b/>
                <w:color w:val="FFFFFF"/>
                <w:sz w:val="16"/>
              </w:rPr>
              <w:t>Requirement / Obligation</w:t>
            </w:r>
          </w:p>
        </w:tc>
        <w:tc>
          <w:tcPr>
            <w:tcW w:type="dxa" w:w="1584"/>
            <w:shd w:val="clear" w:color="auto" w:fill="1F3A5F"/>
          </w:tcPr>
          <w:p>
            <w:r/>
            <w:r>
              <w:rPr>
                <w:b/>
                <w:color w:val="FFFFFF"/>
                <w:sz w:val="16"/>
              </w:rPr>
              <w:t>Trigger / Deadline</w:t>
            </w:r>
          </w:p>
        </w:tc>
        <w:tc>
          <w:tcPr>
            <w:tcW w:type="dxa" w:w="1656"/>
            <w:shd w:val="clear" w:color="auto" w:fill="1F3A5F"/>
          </w:tcPr>
          <w:p>
            <w:r/>
            <w:r>
              <w:rPr>
                <w:b/>
                <w:color w:val="FFFFFF"/>
                <w:sz w:val="16"/>
              </w:rPr>
              <w:t>Calculated Date</w:t>
            </w:r>
          </w:p>
        </w:tc>
        <w:tc>
          <w:tcPr>
            <w:tcW w:type="dxa" w:w="2088"/>
            <w:shd w:val="clear" w:color="auto" w:fill="1F3A5F"/>
          </w:tcPr>
          <w:p>
            <w:r/>
            <w:r>
              <w:rPr>
                <w:b/>
                <w:color w:val="FFFFFF"/>
                <w:sz w:val="16"/>
              </w:rPr>
              <w:t>Memo Cross-Reference</w:t>
            </w:r>
          </w:p>
        </w:tc>
        <w:tc>
          <w:tcPr>
            <w:tcW w:type="dxa" w:w="1008"/>
            <w:shd w:val="clear" w:color="auto" w:fill="1F3A5F"/>
          </w:tcPr>
          <w:p>
            <w:r/>
            <w:r>
              <w:rPr>
                <w:b/>
                <w:color w:val="FFFFFF"/>
                <w:sz w:val="16"/>
              </w:rPr>
              <w:t>Status</w:t>
            </w:r>
          </w:p>
        </w:tc>
        <w:tc>
          <w:tcPr>
            <w:tcW w:type="dxa" w:w="2376"/>
            <w:shd w:val="clear" w:color="auto" w:fill="1F3A5F"/>
          </w:tcPr>
          <w:p>
            <w:r/>
            <w:r>
              <w:rPr>
                <w:b/>
                <w:color w:val="FFFFFF"/>
                <w:sz w:val="16"/>
              </w:rPr>
              <w:t>Action / Owner</w:t>
            </w:r>
          </w:p>
        </w:tc>
      </w:tr>
      <w:tr>
        <w:tc>
          <w:tcPr>
            <w:tcW w:type="dxa" w:w="648"/>
          </w:tcPr>
          <w:p>
            <w:r/>
            <w:r>
              <w:rPr>
                <w:b/>
                <w:sz w:val="16"/>
              </w:rPr>
              <w:t>E-0</w:t>
            </w:r>
          </w:p>
        </w:tc>
        <w:tc>
          <w:tcPr>
            <w:tcW w:type="dxa" w:w="1080"/>
          </w:tcPr>
          <w:p>
            <w:r/>
            <w:r>
              <w:rPr>
                <w:sz w:val="16"/>
              </w:rPr>
              <w:t>ECO Findings 8 &amp; 9</w:t>
            </w:r>
          </w:p>
        </w:tc>
        <w:tc>
          <w:tcPr>
            <w:tcW w:type="dxa" w:w="3672"/>
          </w:tcPr>
          <w:p>
            <w:r/>
            <w:r>
              <w:rPr>
                <w:sz w:val="16"/>
              </w:rPr>
              <w:t>Definitions. "Construction commencement" means any physical ground disturbance (grading, clearing, trenching, road construction, foundations, etc.). "COD" means all components (PV, BESS, substation, gen-tie) fully installed, tested and commissioned.</w:t>
            </w:r>
          </w:p>
        </w:tc>
        <w:tc>
          <w:tcPr>
            <w:tcW w:type="dxa" w:w="1584"/>
          </w:tcPr>
          <w:p>
            <w:r/>
            <w:r>
              <w:rPr>
                <w:sz w:val="16"/>
              </w:rPr>
              <w:t>n/a</w:t>
            </w:r>
          </w:p>
        </w:tc>
        <w:tc>
          <w:tcPr>
            <w:tcW w:type="dxa" w:w="1656"/>
          </w:tcPr>
          <w:p>
            <w:r/>
            <w:r>
              <w:rPr>
                <w:sz w:val="16"/>
              </w:rPr>
              <w:t>n/a</w:t>
            </w:r>
          </w:p>
        </w:tc>
        <w:tc>
          <w:tcPr>
            <w:tcW w:type="dxa" w:w="2088"/>
          </w:tcPr>
          <w:p>
            <w:r/>
            <w:r>
              <w:rPr>
                <w:sz w:val="16"/>
              </w:rPr>
              <w:t>Memo uses NTP (Jan. 15, 2025) and Dec. 1, 2026 COD for all purposes; site access grading may begin "late January."</w:t>
            </w:r>
          </w:p>
        </w:tc>
        <w:tc>
          <w:tcPr>
            <w:tcW w:type="dxa" w:w="1008"/>
            <w:shd w:val="clear" w:color="auto" w:fill="ED7D31"/>
          </w:tcPr>
          <w:p>
            <w:r/>
            <w:r>
              <w:rPr>
                <w:b/>
                <w:color w:val="FFFFFF"/>
                <w:sz w:val="16"/>
              </w:rPr>
              <w:t>AT RISK</w:t>
            </w:r>
          </w:p>
        </w:tc>
        <w:tc>
          <w:tcPr>
            <w:tcW w:type="dxa" w:w="2376"/>
          </w:tcPr>
          <w:p>
            <w:r/>
            <w:r>
              <w:rPr>
                <w:sz w:val="16"/>
              </w:rPr>
              <w:t>Use first ground disturbance as the trigger for every pre-commencement deadline. Run separate CPCN and TDEQ COD tracks. Owner: Legal.</w:t>
            </w:r>
          </w:p>
        </w:tc>
      </w:tr>
      <w:tr>
        <w:tc>
          <w:tcPr>
            <w:tcW w:type="dxa" w:w="648"/>
          </w:tcPr>
          <w:p>
            <w:r/>
            <w:r>
              <w:rPr>
                <w:b/>
                <w:sz w:val="16"/>
              </w:rPr>
              <w:t>E-1</w:t>
            </w:r>
          </w:p>
        </w:tc>
        <w:tc>
          <w:tcPr>
            <w:tcW w:type="dxa" w:w="1080"/>
          </w:tcPr>
          <w:p>
            <w:r/>
            <w:r>
              <w:rPr>
                <w:sz w:val="16"/>
              </w:rPr>
              <w:t>ECO Cond. 1</w:t>
            </w:r>
          </w:p>
        </w:tc>
        <w:tc>
          <w:tcPr>
            <w:tcW w:type="dxa" w:w="3672"/>
          </w:tcPr>
          <w:p>
            <w:r/>
            <w:r>
              <w:rPr>
                <w:sz w:val="16"/>
              </w:rPr>
              <w:t>Comply with all federal, state and local environmental laws. Obtain all other permits independently (e.g., USACE, USFWS, Talmadge Corporation Commission, Harmon County).</w:t>
            </w:r>
          </w:p>
        </w:tc>
        <w:tc>
          <w:tcPr>
            <w:tcW w:type="dxa" w:w="1584"/>
          </w:tcPr>
          <w:p>
            <w:r/>
            <w:r>
              <w:rPr>
                <w:sz w:val="16"/>
              </w:rPr>
              <w:t>Continuing</w:t>
            </w:r>
          </w:p>
        </w:tc>
        <w:tc>
          <w:tcPr>
            <w:tcW w:type="dxa" w:w="1656"/>
          </w:tcPr>
          <w:p>
            <w:r/>
            <w:r>
              <w:rPr>
                <w:sz w:val="16"/>
              </w:rPr>
              <w:t>n/a</w:t>
            </w:r>
          </w:p>
        </w:tc>
        <w:tc>
          <w:tcPr>
            <w:tcW w:type="dxa" w:w="2088"/>
          </w:tcPr>
          <w:p>
            <w:r/>
            <w:r>
              <w:rPr>
                <w:sz w:val="16"/>
              </w:rPr>
              <w:t>Not addressed. Need for USACE authorization for the Willow Creek crossing has not been confirmed.</w:t>
            </w:r>
          </w:p>
        </w:tc>
        <w:tc>
          <w:tcPr>
            <w:tcW w:type="dxa" w:w="1008"/>
            <w:shd w:val="clear" w:color="auto" w:fill="FFC000"/>
          </w:tcPr>
          <w:p>
            <w:r/>
            <w:r>
              <w:rPr>
                <w:b/>
                <w:sz w:val="16"/>
              </w:rPr>
              <w:t>GAP</w:t>
            </w:r>
          </w:p>
        </w:tc>
        <w:tc>
          <w:tcPr>
            <w:tcW w:type="dxa" w:w="2376"/>
          </w:tcPr>
          <w:p>
            <w:r/>
            <w:r>
              <w:rPr>
                <w:sz w:val="16"/>
              </w:rPr>
              <w:t>Confirm whether a USACE Section 404/10 authorization or USFWS consultation is required. Owner: Permitting.</w:t>
            </w:r>
          </w:p>
        </w:tc>
      </w:tr>
      <w:tr>
        <w:tc>
          <w:tcPr>
            <w:tcW w:type="dxa" w:w="648"/>
          </w:tcPr>
          <w:p>
            <w:r/>
            <w:r>
              <w:rPr>
                <w:b/>
                <w:sz w:val="16"/>
              </w:rPr>
              <w:t>E-2</w:t>
            </w:r>
          </w:p>
        </w:tc>
        <w:tc>
          <w:tcPr>
            <w:tcW w:type="dxa" w:w="1080"/>
          </w:tcPr>
          <w:p>
            <w:r/>
            <w:r>
              <w:rPr>
                <w:sz w:val="16"/>
              </w:rPr>
              <w:t>ECO Cond. 2</w:t>
            </w:r>
          </w:p>
        </w:tc>
        <w:tc>
          <w:tcPr>
            <w:tcW w:type="dxa" w:w="3672"/>
          </w:tcPr>
          <w:p>
            <w:r/>
            <w:r>
              <w:rPr>
                <w:sz w:val="16"/>
              </w:rPr>
              <w:t>Biological survey of each disturbance area by a TDEQ-approved qualified biologist, no earlier than 60 days before disturbance. Results and recommendations to TDEQ (attn. R. Tannenbaum) no later than 30 days before disturbance. If listed species or critical habitat are found, no disturbance until a supplemental mitigation plan is approved in writing. Separate surveys for each phase and each discrete area.</w:t>
            </w:r>
          </w:p>
        </w:tc>
        <w:tc>
          <w:tcPr>
            <w:tcW w:type="dxa" w:w="1584"/>
          </w:tcPr>
          <w:p>
            <w:r/>
            <w:r>
              <w:rPr>
                <w:sz w:val="16"/>
              </w:rPr>
              <w:t>Window: D-60 to D-30 for each area</w:t>
            </w:r>
          </w:p>
        </w:tc>
        <w:tc>
          <w:tcPr>
            <w:tcW w:type="dxa" w:w="1656"/>
          </w:tcPr>
          <w:p>
            <w:r/>
            <w:r>
              <w:rPr>
                <w:sz w:val="16"/>
              </w:rPr>
              <w:t>Phase 1 (Feb. 1, 2025): survey on or after Dec. 3, 2024; submit by Jan. 2, 2025. Gen-tie (Apr. 2025): survey Feb.–early Mar. 2025.</w:t>
            </w:r>
          </w:p>
        </w:tc>
        <w:tc>
          <w:tcPr>
            <w:tcW w:type="dxa" w:w="2088"/>
          </w:tcPr>
          <w:p>
            <w:r/>
            <w:r>
              <w:rPr>
                <w:sz w:val="16"/>
              </w:rPr>
              <w:t>Memo: Phase 1 surveys complete "late December 2024" for early-Feb. disturbance; no other phases mentioned.</w:t>
            </w:r>
          </w:p>
        </w:tc>
        <w:tc>
          <w:tcPr>
            <w:tcW w:type="dxa" w:w="1008"/>
            <w:shd w:val="clear" w:color="auto" w:fill="C00000"/>
          </w:tcPr>
          <w:p>
            <w:r/>
            <w:r>
              <w:rPr>
                <w:b/>
                <w:color w:val="FFFFFF"/>
                <w:sz w:val="16"/>
              </w:rPr>
              <w:t>CRITICAL</w:t>
            </w:r>
          </w:p>
        </w:tc>
        <w:tc>
          <w:tcPr>
            <w:tcW w:type="dxa" w:w="2376"/>
          </w:tcPr>
          <w:p>
            <w:r/>
            <w:r>
              <w:rPr>
                <w:sz w:val="16"/>
              </w:rPr>
              <w:t>See Critical Issue 8. Owner: Environmental / Ridgecrest.</w:t>
            </w:r>
          </w:p>
        </w:tc>
      </w:tr>
      <w:tr>
        <w:tc>
          <w:tcPr>
            <w:tcW w:type="dxa" w:w="648"/>
          </w:tcPr>
          <w:p>
            <w:r/>
            <w:r>
              <w:rPr>
                <w:b/>
                <w:sz w:val="16"/>
              </w:rPr>
              <w:t>E-3</w:t>
            </w:r>
          </w:p>
        </w:tc>
        <w:tc>
          <w:tcPr>
            <w:tcW w:type="dxa" w:w="1080"/>
          </w:tcPr>
          <w:p>
            <w:r/>
            <w:r>
              <w:rPr>
                <w:sz w:val="16"/>
              </w:rPr>
              <w:t>ECO Cond. 3</w:t>
            </w:r>
          </w:p>
        </w:tc>
        <w:tc>
          <w:tcPr>
            <w:tcW w:type="dxa" w:w="3672"/>
          </w:tcPr>
          <w:p>
            <w:r/>
            <w:r>
              <w:rPr>
                <w:sz w:val="16"/>
              </w:rPr>
              <w:t>Willow Creek: all activity within 100 ft of the OHWM only from Jun. 1 to Sep. 30 unless TDEQ authorizes otherwise in writing. Clear-span or aerial crossing; no piers, pilings or footings below the OHWM. Continuous upstream/downstream turbidity monitoring, reported weekly. Exceedance of +50 NTU requires immediate stop-work and TDEQ notice within 24 hours; resume only after return to background and TDEQ notice.</w:t>
            </w:r>
          </w:p>
        </w:tc>
        <w:tc>
          <w:tcPr>
            <w:tcW w:type="dxa" w:w="1584"/>
          </w:tcPr>
          <w:p>
            <w:r/>
            <w:r>
              <w:rPr>
                <w:sz w:val="16"/>
              </w:rPr>
              <w:t>Seasonal window; weekly reports; 24-hr notice</w:t>
            </w:r>
          </w:p>
        </w:tc>
        <w:tc>
          <w:tcPr>
            <w:tcW w:type="dxa" w:w="1656"/>
          </w:tcPr>
          <w:p>
            <w:r/>
            <w:r>
              <w:rPr>
                <w:sz w:val="16"/>
              </w:rPr>
              <w:t>Jun. 1 – Sep. 30, 2025 (fallback Jun. 1 – Sep. 30, 2026)</w:t>
            </w:r>
          </w:p>
        </w:tc>
        <w:tc>
          <w:tcPr>
            <w:tcW w:type="dxa" w:w="2088"/>
          </w:tcPr>
          <w:p>
            <w:r/>
            <w:r>
              <w:rPr>
                <w:sz w:val="16"/>
              </w:rPr>
              <w:t>Memo: "in-stream work" in Jun.–Aug. 2025; gen-tie starts Apr. 2025; no turbidity monitoring.</w:t>
            </w:r>
          </w:p>
        </w:tc>
        <w:tc>
          <w:tcPr>
            <w:tcW w:type="dxa" w:w="1008"/>
            <w:shd w:val="clear" w:color="auto" w:fill="C00000"/>
          </w:tcPr>
          <w:p>
            <w:r/>
            <w:r>
              <w:rPr>
                <w:b/>
                <w:color w:val="FFFFFF"/>
                <w:sz w:val="16"/>
              </w:rPr>
              <w:t>CRITICAL</w:t>
            </w:r>
          </w:p>
        </w:tc>
        <w:tc>
          <w:tcPr>
            <w:tcW w:type="dxa" w:w="2376"/>
          </w:tcPr>
          <w:p>
            <w:r/>
            <w:r>
              <w:rPr>
                <w:sz w:val="16"/>
              </w:rPr>
              <w:t>See Critical Issue 10. Owner: Construction / Environmental Monitor.</w:t>
            </w:r>
          </w:p>
        </w:tc>
      </w:tr>
      <w:tr>
        <w:tc>
          <w:tcPr>
            <w:tcW w:type="dxa" w:w="648"/>
          </w:tcPr>
          <w:p>
            <w:r/>
            <w:r>
              <w:rPr>
                <w:b/>
                <w:sz w:val="16"/>
              </w:rPr>
              <w:t>E-4</w:t>
            </w:r>
          </w:p>
        </w:tc>
        <w:tc>
          <w:tcPr>
            <w:tcW w:type="dxa" w:w="1080"/>
          </w:tcPr>
          <w:p>
            <w:r/>
            <w:r>
              <w:rPr>
                <w:sz w:val="16"/>
              </w:rPr>
              <w:t>ECO Cond. 4</w:t>
            </w:r>
          </w:p>
        </w:tc>
        <w:tc>
          <w:tcPr>
            <w:tcW w:type="dxa" w:w="3672"/>
          </w:tcPr>
          <w:p>
            <w:r/>
            <w:r>
              <w:rPr>
                <w:sz w:val="16"/>
              </w:rPr>
              <w:t>SWPPP per T.A.C. § 252:606 covering the full 1,850 ac (arrays, BESS, laydown yards, gen-tie corridor, all roads), submitted at least 30 days before commencement. TDEQ acts within 15 business days. No commencement until written approval. Keep on-site and update as needed.</w:t>
            </w:r>
          </w:p>
        </w:tc>
        <w:tc>
          <w:tcPr>
            <w:tcW w:type="dxa" w:w="1584"/>
          </w:tcPr>
          <w:p>
            <w:r/>
            <w:r>
              <w:rPr>
                <w:sz w:val="16"/>
              </w:rPr>
              <w:t>At least 30 days before commencement; approval before commencement</w:t>
            </w:r>
          </w:p>
        </w:tc>
        <w:tc>
          <w:tcPr>
            <w:tcW w:type="dxa" w:w="1656"/>
          </w:tcPr>
          <w:p>
            <w:r/>
            <w:r>
              <w:rPr>
                <w:sz w:val="16"/>
              </w:rPr>
              <w:t>Submission Dec. 15, 2024 gives TDEQ action by about Jan. 7, 2025. For Feb. 1 the latest submission is Jan. 2, 2025, but there is no float for revisions.</w:t>
            </w:r>
          </w:p>
        </w:tc>
        <w:tc>
          <w:tcPr>
            <w:tcW w:type="dxa" w:w="2088"/>
          </w:tcPr>
          <w:p>
            <w:r/>
            <w:r>
              <w:rPr>
                <w:sz w:val="16"/>
              </w:rPr>
              <w:t>Memo: SWPPP to TDEQ by Dec. 15, 2024.</w:t>
            </w:r>
          </w:p>
        </w:tc>
        <w:tc>
          <w:tcPr>
            <w:tcW w:type="dxa" w:w="1008"/>
            <w:shd w:val="clear" w:color="auto" w:fill="ED7D31"/>
          </w:tcPr>
          <w:p>
            <w:r/>
            <w:r>
              <w:rPr>
                <w:b/>
                <w:color w:val="FFFFFF"/>
                <w:sz w:val="16"/>
              </w:rPr>
              <w:t>AT RISK</w:t>
            </w:r>
          </w:p>
        </w:tc>
        <w:tc>
          <w:tcPr>
            <w:tcW w:type="dxa" w:w="2376"/>
          </w:tcPr>
          <w:p>
            <w:r/>
            <w:r>
              <w:rPr>
                <w:sz w:val="16"/>
              </w:rPr>
              <w:t>Submit by early Dec. 2024 to allow one revision cycle. Confirm the gen-tie corridor and off-site roads are covered. Owner: Environmental / Ridgecrest.</w:t>
            </w:r>
          </w:p>
        </w:tc>
      </w:tr>
      <w:tr>
        <w:tc>
          <w:tcPr>
            <w:tcW w:type="dxa" w:w="648"/>
          </w:tcPr>
          <w:p>
            <w:r/>
            <w:r>
              <w:rPr>
                <w:b/>
                <w:sz w:val="16"/>
              </w:rPr>
              <w:t>E-5</w:t>
            </w:r>
          </w:p>
        </w:tc>
        <w:tc>
          <w:tcPr>
            <w:tcW w:type="dxa" w:w="1080"/>
          </w:tcPr>
          <w:p>
            <w:r/>
            <w:r>
              <w:rPr>
                <w:sz w:val="16"/>
              </w:rPr>
              <w:t>ECO Cond. 5</w:t>
            </w:r>
          </w:p>
        </w:tc>
        <w:tc>
          <w:tcPr>
            <w:tcW w:type="dxa" w:w="3672"/>
          </w:tcPr>
          <w:p>
            <w:r/>
            <w:r>
              <w:rPr>
                <w:sz w:val="16"/>
              </w:rPr>
              <w:t>Dust plan: PM10 at or below 150 µg/m³ at any point on the Project boundary. At least 4 PM10 stations, one each on the N, S, E and W sides. Continuous logs available to TDEQ. Chemical suppressants must be TDEQ-approved. On exceedance: stop dust-generating work within 500 ft and notify TDEQ within 24 hours.</w:t>
            </w:r>
          </w:p>
        </w:tc>
        <w:tc>
          <w:tcPr>
            <w:tcW w:type="dxa" w:w="1584"/>
          </w:tcPr>
          <w:p>
            <w:r/>
            <w:r>
              <w:rPr>
                <w:sz w:val="16"/>
              </w:rPr>
              <w:t>Throughout construction</w:t>
            </w:r>
          </w:p>
        </w:tc>
        <w:tc>
          <w:tcPr>
            <w:tcW w:type="dxa" w:w="1656"/>
          </w:tcPr>
          <w:p>
            <w:r/>
            <w:r>
              <w:rPr>
                <w:sz w:val="16"/>
              </w:rPr>
              <w:t>From first ground disturbance</w:t>
            </w:r>
          </w:p>
        </w:tc>
        <w:tc>
          <w:tcPr>
            <w:tcW w:type="dxa" w:w="2088"/>
          </w:tcPr>
          <w:p>
            <w:r/>
            <w:r>
              <w:rPr>
                <w:sz w:val="16"/>
              </w:rPr>
              <w:t>Memo: monitors on north and east boundaries only; MgCl2 "or equivalent."</w:t>
            </w:r>
          </w:p>
        </w:tc>
        <w:tc>
          <w:tcPr>
            <w:tcW w:type="dxa" w:w="1008"/>
            <w:shd w:val="clear" w:color="auto" w:fill="C00000"/>
          </w:tcPr>
          <w:p>
            <w:r/>
            <w:r>
              <w:rPr>
                <w:b/>
                <w:color w:val="FFFFFF"/>
                <w:sz w:val="16"/>
              </w:rPr>
              <w:t>CRITICAL</w:t>
            </w:r>
          </w:p>
        </w:tc>
        <w:tc>
          <w:tcPr>
            <w:tcW w:type="dxa" w:w="2376"/>
          </w:tcPr>
          <w:p>
            <w:r/>
            <w:r>
              <w:rPr>
                <w:sz w:val="16"/>
              </w:rPr>
              <w:t>See Critical Issue 11. Owner: EPC / Environmental.</w:t>
            </w:r>
          </w:p>
        </w:tc>
      </w:tr>
      <w:tr>
        <w:tc>
          <w:tcPr>
            <w:tcW w:type="dxa" w:w="648"/>
          </w:tcPr>
          <w:p>
            <w:r/>
            <w:r>
              <w:rPr>
                <w:b/>
                <w:sz w:val="16"/>
              </w:rPr>
              <w:t>E-6</w:t>
            </w:r>
          </w:p>
        </w:tc>
        <w:tc>
          <w:tcPr>
            <w:tcW w:type="dxa" w:w="1080"/>
          </w:tcPr>
          <w:p>
            <w:r/>
            <w:r>
              <w:rPr>
                <w:sz w:val="16"/>
              </w:rPr>
              <w:t>ECO Cond. 6</w:t>
            </w:r>
          </w:p>
        </w:tc>
        <w:tc>
          <w:tcPr>
            <w:tcW w:type="dxa" w:w="3672"/>
          </w:tcPr>
          <w:p>
            <w:r/>
            <w:r>
              <w:rPr>
                <w:sz w:val="16"/>
              </w:rPr>
              <w:t>Vegetative screening buffer at least 50 ft wide along the entire northern boundary of Secs. 14/15 (Pullman); native evergreen and deciduous mix; 80% opacity within 3 years, certified by a licensed landscape architect. Screening plan to TDEQ for approval at least 60 days before planting. Planting completed before array installation in Secs. 14/15. Maintain for life; replace dead plantings within 1 growing season.</w:t>
            </w:r>
          </w:p>
        </w:tc>
        <w:tc>
          <w:tcPr>
            <w:tcW w:type="dxa" w:w="1584"/>
          </w:tcPr>
          <w:p>
            <w:r/>
            <w:r>
              <w:rPr>
                <w:sz w:val="16"/>
              </w:rPr>
              <w:t>Plan at least 60 days before planting; planting before array installation in Secs. 14/15</w:t>
            </w:r>
          </w:p>
        </w:tc>
        <w:tc>
          <w:tcPr>
            <w:tcW w:type="dxa" w:w="1656"/>
          </w:tcPr>
          <w:p>
            <w:r/>
            <w:r>
              <w:rPr>
                <w:sz w:val="16"/>
              </w:rPr>
              <w:t>Plan by about Dec. 2, 2024 for a Feb. 1, 2025 planting start; opacity certification about 3 years after planting (2028)</w:t>
            </w:r>
          </w:p>
        </w:tc>
        <w:tc>
          <w:tcPr>
            <w:tcW w:type="dxa" w:w="2088"/>
          </w:tcPr>
          <w:p>
            <w:r/>
            <w:r>
              <w:rPr>
                <w:sz w:val="16"/>
              </w:rPr>
              <w:t>Memo: planting Feb.–Mar. 2025 "weather permitting"; no plan submission.</w:t>
            </w:r>
          </w:p>
        </w:tc>
        <w:tc>
          <w:tcPr>
            <w:tcW w:type="dxa" w:w="1008"/>
            <w:shd w:val="clear" w:color="auto" w:fill="C00000"/>
          </w:tcPr>
          <w:p>
            <w:r/>
            <w:r>
              <w:rPr>
                <w:b/>
                <w:color w:val="FFFFFF"/>
                <w:sz w:val="16"/>
              </w:rPr>
              <w:t>CRITICAL</w:t>
            </w:r>
          </w:p>
        </w:tc>
        <w:tc>
          <w:tcPr>
            <w:tcW w:type="dxa" w:w="2376"/>
          </w:tcPr>
          <w:p>
            <w:r/>
            <w:r>
              <w:rPr>
                <w:sz w:val="16"/>
              </w:rPr>
              <w:t>See Critical Issue 7. Owner: Environmental / landscape architect.</w:t>
            </w:r>
          </w:p>
        </w:tc>
      </w:tr>
      <w:tr>
        <w:tc>
          <w:tcPr>
            <w:tcW w:type="dxa" w:w="648"/>
          </w:tcPr>
          <w:p>
            <w:r/>
            <w:r>
              <w:rPr>
                <w:b/>
                <w:sz w:val="16"/>
              </w:rPr>
              <w:t>E-7</w:t>
            </w:r>
          </w:p>
        </w:tc>
        <w:tc>
          <w:tcPr>
            <w:tcW w:type="dxa" w:w="1080"/>
          </w:tcPr>
          <w:p>
            <w:r/>
            <w:r>
              <w:rPr>
                <w:sz w:val="16"/>
              </w:rPr>
              <w:t>ECO Cond. 7</w:t>
            </w:r>
          </w:p>
        </w:tc>
        <w:tc>
          <w:tcPr>
            <w:tcW w:type="dxa" w:w="3672"/>
          </w:tcPr>
          <w:p>
            <w:r/>
            <w:r>
              <w:rPr>
                <w:sz w:val="16"/>
              </w:rPr>
              <w:t>Erosion and sediment controls per TDEQ-BMP-2022, operational before any disturbance in each phase or area, maintained until permanent stabilization. Inspect weekly and within 24 hours after more than 0.5 in. of rain in 24 hours. Keep written logs on-site.</w:t>
            </w:r>
          </w:p>
        </w:tc>
        <w:tc>
          <w:tcPr>
            <w:tcW w:type="dxa" w:w="1584"/>
          </w:tcPr>
          <w:p>
            <w:r/>
            <w:r>
              <w:rPr>
                <w:sz w:val="16"/>
              </w:rPr>
              <w:t>Before each phase's disturbance; weekly</w:t>
            </w:r>
          </w:p>
        </w:tc>
        <w:tc>
          <w:tcPr>
            <w:tcW w:type="dxa" w:w="1656"/>
          </w:tcPr>
          <w:p>
            <w:r/>
            <w:r>
              <w:rPr>
                <w:sz w:val="16"/>
              </w:rPr>
              <w:t>From first ground disturbance</w:t>
            </w:r>
          </w:p>
        </w:tc>
        <w:tc>
          <w:tcPr>
            <w:tcW w:type="dxa" w:w="2088"/>
          </w:tcPr>
          <w:p>
            <w:r/>
            <w:r>
              <w:rPr>
                <w:sz w:val="16"/>
              </w:rPr>
              <w:t>Memo: controls installed Feb.–Mar. 2025 together with clearing.</w:t>
            </w:r>
          </w:p>
        </w:tc>
        <w:tc>
          <w:tcPr>
            <w:tcW w:type="dxa" w:w="1008"/>
            <w:shd w:val="clear" w:color="auto" w:fill="ED7D31"/>
          </w:tcPr>
          <w:p>
            <w:r/>
            <w:r>
              <w:rPr>
                <w:b/>
                <w:color w:val="FFFFFF"/>
                <w:sz w:val="16"/>
              </w:rPr>
              <w:t>AT RISK</w:t>
            </w:r>
          </w:p>
        </w:tc>
        <w:tc>
          <w:tcPr>
            <w:tcW w:type="dxa" w:w="2376"/>
          </w:tcPr>
          <w:p>
            <w:r/>
            <w:r>
              <w:rPr>
                <w:sz w:val="16"/>
              </w:rPr>
              <w:t>Sequence controls before clearing in each area, not alongside it. Install a rain gauge. Owner: EPC.</w:t>
            </w:r>
          </w:p>
        </w:tc>
      </w:tr>
      <w:tr>
        <w:tc>
          <w:tcPr>
            <w:tcW w:type="dxa" w:w="648"/>
          </w:tcPr>
          <w:p>
            <w:r/>
            <w:r>
              <w:rPr>
                <w:b/>
                <w:sz w:val="16"/>
              </w:rPr>
              <w:t>E-8</w:t>
            </w:r>
          </w:p>
        </w:tc>
        <w:tc>
          <w:tcPr>
            <w:tcW w:type="dxa" w:w="1080"/>
          </w:tcPr>
          <w:p>
            <w:r/>
            <w:r>
              <w:rPr>
                <w:sz w:val="16"/>
              </w:rPr>
              <w:t>ECO Cond. 8</w:t>
            </w:r>
          </w:p>
        </w:tc>
        <w:tc>
          <w:tcPr>
            <w:tcW w:type="dxa" w:w="3672"/>
          </w:tcPr>
          <w:p>
            <w:r/>
            <w:r>
              <w:rPr>
                <w:sz w:val="16"/>
              </w:rPr>
              <w:t>Avoid all wetlands and waterways except the Willow Creek crossing. No fill, debris, spoils or equipment in wetlands. Report inadvertent discharges within 24 hours and remediate under an approved corrective action plan. Gen-tie must keep at least 50 ft from delineated wetlands. Delineation by a qualified wetland scientist (USACE Manual).</w:t>
            </w:r>
          </w:p>
        </w:tc>
        <w:tc>
          <w:tcPr>
            <w:tcW w:type="dxa" w:w="1584"/>
          </w:tcPr>
          <w:p>
            <w:r/>
            <w:r>
              <w:rPr>
                <w:sz w:val="16"/>
              </w:rPr>
              <w:t>Before gen-tie alignment is final; 24-hr reporting</w:t>
            </w:r>
          </w:p>
        </w:tc>
        <w:tc>
          <w:tcPr>
            <w:tcW w:type="dxa" w:w="1656"/>
          </w:tcPr>
          <w:p>
            <w:r/>
            <w:r>
              <w:rPr>
                <w:sz w:val="16"/>
              </w:rPr>
              <w:t>Before Apr. 2025 gen-tie start</w:t>
            </w:r>
          </w:p>
        </w:tc>
        <w:tc>
          <w:tcPr>
            <w:tcW w:type="dxa" w:w="2088"/>
          </w:tcPr>
          <w:p>
            <w:r/>
            <w:r>
              <w:rPr>
                <w:sz w:val="16"/>
              </w:rPr>
              <w:t>Not addressed.</w:t>
            </w:r>
          </w:p>
        </w:tc>
        <w:tc>
          <w:tcPr>
            <w:tcW w:type="dxa" w:w="1008"/>
            <w:shd w:val="clear" w:color="auto" w:fill="FFC000"/>
          </w:tcPr>
          <w:p>
            <w:r/>
            <w:r>
              <w:rPr>
                <w:b/>
                <w:sz w:val="16"/>
              </w:rPr>
              <w:t>GAP</w:t>
            </w:r>
          </w:p>
        </w:tc>
        <w:tc>
          <w:tcPr>
            <w:tcW w:type="dxa" w:w="2376"/>
          </w:tcPr>
          <w:p>
            <w:r/>
            <w:r>
              <w:rPr>
                <w:sz w:val="16"/>
              </w:rPr>
              <w:t>Commission the wetland delineation now and confirm the alignment. Owner: Environmental.</w:t>
            </w:r>
          </w:p>
        </w:tc>
      </w:tr>
      <w:tr>
        <w:tc>
          <w:tcPr>
            <w:tcW w:type="dxa" w:w="648"/>
          </w:tcPr>
          <w:p>
            <w:r/>
            <w:r>
              <w:rPr>
                <w:b/>
                <w:sz w:val="16"/>
              </w:rPr>
              <w:t>E-9</w:t>
            </w:r>
          </w:p>
        </w:tc>
        <w:tc>
          <w:tcPr>
            <w:tcW w:type="dxa" w:w="1080"/>
          </w:tcPr>
          <w:p>
            <w:r/>
            <w:r>
              <w:rPr>
                <w:sz w:val="16"/>
              </w:rPr>
              <w:t>ECO Cond. 9; Finding 3</w:t>
            </w:r>
          </w:p>
        </w:tc>
        <w:tc>
          <w:tcPr>
            <w:tcW w:type="dxa" w:w="3672"/>
          </w:tcPr>
          <w:p>
            <w:r/>
            <w:r>
              <w:rPr>
                <w:sz w:val="16"/>
              </w:rPr>
              <w:t>Annual environmental mitigation fee: 1,495 ac × $2.75 = $4,111.25 per year, due by Jan. 31 each year beginning the first Jan. 31 after commencement, through construction and the first 5 years after COD. Payment to Account No. 7740-EMF-2024 with a statement (ECO no., period, acreage). Late payment risks a stop-work order and 1.5% per month interest.</w:t>
            </w:r>
          </w:p>
        </w:tc>
        <w:tc>
          <w:tcPr>
            <w:tcW w:type="dxa" w:w="1584"/>
          </w:tcPr>
          <w:p>
            <w:r/>
            <w:r>
              <w:rPr>
                <w:sz w:val="16"/>
              </w:rPr>
              <w:t>Jan. 31 annually</w:t>
            </w:r>
          </w:p>
        </w:tc>
        <w:tc>
          <w:tcPr>
            <w:tcW w:type="dxa" w:w="1656"/>
          </w:tcPr>
          <w:p>
            <w:r/>
            <w:r>
              <w:rPr>
                <w:sz w:val="16"/>
              </w:rPr>
              <w:t>First: Jan. 31, 2026 (Sat.) if commencement is Feb. 2025. If grading starts in late Jan. 2025, the first fee is Jan. 31, 2025. Continues to about Jan. 31, 2031–2032.</w:t>
            </w:r>
          </w:p>
        </w:tc>
        <w:tc>
          <w:tcPr>
            <w:tcW w:type="dxa" w:w="2088"/>
          </w:tcPr>
          <w:p>
            <w:r/>
            <w:r>
              <w:rPr>
                <w:sz w:val="16"/>
              </w:rPr>
              <w:t>Not addressed.</w:t>
            </w:r>
          </w:p>
        </w:tc>
        <w:tc>
          <w:tcPr>
            <w:tcW w:type="dxa" w:w="1008"/>
            <w:shd w:val="clear" w:color="auto" w:fill="FFC000"/>
          </w:tcPr>
          <w:p>
            <w:r/>
            <w:r>
              <w:rPr>
                <w:b/>
                <w:sz w:val="16"/>
              </w:rPr>
              <w:t>GAP</w:t>
            </w:r>
          </w:p>
        </w:tc>
        <w:tc>
          <w:tcPr>
            <w:tcW w:type="dxa" w:w="2376"/>
          </w:tcPr>
          <w:p>
            <w:r/>
            <w:r>
              <w:rPr>
                <w:sz w:val="16"/>
              </w:rPr>
              <w:t>Calendar the payments. Note the acreage basis excludes the about 12-ac BESS/substation pad and the gen-tie corridor; confirm with TDEQ that the stated basis is final to avoid a later true-up. Owner: Finance.</w:t>
            </w:r>
          </w:p>
        </w:tc>
      </w:tr>
      <w:tr>
        <w:tc>
          <w:tcPr>
            <w:tcW w:type="dxa" w:w="648"/>
          </w:tcPr>
          <w:p>
            <w:r/>
            <w:r>
              <w:rPr>
                <w:b/>
                <w:sz w:val="16"/>
              </w:rPr>
              <w:t>E-10</w:t>
            </w:r>
          </w:p>
        </w:tc>
        <w:tc>
          <w:tcPr>
            <w:tcW w:type="dxa" w:w="1080"/>
          </w:tcPr>
          <w:p>
            <w:r/>
            <w:r>
              <w:rPr>
                <w:sz w:val="16"/>
              </w:rPr>
              <w:t>ECO Cond. 10</w:t>
            </w:r>
          </w:p>
        </w:tc>
        <w:tc>
          <w:tcPr>
            <w:tcW w:type="dxa" w:w="3672"/>
          </w:tcPr>
          <w:p>
            <w:r/>
            <w:r>
              <w:rPr>
                <w:sz w:val="16"/>
              </w:rPr>
              <w:t>Restore all 3 laydown yards (45 ac) within 180 days of TDEQ COD: remove structures, gravel, debris and hazardous materials; regrade to the baseline survey; at least 6 in. topsoil; TDEQ-approved native seed. Restoration Plan to TDEQ at least 90 days before anticipated COD. Joint inspection within 30 days of completing each yard.</w:t>
            </w:r>
          </w:p>
        </w:tc>
        <w:tc>
          <w:tcPr>
            <w:tcW w:type="dxa" w:w="1584"/>
          </w:tcPr>
          <w:p>
            <w:r/>
            <w:r>
              <w:rPr>
                <w:sz w:val="16"/>
              </w:rPr>
              <w:t>Plan at least 90 days before COD; completion 180 days after COD</w:t>
            </w:r>
          </w:p>
        </w:tc>
        <w:tc>
          <w:tcPr>
            <w:tcW w:type="dxa" w:w="1656"/>
          </w:tcPr>
          <w:p>
            <w:r/>
            <w:r>
              <w:rPr>
                <w:sz w:val="16"/>
              </w:rPr>
              <w:t>Plan by Sep. 2, 2026; restoration by May 30, 2027 (if TDEQ COD is Dec. 1, 2026)</w:t>
            </w:r>
          </w:p>
        </w:tc>
        <w:tc>
          <w:tcPr>
            <w:tcW w:type="dxa" w:w="2088"/>
          </w:tcPr>
          <w:p>
            <w:r/>
            <w:r>
              <w:rPr>
                <w:sz w:val="16"/>
              </w:rPr>
              <w:t>Memo: restoration begins Oct. 2026; deadline May 30, 2027; no Restoration Plan; no baseline topographic survey mentioned.</w:t>
            </w:r>
          </w:p>
        </w:tc>
        <w:tc>
          <w:tcPr>
            <w:tcW w:type="dxa" w:w="1008"/>
            <w:shd w:val="clear" w:color="auto" w:fill="ED7D31"/>
          </w:tcPr>
          <w:p>
            <w:r/>
            <w:r>
              <w:rPr>
                <w:b/>
                <w:color w:val="FFFFFF"/>
                <w:sz w:val="16"/>
              </w:rPr>
              <w:t>AT RISK</w:t>
            </w:r>
          </w:p>
        </w:tc>
        <w:tc>
          <w:tcPr>
            <w:tcW w:type="dxa" w:w="2376"/>
          </w:tcPr>
          <w:p>
            <w:r/>
            <w:r>
              <w:rPr>
                <w:sz w:val="16"/>
              </w:rPr>
              <w:t>Complete the baseline topographic survey and topsoil stockpiling before the yards are established. Submit the plan by Sep. 2, 2026. Owner: Construction.</w:t>
            </w:r>
          </w:p>
        </w:tc>
      </w:tr>
      <w:tr>
        <w:tc>
          <w:tcPr>
            <w:tcW w:type="dxa" w:w="648"/>
          </w:tcPr>
          <w:p>
            <w:r/>
            <w:r>
              <w:rPr>
                <w:b/>
                <w:sz w:val="16"/>
              </w:rPr>
              <w:t>E-11</w:t>
            </w:r>
          </w:p>
        </w:tc>
        <w:tc>
          <w:tcPr>
            <w:tcW w:type="dxa" w:w="1080"/>
          </w:tcPr>
          <w:p>
            <w:r/>
            <w:r>
              <w:rPr>
                <w:sz w:val="16"/>
              </w:rPr>
              <w:t>ECO Cond. 11</w:t>
            </w:r>
          </w:p>
        </w:tc>
        <w:tc>
          <w:tcPr>
            <w:tcW w:type="dxa" w:w="3672"/>
          </w:tcPr>
          <w:p>
            <w:r/>
            <w:r>
              <w:rPr>
                <w:sz w:val="16"/>
              </w:rPr>
              <w:t>Hazardous Materials Management Plan (battery electrolytes, transformer oils, fuels, etc.) submitted for approval at least 30 days before commencement. Secondary containment of 110% of the largest container. Spill kits at each storage location and at the BESS.</w:t>
            </w:r>
          </w:p>
        </w:tc>
        <w:tc>
          <w:tcPr>
            <w:tcW w:type="dxa" w:w="1584"/>
          </w:tcPr>
          <w:p>
            <w:r/>
            <w:r>
              <w:rPr>
                <w:sz w:val="16"/>
              </w:rPr>
              <w:t>At least 30 days before commencement</w:t>
            </w:r>
          </w:p>
        </w:tc>
        <w:tc>
          <w:tcPr>
            <w:tcW w:type="dxa" w:w="1656"/>
          </w:tcPr>
          <w:p>
            <w:r/>
            <w:r>
              <w:rPr>
                <w:sz w:val="16"/>
              </w:rPr>
              <w:t>By Jan. 2, 2025 for a Feb. 1 start</w:t>
            </w:r>
          </w:p>
        </w:tc>
        <w:tc>
          <w:tcPr>
            <w:tcW w:type="dxa" w:w="2088"/>
          </w:tcPr>
          <w:p>
            <w:r/>
            <w:r>
              <w:rPr>
                <w:sz w:val="16"/>
              </w:rPr>
              <w:t>Not addressed.</w:t>
            </w:r>
          </w:p>
        </w:tc>
        <w:tc>
          <w:tcPr>
            <w:tcW w:type="dxa" w:w="1008"/>
            <w:shd w:val="clear" w:color="auto" w:fill="FFC000"/>
          </w:tcPr>
          <w:p>
            <w:r/>
            <w:r>
              <w:rPr>
                <w:b/>
                <w:sz w:val="16"/>
              </w:rPr>
              <w:t>GAP</w:t>
            </w:r>
          </w:p>
        </w:tc>
        <w:tc>
          <w:tcPr>
            <w:tcW w:type="dxa" w:w="2376"/>
          </w:tcPr>
          <w:p>
            <w:r/>
            <w:r>
              <w:rPr>
                <w:sz w:val="16"/>
              </w:rPr>
              <w:t>Prepare with the EPC. Owner: Environmental / EPC.</w:t>
            </w:r>
          </w:p>
        </w:tc>
      </w:tr>
      <w:tr>
        <w:tc>
          <w:tcPr>
            <w:tcW w:type="dxa" w:w="648"/>
          </w:tcPr>
          <w:p>
            <w:r/>
            <w:r>
              <w:rPr>
                <w:b/>
                <w:sz w:val="16"/>
              </w:rPr>
              <w:t>E-12</w:t>
            </w:r>
          </w:p>
        </w:tc>
        <w:tc>
          <w:tcPr>
            <w:tcW w:type="dxa" w:w="1080"/>
          </w:tcPr>
          <w:p>
            <w:r/>
            <w:r>
              <w:rPr>
                <w:sz w:val="16"/>
              </w:rPr>
              <w:t>ECO Cond. 12</w:t>
            </w:r>
          </w:p>
        </w:tc>
        <w:tc>
          <w:tcPr>
            <w:tcW w:type="dxa" w:w="3672"/>
          </w:tcPr>
          <w:p>
            <w:r/>
            <w:r>
              <w:rPr>
                <w:sz w:val="16"/>
              </w:rPr>
              <w:t>Avian monitoring for 3 years after TDEQ COD by a TDEQ-approved avian biologist per TDEQ-AMP-2021. Covers 1,850 ac plus a 500-ft buffer. Biweekly searches Mar. 1–May 31 and Aug. 15–Nov. 15; monthly otherwise. Annual reports by Mar. 1; the first is the first Mar. 1 at least 6 months after COD. Adaptive mitigation if thresholds are exceeded.</w:t>
            </w:r>
          </w:p>
        </w:tc>
        <w:tc>
          <w:tcPr>
            <w:tcW w:type="dxa" w:w="1584"/>
          </w:tcPr>
          <w:p>
            <w:r/>
            <w:r>
              <w:rPr>
                <w:sz w:val="16"/>
              </w:rPr>
              <w:t>3 years after COD; Mar. 1 reports</w:t>
            </w:r>
          </w:p>
        </w:tc>
        <w:tc>
          <w:tcPr>
            <w:tcW w:type="dxa" w:w="1656"/>
          </w:tcPr>
          <w:p>
            <w:r/>
            <w:r>
              <w:rPr>
                <w:sz w:val="16"/>
              </w:rPr>
              <w:t>For Dec. 1, 2026 COD: first report Mar. 1, 2028; then 2029, 2030</w:t>
            </w:r>
          </w:p>
        </w:tc>
        <w:tc>
          <w:tcPr>
            <w:tcW w:type="dxa" w:w="2088"/>
          </w:tcPr>
          <w:p>
            <w:r/>
            <w:r>
              <w:rPr>
                <w:sz w:val="16"/>
              </w:rPr>
              <w:t>Memo: first report Mar. 1, 2028 (consistent under TDEQ COD).</w:t>
            </w:r>
          </w:p>
        </w:tc>
        <w:tc>
          <w:tcPr>
            <w:tcW w:type="dxa" w:w="1008"/>
            <w:shd w:val="clear" w:color="auto" w:fill="5B9BD5"/>
          </w:tcPr>
          <w:p>
            <w:r/>
            <w:r>
              <w:rPr>
                <w:b/>
                <w:color w:val="FFFFFF"/>
                <w:sz w:val="16"/>
              </w:rPr>
              <w:t>ONGOING</w:t>
            </w:r>
          </w:p>
        </w:tc>
        <w:tc>
          <w:tcPr>
            <w:tcW w:type="dxa" w:w="2376"/>
          </w:tcPr>
          <w:p>
            <w:r/>
            <w:r>
              <w:rPr>
                <w:sz w:val="16"/>
              </w:rPr>
              <w:t>Reconcile with CPCN Cond. 21 (C-21). Obtain biologist approval before COD. Owner: Environmental.</w:t>
            </w:r>
          </w:p>
        </w:tc>
      </w:tr>
      <w:tr>
        <w:tc>
          <w:tcPr>
            <w:tcW w:type="dxa" w:w="648"/>
          </w:tcPr>
          <w:p>
            <w:r/>
            <w:r>
              <w:rPr>
                <w:b/>
                <w:sz w:val="16"/>
              </w:rPr>
              <w:t>E-13</w:t>
            </w:r>
          </w:p>
        </w:tc>
        <w:tc>
          <w:tcPr>
            <w:tcW w:type="dxa" w:w="1080"/>
          </w:tcPr>
          <w:p>
            <w:r/>
            <w:r>
              <w:rPr>
                <w:sz w:val="16"/>
              </w:rPr>
              <w:t>ECO Cond. 13</w:t>
            </w:r>
          </w:p>
        </w:tc>
        <w:tc>
          <w:tcPr>
            <w:tcW w:type="dxa" w:w="3672"/>
          </w:tcPr>
          <w:p>
            <w:r/>
            <w:r>
              <w:rPr>
                <w:sz w:val="16"/>
              </w:rPr>
              <w:t>Construction noise above 75 dBA at the nearest non-participating residence limited to 7 a.m.–7 p.m., Mon.–Sat.; none on Sundays or state holidays. Written notice at least 7 calendar days before major phases (pile driving, heavy earthmoving, concrete) to non-participating residences within 1,000 ft. Blasting requires separate TDEQ approval.</w:t>
            </w:r>
          </w:p>
        </w:tc>
        <w:tc>
          <w:tcPr>
            <w:tcW w:type="dxa" w:w="1584"/>
          </w:tcPr>
          <w:p>
            <w:r/>
            <w:r>
              <w:rPr>
                <w:sz w:val="16"/>
              </w:rPr>
              <w:t>At least 7 days before each major phase; daily hours</w:t>
            </w:r>
          </w:p>
        </w:tc>
        <w:tc>
          <w:tcPr>
            <w:tcW w:type="dxa" w:w="1656"/>
          </w:tcPr>
          <w:p>
            <w:r/>
            <w:r>
              <w:rPr>
                <w:sz w:val="16"/>
              </w:rPr>
              <w:t>First notices about late Jan. 2025 (site prep) and Mar. 2025 (pile driving)</w:t>
            </w:r>
          </w:p>
        </w:tc>
        <w:tc>
          <w:tcPr>
            <w:tcW w:type="dxa" w:w="2088"/>
          </w:tcPr>
          <w:p>
            <w:r/>
            <w:r>
              <w:rPr>
                <w:sz w:val="16"/>
              </w:rPr>
              <w:t>Not addressed. Peak workforce of 400 with multiple crews Aug.–Oct. 2025.</w:t>
            </w:r>
          </w:p>
        </w:tc>
        <w:tc>
          <w:tcPr>
            <w:tcW w:type="dxa" w:w="1008"/>
            <w:shd w:val="clear" w:color="auto" w:fill="FFC000"/>
          </w:tcPr>
          <w:p>
            <w:r/>
            <w:r>
              <w:rPr>
                <w:b/>
                <w:sz w:val="16"/>
              </w:rPr>
              <w:t>GAP</w:t>
            </w:r>
          </w:p>
        </w:tc>
        <w:tc>
          <w:tcPr>
            <w:tcW w:type="dxa" w:w="2376"/>
          </w:tcPr>
          <w:p>
            <w:r/>
            <w:r>
              <w:rPr>
                <w:sz w:val="16"/>
              </w:rPr>
              <w:t>Build the hours restrictions into the EPC contract. Send notices to the Pullmans; confirm owner names (CPCN: Frank and Dorothy; ECO service list: Dale and Joanne). Owner: Construction.</w:t>
            </w:r>
          </w:p>
        </w:tc>
      </w:tr>
      <w:tr>
        <w:tc>
          <w:tcPr>
            <w:tcW w:type="dxa" w:w="648"/>
          </w:tcPr>
          <w:p>
            <w:r/>
            <w:r>
              <w:rPr>
                <w:b/>
                <w:sz w:val="16"/>
              </w:rPr>
              <w:t>E-14</w:t>
            </w:r>
          </w:p>
        </w:tc>
        <w:tc>
          <w:tcPr>
            <w:tcW w:type="dxa" w:w="1080"/>
          </w:tcPr>
          <w:p>
            <w:r/>
            <w:r>
              <w:rPr>
                <w:sz w:val="16"/>
              </w:rPr>
              <w:t>ECO Cond. 14</w:t>
            </w:r>
          </w:p>
        </w:tc>
        <w:tc>
          <w:tcPr>
            <w:tcW w:type="dxa" w:w="3672"/>
          </w:tcPr>
          <w:p>
            <w:r/>
            <w:r>
              <w:rPr>
                <w:sz w:val="16"/>
              </w:rPr>
              <w:t>Unanticipated Discovery Plan prepared with SHPO and approved by TDEQ before commencement. On discovery: stop work within 100 ft, notify TDEQ and SHPO within 24 hours, resume only on written authorization.</w:t>
            </w:r>
          </w:p>
        </w:tc>
        <w:tc>
          <w:tcPr>
            <w:tcW w:type="dxa" w:w="1584"/>
          </w:tcPr>
          <w:p>
            <w:r/>
            <w:r>
              <w:rPr>
                <w:sz w:val="16"/>
              </w:rPr>
              <w:t>Approved before commencement</w:t>
            </w:r>
          </w:p>
        </w:tc>
        <w:tc>
          <w:tcPr>
            <w:tcW w:type="dxa" w:w="1656"/>
          </w:tcPr>
          <w:p>
            <w:r/>
            <w:r>
              <w:rPr>
                <w:sz w:val="16"/>
              </w:rPr>
              <w:t>Before Feb. 1, 2025</w:t>
            </w:r>
          </w:p>
        </w:tc>
        <w:tc>
          <w:tcPr>
            <w:tcW w:type="dxa" w:w="2088"/>
          </w:tcPr>
          <w:p>
            <w:r/>
            <w:r>
              <w:rPr>
                <w:sz w:val="16"/>
              </w:rPr>
              <w:t>Not addressed.</w:t>
            </w:r>
          </w:p>
        </w:tc>
        <w:tc>
          <w:tcPr>
            <w:tcW w:type="dxa" w:w="1008"/>
            <w:shd w:val="clear" w:color="auto" w:fill="FFC000"/>
          </w:tcPr>
          <w:p>
            <w:r/>
            <w:r>
              <w:rPr>
                <w:b/>
                <w:sz w:val="16"/>
              </w:rPr>
              <w:t>GAP</w:t>
            </w:r>
          </w:p>
        </w:tc>
        <w:tc>
          <w:tcPr>
            <w:tcW w:type="dxa" w:w="2376"/>
          </w:tcPr>
          <w:p>
            <w:r/>
            <w:r>
              <w:rPr>
                <w:sz w:val="16"/>
              </w:rPr>
              <w:t>Begin SHPO consultation now. Owner: Environmental.</w:t>
            </w:r>
          </w:p>
        </w:tc>
      </w:tr>
      <w:tr>
        <w:tc>
          <w:tcPr>
            <w:tcW w:type="dxa" w:w="648"/>
          </w:tcPr>
          <w:p>
            <w:r/>
            <w:r>
              <w:rPr>
                <w:b/>
                <w:sz w:val="16"/>
              </w:rPr>
              <w:t>E-15</w:t>
            </w:r>
          </w:p>
        </w:tc>
        <w:tc>
          <w:tcPr>
            <w:tcW w:type="dxa" w:w="1080"/>
          </w:tcPr>
          <w:p>
            <w:r/>
            <w:r>
              <w:rPr>
                <w:sz w:val="16"/>
              </w:rPr>
              <w:t>ECO Cond. 15</w:t>
            </w:r>
          </w:p>
        </w:tc>
        <w:tc>
          <w:tcPr>
            <w:tcW w:type="dxa" w:w="3672"/>
          </w:tcPr>
          <w:p>
            <w:r/>
            <w:r>
              <w:rPr>
                <w:sz w:val="16"/>
              </w:rPr>
              <w:t>BESS fire protection per NFPA 855 and the Talmadge Fire Prevention Code: detection and automatic suppression in all 50 enclosures; thermal-runaway containment, ventilation and gas detection; at least 50,000 gal fire water with hydrants; module-level thermal monitoring with remote alarms. Independent Talmadge-licensed fire protection engineer certification before energization of any BESS component, filed at least 15 days before energization. ERP coordinated with Harmon County FD, submitted for approval at least 60 days before energization.</w:t>
            </w:r>
          </w:p>
        </w:tc>
        <w:tc>
          <w:tcPr>
            <w:tcW w:type="dxa" w:w="1584"/>
          </w:tcPr>
          <w:p>
            <w:r/>
            <w:r>
              <w:rPr>
                <w:sz w:val="16"/>
              </w:rPr>
              <w:t>Certification before any BESS energization; filing at least 15 days before; ERP at least 60 days before</w:t>
            </w:r>
          </w:p>
        </w:tc>
        <w:tc>
          <w:tcPr>
            <w:tcW w:type="dxa" w:w="1656"/>
          </w:tcPr>
          <w:p>
            <w:r/>
            <w:r>
              <w:rPr>
                <w:sz w:val="16"/>
              </w:rPr>
              <w:t>For first BESS energization in Jan. 2026 (integration/PCS testing): ERP by about early Nov. 2025; certification filed by about mid-Dec. 2025</w:t>
            </w:r>
          </w:p>
        </w:tc>
        <w:tc>
          <w:tcPr>
            <w:tcW w:type="dxa" w:w="2088"/>
          </w:tcPr>
          <w:p>
            <w:r/>
            <w:r>
              <w:rPr>
                <w:sz w:val="16"/>
              </w:rPr>
              <w:t>Memo: certification May 2026; energization target Jul. 2026, but BESS integration and testing Jan.–Jun. 2026; no ERP.</w:t>
            </w:r>
          </w:p>
        </w:tc>
        <w:tc>
          <w:tcPr>
            <w:tcW w:type="dxa" w:w="1008"/>
            <w:shd w:val="clear" w:color="auto" w:fill="C00000"/>
          </w:tcPr>
          <w:p>
            <w:r/>
            <w:r>
              <w:rPr>
                <w:b/>
                <w:color w:val="FFFFFF"/>
                <w:sz w:val="16"/>
              </w:rPr>
              <w:t>CRITICAL</w:t>
            </w:r>
          </w:p>
        </w:tc>
        <w:tc>
          <w:tcPr>
            <w:tcW w:type="dxa" w:w="2376"/>
          </w:tcPr>
          <w:p>
            <w:r/>
            <w:r>
              <w:rPr>
                <w:sz w:val="16"/>
              </w:rPr>
              <w:t>See Critical Issue 4. Owner: Engineering / CleanAgent / third-party engineer.</w:t>
            </w:r>
          </w:p>
        </w:tc>
      </w:tr>
      <w:tr>
        <w:tc>
          <w:tcPr>
            <w:tcW w:type="dxa" w:w="648"/>
          </w:tcPr>
          <w:p>
            <w:r/>
            <w:r>
              <w:rPr>
                <w:b/>
                <w:sz w:val="16"/>
              </w:rPr>
              <w:t>E-16</w:t>
            </w:r>
          </w:p>
        </w:tc>
        <w:tc>
          <w:tcPr>
            <w:tcW w:type="dxa" w:w="1080"/>
          </w:tcPr>
          <w:p>
            <w:r/>
            <w:r>
              <w:rPr>
                <w:sz w:val="16"/>
              </w:rPr>
              <w:t>ECO Cond. 16</w:t>
            </w:r>
          </w:p>
        </w:tc>
        <w:tc>
          <w:tcPr>
            <w:tcW w:type="dxa" w:w="3672"/>
          </w:tcPr>
          <w:p>
            <w:r/>
            <w:r>
              <w:rPr>
                <w:sz w:val="16"/>
              </w:rPr>
              <w:t>Keep all records on-site through construction and for 5 years after COD. Notify TDEQ of commencement within 5 business days (date, location, nature, construction manager). Semi-annual compliance reports due Jan. 31 and Jul. 31 of each year with construction activity.</w:t>
            </w:r>
          </w:p>
        </w:tc>
        <w:tc>
          <w:tcPr>
            <w:tcW w:type="dxa" w:w="1584"/>
          </w:tcPr>
          <w:p>
            <w:r/>
            <w:r>
              <w:rPr>
                <w:sz w:val="16"/>
              </w:rPr>
              <w:t>5 business days after commencement; Jan. 31 / Jul. 31</w:t>
            </w:r>
          </w:p>
        </w:tc>
        <w:tc>
          <w:tcPr>
            <w:tcW w:type="dxa" w:w="1656"/>
          </w:tcPr>
          <w:p>
            <w:r/>
            <w:r>
              <w:rPr>
                <w:sz w:val="16"/>
              </w:rPr>
              <w:t>Commencement notice: about Feb. 7, 2025. Reports: Jul. 31, 2025; Jan. 31, 2026; Jul. 31, 2026; Jan. 31, 2027 (and Jul. 31, 2027 if restoration continues)</w:t>
            </w:r>
          </w:p>
        </w:tc>
        <w:tc>
          <w:tcPr>
            <w:tcW w:type="dxa" w:w="2088"/>
          </w:tcPr>
          <w:p>
            <w:r/>
            <w:r>
              <w:rPr>
                <w:sz w:val="16"/>
              </w:rPr>
              <w:t>Not addressed.</w:t>
            </w:r>
          </w:p>
        </w:tc>
        <w:tc>
          <w:tcPr>
            <w:tcW w:type="dxa" w:w="1008"/>
            <w:shd w:val="clear" w:color="auto" w:fill="FFC000"/>
          </w:tcPr>
          <w:p>
            <w:r/>
            <w:r>
              <w:rPr>
                <w:b/>
                <w:sz w:val="16"/>
              </w:rPr>
              <w:t>GAP</w:t>
            </w:r>
          </w:p>
        </w:tc>
        <w:tc>
          <w:tcPr>
            <w:tcW w:type="dxa" w:w="2376"/>
          </w:tcPr>
          <w:p>
            <w:r/>
            <w:r>
              <w:rPr>
                <w:sz w:val="16"/>
              </w:rPr>
              <w:t>Calendar the reports. Owner: Environmental.</w:t>
            </w:r>
          </w:p>
        </w:tc>
      </w:tr>
      <w:tr>
        <w:tc>
          <w:tcPr>
            <w:tcW w:type="dxa" w:w="648"/>
          </w:tcPr>
          <w:p>
            <w:r/>
            <w:r>
              <w:rPr>
                <w:b/>
                <w:sz w:val="16"/>
              </w:rPr>
              <w:t>E-17</w:t>
            </w:r>
          </w:p>
        </w:tc>
        <w:tc>
          <w:tcPr>
            <w:tcW w:type="dxa" w:w="1080"/>
          </w:tcPr>
          <w:p>
            <w:r/>
            <w:r>
              <w:rPr>
                <w:sz w:val="16"/>
              </w:rPr>
              <w:t>ECO Cond. 17</w:t>
            </w:r>
          </w:p>
        </w:tc>
        <w:tc>
          <w:tcPr>
            <w:tcW w:type="dxa" w:w="3672"/>
          </w:tcPr>
          <w:p>
            <w:r/>
            <w:r>
              <w:rPr>
                <w:sz w:val="16"/>
              </w:rPr>
              <w:t>Independent third-party Environmental Monitor approved by TDEQ, retained at least 30 days before commencement. Has authority to halt work. Monthly reports to TDEQ.</w:t>
            </w:r>
          </w:p>
        </w:tc>
        <w:tc>
          <w:tcPr>
            <w:tcW w:type="dxa" w:w="1584"/>
          </w:tcPr>
          <w:p>
            <w:r/>
            <w:r>
              <w:rPr>
                <w:sz w:val="16"/>
              </w:rPr>
              <w:t>At least 30 days before commencement</w:t>
            </w:r>
          </w:p>
        </w:tc>
        <w:tc>
          <w:tcPr>
            <w:tcW w:type="dxa" w:w="1656"/>
          </w:tcPr>
          <w:p>
            <w:r/>
            <w:r>
              <w:rPr>
                <w:sz w:val="16"/>
              </w:rPr>
              <w:t>By Jan. 2, 2025 for a Feb. 1 start</w:t>
            </w:r>
          </w:p>
        </w:tc>
        <w:tc>
          <w:tcPr>
            <w:tcW w:type="dxa" w:w="2088"/>
          </w:tcPr>
          <w:p>
            <w:r/>
            <w:r>
              <w:rPr>
                <w:sz w:val="16"/>
              </w:rPr>
              <w:t>Not addressed.</w:t>
            </w:r>
          </w:p>
        </w:tc>
        <w:tc>
          <w:tcPr>
            <w:tcW w:type="dxa" w:w="1008"/>
            <w:shd w:val="clear" w:color="auto" w:fill="FFC000"/>
          </w:tcPr>
          <w:p>
            <w:r/>
            <w:r>
              <w:rPr>
                <w:b/>
                <w:sz w:val="16"/>
              </w:rPr>
              <w:t>GAP</w:t>
            </w:r>
          </w:p>
        </w:tc>
        <w:tc>
          <w:tcPr>
            <w:tcW w:type="dxa" w:w="2376"/>
          </w:tcPr>
          <w:p>
            <w:r/>
            <w:r>
              <w:rPr>
                <w:sz w:val="16"/>
              </w:rPr>
              <w:t>Nominate the monitor to TDEQ in Nov. 2024. Note the monitor's stop-work authority in the EPC contract. Owner: Environmental.</w:t>
            </w:r>
          </w:p>
        </w:tc>
      </w:tr>
      <w:tr>
        <w:tc>
          <w:tcPr>
            <w:tcW w:type="dxa" w:w="648"/>
          </w:tcPr>
          <w:p>
            <w:r/>
            <w:r>
              <w:rPr>
                <w:b/>
                <w:sz w:val="16"/>
              </w:rPr>
              <w:t>E-18</w:t>
            </w:r>
          </w:p>
        </w:tc>
        <w:tc>
          <w:tcPr>
            <w:tcW w:type="dxa" w:w="1080"/>
          </w:tcPr>
          <w:p>
            <w:r/>
            <w:r>
              <w:rPr>
                <w:sz w:val="16"/>
              </w:rPr>
              <w:t>ECO Cond. 18</w:t>
            </w:r>
          </w:p>
        </w:tc>
        <w:tc>
          <w:tcPr>
            <w:tcW w:type="dxa" w:w="3672"/>
          </w:tcPr>
          <w:p>
            <w:r/>
            <w:r>
              <w:rPr>
                <w:sz w:val="16"/>
              </w:rPr>
              <w:t>Prior written TDEQ approval for any modification of design, layout, construction methods, construction schedule or operating parameters that could materially alter EIS impacts or ECO compliance. TDEQ responds within 30 business days.</w:t>
            </w:r>
          </w:p>
        </w:tc>
        <w:tc>
          <w:tcPr>
            <w:tcW w:type="dxa" w:w="1584"/>
          </w:tcPr>
          <w:p>
            <w:r/>
            <w:r>
              <w:rPr>
                <w:sz w:val="16"/>
              </w:rPr>
              <w:t>Before implementing</w:t>
            </w:r>
          </w:p>
        </w:tc>
        <w:tc>
          <w:tcPr>
            <w:tcW w:type="dxa" w:w="1656"/>
          </w:tcPr>
          <w:p>
            <w:r/>
            <w:r>
              <w:rPr>
                <w:sz w:val="16"/>
              </w:rPr>
              <w:t>Event-driven (allow about 6 weeks)</w:t>
            </w:r>
          </w:p>
        </w:tc>
        <w:tc>
          <w:tcPr>
            <w:tcW w:type="dxa" w:w="2088"/>
          </w:tcPr>
          <w:p>
            <w:r/>
            <w:r>
              <w:rPr>
                <w:sz w:val="16"/>
              </w:rPr>
              <w:t>Schedule changes recommended in this matrix (e.g., Willow Creek and BESS sequencing) may qualify.</w:t>
            </w:r>
          </w:p>
        </w:tc>
        <w:tc>
          <w:tcPr>
            <w:tcW w:type="dxa" w:w="1008"/>
            <w:shd w:val="clear" w:color="auto" w:fill="ED7D31"/>
          </w:tcPr>
          <w:p>
            <w:r/>
            <w:r>
              <w:rPr>
                <w:b/>
                <w:color w:val="FFFFFF"/>
                <w:sz w:val="16"/>
              </w:rPr>
              <w:t>AT RISK</w:t>
            </w:r>
          </w:p>
        </w:tc>
        <w:tc>
          <w:tcPr>
            <w:tcW w:type="dxa" w:w="2376"/>
          </w:tcPr>
          <w:p>
            <w:r/>
            <w:r>
              <w:rPr>
                <w:sz w:val="16"/>
              </w:rPr>
              <w:t>Screen the re-baselined schedule and equipment changes, and file requests early. Owner: Legal / Environmental.</w:t>
            </w:r>
          </w:p>
        </w:tc>
      </w:tr>
      <w:tr>
        <w:tc>
          <w:tcPr>
            <w:tcW w:type="dxa" w:w="648"/>
          </w:tcPr>
          <w:p>
            <w:r/>
            <w:r>
              <w:rPr>
                <w:b/>
                <w:sz w:val="16"/>
              </w:rPr>
              <w:t>E-19</w:t>
            </w:r>
          </w:p>
        </w:tc>
        <w:tc>
          <w:tcPr>
            <w:tcW w:type="dxa" w:w="1080"/>
          </w:tcPr>
          <w:p>
            <w:r/>
            <w:r>
              <w:rPr>
                <w:sz w:val="16"/>
              </w:rPr>
              <w:t>ECO Cond. 19</w:t>
            </w:r>
          </w:p>
        </w:tc>
        <w:tc>
          <w:tcPr>
            <w:tcW w:type="dxa" w:w="3672"/>
          </w:tcPr>
          <w:p>
            <w:r/>
            <w:r>
              <w:rPr>
                <w:sz w:val="16"/>
              </w:rPr>
              <w:t>Enforcement: stop-work orders; civil penalties up to $10,000 per day per violation; additional mitigation; revocation. 30-day cure period for non-willful violations, except imminent threats.</w:t>
            </w:r>
          </w:p>
        </w:tc>
        <w:tc>
          <w:tcPr>
            <w:tcW w:type="dxa" w:w="1584"/>
          </w:tcPr>
          <w:p>
            <w:r/>
            <w:r>
              <w:rPr>
                <w:sz w:val="16"/>
              </w:rPr>
              <w:t>n/a</w:t>
            </w:r>
          </w:p>
        </w:tc>
        <w:tc>
          <w:tcPr>
            <w:tcW w:type="dxa" w:w="1656"/>
          </w:tcPr>
          <w:p>
            <w:r/>
            <w:r>
              <w:rPr>
                <w:sz w:val="16"/>
              </w:rPr>
              <w:t>n/a</w:t>
            </w:r>
          </w:p>
        </w:tc>
        <w:tc>
          <w:tcPr>
            <w:tcW w:type="dxa" w:w="2088"/>
          </w:tcPr>
          <w:p>
            <w:r/>
            <w:r>
              <w:rPr>
                <w:sz w:val="16"/>
              </w:rPr>
              <w:t>n/a</w:t>
            </w:r>
          </w:p>
        </w:tc>
        <w:tc>
          <w:tcPr>
            <w:tcW w:type="dxa" w:w="1008"/>
            <w:shd w:val="clear" w:color="auto" w:fill="5B9BD5"/>
          </w:tcPr>
          <w:p>
            <w:r/>
            <w:r>
              <w:rPr>
                <w:b/>
                <w:color w:val="FFFFFF"/>
                <w:sz w:val="16"/>
              </w:rPr>
              <w:t>ONGOING</w:t>
            </w:r>
          </w:p>
        </w:tc>
        <w:tc>
          <w:tcPr>
            <w:tcW w:type="dxa" w:w="2376"/>
          </w:tcPr>
          <w:p>
            <w:r/>
            <w:r>
              <w:rPr>
                <w:sz w:val="16"/>
              </w:rPr>
              <w:t>Track any NOV and the cure period; report to TPUC (C-11).</w:t>
            </w:r>
          </w:p>
        </w:tc>
      </w:tr>
      <w:tr>
        <w:tc>
          <w:tcPr>
            <w:tcW w:type="dxa" w:w="648"/>
          </w:tcPr>
          <w:p>
            <w:r/>
            <w:r>
              <w:rPr>
                <w:b/>
                <w:sz w:val="16"/>
              </w:rPr>
              <w:t>E-20</w:t>
            </w:r>
          </w:p>
        </w:tc>
        <w:tc>
          <w:tcPr>
            <w:tcW w:type="dxa" w:w="1080"/>
          </w:tcPr>
          <w:p>
            <w:r/>
            <w:r>
              <w:rPr>
                <w:sz w:val="16"/>
              </w:rPr>
              <w:t>ECO Cond. 20</w:t>
            </w:r>
          </w:p>
        </w:tc>
        <w:tc>
          <w:tcPr>
            <w:tcW w:type="dxa" w:w="3672"/>
          </w:tcPr>
          <w:p>
            <w:r/>
            <w:r>
              <w:rPr>
                <w:sz w:val="16"/>
              </w:rPr>
              <w:t>Not transferable to any successor, assignee or purchaser without prior written TDEQ consent and evidence of the transferee's capability.</w:t>
            </w:r>
          </w:p>
        </w:tc>
        <w:tc>
          <w:tcPr>
            <w:tcW w:type="dxa" w:w="1584"/>
          </w:tcPr>
          <w:p>
            <w:r/>
            <w:r>
              <w:rPr>
                <w:sz w:val="16"/>
              </w:rPr>
              <w:t>Before any transfer</w:t>
            </w:r>
          </w:p>
        </w:tc>
        <w:tc>
          <w:tcPr>
            <w:tcW w:type="dxa" w:w="1656"/>
          </w:tcPr>
          <w:p>
            <w:r/>
            <w:r>
              <w:rPr>
                <w:sz w:val="16"/>
              </w:rPr>
              <w:t>Before financing closing, if project-company structure is used</w:t>
            </w:r>
          </w:p>
        </w:tc>
        <w:tc>
          <w:tcPr>
            <w:tcW w:type="dxa" w:w="2088"/>
          </w:tcPr>
          <w:p>
            <w:r/>
            <w:r>
              <w:rPr>
                <w:sz w:val="16"/>
              </w:rPr>
              <w:t>Memo: tax-equity / back-leverage financing.</w:t>
            </w:r>
          </w:p>
        </w:tc>
        <w:tc>
          <w:tcPr>
            <w:tcW w:type="dxa" w:w="1008"/>
            <w:shd w:val="clear" w:color="auto" w:fill="ED7D31"/>
          </w:tcPr>
          <w:p>
            <w:r/>
            <w:r>
              <w:rPr>
                <w:b/>
                <w:color w:val="FFFFFF"/>
                <w:sz w:val="16"/>
              </w:rPr>
              <w:t>AT RISK</w:t>
            </w:r>
          </w:p>
        </w:tc>
        <w:tc>
          <w:tcPr>
            <w:tcW w:type="dxa" w:w="2376"/>
          </w:tcPr>
          <w:p>
            <w:r/>
            <w:r>
              <w:rPr>
                <w:sz w:val="16"/>
              </w:rPr>
              <w:t>Coordinate with C-25. Owner: Legal.</w:t>
            </w:r>
          </w:p>
        </w:tc>
      </w:tr>
      <w:tr>
        <w:tc>
          <w:tcPr>
            <w:tcW w:type="dxa" w:w="648"/>
          </w:tcPr>
          <w:p>
            <w:r/>
            <w:r>
              <w:rPr>
                <w:b/>
                <w:sz w:val="16"/>
              </w:rPr>
              <w:t>E-21</w:t>
            </w:r>
          </w:p>
        </w:tc>
        <w:tc>
          <w:tcPr>
            <w:tcW w:type="dxa" w:w="1080"/>
          </w:tcPr>
          <w:p>
            <w:r/>
            <w:r>
              <w:rPr>
                <w:sz w:val="16"/>
              </w:rPr>
              <w:t>ECO Cond. 21–23</w:t>
            </w:r>
          </w:p>
        </w:tc>
        <w:tc>
          <w:tcPr>
            <w:tcW w:type="dxa" w:w="3672"/>
          </w:tcPr>
          <w:p>
            <w:r/>
            <w:r>
              <w:rPr>
                <w:sz w:val="16"/>
              </w:rPr>
              <w:t>Term: construction plus 5 years after COD (avian: 3 years). Severability. Notices in writing to R. Tannenbaum (TDEQ), r.tannenbaum@tdeq.talmadge.gov; Clearwater notice party is P. Venkataraman.</w:t>
            </w:r>
          </w:p>
        </w:tc>
        <w:tc>
          <w:tcPr>
            <w:tcW w:type="dxa" w:w="1584"/>
          </w:tcPr>
          <w:p>
            <w:r/>
            <w:r>
              <w:rPr>
                <w:sz w:val="16"/>
              </w:rPr>
              <w:t>n/a</w:t>
            </w:r>
          </w:p>
        </w:tc>
        <w:tc>
          <w:tcPr>
            <w:tcW w:type="dxa" w:w="1656"/>
          </w:tcPr>
          <w:p>
            <w:r/>
            <w:r>
              <w:rPr>
                <w:sz w:val="16"/>
              </w:rPr>
              <w:t>Order runs to about Dec. 2031</w:t>
            </w:r>
          </w:p>
        </w:tc>
        <w:tc>
          <w:tcPr>
            <w:tcW w:type="dxa" w:w="2088"/>
          </w:tcPr>
          <w:p>
            <w:r/>
            <w:r>
              <w:rPr>
                <w:sz w:val="16"/>
              </w:rPr>
              <w:t>n/a</w:t>
            </w:r>
          </w:p>
        </w:tc>
        <w:tc>
          <w:tcPr>
            <w:tcW w:type="dxa" w:w="1008"/>
            <w:shd w:val="clear" w:color="auto" w:fill="5B9BD5"/>
          </w:tcPr>
          <w:p>
            <w:r/>
            <w:r>
              <w:rPr>
                <w:b/>
                <w:color w:val="FFFFFF"/>
                <w:sz w:val="16"/>
              </w:rPr>
              <w:t>ONGOING</w:t>
            </w:r>
          </w:p>
        </w:tc>
        <w:tc>
          <w:tcPr>
            <w:tcW w:type="dxa" w:w="2376"/>
          </w:tcPr>
          <w:p>
            <w:r/>
            <w:r>
              <w:rPr>
                <w:sz w:val="16"/>
              </w:rPr>
              <w:t>Send all TDEQ submittals to the designated notice party with proof of receipt.</w:t>
            </w:r>
          </w:p>
        </w:tc>
      </w:tr>
    </w:tbl>
    <w:p>
      <w:pPr>
        <w:spacing w:after="40"/>
      </w:pPr>
    </w:p>
    <w:p>
      <w:pPr>
        <w:pStyle w:val="Heading2"/>
      </w:pPr>
      <w:r>
        <w:t>3C. FAA Determination of No Hazard (Aeronautical Study No. 2024-ASW-8851-OE)</w:t>
      </w:r>
    </w:p>
    <w:tbl>
      <w:tblPr>
        <w:tblStyle w:val="TableGrid"/>
        <w:tblW w:type="auto" w:w="0"/>
        <w:jc w:val="center"/>
        <w:tblLayout w:type="fixed"/>
        <w:tblLook w:firstColumn="1" w:firstRow="1" w:lastColumn="0" w:lastRow="0" w:noHBand="0" w:noVBand="1" w:val="04A0"/>
      </w:tblPr>
      <w:tblGrid>
        <w:gridCol w:w="648"/>
        <w:gridCol w:w="1080"/>
        <w:gridCol w:w="3671"/>
        <w:gridCol w:w="1584"/>
        <w:gridCol w:w="1655"/>
        <w:gridCol w:w="2088"/>
        <w:gridCol w:w="1007"/>
        <w:gridCol w:w="2376"/>
      </w:tblGrid>
      <w:tr>
        <w:trPr>
          <w:tblHeader w:val="true"/>
        </w:trPr>
        <w:tc>
          <w:tcPr>
            <w:tcW w:type="dxa" w:w="648"/>
            <w:shd w:val="clear" w:color="auto" w:fill="1F3A5F"/>
          </w:tcPr>
          <w:p>
            <w:r/>
            <w:r>
              <w:rPr>
                <w:b/>
                <w:color w:val="FFFFFF"/>
                <w:sz w:val="16"/>
              </w:rPr>
              <w:t>ID</w:t>
            </w:r>
          </w:p>
        </w:tc>
        <w:tc>
          <w:tcPr>
            <w:tcW w:type="dxa" w:w="1080"/>
            <w:shd w:val="clear" w:color="auto" w:fill="1F3A5F"/>
          </w:tcPr>
          <w:p>
            <w:r/>
            <w:r>
              <w:rPr>
                <w:b/>
                <w:color w:val="FFFFFF"/>
                <w:sz w:val="16"/>
              </w:rPr>
              <w:t>Source</w:t>
            </w:r>
          </w:p>
        </w:tc>
        <w:tc>
          <w:tcPr>
            <w:tcW w:type="dxa" w:w="3672"/>
            <w:shd w:val="clear" w:color="auto" w:fill="1F3A5F"/>
          </w:tcPr>
          <w:p>
            <w:r/>
            <w:r>
              <w:rPr>
                <w:b/>
                <w:color w:val="FFFFFF"/>
                <w:sz w:val="16"/>
              </w:rPr>
              <w:t>Requirement / Obligation</w:t>
            </w:r>
          </w:p>
        </w:tc>
        <w:tc>
          <w:tcPr>
            <w:tcW w:type="dxa" w:w="1584"/>
            <w:shd w:val="clear" w:color="auto" w:fill="1F3A5F"/>
          </w:tcPr>
          <w:p>
            <w:r/>
            <w:r>
              <w:rPr>
                <w:b/>
                <w:color w:val="FFFFFF"/>
                <w:sz w:val="16"/>
              </w:rPr>
              <w:t>Trigger / Deadline</w:t>
            </w:r>
          </w:p>
        </w:tc>
        <w:tc>
          <w:tcPr>
            <w:tcW w:type="dxa" w:w="1656"/>
            <w:shd w:val="clear" w:color="auto" w:fill="1F3A5F"/>
          </w:tcPr>
          <w:p>
            <w:r/>
            <w:r>
              <w:rPr>
                <w:b/>
                <w:color w:val="FFFFFF"/>
                <w:sz w:val="16"/>
              </w:rPr>
              <w:t>Calculated Date</w:t>
            </w:r>
          </w:p>
        </w:tc>
        <w:tc>
          <w:tcPr>
            <w:tcW w:type="dxa" w:w="2088"/>
            <w:shd w:val="clear" w:color="auto" w:fill="1F3A5F"/>
          </w:tcPr>
          <w:p>
            <w:r/>
            <w:r>
              <w:rPr>
                <w:b/>
                <w:color w:val="FFFFFF"/>
                <w:sz w:val="16"/>
              </w:rPr>
              <w:t>Memo Cross-Reference</w:t>
            </w:r>
          </w:p>
        </w:tc>
        <w:tc>
          <w:tcPr>
            <w:tcW w:type="dxa" w:w="1008"/>
            <w:shd w:val="clear" w:color="auto" w:fill="1F3A5F"/>
          </w:tcPr>
          <w:p>
            <w:r/>
            <w:r>
              <w:rPr>
                <w:b/>
                <w:color w:val="FFFFFF"/>
                <w:sz w:val="16"/>
              </w:rPr>
              <w:t>Status</w:t>
            </w:r>
          </w:p>
        </w:tc>
        <w:tc>
          <w:tcPr>
            <w:tcW w:type="dxa" w:w="2376"/>
            <w:shd w:val="clear" w:color="auto" w:fill="1F3A5F"/>
          </w:tcPr>
          <w:p>
            <w:r/>
            <w:r>
              <w:rPr>
                <w:b/>
                <w:color w:val="FFFFFF"/>
                <w:sz w:val="16"/>
              </w:rPr>
              <w:t>Action / Owner</w:t>
            </w:r>
          </w:p>
        </w:tc>
      </w:tr>
      <w:tr>
        <w:tc>
          <w:tcPr>
            <w:tcW w:type="dxa" w:w="648"/>
          </w:tcPr>
          <w:p>
            <w:r/>
            <w:r>
              <w:rPr>
                <w:b/>
                <w:sz w:val="16"/>
              </w:rPr>
              <w:t>F-1</w:t>
            </w:r>
          </w:p>
        </w:tc>
        <w:tc>
          <w:tcPr>
            <w:tcW w:type="dxa" w:w="1080"/>
          </w:tcPr>
          <w:p>
            <w:r/>
            <w:r>
              <w:rPr>
                <w:sz w:val="16"/>
              </w:rPr>
              <w:t>FAA §5 Cond. 1</w:t>
            </w:r>
          </w:p>
        </w:tc>
        <w:tc>
          <w:tcPr>
            <w:tcW w:type="dxa" w:w="3672"/>
          </w:tcPr>
          <w:p>
            <w:r/>
            <w:r>
              <w:rPr>
                <w:sz w:val="16"/>
              </w:rPr>
              <w:t>Maximum heights: solar arrays 15 ft AGL; substation 80 ft AGL (bus, transformers, lightning masts); gen-tie structures 180 ft AGL; BESS enclosures 15 ft AGL. Any increase or material change in location or configuration requires a new Form 7460-1 and study.</w:t>
            </w:r>
          </w:p>
        </w:tc>
        <w:tc>
          <w:tcPr>
            <w:tcW w:type="dxa" w:w="1584"/>
          </w:tcPr>
          <w:p>
            <w:r/>
            <w:r>
              <w:rPr>
                <w:sz w:val="16"/>
              </w:rPr>
              <w:t>Design / continuing</w:t>
            </w:r>
          </w:p>
        </w:tc>
        <w:tc>
          <w:tcPr>
            <w:tcW w:type="dxa" w:w="1656"/>
          </w:tcPr>
          <w:p>
            <w:r/>
            <w:r>
              <w:rPr>
                <w:sz w:val="16"/>
              </w:rPr>
              <w:t>n/a</w:t>
            </w:r>
          </w:p>
        </w:tc>
        <w:tc>
          <w:tcPr>
            <w:tcW w:type="dxa" w:w="2088"/>
          </w:tcPr>
          <w:p>
            <w:r/>
            <w:r>
              <w:rPr>
                <w:sz w:val="16"/>
              </w:rPr>
              <w:t>Memo: gen-tie up to 180 ft; substation height not addressed. CPCN allows 180 ft for the substation.</w:t>
            </w:r>
          </w:p>
        </w:tc>
        <w:tc>
          <w:tcPr>
            <w:tcW w:type="dxa" w:w="1008"/>
            <w:shd w:val="clear" w:color="auto" w:fill="ED7D31"/>
          </w:tcPr>
          <w:p>
            <w:r/>
            <w:r>
              <w:rPr>
                <w:b/>
                <w:color w:val="FFFFFF"/>
                <w:sz w:val="16"/>
              </w:rPr>
              <w:t>AT RISK</w:t>
            </w:r>
          </w:p>
        </w:tc>
        <w:tc>
          <w:tcPr>
            <w:tcW w:type="dxa" w:w="2376"/>
          </w:tcPr>
          <w:p>
            <w:r/>
            <w:r>
              <w:rPr>
                <w:sz w:val="16"/>
              </w:rPr>
              <w:t>Confirm the substation design is at or below 80 ft. Owner: Engineering.</w:t>
            </w:r>
          </w:p>
        </w:tc>
      </w:tr>
      <w:tr>
        <w:tc>
          <w:tcPr>
            <w:tcW w:type="dxa" w:w="648"/>
          </w:tcPr>
          <w:p>
            <w:r/>
            <w:r>
              <w:rPr>
                <w:b/>
                <w:sz w:val="16"/>
              </w:rPr>
              <w:t>F-2</w:t>
            </w:r>
          </w:p>
        </w:tc>
        <w:tc>
          <w:tcPr>
            <w:tcW w:type="dxa" w:w="1080"/>
          </w:tcPr>
          <w:p>
            <w:r/>
            <w:r>
              <w:rPr>
                <w:sz w:val="16"/>
              </w:rPr>
              <w:t>FAA §5 Cond. 2</w:t>
            </w:r>
          </w:p>
        </w:tc>
        <w:tc>
          <w:tcPr>
            <w:tcW w:type="dxa" w:w="3672"/>
          </w:tcPr>
          <w:p>
            <w:r/>
            <w:r>
              <w:rPr>
                <w:sz w:val="16"/>
              </w:rPr>
              <w:t>Structures over 150 ft AGL must have obstruction lighting per AC 70/7460-1M (medium-intensity dual red/white recommended), operational before the structure reaches maximum height or as soon as practicable if temporary marking is used.</w:t>
            </w:r>
          </w:p>
        </w:tc>
        <w:tc>
          <w:tcPr>
            <w:tcW w:type="dxa" w:w="1584"/>
          </w:tcPr>
          <w:p>
            <w:r/>
            <w:r>
              <w:rPr>
                <w:sz w:val="16"/>
              </w:rPr>
              <w:t>Before each structure reaches full height</w:t>
            </w:r>
          </w:p>
        </w:tc>
        <w:tc>
          <w:tcPr>
            <w:tcW w:type="dxa" w:w="1656"/>
          </w:tcPr>
          <w:p>
            <w:r/>
            <w:r>
              <w:rPr>
                <w:sz w:val="16"/>
              </w:rPr>
              <w:t>Gen-tie erection, about Apr.–Sep. 2025</w:t>
            </w:r>
          </w:p>
        </w:tc>
        <w:tc>
          <w:tcPr>
            <w:tcW w:type="dxa" w:w="2088"/>
          </w:tcPr>
          <w:p>
            <w:r/>
            <w:r>
              <w:rPr>
                <w:sz w:val="16"/>
              </w:rPr>
              <w:t>Memo: lighting required for structures over 150 ft; timing not addressed.</w:t>
            </w:r>
          </w:p>
        </w:tc>
        <w:tc>
          <w:tcPr>
            <w:tcW w:type="dxa" w:w="1008"/>
            <w:shd w:val="clear" w:color="auto" w:fill="ED7D31"/>
          </w:tcPr>
          <w:p>
            <w:r/>
            <w:r>
              <w:rPr>
                <w:b/>
                <w:color w:val="FFFFFF"/>
                <w:sz w:val="16"/>
              </w:rPr>
              <w:t>AT RISK</w:t>
            </w:r>
          </w:p>
        </w:tc>
        <w:tc>
          <w:tcPr>
            <w:tcW w:type="dxa" w:w="2376"/>
          </w:tcPr>
          <w:p>
            <w:r/>
            <w:r>
              <w:rPr>
                <w:sz w:val="16"/>
              </w:rPr>
              <w:t>Procure lights with the structures and install before topping out. Owner: Construction.</w:t>
            </w:r>
          </w:p>
        </w:tc>
      </w:tr>
      <w:tr>
        <w:tc>
          <w:tcPr>
            <w:tcW w:type="dxa" w:w="648"/>
          </w:tcPr>
          <w:p>
            <w:r/>
            <w:r>
              <w:rPr>
                <w:b/>
                <w:sz w:val="16"/>
              </w:rPr>
              <w:t>F-3</w:t>
            </w:r>
          </w:p>
        </w:tc>
        <w:tc>
          <w:tcPr>
            <w:tcW w:type="dxa" w:w="1080"/>
          </w:tcPr>
          <w:p>
            <w:r/>
            <w:r>
              <w:rPr>
                <w:sz w:val="16"/>
              </w:rPr>
              <w:t>FAA §5 Cond. 3</w:t>
            </w:r>
          </w:p>
        </w:tc>
        <w:tc>
          <w:tcPr>
            <w:tcW w:type="dxa" w:w="3672"/>
          </w:tcPr>
          <w:p>
            <w:r/>
            <w:r>
              <w:rPr>
                <w:sz w:val="16"/>
              </w:rPr>
              <w:t>File Form 7460-2 (Notice of Actual Construction) via OE/AAA within 5 days after each structure over 150 ft reaches its greatest height, with as-built height and coordinates.</w:t>
            </w:r>
          </w:p>
        </w:tc>
        <w:tc>
          <w:tcPr>
            <w:tcW w:type="dxa" w:w="1584"/>
          </w:tcPr>
          <w:p>
            <w:r/>
            <w:r>
              <w:rPr>
                <w:sz w:val="16"/>
              </w:rPr>
              <w:t>5 days after each topping-out</w:t>
            </w:r>
          </w:p>
        </w:tc>
        <w:tc>
          <w:tcPr>
            <w:tcW w:type="dxa" w:w="1656"/>
          </w:tcPr>
          <w:p>
            <w:r/>
            <w:r>
              <w:rPr>
                <w:sz w:val="16"/>
              </w:rPr>
              <w:t>Rolling, about Apr.–Sep. 2025</w:t>
            </w:r>
          </w:p>
        </w:tc>
        <w:tc>
          <w:tcPr>
            <w:tcW w:type="dxa" w:w="2088"/>
          </w:tcPr>
          <w:p>
            <w:r/>
            <w:r>
              <w:rPr>
                <w:sz w:val="16"/>
              </w:rPr>
              <w:t>Memo: consistent.</w:t>
            </w:r>
          </w:p>
        </w:tc>
        <w:tc>
          <w:tcPr>
            <w:tcW w:type="dxa" w:w="1008"/>
            <w:shd w:val="clear" w:color="auto" w:fill="70AD47"/>
          </w:tcPr>
          <w:p>
            <w:r/>
            <w:r>
              <w:rPr>
                <w:b/>
                <w:color w:val="FFFFFF"/>
                <w:sz w:val="16"/>
              </w:rPr>
              <w:t>ALIGNED</w:t>
            </w:r>
          </w:p>
        </w:tc>
        <w:tc>
          <w:tcPr>
            <w:tcW w:type="dxa" w:w="2376"/>
          </w:tcPr>
          <w:p>
            <w:r/>
            <w:r>
              <w:rPr>
                <w:sz w:val="16"/>
              </w:rPr>
              <w:t>Keep a per-structure log. Owner: Construction / survey.</w:t>
            </w:r>
          </w:p>
        </w:tc>
      </w:tr>
      <w:tr>
        <w:tc>
          <w:tcPr>
            <w:tcW w:type="dxa" w:w="648"/>
          </w:tcPr>
          <w:p>
            <w:r/>
            <w:r>
              <w:rPr>
                <w:b/>
                <w:sz w:val="16"/>
              </w:rPr>
              <w:t>F-4</w:t>
            </w:r>
          </w:p>
        </w:tc>
        <w:tc>
          <w:tcPr>
            <w:tcW w:type="dxa" w:w="1080"/>
          </w:tcPr>
          <w:p>
            <w:r/>
            <w:r>
              <w:rPr>
                <w:sz w:val="16"/>
              </w:rPr>
              <w:t>FAA §5 Cond. 4</w:t>
            </w:r>
          </w:p>
        </w:tc>
        <w:tc>
          <w:tcPr>
            <w:tcW w:type="dxa" w:w="3672"/>
          </w:tcPr>
          <w:p>
            <w:r/>
            <w:r>
              <w:rPr>
                <w:sz w:val="16"/>
              </w:rPr>
              <w:t>Cranes or temporary structures over 200 ft AGL: separate Form 7460-1 and aeronautical study before use, filed at least 45 days before deployment. Coordinate with the FAA SW Regional Office.</w:t>
            </w:r>
          </w:p>
        </w:tc>
        <w:tc>
          <w:tcPr>
            <w:tcW w:type="dxa" w:w="1584"/>
          </w:tcPr>
          <w:p>
            <w:r/>
            <w:r>
              <w:rPr>
                <w:sz w:val="16"/>
              </w:rPr>
              <w:t>At least 45 days before deployment</w:t>
            </w:r>
          </w:p>
        </w:tc>
        <w:tc>
          <w:tcPr>
            <w:tcW w:type="dxa" w:w="1656"/>
          </w:tcPr>
          <w:p>
            <w:r/>
            <w:r>
              <w:rPr>
                <w:sz w:val="16"/>
              </w:rPr>
              <w:t>First gen-tie and substation crane filings by about mid-Feb. 2025</w:t>
            </w:r>
          </w:p>
        </w:tc>
        <w:tc>
          <w:tcPr>
            <w:tcW w:type="dxa" w:w="2088"/>
          </w:tcPr>
          <w:p>
            <w:r/>
            <w:r>
              <w:rPr>
                <w:sz w:val="16"/>
              </w:rPr>
              <w:t>Memo: 45-day filings for gen-tie cranes only.</w:t>
            </w:r>
          </w:p>
        </w:tc>
        <w:tc>
          <w:tcPr>
            <w:tcW w:type="dxa" w:w="1008"/>
            <w:shd w:val="clear" w:color="auto" w:fill="ED7D31"/>
          </w:tcPr>
          <w:p>
            <w:r/>
            <w:r>
              <w:rPr>
                <w:b/>
                <w:color w:val="FFFFFF"/>
                <w:sz w:val="16"/>
              </w:rPr>
              <w:t>AT RISK</w:t>
            </w:r>
          </w:p>
        </w:tc>
        <w:tc>
          <w:tcPr>
            <w:tcW w:type="dxa" w:w="2376"/>
          </w:tcPr>
          <w:p>
            <w:r/>
            <w:r>
              <w:rPr>
                <w:sz w:val="16"/>
              </w:rPr>
              <w:t>Include substation heavy-lift cranes. Coordinate with C-15 (TPUC notice, no deployment before determination). Owner: Construction.</w:t>
            </w:r>
          </w:p>
        </w:tc>
      </w:tr>
      <w:tr>
        <w:tc>
          <w:tcPr>
            <w:tcW w:type="dxa" w:w="648"/>
          </w:tcPr>
          <w:p>
            <w:r/>
            <w:r>
              <w:rPr>
                <w:b/>
                <w:sz w:val="16"/>
              </w:rPr>
              <w:t>F-5</w:t>
            </w:r>
          </w:p>
        </w:tc>
        <w:tc>
          <w:tcPr>
            <w:tcW w:type="dxa" w:w="1080"/>
          </w:tcPr>
          <w:p>
            <w:r/>
            <w:r>
              <w:rPr>
                <w:sz w:val="16"/>
              </w:rPr>
              <w:t>FAA §5 Cond. 5; §6</w:t>
            </w:r>
          </w:p>
        </w:tc>
        <w:tc>
          <w:tcPr>
            <w:tcW w:type="dxa" w:w="3672"/>
          </w:tcPr>
          <w:p>
            <w:r/>
            <w:r>
              <w:rPr>
                <w:sz w:val="16"/>
              </w:rPr>
              <w:t>Determination expires if construction of the studied structures (foundation excavation, tower erection, etc.) has not started by Mar. 27, 2026. No extension is available; a new study would be required.</w:t>
            </w:r>
          </w:p>
        </w:tc>
        <w:tc>
          <w:tcPr>
            <w:tcW w:type="dxa" w:w="1584"/>
          </w:tcPr>
          <w:p>
            <w:r/>
            <w:r>
              <w:rPr>
                <w:sz w:val="16"/>
              </w:rPr>
              <w:t>Start structure construction by Mar. 27, 2026</w:t>
            </w:r>
          </w:p>
        </w:tc>
        <w:tc>
          <w:tcPr>
            <w:tcW w:type="dxa" w:w="1656"/>
          </w:tcPr>
          <w:p>
            <w:r/>
            <w:r>
              <w:rPr>
                <w:sz w:val="16"/>
              </w:rPr>
              <w:t>Mar. 27, 2026 (Fri.)</w:t>
            </w:r>
          </w:p>
        </w:tc>
        <w:tc>
          <w:tcPr>
            <w:tcW w:type="dxa" w:w="2088"/>
          </w:tcPr>
          <w:p>
            <w:r/>
            <w:r>
              <w:rPr>
                <w:sz w:val="16"/>
              </w:rPr>
              <w:t>Memo: gen-tie construction from Apr. 2025. Depends on the IA being in place (C-5).</w:t>
            </w:r>
          </w:p>
        </w:tc>
        <w:tc>
          <w:tcPr>
            <w:tcW w:type="dxa" w:w="1008"/>
            <w:shd w:val="clear" w:color="auto" w:fill="70AD47"/>
          </w:tcPr>
          <w:p>
            <w:r/>
            <w:r>
              <w:rPr>
                <w:b/>
                <w:color w:val="FFFFFF"/>
                <w:sz w:val="16"/>
              </w:rPr>
              <w:t>ALIGNED</w:t>
            </w:r>
          </w:p>
        </w:tc>
        <w:tc>
          <w:tcPr>
            <w:tcW w:type="dxa" w:w="2376"/>
          </w:tcPr>
          <w:p>
            <w:r/>
            <w:r>
              <w:rPr>
                <w:sz w:val="16"/>
              </w:rPr>
              <w:t>Monitor. If the IA slips, the gen-tie start (and this date) is at risk. Owner: Construction.</w:t>
            </w:r>
          </w:p>
        </w:tc>
      </w:tr>
      <w:tr>
        <w:tc>
          <w:tcPr>
            <w:tcW w:type="dxa" w:w="648"/>
          </w:tcPr>
          <w:p>
            <w:r/>
            <w:r>
              <w:rPr>
                <w:b/>
                <w:sz w:val="16"/>
              </w:rPr>
              <w:t>F-6</w:t>
            </w:r>
          </w:p>
        </w:tc>
        <w:tc>
          <w:tcPr>
            <w:tcW w:type="dxa" w:w="1080"/>
          </w:tcPr>
          <w:p>
            <w:r/>
            <w:r>
              <w:rPr>
                <w:sz w:val="16"/>
              </w:rPr>
              <w:t>FAA §5 Cond. 6; §6</w:t>
            </w:r>
          </w:p>
        </w:tc>
        <w:tc>
          <w:tcPr>
            <w:tcW w:type="dxa" w:w="3672"/>
          </w:tcPr>
          <w:p>
            <w:r/>
            <w:r>
              <w:rPr>
                <w:sz w:val="16"/>
              </w:rPr>
              <w:t>Determination expires if the tallest structures are not completed (final as-built height) by Mar. 27, 2027. No extension is available.</w:t>
            </w:r>
          </w:p>
        </w:tc>
        <w:tc>
          <w:tcPr>
            <w:tcW w:type="dxa" w:w="1584"/>
          </w:tcPr>
          <w:p>
            <w:r/>
            <w:r>
              <w:rPr>
                <w:sz w:val="16"/>
              </w:rPr>
              <w:t>Complete by Mar. 27, 2027</w:t>
            </w:r>
          </w:p>
        </w:tc>
        <w:tc>
          <w:tcPr>
            <w:tcW w:type="dxa" w:w="1656"/>
          </w:tcPr>
          <w:p>
            <w:r/>
            <w:r>
              <w:rPr>
                <w:sz w:val="16"/>
              </w:rPr>
              <w:t>Mar. 27, 2027 (Sat.)</w:t>
            </w:r>
          </w:p>
        </w:tc>
        <w:tc>
          <w:tcPr>
            <w:tcW w:type="dxa" w:w="2088"/>
          </w:tcPr>
          <w:p>
            <w:r/>
            <w:r>
              <w:rPr>
                <w:sz w:val="16"/>
              </w:rPr>
              <w:t>Memo: gen-tie substantially complete Sep. 2025.</w:t>
            </w:r>
          </w:p>
        </w:tc>
        <w:tc>
          <w:tcPr>
            <w:tcW w:type="dxa" w:w="1008"/>
            <w:shd w:val="clear" w:color="auto" w:fill="70AD47"/>
          </w:tcPr>
          <w:p>
            <w:r/>
            <w:r>
              <w:rPr>
                <w:b/>
                <w:color w:val="FFFFFF"/>
                <w:sz w:val="16"/>
              </w:rPr>
              <w:t>ALIGNED</w:t>
            </w:r>
          </w:p>
        </w:tc>
        <w:tc>
          <w:tcPr>
            <w:tcW w:type="dxa" w:w="2376"/>
          </w:tcPr>
          <w:p>
            <w:r/>
            <w:r>
              <w:rPr>
                <w:sz w:val="16"/>
              </w:rPr>
              <w:t>Monitor.</w:t>
            </w:r>
          </w:p>
        </w:tc>
      </w:tr>
      <w:tr>
        <w:tc>
          <w:tcPr>
            <w:tcW w:type="dxa" w:w="648"/>
          </w:tcPr>
          <w:p>
            <w:r/>
            <w:r>
              <w:rPr>
                <w:b/>
                <w:sz w:val="16"/>
              </w:rPr>
              <w:t>F-7</w:t>
            </w:r>
          </w:p>
        </w:tc>
        <w:tc>
          <w:tcPr>
            <w:tcW w:type="dxa" w:w="1080"/>
          </w:tcPr>
          <w:p>
            <w:r/>
            <w:r>
              <w:rPr>
                <w:sz w:val="16"/>
              </w:rPr>
              <w:t>FAA §5 Cond. 7; §7</w:t>
            </w:r>
          </w:p>
        </w:tc>
        <w:tc>
          <w:tcPr>
            <w:tcW w:type="dxa" w:w="3672"/>
          </w:tcPr>
          <w:p>
            <w:r/>
            <w:r>
              <w:rPr>
                <w:sz w:val="16"/>
              </w:rPr>
              <w:t>Notify the FAA by new or revised Form 7460-1 of any change in location, height, number or configuration, including route changes, added structures or substation relocation. The Determination rests entirely on the Apr. 10, 2024 filing.</w:t>
            </w:r>
          </w:p>
        </w:tc>
        <w:tc>
          <w:tcPr>
            <w:tcW w:type="dxa" w:w="1584"/>
          </w:tcPr>
          <w:p>
            <w:r/>
            <w:r>
              <w:rPr>
                <w:sz w:val="16"/>
              </w:rPr>
              <w:t>Before the change</w:t>
            </w:r>
          </w:p>
        </w:tc>
        <w:tc>
          <w:tcPr>
            <w:tcW w:type="dxa" w:w="1656"/>
          </w:tcPr>
          <w:p>
            <w:r/>
            <w:r>
              <w:rPr>
                <w:sz w:val="16"/>
              </w:rPr>
              <w:t>Event-driven</w:t>
            </w:r>
          </w:p>
        </w:tc>
        <w:tc>
          <w:tcPr>
            <w:tcW w:type="dxa" w:w="2088"/>
          </w:tcPr>
          <w:p>
            <w:r/>
            <w:r>
              <w:rPr>
                <w:sz w:val="16"/>
              </w:rPr>
              <w:t>Memo refers to Vance Municipal Airport about 6.2 mi SE; the FAA found the nearest public-use airport to be Hollis Municipal at about 18 nm.</w:t>
            </w:r>
          </w:p>
        </w:tc>
        <w:tc>
          <w:tcPr>
            <w:tcW w:type="dxa" w:w="1008"/>
            <w:shd w:val="clear" w:color="auto" w:fill="ED7D31"/>
          </w:tcPr>
          <w:p>
            <w:r/>
            <w:r>
              <w:rPr>
                <w:b/>
                <w:color w:val="FFFFFF"/>
                <w:sz w:val="16"/>
              </w:rPr>
              <w:t>AT RISK</w:t>
            </w:r>
          </w:p>
        </w:tc>
        <w:tc>
          <w:tcPr>
            <w:tcW w:type="dxa" w:w="2376"/>
          </w:tcPr>
          <w:p>
            <w:r/>
            <w:r>
              <w:rPr>
                <w:sz w:val="16"/>
              </w:rPr>
              <w:t>Reconcile the airport data. Confirm the final structure count, locations and types match the Form 7460-1. Owner: Engineering / Legal.</w:t>
            </w:r>
          </w:p>
        </w:tc>
      </w:tr>
      <w:tr>
        <w:tc>
          <w:tcPr>
            <w:tcW w:type="dxa" w:w="648"/>
          </w:tcPr>
          <w:p>
            <w:r/>
            <w:r>
              <w:rPr>
                <w:b/>
                <w:sz w:val="16"/>
              </w:rPr>
              <w:t>F-8</w:t>
            </w:r>
          </w:p>
        </w:tc>
        <w:tc>
          <w:tcPr>
            <w:tcW w:type="dxa" w:w="1080"/>
          </w:tcPr>
          <w:p>
            <w:r/>
            <w:r>
              <w:rPr>
                <w:sz w:val="16"/>
              </w:rPr>
              <w:t>FAA §5 Cond. 8; §7</w:t>
            </w:r>
          </w:p>
        </w:tc>
        <w:tc>
          <w:tcPr>
            <w:tcW w:type="dxa" w:w="3672"/>
          </w:tcPr>
          <w:p>
            <w:r/>
            <w:r>
              <w:rPr>
                <w:sz w:val="16"/>
              </w:rPr>
              <w:t>Coordinate with Harmon County on building codes and road-crossing permits. Advisory only: anti-reflective coatings to reduce glare for low-altitude and agricultural aviation.</w:t>
            </w:r>
          </w:p>
        </w:tc>
        <w:tc>
          <w:tcPr>
            <w:tcW w:type="dxa" w:w="1584"/>
          </w:tcPr>
          <w:p>
            <w:r/>
            <w:r>
              <w:rPr>
                <w:sz w:val="16"/>
              </w:rPr>
              <w:t>Advisory</w:t>
            </w:r>
          </w:p>
        </w:tc>
        <w:tc>
          <w:tcPr>
            <w:tcW w:type="dxa" w:w="1656"/>
          </w:tcPr>
          <w:p>
            <w:r/>
            <w:r>
              <w:rPr>
                <w:sz w:val="16"/>
              </w:rPr>
              <w:t>n/a</w:t>
            </w:r>
          </w:p>
        </w:tc>
        <w:tc>
          <w:tcPr>
            <w:tcW w:type="dxa" w:w="2088"/>
          </w:tcPr>
          <w:p>
            <w:r/>
            <w:r>
              <w:rPr>
                <w:sz w:val="16"/>
              </w:rPr>
              <w:t>Memo: not addressed.</w:t>
            </w:r>
          </w:p>
        </w:tc>
        <w:tc>
          <w:tcPr>
            <w:tcW w:type="dxa" w:w="1008"/>
            <w:shd w:val="clear" w:color="auto" w:fill="5B9BD5"/>
          </w:tcPr>
          <w:p>
            <w:r/>
            <w:r>
              <w:rPr>
                <w:b/>
                <w:color w:val="FFFFFF"/>
                <w:sz w:val="16"/>
              </w:rPr>
              <w:t>ONGOING</w:t>
            </w:r>
          </w:p>
        </w:tc>
        <w:tc>
          <w:tcPr>
            <w:tcW w:type="dxa" w:w="2376"/>
          </w:tcPr>
          <w:p>
            <w:r/>
            <w:r>
              <w:rPr>
                <w:sz w:val="16"/>
              </w:rPr>
              <w:t>Consider the coatings in the CPCN glare study (C-7).</w:t>
            </w:r>
          </w:p>
        </w:tc>
      </w:tr>
    </w:tbl>
    <w:p>
      <w:pPr>
        <w:spacing w:after="40"/>
      </w:pPr>
    </w:p>
    <w:p>
      <w:pPr>
        <w:pStyle w:val="Heading1"/>
      </w:pPr>
      <w:r>
        <w:t>4. Memo Milestone Reconciliation</w:t>
      </w:r>
    </w:p>
    <w:p>
      <w:pPr>
        <w:spacing w:after="80"/>
      </w:pPr>
      <w:r>
        <w:rPr>
          <w:b w:val="0"/>
          <w:i/>
          <w:sz w:val="18"/>
        </w:rPr>
        <w:t>Each milestone in Memo §8, plus the related Memo activities, tested against the governing permit conditions.</w:t>
      </w:r>
    </w:p>
    <w:tbl>
      <w:tblPr>
        <w:tblStyle w:val="TableGrid"/>
        <w:tblW w:type="auto" w:w="0"/>
        <w:jc w:val="center"/>
        <w:tblLayout w:type="fixed"/>
        <w:tblLook w:firstColumn="1" w:firstRow="1" w:lastColumn="0" w:lastRow="0" w:noHBand="0" w:noVBand="1" w:val="04A0"/>
      </w:tblPr>
      <w:tblGrid>
        <w:gridCol w:w="2736"/>
        <w:gridCol w:w="1440"/>
        <w:gridCol w:w="4176"/>
        <w:gridCol w:w="4320"/>
        <w:gridCol w:w="1440"/>
      </w:tblGrid>
      <w:tr>
        <w:trPr>
          <w:tblHeader w:val="true"/>
        </w:trPr>
        <w:tc>
          <w:tcPr>
            <w:tcW w:type="dxa" w:w="2736"/>
            <w:shd w:val="clear" w:color="auto" w:fill="1F3A5F"/>
          </w:tcPr>
          <w:p>
            <w:r/>
            <w:r>
              <w:rPr>
                <w:b/>
                <w:color w:val="FFFFFF"/>
                <w:sz w:val="17"/>
              </w:rPr>
              <w:t>Memo Milestone</w:t>
            </w:r>
          </w:p>
        </w:tc>
        <w:tc>
          <w:tcPr>
            <w:tcW w:type="dxa" w:w="1440"/>
            <w:shd w:val="clear" w:color="auto" w:fill="1F3A5F"/>
          </w:tcPr>
          <w:p>
            <w:r/>
            <w:r>
              <w:rPr>
                <w:b/>
                <w:color w:val="FFFFFF"/>
                <w:sz w:val="17"/>
              </w:rPr>
              <w:t>Memo Date</w:t>
            </w:r>
          </w:p>
        </w:tc>
        <w:tc>
          <w:tcPr>
            <w:tcW w:type="dxa" w:w="4176"/>
            <w:shd w:val="clear" w:color="auto" w:fill="1F3A5F"/>
          </w:tcPr>
          <w:p>
            <w:r/>
            <w:r>
              <w:rPr>
                <w:b/>
                <w:color w:val="FFFFFF"/>
                <w:sz w:val="17"/>
              </w:rPr>
              <w:t>Governing Requirement</w:t>
            </w:r>
          </w:p>
        </w:tc>
        <w:tc>
          <w:tcPr>
            <w:tcW w:type="dxa" w:w="4320"/>
            <w:shd w:val="clear" w:color="auto" w:fill="1F3A5F"/>
          </w:tcPr>
          <w:p>
            <w:r/>
            <w:r>
              <w:rPr>
                <w:b/>
                <w:color w:val="FFFFFF"/>
                <w:sz w:val="17"/>
              </w:rPr>
              <w:t>Assessment</w:t>
            </w:r>
          </w:p>
        </w:tc>
        <w:tc>
          <w:tcPr>
            <w:tcW w:type="dxa" w:w="1440"/>
            <w:shd w:val="clear" w:color="auto" w:fill="1F3A5F"/>
          </w:tcPr>
          <w:p>
            <w:r/>
            <w:r>
              <w:rPr>
                <w:b/>
                <w:color w:val="FFFFFF"/>
                <w:sz w:val="17"/>
              </w:rPr>
              <w:t>Status</w:t>
            </w:r>
          </w:p>
        </w:tc>
      </w:tr>
      <w:tr>
        <w:tc>
          <w:tcPr>
            <w:tcW w:type="dxa" w:w="2736"/>
          </w:tcPr>
          <w:p>
            <w:r/>
            <w:r>
              <w:rPr>
                <w:b/>
                <w:sz w:val="17"/>
              </w:rPr>
              <w:t>TPUC 60-day construction notice</w:t>
            </w:r>
          </w:p>
        </w:tc>
        <w:tc>
          <w:tcPr>
            <w:tcW w:type="dxa" w:w="1440"/>
          </w:tcPr>
          <w:p>
            <w:r/>
            <w:r>
              <w:rPr>
                <w:sz w:val="17"/>
              </w:rPr>
              <w:t>Nov. 15, 2024</w:t>
            </w:r>
          </w:p>
        </w:tc>
        <w:tc>
          <w:tcPr>
            <w:tcW w:type="dxa" w:w="4176"/>
          </w:tcPr>
          <w:p>
            <w:r/>
            <w:r>
              <w:rPr>
                <w:sz w:val="17"/>
              </w:rPr>
              <w:t>CPCN Cond. 3(d) requires the executed IA in the notice.</w:t>
            </w:r>
          </w:p>
        </w:tc>
        <w:tc>
          <w:tcPr>
            <w:tcW w:type="dxa" w:w="4320"/>
          </w:tcPr>
          <w:p>
            <w:r/>
            <w:r>
              <w:rPr>
                <w:sz w:val="17"/>
              </w:rPr>
              <w:t>Non-compliant as planned. File a complete notice after IA execution (by Dec. 3, 2024 for a Feb. 1 start).</w:t>
            </w:r>
          </w:p>
        </w:tc>
        <w:tc>
          <w:tcPr>
            <w:tcW w:type="dxa" w:w="1440"/>
            <w:shd w:val="clear" w:color="auto" w:fill="C00000"/>
          </w:tcPr>
          <w:p>
            <w:r/>
            <w:r>
              <w:rPr>
                <w:b/>
                <w:color w:val="FFFFFF"/>
                <w:sz w:val="17"/>
              </w:rPr>
              <w:t>CRITICAL</w:t>
            </w:r>
          </w:p>
        </w:tc>
      </w:tr>
      <w:tr>
        <w:tc>
          <w:tcPr>
            <w:tcW w:type="dxa" w:w="2736"/>
          </w:tcPr>
          <w:p>
            <w:r/>
            <w:r>
              <w:rPr>
                <w:b/>
                <w:sz w:val="17"/>
              </w:rPr>
              <w:t>SWPPP submission to TDEQ</w:t>
            </w:r>
          </w:p>
        </w:tc>
        <w:tc>
          <w:tcPr>
            <w:tcW w:type="dxa" w:w="1440"/>
          </w:tcPr>
          <w:p>
            <w:r/>
            <w:r>
              <w:rPr>
                <w:sz w:val="17"/>
              </w:rPr>
              <w:t>Dec. 15, 2024</w:t>
            </w:r>
          </w:p>
        </w:tc>
        <w:tc>
          <w:tcPr>
            <w:tcW w:type="dxa" w:w="4176"/>
          </w:tcPr>
          <w:p>
            <w:r/>
            <w:r>
              <w:rPr>
                <w:sz w:val="17"/>
              </w:rPr>
              <w:t>ECO Cond. 4: at least 30 days before commencement, plus written approval (15-business-day review).</w:t>
            </w:r>
          </w:p>
        </w:tc>
        <w:tc>
          <w:tcPr>
            <w:tcW w:type="dxa" w:w="4320"/>
          </w:tcPr>
          <w:p>
            <w:r/>
            <w:r>
              <w:rPr>
                <w:sz w:val="17"/>
              </w:rPr>
              <w:t>Meets the 30-day minimum for Feb. 1, but there is no float if TDEQ requests revisions. Move earlier.</w:t>
            </w:r>
          </w:p>
        </w:tc>
        <w:tc>
          <w:tcPr>
            <w:tcW w:type="dxa" w:w="1440"/>
            <w:shd w:val="clear" w:color="auto" w:fill="ED7D31"/>
          </w:tcPr>
          <w:p>
            <w:r/>
            <w:r>
              <w:rPr>
                <w:b/>
                <w:color w:val="FFFFFF"/>
                <w:sz w:val="17"/>
              </w:rPr>
              <w:t>AT RISK</w:t>
            </w:r>
          </w:p>
        </w:tc>
      </w:tr>
      <w:tr>
        <w:tc>
          <w:tcPr>
            <w:tcW w:type="dxa" w:w="2736"/>
          </w:tcPr>
          <w:p>
            <w:r/>
            <w:r>
              <w:rPr>
                <w:b/>
                <w:sz w:val="17"/>
              </w:rPr>
              <w:t>Phase 1 biological survey complete</w:t>
            </w:r>
          </w:p>
        </w:tc>
        <w:tc>
          <w:tcPr>
            <w:tcW w:type="dxa" w:w="1440"/>
          </w:tcPr>
          <w:p>
            <w:r/>
            <w:r>
              <w:rPr>
                <w:sz w:val="17"/>
              </w:rPr>
              <w:t>Late Dec. 2024</w:t>
            </w:r>
          </w:p>
        </w:tc>
        <w:tc>
          <w:tcPr>
            <w:tcW w:type="dxa" w:w="4176"/>
          </w:tcPr>
          <w:p>
            <w:r/>
            <w:r>
              <w:rPr>
                <w:sz w:val="17"/>
              </w:rPr>
              <w:t>ECO Cond. 2: survey no earlier than D-60, submit by D-30. CPCN Cond. 19: file with TPUC within 10 business days.</w:t>
            </w:r>
          </w:p>
        </w:tc>
        <w:tc>
          <w:tcPr>
            <w:tcW w:type="dxa" w:w="4320"/>
          </w:tcPr>
          <w:p>
            <w:r/>
            <w:r>
              <w:rPr>
                <w:sz w:val="17"/>
              </w:rPr>
              <w:t>For Feb. 1: survey on or after Dec. 3 and submit by Jan. 2, 2025. Stale if the start slips past about late Feb. 2025. Later phases need their own surveys.</w:t>
            </w:r>
          </w:p>
        </w:tc>
        <w:tc>
          <w:tcPr>
            <w:tcW w:type="dxa" w:w="1440"/>
            <w:shd w:val="clear" w:color="auto" w:fill="ED7D31"/>
          </w:tcPr>
          <w:p>
            <w:r/>
            <w:r>
              <w:rPr>
                <w:b/>
                <w:color w:val="FFFFFF"/>
                <w:sz w:val="17"/>
              </w:rPr>
              <w:t>AT RISK</w:t>
            </w:r>
          </w:p>
        </w:tc>
      </w:tr>
      <w:tr>
        <w:tc>
          <w:tcPr>
            <w:tcW w:type="dxa" w:w="2736"/>
          </w:tcPr>
          <w:p>
            <w:r/>
            <w:r>
              <w:rPr>
                <w:b/>
                <w:sz w:val="17"/>
              </w:rPr>
              <w:t>Financial close</w:t>
            </w:r>
          </w:p>
        </w:tc>
        <w:tc>
          <w:tcPr>
            <w:tcW w:type="dxa" w:w="1440"/>
          </w:tcPr>
          <w:p>
            <w:r/>
            <w:r>
              <w:rPr>
                <w:sz w:val="17"/>
              </w:rPr>
              <w:t>Jan. 10, 2025</w:t>
            </w:r>
          </w:p>
        </w:tc>
        <w:tc>
          <w:tcPr>
            <w:tcW w:type="dxa" w:w="4176"/>
          </w:tcPr>
          <w:p>
            <w:r/>
            <w:r>
              <w:rPr>
                <w:sz w:val="17"/>
              </w:rPr>
              <w:t>CPCN §V.D: financing is conditioned on a binding IA. Cond. 25 / ECO Cond. 20 transfer rules.</w:t>
            </w:r>
          </w:p>
        </w:tc>
        <w:tc>
          <w:tcPr>
            <w:tcW w:type="dxa" w:w="4320"/>
          </w:tcPr>
          <w:p>
            <w:r/>
            <w:r>
              <w:rPr>
                <w:sz w:val="17"/>
              </w:rPr>
              <w:t>Precedes IA execution in the memo, which is inconsistent. Confirm the transfer and change-of-control analysis.</w:t>
            </w:r>
          </w:p>
        </w:tc>
        <w:tc>
          <w:tcPr>
            <w:tcW w:type="dxa" w:w="1440"/>
            <w:shd w:val="clear" w:color="auto" w:fill="ED7D31"/>
          </w:tcPr>
          <w:p>
            <w:r/>
            <w:r>
              <w:rPr>
                <w:b/>
                <w:color w:val="FFFFFF"/>
                <w:sz w:val="17"/>
              </w:rPr>
              <w:t>AT RISK</w:t>
            </w:r>
          </w:p>
        </w:tc>
      </w:tr>
      <w:tr>
        <w:tc>
          <w:tcPr>
            <w:tcW w:type="dxa" w:w="2736"/>
          </w:tcPr>
          <w:p>
            <w:r/>
            <w:r>
              <w:rPr>
                <w:b/>
                <w:sz w:val="17"/>
              </w:rPr>
              <w:t>Construction NTP</w:t>
            </w:r>
          </w:p>
        </w:tc>
        <w:tc>
          <w:tcPr>
            <w:tcW w:type="dxa" w:w="1440"/>
          </w:tcPr>
          <w:p>
            <w:r/>
            <w:r>
              <w:rPr>
                <w:sz w:val="17"/>
              </w:rPr>
              <w:t>Jan. 15, 2025</w:t>
            </w:r>
          </w:p>
        </w:tc>
        <w:tc>
          <w:tcPr>
            <w:tcW w:type="dxa" w:w="4176"/>
          </w:tcPr>
          <w:p>
            <w:r/>
            <w:r>
              <w:rPr>
                <w:sz w:val="17"/>
              </w:rPr>
              <w:t>CPCN Cond. 3 (60 days after a compliant notice); ECO pre-commencement items (SWPPP approval, HMMP, UDP, Monitor, bio survey, screening plan).</w:t>
            </w:r>
          </w:p>
        </w:tc>
        <w:tc>
          <w:tcPr>
            <w:tcW w:type="dxa" w:w="4320"/>
          </w:tcPr>
          <w:p>
            <w:r/>
            <w:r>
              <w:rPr>
                <w:sz w:val="17"/>
              </w:rPr>
              <w:t>Achievable only if the IA is signed and the notice filed by about mid-Nov. Otherwise NTP and ground disturbance must slip.</w:t>
            </w:r>
          </w:p>
        </w:tc>
        <w:tc>
          <w:tcPr>
            <w:tcW w:type="dxa" w:w="1440"/>
            <w:shd w:val="clear" w:color="auto" w:fill="C00000"/>
          </w:tcPr>
          <w:p>
            <w:r/>
            <w:r>
              <w:rPr>
                <w:b/>
                <w:color w:val="FFFFFF"/>
                <w:sz w:val="17"/>
              </w:rPr>
              <w:t>CRITICAL</w:t>
            </w:r>
          </w:p>
        </w:tc>
      </w:tr>
      <w:tr>
        <w:tc>
          <w:tcPr>
            <w:tcW w:type="dxa" w:w="2736"/>
          </w:tcPr>
          <w:p>
            <w:r/>
            <w:r>
              <w:rPr>
                <w:b/>
                <w:sz w:val="17"/>
              </w:rPr>
              <w:t>Interconnection Agreement execution</w:t>
            </w:r>
          </w:p>
        </w:tc>
        <w:tc>
          <w:tcPr>
            <w:tcW w:type="dxa" w:w="1440"/>
          </w:tcPr>
          <w:p>
            <w:r/>
            <w:r>
              <w:rPr>
                <w:sz w:val="17"/>
              </w:rPr>
              <w:t>Early Q1 2025</w:t>
            </w:r>
          </w:p>
        </w:tc>
        <w:tc>
          <w:tcPr>
            <w:tcW w:type="dxa" w:w="4176"/>
          </w:tcPr>
          <w:p>
            <w:r/>
            <w:r>
              <w:rPr>
                <w:sz w:val="17"/>
              </w:rPr>
              <w:t>CPCN Cond. 5: by Jan. 16, 2025; revocation risk.</w:t>
            </w:r>
          </w:p>
        </w:tc>
        <w:tc>
          <w:tcPr>
            <w:tcW w:type="dxa" w:w="4320"/>
          </w:tcPr>
          <w:p>
            <w:r/>
            <w:r>
              <w:rPr>
                <w:sz w:val="17"/>
              </w:rPr>
              <w:t>Target is later than or equal to the hard deadline. Escalate or seek an extension.</w:t>
            </w:r>
          </w:p>
        </w:tc>
        <w:tc>
          <w:tcPr>
            <w:tcW w:type="dxa" w:w="1440"/>
            <w:shd w:val="clear" w:color="auto" w:fill="C00000"/>
          </w:tcPr>
          <w:p>
            <w:r/>
            <w:r>
              <w:rPr>
                <w:b/>
                <w:color w:val="FFFFFF"/>
                <w:sz w:val="17"/>
              </w:rPr>
              <w:t>CRITICAL</w:t>
            </w:r>
          </w:p>
        </w:tc>
      </w:tr>
      <w:tr>
        <w:tc>
          <w:tcPr>
            <w:tcW w:type="dxa" w:w="2736"/>
          </w:tcPr>
          <w:p>
            <w:r/>
            <w:r>
              <w:rPr>
                <w:b/>
                <w:sz w:val="17"/>
              </w:rPr>
              <w:t>Phase 1 site preparation begins</w:t>
            </w:r>
          </w:p>
        </w:tc>
        <w:tc>
          <w:tcPr>
            <w:tcW w:type="dxa" w:w="1440"/>
          </w:tcPr>
          <w:p>
            <w:r/>
            <w:r>
              <w:rPr>
                <w:sz w:val="17"/>
              </w:rPr>
              <w:t>Feb. 1, 2025</w:t>
            </w:r>
          </w:p>
        </w:tc>
        <w:tc>
          <w:tcPr>
            <w:tcW w:type="dxa" w:w="4176"/>
          </w:tcPr>
          <w:p>
            <w:r/>
            <w:r>
              <w:rPr>
                <w:sz w:val="17"/>
              </w:rPr>
              <w:t>ECO Finding 8 (commencement); Conds. 2, 4, 7, 11, 14, 17; CPCN Conds. 3, 19, 23.</w:t>
            </w:r>
          </w:p>
        </w:tc>
        <w:tc>
          <w:tcPr>
            <w:tcW w:type="dxa" w:w="4320"/>
          </w:tcPr>
          <w:p>
            <w:r/>
            <w:r>
              <w:rPr>
                <w:sz w:val="17"/>
              </w:rPr>
              <w:t>Depends on all of the above. Earliest compliant date is Mar. 17, 2025 if the IA is signed Jan. 16.</w:t>
            </w:r>
          </w:p>
        </w:tc>
        <w:tc>
          <w:tcPr>
            <w:tcW w:type="dxa" w:w="1440"/>
            <w:shd w:val="clear" w:color="auto" w:fill="C00000"/>
          </w:tcPr>
          <w:p>
            <w:r/>
            <w:r>
              <w:rPr>
                <w:b/>
                <w:color w:val="FFFFFF"/>
                <w:sz w:val="17"/>
              </w:rPr>
              <w:t>CRITICAL</w:t>
            </w:r>
          </w:p>
        </w:tc>
      </w:tr>
      <w:tr>
        <w:tc>
          <w:tcPr>
            <w:tcW w:type="dxa" w:w="2736"/>
          </w:tcPr>
          <w:p>
            <w:r/>
            <w:r>
              <w:rPr>
                <w:b/>
                <w:sz w:val="17"/>
              </w:rPr>
              <w:t>Vegetative buffer planting</w:t>
            </w:r>
          </w:p>
        </w:tc>
        <w:tc>
          <w:tcPr>
            <w:tcW w:type="dxa" w:w="1440"/>
          </w:tcPr>
          <w:p>
            <w:r/>
            <w:r>
              <w:rPr>
                <w:sz w:val="17"/>
              </w:rPr>
              <w:t>Feb.–Mar. 2025</w:t>
            </w:r>
          </w:p>
        </w:tc>
        <w:tc>
          <w:tcPr>
            <w:tcW w:type="dxa" w:w="4176"/>
          </w:tcPr>
          <w:p>
            <w:r/>
            <w:r>
              <w:rPr>
                <w:sz w:val="17"/>
              </w:rPr>
              <w:t>ECO Cond. 6: plan at least 60 days before planting; planting complete before array installation in Secs. 14/15.</w:t>
            </w:r>
          </w:p>
        </w:tc>
        <w:tc>
          <w:tcPr>
            <w:tcW w:type="dxa" w:w="4320"/>
          </w:tcPr>
          <w:p>
            <w:r/>
            <w:r>
              <w:rPr>
                <w:sz w:val="17"/>
              </w:rPr>
              <w:t>Plan due about Dec. 2, 2024; not in the memo.</w:t>
            </w:r>
          </w:p>
        </w:tc>
        <w:tc>
          <w:tcPr>
            <w:tcW w:type="dxa" w:w="1440"/>
            <w:shd w:val="clear" w:color="auto" w:fill="C00000"/>
          </w:tcPr>
          <w:p>
            <w:r/>
            <w:r>
              <w:rPr>
                <w:b/>
                <w:color w:val="FFFFFF"/>
                <w:sz w:val="17"/>
              </w:rPr>
              <w:t>CRITICAL</w:t>
            </w:r>
          </w:p>
        </w:tc>
      </w:tr>
      <w:tr>
        <w:tc>
          <w:tcPr>
            <w:tcW w:type="dxa" w:w="2736"/>
          </w:tcPr>
          <w:p>
            <w:r/>
            <w:r>
              <w:rPr>
                <w:b/>
                <w:sz w:val="17"/>
              </w:rPr>
              <w:t>Glare study filed with TPUC</w:t>
            </w:r>
          </w:p>
        </w:tc>
        <w:tc>
          <w:tcPr>
            <w:tcW w:type="dxa" w:w="1440"/>
          </w:tcPr>
          <w:p>
            <w:r/>
            <w:r>
              <w:rPr>
                <w:sz w:val="17"/>
              </w:rPr>
              <w:t>Early Feb. 2025</w:t>
            </w:r>
          </w:p>
        </w:tc>
        <w:tc>
          <w:tcPr>
            <w:tcW w:type="dxa" w:w="4176"/>
          </w:tcPr>
          <w:p>
            <w:r/>
            <w:r>
              <w:rPr>
                <w:sz w:val="17"/>
              </w:rPr>
              <w:t>CPCN Cond. 7: by Feb. 15, 2025; scope covers residences within 1 mi, CR-118/CR-204, airports within 10 nm.</w:t>
            </w:r>
          </w:p>
        </w:tc>
        <w:tc>
          <w:tcPr>
            <w:tcW w:type="dxa" w:w="4320"/>
          </w:tcPr>
          <w:p>
            <w:r/>
            <w:r>
              <w:rPr>
                <w:sz w:val="17"/>
              </w:rPr>
              <w:t>Timing works only if there is no slip. Scope must be widened.</w:t>
            </w:r>
          </w:p>
        </w:tc>
        <w:tc>
          <w:tcPr>
            <w:tcW w:type="dxa" w:w="1440"/>
            <w:shd w:val="clear" w:color="auto" w:fill="ED7D31"/>
          </w:tcPr>
          <w:p>
            <w:r/>
            <w:r>
              <w:rPr>
                <w:b/>
                <w:color w:val="FFFFFF"/>
                <w:sz w:val="17"/>
              </w:rPr>
              <w:t>AT RISK</w:t>
            </w:r>
          </w:p>
        </w:tc>
      </w:tr>
      <w:tr>
        <w:tc>
          <w:tcPr>
            <w:tcW w:type="dxa" w:w="2736"/>
          </w:tcPr>
          <w:p>
            <w:r/>
            <w:r>
              <w:rPr>
                <w:b/>
                <w:sz w:val="17"/>
              </w:rPr>
              <w:t>Gen-tie construction begins</w:t>
            </w:r>
          </w:p>
        </w:tc>
        <w:tc>
          <w:tcPr>
            <w:tcW w:type="dxa" w:w="1440"/>
          </w:tcPr>
          <w:p>
            <w:r/>
            <w:r>
              <w:rPr>
                <w:sz w:val="17"/>
              </w:rPr>
              <w:t>Apr. 2025</w:t>
            </w:r>
          </w:p>
        </w:tc>
        <w:tc>
          <w:tcPr>
            <w:tcW w:type="dxa" w:w="4176"/>
          </w:tcPr>
          <w:p>
            <w:r/>
            <w:r>
              <w:rPr>
                <w:sz w:val="17"/>
              </w:rPr>
              <w:t>CPCN Conds. 5 &amp; 16 (IA, road permits); ECO Conds. 2, 3, 8; FAA Cond. 4 crane filings by about mid-Feb.</w:t>
            </w:r>
          </w:p>
        </w:tc>
        <w:tc>
          <w:tcPr>
            <w:tcW w:type="dxa" w:w="4320"/>
          </w:tcPr>
          <w:p>
            <w:r/>
            <w:r>
              <w:rPr>
                <w:sz w:val="17"/>
              </w:rPr>
              <w:t>Exclude the 100-ft Willow Creek corridor before Jun. 1. Obtain road permits and the wetland delineation first.</w:t>
            </w:r>
          </w:p>
        </w:tc>
        <w:tc>
          <w:tcPr>
            <w:tcW w:type="dxa" w:w="1440"/>
            <w:shd w:val="clear" w:color="auto" w:fill="ED7D31"/>
          </w:tcPr>
          <w:p>
            <w:r/>
            <w:r>
              <w:rPr>
                <w:b/>
                <w:color w:val="FFFFFF"/>
                <w:sz w:val="17"/>
              </w:rPr>
              <w:t>AT RISK</w:t>
            </w:r>
          </w:p>
        </w:tc>
      </w:tr>
      <w:tr>
        <w:tc>
          <w:tcPr>
            <w:tcW w:type="dxa" w:w="2736"/>
          </w:tcPr>
          <w:p>
            <w:r/>
            <w:r>
              <w:rPr>
                <w:b/>
                <w:sz w:val="17"/>
              </w:rPr>
              <w:t>Willow Creek crossing</w:t>
            </w:r>
          </w:p>
        </w:tc>
        <w:tc>
          <w:tcPr>
            <w:tcW w:type="dxa" w:w="1440"/>
          </w:tcPr>
          <w:p>
            <w:r/>
            <w:r>
              <w:rPr>
                <w:sz w:val="17"/>
              </w:rPr>
              <w:t>Jun.–Aug. 2025</w:t>
            </w:r>
          </w:p>
        </w:tc>
        <w:tc>
          <w:tcPr>
            <w:tcW w:type="dxa" w:w="4176"/>
          </w:tcPr>
          <w:p>
            <w:r/>
            <w:r>
              <w:rPr>
                <w:sz w:val="17"/>
              </w:rPr>
              <w:t>ECO Cond. 3 (all corridor work Jun. 1–Sep. 30; turbidity monitoring); CPCN Cond. 20 (30-day streambank restoration).</w:t>
            </w:r>
          </w:p>
        </w:tc>
        <w:tc>
          <w:tcPr>
            <w:tcW w:type="dxa" w:w="4320"/>
          </w:tcPr>
          <w:p>
            <w:r/>
            <w:r>
              <w:rPr>
                <w:sz w:val="17"/>
              </w:rPr>
              <w:t>Within the window, but restoration must also finish by Sep. 30.</w:t>
            </w:r>
          </w:p>
        </w:tc>
        <w:tc>
          <w:tcPr>
            <w:tcW w:type="dxa" w:w="1440"/>
            <w:shd w:val="clear" w:color="auto" w:fill="ED7D31"/>
          </w:tcPr>
          <w:p>
            <w:r/>
            <w:r>
              <w:rPr>
                <w:b/>
                <w:color w:val="FFFFFF"/>
                <w:sz w:val="17"/>
              </w:rPr>
              <w:t>AT RISK</w:t>
            </w:r>
          </w:p>
        </w:tc>
      </w:tr>
      <w:tr>
        <w:tc>
          <w:tcPr>
            <w:tcW w:type="dxa" w:w="2736"/>
          </w:tcPr>
          <w:p>
            <w:r/>
            <w:r>
              <w:rPr>
                <w:b/>
                <w:sz w:val="17"/>
              </w:rPr>
              <w:t>Gen-tie substantially complete</w:t>
            </w:r>
          </w:p>
        </w:tc>
        <w:tc>
          <w:tcPr>
            <w:tcW w:type="dxa" w:w="1440"/>
          </w:tcPr>
          <w:p>
            <w:r/>
            <w:r>
              <w:rPr>
                <w:sz w:val="17"/>
              </w:rPr>
              <w:t>Sep. 2025</w:t>
            </w:r>
          </w:p>
        </w:tc>
        <w:tc>
          <w:tcPr>
            <w:tcW w:type="dxa" w:w="4176"/>
          </w:tcPr>
          <w:p>
            <w:r/>
            <w:r>
              <w:rPr>
                <w:sz w:val="17"/>
              </w:rPr>
              <w:t>FAA Conds. 2, 3, 5, 6.</w:t>
            </w:r>
          </w:p>
        </w:tc>
        <w:tc>
          <w:tcPr>
            <w:tcW w:type="dxa" w:w="4320"/>
          </w:tcPr>
          <w:p>
            <w:r/>
            <w:r>
              <w:rPr>
                <w:sz w:val="17"/>
              </w:rPr>
              <w:t>Consistent with the Mar. 27, 2026 start and Mar. 27, 2027 completion deadlines.</w:t>
            </w:r>
          </w:p>
        </w:tc>
        <w:tc>
          <w:tcPr>
            <w:tcW w:type="dxa" w:w="1440"/>
            <w:shd w:val="clear" w:color="auto" w:fill="70AD47"/>
          </w:tcPr>
          <w:p>
            <w:r/>
            <w:r>
              <w:rPr>
                <w:b/>
                <w:color w:val="FFFFFF"/>
                <w:sz w:val="17"/>
              </w:rPr>
              <w:t>ALIGNED</w:t>
            </w:r>
          </w:p>
        </w:tc>
      </w:tr>
      <w:tr>
        <w:tc>
          <w:tcPr>
            <w:tcW w:type="dxa" w:w="2736"/>
          </w:tcPr>
          <w:p>
            <w:r/>
            <w:r>
              <w:rPr>
                <w:b/>
                <w:sz w:val="17"/>
              </w:rPr>
              <w:t>BESS integration / PCS testing</w:t>
            </w:r>
          </w:p>
        </w:tc>
        <w:tc>
          <w:tcPr>
            <w:tcW w:type="dxa" w:w="1440"/>
          </w:tcPr>
          <w:p>
            <w:r/>
            <w:r>
              <w:rPr>
                <w:sz w:val="17"/>
              </w:rPr>
              <w:t>Jan.–Mar. 2026</w:t>
            </w:r>
          </w:p>
        </w:tc>
        <w:tc>
          <w:tcPr>
            <w:tcW w:type="dxa" w:w="4176"/>
          </w:tcPr>
          <w:p>
            <w:r/>
            <w:r>
              <w:rPr>
                <w:sz w:val="17"/>
              </w:rPr>
              <w:t>ECO Cond. 15: certification before energization of any BESS component; ERP 60 days before.</w:t>
            </w:r>
          </w:p>
        </w:tc>
        <w:tc>
          <w:tcPr>
            <w:tcW w:type="dxa" w:w="4320"/>
          </w:tcPr>
          <w:p>
            <w:r/>
            <w:r>
              <w:rPr>
                <w:sz w:val="17"/>
              </w:rPr>
              <w:t>Energization would precede the May 2026 certification.</w:t>
            </w:r>
          </w:p>
        </w:tc>
        <w:tc>
          <w:tcPr>
            <w:tcW w:type="dxa" w:w="1440"/>
            <w:shd w:val="clear" w:color="auto" w:fill="C00000"/>
          </w:tcPr>
          <w:p>
            <w:r/>
            <w:r>
              <w:rPr>
                <w:b/>
                <w:color w:val="FFFFFF"/>
                <w:sz w:val="17"/>
              </w:rPr>
              <w:t>CRITICAL</w:t>
            </w:r>
          </w:p>
        </w:tc>
      </w:tr>
      <w:tr>
        <w:tc>
          <w:tcPr>
            <w:tcW w:type="dxa" w:w="2736"/>
          </w:tcPr>
          <w:p>
            <w:r/>
            <w:r>
              <w:rPr>
                <w:b/>
                <w:sz w:val="17"/>
              </w:rPr>
              <w:t>BESS fire suppression certification</w:t>
            </w:r>
          </w:p>
        </w:tc>
        <w:tc>
          <w:tcPr>
            <w:tcW w:type="dxa" w:w="1440"/>
          </w:tcPr>
          <w:p>
            <w:r/>
            <w:r>
              <w:rPr>
                <w:sz w:val="17"/>
              </w:rPr>
              <w:t>May 2026</w:t>
            </w:r>
          </w:p>
        </w:tc>
        <w:tc>
          <w:tcPr>
            <w:tcW w:type="dxa" w:w="4176"/>
          </w:tcPr>
          <w:p>
            <w:r/>
            <w:r>
              <w:rPr>
                <w:sz w:val="17"/>
              </w:rPr>
              <w:t>ECO Cond. 15: filed at least 15 days before energization.</w:t>
            </w:r>
          </w:p>
        </w:tc>
        <w:tc>
          <w:tcPr>
            <w:tcW w:type="dxa" w:w="4320"/>
          </w:tcPr>
          <w:p>
            <w:r/>
            <w:r>
              <w:rPr>
                <w:sz w:val="17"/>
              </w:rPr>
              <w:t>Too late relative to Jan.–Jun. 2026 BESS testing.</w:t>
            </w:r>
          </w:p>
        </w:tc>
        <w:tc>
          <w:tcPr>
            <w:tcW w:type="dxa" w:w="1440"/>
            <w:shd w:val="clear" w:color="auto" w:fill="C00000"/>
          </w:tcPr>
          <w:p>
            <w:r/>
            <w:r>
              <w:rPr>
                <w:b/>
                <w:color w:val="FFFFFF"/>
                <w:sz w:val="17"/>
              </w:rPr>
              <w:t>CRITICAL</w:t>
            </w:r>
          </w:p>
        </w:tc>
      </w:tr>
      <w:tr>
        <w:tc>
          <w:tcPr>
            <w:tcW w:type="dxa" w:w="2736"/>
          </w:tcPr>
          <w:p>
            <w:r/>
            <w:r>
              <w:rPr>
                <w:b/>
                <w:sz w:val="17"/>
              </w:rPr>
              <w:t>BESS energization / solar energization</w:t>
            </w:r>
          </w:p>
        </w:tc>
        <w:tc>
          <w:tcPr>
            <w:tcW w:type="dxa" w:w="1440"/>
          </w:tcPr>
          <w:p>
            <w:r/>
            <w:r>
              <w:rPr>
                <w:sz w:val="17"/>
              </w:rPr>
              <w:t>Jul.–Sep. 2026</w:t>
            </w:r>
          </w:p>
        </w:tc>
        <w:tc>
          <w:tcPr>
            <w:tcW w:type="dxa" w:w="4176"/>
          </w:tcPr>
          <w:p>
            <w:r/>
            <w:r>
              <w:rPr>
                <w:sz w:val="17"/>
              </w:rPr>
              <w:t>CPCN Cond. 10: first grid delivery is COD; Conds. 7 &amp; 17 (before operations).</w:t>
            </w:r>
          </w:p>
        </w:tc>
        <w:tc>
          <w:tcPr>
            <w:tcW w:type="dxa" w:w="4320"/>
          </w:tcPr>
          <w:p>
            <w:r/>
            <w:r>
              <w:rPr>
                <w:sz w:val="17"/>
              </w:rPr>
              <w:t>Likely triggers CPCN COD about Jul. 2026.</w:t>
            </w:r>
          </w:p>
        </w:tc>
        <w:tc>
          <w:tcPr>
            <w:tcW w:type="dxa" w:w="1440"/>
            <w:shd w:val="clear" w:color="auto" w:fill="C00000"/>
          </w:tcPr>
          <w:p>
            <w:r/>
            <w:r>
              <w:rPr>
                <w:b/>
                <w:color w:val="FFFFFF"/>
                <w:sz w:val="17"/>
              </w:rPr>
              <w:t>CRITICAL</w:t>
            </w:r>
          </w:p>
        </w:tc>
      </w:tr>
      <w:tr>
        <w:tc>
          <w:tcPr>
            <w:tcW w:type="dxa" w:w="2736"/>
          </w:tcPr>
          <w:p>
            <w:r/>
            <w:r>
              <w:rPr>
                <w:b/>
                <w:sz w:val="17"/>
              </w:rPr>
              <w:t>Laydown restoration plan</w:t>
            </w:r>
          </w:p>
        </w:tc>
        <w:tc>
          <w:tcPr>
            <w:tcW w:type="dxa" w:w="1440"/>
          </w:tcPr>
          <w:p>
            <w:r/>
            <w:r>
              <w:rPr>
                <w:sz w:val="17"/>
              </w:rPr>
              <w:t>Not in memo</w:t>
            </w:r>
          </w:p>
        </w:tc>
        <w:tc>
          <w:tcPr>
            <w:tcW w:type="dxa" w:w="4176"/>
          </w:tcPr>
          <w:p>
            <w:r/>
            <w:r>
              <w:rPr>
                <w:sz w:val="17"/>
              </w:rPr>
              <w:t>ECO Cond. 10: at least 90 days before anticipated COD.</w:t>
            </w:r>
          </w:p>
        </w:tc>
        <w:tc>
          <w:tcPr>
            <w:tcW w:type="dxa" w:w="4320"/>
          </w:tcPr>
          <w:p>
            <w:r/>
            <w:r>
              <w:rPr>
                <w:sz w:val="17"/>
              </w:rPr>
              <w:t>Due Sep. 2, 2026 (for Dec. 1, 2026 TDEQ COD).</w:t>
            </w:r>
          </w:p>
        </w:tc>
        <w:tc>
          <w:tcPr>
            <w:tcW w:type="dxa" w:w="1440"/>
            <w:shd w:val="clear" w:color="auto" w:fill="FFC000"/>
          </w:tcPr>
          <w:p>
            <w:r/>
            <w:r>
              <w:rPr>
                <w:b/>
                <w:sz w:val="17"/>
              </w:rPr>
              <w:t>GAP</w:t>
            </w:r>
          </w:p>
        </w:tc>
      </w:tr>
      <w:tr>
        <w:tc>
          <w:tcPr>
            <w:tcW w:type="dxa" w:w="2736"/>
          </w:tcPr>
          <w:p>
            <w:r/>
            <w:r>
              <w:rPr>
                <w:b/>
                <w:sz w:val="17"/>
              </w:rPr>
              <w:t>Target COD</w:t>
            </w:r>
          </w:p>
        </w:tc>
        <w:tc>
          <w:tcPr>
            <w:tcW w:type="dxa" w:w="1440"/>
          </w:tcPr>
          <w:p>
            <w:r/>
            <w:r>
              <w:rPr>
                <w:sz w:val="17"/>
              </w:rPr>
              <w:t>Dec. 1, 2026</w:t>
            </w:r>
          </w:p>
        </w:tc>
        <w:tc>
          <w:tcPr>
            <w:tcW w:type="dxa" w:w="4176"/>
          </w:tcPr>
          <w:p>
            <w:r/>
            <w:r>
              <w:rPr>
                <w:sz w:val="17"/>
              </w:rPr>
              <w:t>CPCN definition (first grid delivery) differs from TDEQ definition (full commissioning).</w:t>
            </w:r>
          </w:p>
        </w:tc>
        <w:tc>
          <w:tcPr>
            <w:tcW w:type="dxa" w:w="4320"/>
          </w:tcPr>
          <w:p>
            <w:r/>
            <w:r>
              <w:rPr>
                <w:sz w:val="17"/>
              </w:rPr>
              <w:t>Valid as TDEQ COD only.</w:t>
            </w:r>
          </w:p>
        </w:tc>
        <w:tc>
          <w:tcPr>
            <w:tcW w:type="dxa" w:w="1440"/>
            <w:shd w:val="clear" w:color="auto" w:fill="ED7D31"/>
          </w:tcPr>
          <w:p>
            <w:r/>
            <w:r>
              <w:rPr>
                <w:b/>
                <w:color w:val="FFFFFF"/>
                <w:sz w:val="17"/>
              </w:rPr>
              <w:t>AT RISK</w:t>
            </w:r>
          </w:p>
        </w:tc>
      </w:tr>
      <w:tr>
        <w:tc>
          <w:tcPr>
            <w:tcW w:type="dxa" w:w="2736"/>
          </w:tcPr>
          <w:p>
            <w:r/>
            <w:r>
              <w:rPr>
                <w:b/>
                <w:sz w:val="17"/>
              </w:rPr>
              <w:t>Laydown yard restoration deadline</w:t>
            </w:r>
          </w:p>
        </w:tc>
        <w:tc>
          <w:tcPr>
            <w:tcW w:type="dxa" w:w="1440"/>
          </w:tcPr>
          <w:p>
            <w:r/>
            <w:r>
              <w:rPr>
                <w:sz w:val="17"/>
              </w:rPr>
              <w:t>May 30, 2027</w:t>
            </w:r>
          </w:p>
        </w:tc>
        <w:tc>
          <w:tcPr>
            <w:tcW w:type="dxa" w:w="4176"/>
          </w:tcPr>
          <w:p>
            <w:r/>
            <w:r>
              <w:rPr>
                <w:sz w:val="17"/>
              </w:rPr>
              <w:t>ECO Cond. 10: 180 days after TDEQ COD.</w:t>
            </w:r>
          </w:p>
        </w:tc>
        <w:tc>
          <w:tcPr>
            <w:tcW w:type="dxa" w:w="4320"/>
          </w:tcPr>
          <w:p>
            <w:r/>
            <w:r>
              <w:rPr>
                <w:sz w:val="17"/>
              </w:rPr>
              <w:t>Correct if TDEQ COD is Dec. 1, 2026.</w:t>
            </w:r>
          </w:p>
        </w:tc>
        <w:tc>
          <w:tcPr>
            <w:tcW w:type="dxa" w:w="1440"/>
            <w:shd w:val="clear" w:color="auto" w:fill="70AD47"/>
          </w:tcPr>
          <w:p>
            <w:r/>
            <w:r>
              <w:rPr>
                <w:b/>
                <w:color w:val="FFFFFF"/>
                <w:sz w:val="17"/>
              </w:rPr>
              <w:t>ALIGNED</w:t>
            </w:r>
          </w:p>
        </w:tc>
      </w:tr>
      <w:tr>
        <w:tc>
          <w:tcPr>
            <w:tcW w:type="dxa" w:w="2736"/>
          </w:tcPr>
          <w:p>
            <w:r/>
            <w:r>
              <w:rPr>
                <w:b/>
                <w:sz w:val="17"/>
              </w:rPr>
              <w:t>Decommissioning bond posting</w:t>
            </w:r>
          </w:p>
        </w:tc>
        <w:tc>
          <w:tcPr>
            <w:tcW w:type="dxa" w:w="1440"/>
          </w:tcPr>
          <w:p>
            <w:r/>
            <w:r>
              <w:rPr>
                <w:sz w:val="17"/>
              </w:rPr>
              <w:t>Dec. 1, 2027</w:t>
            </w:r>
          </w:p>
        </w:tc>
        <w:tc>
          <w:tcPr>
            <w:tcW w:type="dxa" w:w="4176"/>
          </w:tcPr>
          <w:p>
            <w:r/>
            <w:r>
              <w:rPr>
                <w:sz w:val="17"/>
              </w:rPr>
              <w:t>CPCN Cond. 14: 12 months after CPCN COD; amount $18.5M vs. $19.2M.</w:t>
            </w:r>
          </w:p>
        </w:tc>
        <w:tc>
          <w:tcPr>
            <w:tcW w:type="dxa" w:w="4320"/>
          </w:tcPr>
          <w:p>
            <w:r/>
            <w:r>
              <w:rPr>
                <w:sz w:val="17"/>
              </w:rPr>
              <w:t>Likely due about Jul. 2027. Amount needs clarification.</w:t>
            </w:r>
          </w:p>
        </w:tc>
        <w:tc>
          <w:tcPr>
            <w:tcW w:type="dxa" w:w="1440"/>
            <w:shd w:val="clear" w:color="auto" w:fill="C00000"/>
          </w:tcPr>
          <w:p>
            <w:r/>
            <w:r>
              <w:rPr>
                <w:b/>
                <w:color w:val="FFFFFF"/>
                <w:sz w:val="17"/>
              </w:rPr>
              <w:t>CRITICAL</w:t>
            </w:r>
          </w:p>
        </w:tc>
      </w:tr>
      <w:tr>
        <w:tc>
          <w:tcPr>
            <w:tcW w:type="dxa" w:w="2736"/>
          </w:tcPr>
          <w:p>
            <w:r/>
            <w:r>
              <w:rPr>
                <w:b/>
                <w:sz w:val="17"/>
              </w:rPr>
              <w:t>First community benefit fund payment</w:t>
            </w:r>
          </w:p>
        </w:tc>
        <w:tc>
          <w:tcPr>
            <w:tcW w:type="dxa" w:w="1440"/>
          </w:tcPr>
          <w:p>
            <w:r/>
            <w:r>
              <w:rPr>
                <w:sz w:val="17"/>
              </w:rPr>
              <w:t>Dec. 1, 2027</w:t>
            </w:r>
          </w:p>
        </w:tc>
        <w:tc>
          <w:tcPr>
            <w:tcW w:type="dxa" w:w="4176"/>
          </w:tcPr>
          <w:p>
            <w:r/>
            <w:r>
              <w:rPr>
                <w:sz w:val="17"/>
              </w:rPr>
              <w:t>CPCN Cond. 9: first anniversary of CPCN COD.</w:t>
            </w:r>
          </w:p>
        </w:tc>
        <w:tc>
          <w:tcPr>
            <w:tcW w:type="dxa" w:w="4320"/>
          </w:tcPr>
          <w:p>
            <w:r/>
            <w:r>
              <w:rPr>
                <w:sz w:val="17"/>
              </w:rPr>
              <w:t>Likely due about Jul. 2027.</w:t>
            </w:r>
          </w:p>
        </w:tc>
        <w:tc>
          <w:tcPr>
            <w:tcW w:type="dxa" w:w="1440"/>
            <w:shd w:val="clear" w:color="auto" w:fill="ED7D31"/>
          </w:tcPr>
          <w:p>
            <w:r/>
            <w:r>
              <w:rPr>
                <w:b/>
                <w:color w:val="FFFFFF"/>
                <w:sz w:val="17"/>
              </w:rPr>
              <w:t>AT RISK</w:t>
            </w:r>
          </w:p>
        </w:tc>
      </w:tr>
      <w:tr>
        <w:tc>
          <w:tcPr>
            <w:tcW w:type="dxa" w:w="2736"/>
          </w:tcPr>
          <w:p>
            <w:r/>
            <w:r>
              <w:rPr>
                <w:b/>
                <w:sz w:val="17"/>
              </w:rPr>
              <w:t>First avian monitoring report</w:t>
            </w:r>
          </w:p>
        </w:tc>
        <w:tc>
          <w:tcPr>
            <w:tcW w:type="dxa" w:w="1440"/>
          </w:tcPr>
          <w:p>
            <w:r/>
            <w:r>
              <w:rPr>
                <w:sz w:val="17"/>
              </w:rPr>
              <w:t>Mar. 1, 2028</w:t>
            </w:r>
          </w:p>
        </w:tc>
        <w:tc>
          <w:tcPr>
            <w:tcW w:type="dxa" w:w="4176"/>
          </w:tcPr>
          <w:p>
            <w:r/>
            <w:r>
              <w:rPr>
                <w:sz w:val="17"/>
              </w:rPr>
              <w:t>ECO Cond. 12 (first Mar. 1 at least 6 months after COD); CPCN Cond. 21 (also file with TPUC; CPCN COD).</w:t>
            </w:r>
          </w:p>
        </w:tc>
        <w:tc>
          <w:tcPr>
            <w:tcW w:type="dxa" w:w="4320"/>
          </w:tcPr>
          <w:p>
            <w:r/>
            <w:r>
              <w:rPr>
                <w:sz w:val="17"/>
              </w:rPr>
              <w:t>Correct under the TDEQ definition. Also file with TPUC, and start monitoring at CPCN COD.</w:t>
            </w:r>
          </w:p>
        </w:tc>
        <w:tc>
          <w:tcPr>
            <w:tcW w:type="dxa" w:w="1440"/>
            <w:shd w:val="clear" w:color="auto" w:fill="ED7D31"/>
          </w:tcPr>
          <w:p>
            <w:r/>
            <w:r>
              <w:rPr>
                <w:b/>
                <w:color w:val="FFFFFF"/>
                <w:sz w:val="17"/>
              </w:rPr>
              <w:t>AT RISK</w:t>
            </w:r>
          </w:p>
        </w:tc>
      </w:tr>
    </w:tbl>
    <w:p>
      <w:pPr>
        <w:spacing w:after="40"/>
      </w:pPr>
    </w:p>
    <w:p>
      <w:pPr>
        <w:pStyle w:val="Heading1"/>
      </w:pPr>
      <w:r>
        <w:t>5. Consolidated Compliance Calendar</w:t>
      </w:r>
    </w:p>
    <w:p>
      <w:pPr>
        <w:spacing w:after="80"/>
      </w:pPr>
      <w:r>
        <w:rPr>
          <w:b w:val="0"/>
          <w:i/>
          <w:sz w:val="18"/>
        </w:rPr>
        <w:t>Chronological deadlines, assuming the recommended corrections. Dates marked "~" depend on the actual ground-disturbance, energization or COD dates and must be re-run when the schedule is re-baselined.</w:t>
      </w:r>
    </w:p>
    <w:tbl>
      <w:tblPr>
        <w:tblStyle w:val="TableGrid"/>
        <w:tblW w:type="auto" w:w="0"/>
        <w:jc w:val="center"/>
        <w:tblLayout w:type="fixed"/>
        <w:tblLook w:firstColumn="1" w:firstRow="1" w:lastColumn="0" w:lastRow="0" w:noHBand="0" w:noVBand="1" w:val="04A0"/>
      </w:tblPr>
      <w:tblGrid>
        <w:gridCol w:w="2736"/>
        <w:gridCol w:w="9648"/>
        <w:gridCol w:w="1728"/>
      </w:tblGrid>
      <w:tr>
        <w:trPr>
          <w:tblHeader w:val="true"/>
        </w:trPr>
        <w:tc>
          <w:tcPr>
            <w:tcW w:type="dxa" w:w="2736"/>
            <w:shd w:val="clear" w:color="auto" w:fill="1F3A5F"/>
          </w:tcPr>
          <w:p>
            <w:r/>
            <w:r>
              <w:rPr>
                <w:b/>
                <w:color w:val="FFFFFF"/>
                <w:sz w:val="17"/>
              </w:rPr>
              <w:t>Date</w:t>
            </w:r>
          </w:p>
        </w:tc>
        <w:tc>
          <w:tcPr>
            <w:tcW w:type="dxa" w:w="9648"/>
            <w:shd w:val="clear" w:color="auto" w:fill="1F3A5F"/>
          </w:tcPr>
          <w:p>
            <w:r/>
            <w:r>
              <w:rPr>
                <w:b/>
                <w:color w:val="FFFFFF"/>
                <w:sz w:val="17"/>
              </w:rPr>
              <w:t>Obligation (matrix reference)</w:t>
            </w:r>
          </w:p>
        </w:tc>
        <w:tc>
          <w:tcPr>
            <w:tcW w:type="dxa" w:w="1728"/>
            <w:shd w:val="clear" w:color="auto" w:fill="1F3A5F"/>
          </w:tcPr>
          <w:p>
            <w:r/>
            <w:r>
              <w:rPr>
                <w:b/>
                <w:color w:val="FFFFFF"/>
                <w:sz w:val="17"/>
              </w:rPr>
              <w:t>Agency</w:t>
            </w:r>
          </w:p>
        </w:tc>
      </w:tr>
      <w:tr>
        <w:tc>
          <w:tcPr>
            <w:tcW w:type="dxa" w:w="2736"/>
          </w:tcPr>
          <w:p>
            <w:r/>
            <w:r>
              <w:rPr>
                <w:b/>
                <w:sz w:val="17"/>
              </w:rPr>
              <w:t>Nov. 15, 2024 (Fri.)</w:t>
            </w:r>
          </w:p>
        </w:tc>
        <w:tc>
          <w:tcPr>
            <w:tcW w:type="dxa" w:w="9648"/>
          </w:tcPr>
          <w:p>
            <w:r/>
            <w:r>
              <w:rPr>
                <w:sz w:val="17"/>
              </w:rPr>
              <w:t>Memo's planned TPUC notice date. Do not file without the executed IA (C-3).</w:t>
            </w:r>
          </w:p>
        </w:tc>
        <w:tc>
          <w:tcPr>
            <w:tcW w:type="dxa" w:w="1728"/>
          </w:tcPr>
          <w:p>
            <w:r/>
            <w:r>
              <w:rPr>
                <w:sz w:val="17"/>
              </w:rPr>
              <w:t>TPUC</w:t>
            </w:r>
          </w:p>
        </w:tc>
      </w:tr>
      <w:tr>
        <w:tc>
          <w:tcPr>
            <w:tcW w:type="dxa" w:w="2736"/>
          </w:tcPr>
          <w:p>
            <w:r/>
            <w:r>
              <w:rPr>
                <w:b/>
                <w:sz w:val="17"/>
              </w:rPr>
              <w:t>Nov. 17/18, 2024</w:t>
            </w:r>
          </w:p>
        </w:tc>
        <w:tc>
          <w:tcPr>
            <w:tcW w:type="dxa" w:w="9648"/>
          </w:tcPr>
          <w:p>
            <w:r/>
            <w:r>
              <w:rPr>
                <w:sz w:val="17"/>
              </w:rPr>
              <w:t>Rehearing/reconsideration deadline (30 days from Order): bond amount, Cond. 3(d), COD (C-26).</w:t>
            </w:r>
          </w:p>
        </w:tc>
        <w:tc>
          <w:tcPr>
            <w:tcW w:type="dxa" w:w="1728"/>
          </w:tcPr>
          <w:p>
            <w:r/>
            <w:r>
              <w:rPr>
                <w:sz w:val="17"/>
              </w:rPr>
              <w:t>TPUC</w:t>
            </w:r>
          </w:p>
        </w:tc>
      </w:tr>
      <w:tr>
        <w:tc>
          <w:tcPr>
            <w:tcW w:type="dxa" w:w="2736"/>
          </w:tcPr>
          <w:p>
            <w:r/>
            <w:r>
              <w:rPr>
                <w:b/>
                <w:sz w:val="17"/>
              </w:rPr>
              <w:t>Nov. 2024</w:t>
            </w:r>
          </w:p>
        </w:tc>
        <w:tc>
          <w:tcPr>
            <w:tcW w:type="dxa" w:w="9648"/>
          </w:tcPr>
          <w:p>
            <w:r/>
            <w:r>
              <w:rPr>
                <w:sz w:val="17"/>
              </w:rPr>
              <w:t>Nominate the TDEQ-approved biologist and Environmental Monitor; start SHPO/UDP consultation; apply for road-crossing permits; commission wetland delineation and property-line noise modeling.</w:t>
            </w:r>
          </w:p>
        </w:tc>
        <w:tc>
          <w:tcPr>
            <w:tcW w:type="dxa" w:w="1728"/>
          </w:tcPr>
          <w:p>
            <w:r/>
            <w:r>
              <w:rPr>
                <w:sz w:val="17"/>
              </w:rPr>
              <w:t>TDEQ / TPUC</w:t>
            </w:r>
          </w:p>
        </w:tc>
      </w:tr>
      <w:tr>
        <w:tc>
          <w:tcPr>
            <w:tcW w:type="dxa" w:w="2736"/>
          </w:tcPr>
          <w:p>
            <w:r/>
            <w:r>
              <w:rPr>
                <w:b/>
                <w:sz w:val="17"/>
              </w:rPr>
              <w:t>~Dec. 2, 2024</w:t>
            </w:r>
          </w:p>
        </w:tc>
        <w:tc>
          <w:tcPr>
            <w:tcW w:type="dxa" w:w="9648"/>
          </w:tcPr>
          <w:p>
            <w:r/>
            <w:r>
              <w:rPr>
                <w:sz w:val="17"/>
              </w:rPr>
              <w:t>Vegetative screening plan to TDEQ (60 days before a Feb. 1 planting) (E-6).</w:t>
            </w:r>
          </w:p>
        </w:tc>
        <w:tc>
          <w:tcPr>
            <w:tcW w:type="dxa" w:w="1728"/>
          </w:tcPr>
          <w:p>
            <w:r/>
            <w:r>
              <w:rPr>
                <w:sz w:val="17"/>
              </w:rPr>
              <w:t>TDEQ</w:t>
            </w:r>
          </w:p>
        </w:tc>
      </w:tr>
      <w:tr>
        <w:tc>
          <w:tcPr>
            <w:tcW w:type="dxa" w:w="2736"/>
          </w:tcPr>
          <w:p>
            <w:r/>
            <w:r>
              <w:rPr>
                <w:b/>
                <w:sz w:val="17"/>
              </w:rPr>
              <w:t>Dec. 3, 2024</w:t>
            </w:r>
          </w:p>
        </w:tc>
        <w:tc>
          <w:tcPr>
            <w:tcW w:type="dxa" w:w="9648"/>
          </w:tcPr>
          <w:p>
            <w:r/>
            <w:r>
              <w:rPr>
                <w:sz w:val="17"/>
              </w:rPr>
              <w:t>Latest IA execution plus complete TPUC 60-day notice for a Feb. 1, 2025 start (C-3).</w:t>
            </w:r>
          </w:p>
        </w:tc>
        <w:tc>
          <w:tcPr>
            <w:tcW w:type="dxa" w:w="1728"/>
          </w:tcPr>
          <w:p>
            <w:r/>
            <w:r>
              <w:rPr>
                <w:sz w:val="17"/>
              </w:rPr>
              <w:t>TPUC</w:t>
            </w:r>
          </w:p>
        </w:tc>
      </w:tr>
      <w:tr>
        <w:tc>
          <w:tcPr>
            <w:tcW w:type="dxa" w:w="2736"/>
          </w:tcPr>
          <w:p>
            <w:r/>
            <w:r>
              <w:rPr>
                <w:b/>
                <w:sz w:val="17"/>
              </w:rPr>
              <w:t>Dec. 3, 2024 – Jan. 2, 2025</w:t>
            </w:r>
          </w:p>
        </w:tc>
        <w:tc>
          <w:tcPr>
            <w:tcW w:type="dxa" w:w="9648"/>
          </w:tcPr>
          <w:p>
            <w:r/>
            <w:r>
              <w:rPr>
                <w:sz w:val="17"/>
              </w:rPr>
              <w:t>Phase 1 biological survey window (no earlier than D-60); results to TDEQ by Jan. 2 and to TPUC within 10 business days of completion (E-2, C-19).</w:t>
            </w:r>
          </w:p>
        </w:tc>
        <w:tc>
          <w:tcPr>
            <w:tcW w:type="dxa" w:w="1728"/>
          </w:tcPr>
          <w:p>
            <w:r/>
            <w:r>
              <w:rPr>
                <w:sz w:val="17"/>
              </w:rPr>
              <w:t>TDEQ / TPUC</w:t>
            </w:r>
          </w:p>
        </w:tc>
      </w:tr>
      <w:tr>
        <w:tc>
          <w:tcPr>
            <w:tcW w:type="dxa" w:w="2736"/>
          </w:tcPr>
          <w:p>
            <w:r/>
            <w:r>
              <w:rPr>
                <w:b/>
                <w:sz w:val="17"/>
              </w:rPr>
              <w:t>Early Dec. 2024 (recommended); Jan. 2, 2025 (latest)</w:t>
            </w:r>
          </w:p>
        </w:tc>
        <w:tc>
          <w:tcPr>
            <w:tcW w:type="dxa" w:w="9648"/>
          </w:tcPr>
          <w:p>
            <w:r/>
            <w:r>
              <w:rPr>
                <w:sz w:val="17"/>
              </w:rPr>
              <w:t>SWPPP and HMMP submissions; Environmental Monitor approved (E-4, E-11, E-17).</w:t>
            </w:r>
          </w:p>
        </w:tc>
        <w:tc>
          <w:tcPr>
            <w:tcW w:type="dxa" w:w="1728"/>
          </w:tcPr>
          <w:p>
            <w:r/>
            <w:r>
              <w:rPr>
                <w:sz w:val="17"/>
              </w:rPr>
              <w:t>TDEQ</w:t>
            </w:r>
          </w:p>
        </w:tc>
      </w:tr>
      <w:tr>
        <w:tc>
          <w:tcPr>
            <w:tcW w:type="dxa" w:w="2736"/>
          </w:tcPr>
          <w:p>
            <w:r/>
            <w:r>
              <w:rPr>
                <w:b/>
                <w:sz w:val="17"/>
              </w:rPr>
              <w:t>Jan. 16, 2025 (Thu.)</w:t>
            </w:r>
          </w:p>
        </w:tc>
        <w:tc>
          <w:tcPr>
            <w:tcW w:type="dxa" w:w="9648"/>
          </w:tcPr>
          <w:p>
            <w:r/>
            <w:r>
              <w:rPr>
                <w:sz w:val="17"/>
              </w:rPr>
              <w:t>IA execution deadline; file a copy with TPUC within 5 business days (C-5).</w:t>
            </w:r>
          </w:p>
        </w:tc>
        <w:tc>
          <w:tcPr>
            <w:tcW w:type="dxa" w:w="1728"/>
          </w:tcPr>
          <w:p>
            <w:r/>
            <w:r>
              <w:rPr>
                <w:sz w:val="17"/>
              </w:rPr>
              <w:t>TPUC</w:t>
            </w:r>
          </w:p>
        </w:tc>
      </w:tr>
      <w:tr>
        <w:tc>
          <w:tcPr>
            <w:tcW w:type="dxa" w:w="2736"/>
          </w:tcPr>
          <w:p>
            <w:r/>
            <w:r>
              <w:rPr>
                <w:b/>
                <w:sz w:val="17"/>
              </w:rPr>
              <w:t>Before first ground disturbance</w:t>
            </w:r>
          </w:p>
        </w:tc>
        <w:tc>
          <w:tcPr>
            <w:tcW w:type="dxa" w:w="9648"/>
          </w:tcPr>
          <w:p>
            <w:r/>
            <w:r>
              <w:rPr>
                <w:sz w:val="17"/>
              </w:rPr>
              <w:t>SWPPP approved; UDP approved; erosion controls installed; 4 PM10 stations; CGL insurance bound; 7-day construction notices to residences within 1,000 ft (E-4, E-5, E-7, E-13, E-14, C-23).</w:t>
            </w:r>
          </w:p>
        </w:tc>
        <w:tc>
          <w:tcPr>
            <w:tcW w:type="dxa" w:w="1728"/>
          </w:tcPr>
          <w:p>
            <w:r/>
            <w:r>
              <w:rPr>
                <w:sz w:val="17"/>
              </w:rPr>
              <w:t>TDEQ / TPUC</w:t>
            </w:r>
          </w:p>
        </w:tc>
      </w:tr>
      <w:tr>
        <w:tc>
          <w:tcPr>
            <w:tcW w:type="dxa" w:w="2736"/>
          </w:tcPr>
          <w:p>
            <w:r/>
            <w:r>
              <w:rPr>
                <w:b/>
                <w:sz w:val="17"/>
              </w:rPr>
              <w:t>Within 5 business days of commencement</w:t>
            </w:r>
          </w:p>
        </w:tc>
        <w:tc>
          <w:tcPr>
            <w:tcW w:type="dxa" w:w="9648"/>
          </w:tcPr>
          <w:p>
            <w:r/>
            <w:r>
              <w:rPr>
                <w:sz w:val="17"/>
              </w:rPr>
              <w:t>TDEQ construction commencement notice (E-16).</w:t>
            </w:r>
          </w:p>
        </w:tc>
        <w:tc>
          <w:tcPr>
            <w:tcW w:type="dxa" w:w="1728"/>
          </w:tcPr>
          <w:p>
            <w:r/>
            <w:r>
              <w:rPr>
                <w:sz w:val="17"/>
              </w:rPr>
              <w:t>TDEQ</w:t>
            </w:r>
          </w:p>
        </w:tc>
      </w:tr>
      <w:tr>
        <w:tc>
          <w:tcPr>
            <w:tcW w:type="dxa" w:w="2736"/>
          </w:tcPr>
          <w:p>
            <w:r/>
            <w:r>
              <w:rPr>
                <w:b/>
                <w:sz w:val="17"/>
              </w:rPr>
              <w:t>Feb. 14, 2025 (Fri.)</w:t>
            </w:r>
          </w:p>
        </w:tc>
        <w:tc>
          <w:tcPr>
            <w:tcW w:type="dxa" w:w="9648"/>
          </w:tcPr>
          <w:p>
            <w:r/>
            <w:r>
              <w:rPr>
                <w:sz w:val="17"/>
              </w:rPr>
              <w:t>Glare study filed with TPUC (statutory date Sat. Feb. 15, 2025) (C-7).</w:t>
            </w:r>
          </w:p>
        </w:tc>
        <w:tc>
          <w:tcPr>
            <w:tcW w:type="dxa" w:w="1728"/>
          </w:tcPr>
          <w:p>
            <w:r/>
            <w:r>
              <w:rPr>
                <w:sz w:val="17"/>
              </w:rPr>
              <w:t>TPUC</w:t>
            </w:r>
          </w:p>
        </w:tc>
      </w:tr>
      <w:tr>
        <w:tc>
          <w:tcPr>
            <w:tcW w:type="dxa" w:w="2736"/>
          </w:tcPr>
          <w:p>
            <w:r/>
            <w:r>
              <w:rPr>
                <w:b/>
                <w:sz w:val="17"/>
              </w:rPr>
              <w:t>~Mid-Feb. 2025</w:t>
            </w:r>
          </w:p>
        </w:tc>
        <w:tc>
          <w:tcPr>
            <w:tcW w:type="dxa" w:w="9648"/>
          </w:tcPr>
          <w:p>
            <w:r/>
            <w:r>
              <w:rPr>
                <w:sz w:val="17"/>
              </w:rPr>
              <w:t>First FAA Form 7460-1 crane filings (at least 45 days before Apr. deployment) and concurrent TPUC notice (F-4, C-15).</w:t>
            </w:r>
          </w:p>
        </w:tc>
        <w:tc>
          <w:tcPr>
            <w:tcW w:type="dxa" w:w="1728"/>
          </w:tcPr>
          <w:p>
            <w:r/>
            <w:r>
              <w:rPr>
                <w:sz w:val="17"/>
              </w:rPr>
              <w:t>FAA / TPUC</w:t>
            </w:r>
          </w:p>
        </w:tc>
      </w:tr>
      <w:tr>
        <w:tc>
          <w:tcPr>
            <w:tcW w:type="dxa" w:w="2736"/>
          </w:tcPr>
          <w:p>
            <w:r/>
            <w:r>
              <w:rPr>
                <w:b/>
                <w:sz w:val="17"/>
              </w:rPr>
              <w:t>Feb.–Mar. 2025</w:t>
            </w:r>
          </w:p>
        </w:tc>
        <w:tc>
          <w:tcPr>
            <w:tcW w:type="dxa" w:w="9648"/>
          </w:tcPr>
          <w:p>
            <w:r/>
            <w:r>
              <w:rPr>
                <w:sz w:val="17"/>
              </w:rPr>
              <w:t>Gen-tie, substation and BESS pad biological surveys; road-crossing permits filed with TPUC (E-2, C-16).</w:t>
            </w:r>
          </w:p>
        </w:tc>
        <w:tc>
          <w:tcPr>
            <w:tcW w:type="dxa" w:w="1728"/>
          </w:tcPr>
          <w:p>
            <w:r/>
            <w:r>
              <w:rPr>
                <w:sz w:val="17"/>
              </w:rPr>
              <w:t>TDEQ / TPUC</w:t>
            </w:r>
          </w:p>
        </w:tc>
      </w:tr>
      <w:tr>
        <w:tc>
          <w:tcPr>
            <w:tcW w:type="dxa" w:w="2736"/>
          </w:tcPr>
          <w:p>
            <w:r/>
            <w:r>
              <w:rPr>
                <w:b/>
                <w:sz w:val="17"/>
              </w:rPr>
              <w:t>Apr. 15, 2025</w:t>
            </w:r>
          </w:p>
        </w:tc>
        <w:tc>
          <w:tcPr>
            <w:tcW w:type="dxa" w:w="9648"/>
          </w:tcPr>
          <w:p>
            <w:r/>
            <w:r>
              <w:rPr>
                <w:sz w:val="17"/>
              </w:rPr>
              <w:t>First TPUC quarterly progress report; then every Jul. 15, Oct. 15 and Jan. 15 (C-4).</w:t>
            </w:r>
          </w:p>
        </w:tc>
        <w:tc>
          <w:tcPr>
            <w:tcW w:type="dxa" w:w="1728"/>
          </w:tcPr>
          <w:p>
            <w:r/>
            <w:r>
              <w:rPr>
                <w:sz w:val="17"/>
              </w:rPr>
              <w:t>TPUC</w:t>
            </w:r>
          </w:p>
        </w:tc>
      </w:tr>
      <w:tr>
        <w:tc>
          <w:tcPr>
            <w:tcW w:type="dxa" w:w="2736"/>
          </w:tcPr>
          <w:p>
            <w:r/>
            <w:r>
              <w:rPr>
                <w:b/>
                <w:sz w:val="17"/>
              </w:rPr>
              <w:t>Jun. 1 – Sep. 30, 2025</w:t>
            </w:r>
          </w:p>
        </w:tc>
        <w:tc>
          <w:tcPr>
            <w:tcW w:type="dxa" w:w="9648"/>
          </w:tcPr>
          <w:p>
            <w:r/>
            <w:r>
              <w:rPr>
                <w:sz w:val="17"/>
              </w:rPr>
              <w:t>Willow Creek riparian corridor window; weekly turbidity reports; streambank restoration within 30 days of completing the crossing (E-3, C-20).</w:t>
            </w:r>
          </w:p>
        </w:tc>
        <w:tc>
          <w:tcPr>
            <w:tcW w:type="dxa" w:w="1728"/>
          </w:tcPr>
          <w:p>
            <w:r/>
            <w:r>
              <w:rPr>
                <w:sz w:val="17"/>
              </w:rPr>
              <w:t>TDEQ / TPUC</w:t>
            </w:r>
          </w:p>
        </w:tc>
      </w:tr>
      <w:tr>
        <w:tc>
          <w:tcPr>
            <w:tcW w:type="dxa" w:w="2736"/>
          </w:tcPr>
          <w:p>
            <w:r/>
            <w:r>
              <w:rPr>
                <w:b/>
                <w:sz w:val="17"/>
              </w:rPr>
              <w:t>Within 5 days of each topping-out</w:t>
            </w:r>
          </w:p>
        </w:tc>
        <w:tc>
          <w:tcPr>
            <w:tcW w:type="dxa" w:w="9648"/>
          </w:tcPr>
          <w:p>
            <w:r/>
            <w:r>
              <w:rPr>
                <w:sz w:val="17"/>
              </w:rPr>
              <w:t>FAA Form 7460-2 for each structure over 150 ft (F-3).</w:t>
            </w:r>
          </w:p>
        </w:tc>
        <w:tc>
          <w:tcPr>
            <w:tcW w:type="dxa" w:w="1728"/>
          </w:tcPr>
          <w:p>
            <w:r/>
            <w:r>
              <w:rPr>
                <w:sz w:val="17"/>
              </w:rPr>
              <w:t>FAA</w:t>
            </w:r>
          </w:p>
        </w:tc>
      </w:tr>
      <w:tr>
        <w:tc>
          <w:tcPr>
            <w:tcW w:type="dxa" w:w="2736"/>
          </w:tcPr>
          <w:p>
            <w:r/>
            <w:r>
              <w:rPr>
                <w:b/>
                <w:sz w:val="17"/>
              </w:rPr>
              <w:t>Jul. 31, 2025</w:t>
            </w:r>
          </w:p>
        </w:tc>
        <w:tc>
          <w:tcPr>
            <w:tcW w:type="dxa" w:w="9648"/>
          </w:tcPr>
          <w:p>
            <w:r/>
            <w:r>
              <w:rPr>
                <w:sz w:val="17"/>
              </w:rPr>
              <w:t>First TDEQ semi-annual compliance report; then every Jan. 31 and Jul. 31 during construction (E-16).</w:t>
            </w:r>
          </w:p>
        </w:tc>
        <w:tc>
          <w:tcPr>
            <w:tcW w:type="dxa" w:w="1728"/>
          </w:tcPr>
          <w:p>
            <w:r/>
            <w:r>
              <w:rPr>
                <w:sz w:val="17"/>
              </w:rPr>
              <w:t>TDEQ</w:t>
            </w:r>
          </w:p>
        </w:tc>
      </w:tr>
      <w:tr>
        <w:tc>
          <w:tcPr>
            <w:tcW w:type="dxa" w:w="2736"/>
          </w:tcPr>
          <w:p>
            <w:r/>
            <w:r>
              <w:rPr>
                <w:b/>
                <w:sz w:val="17"/>
              </w:rPr>
              <w:t>Monthly</w:t>
            </w:r>
          </w:p>
        </w:tc>
        <w:tc>
          <w:tcPr>
            <w:tcW w:type="dxa" w:w="9648"/>
          </w:tcPr>
          <w:p>
            <w:r/>
            <w:r>
              <w:rPr>
                <w:sz w:val="17"/>
              </w:rPr>
              <w:t>Environmental Monitor reports to TDEQ (E-17).</w:t>
            </w:r>
          </w:p>
        </w:tc>
        <w:tc>
          <w:tcPr>
            <w:tcW w:type="dxa" w:w="1728"/>
          </w:tcPr>
          <w:p>
            <w:r/>
            <w:r>
              <w:rPr>
                <w:sz w:val="17"/>
              </w:rPr>
              <w:t>TDEQ</w:t>
            </w:r>
          </w:p>
        </w:tc>
      </w:tr>
      <w:tr>
        <w:tc>
          <w:tcPr>
            <w:tcW w:type="dxa" w:w="2736"/>
          </w:tcPr>
          <w:p>
            <w:r/>
            <w:r>
              <w:rPr>
                <w:b/>
                <w:sz w:val="17"/>
              </w:rPr>
              <w:t>~Early Nov. 2025</w:t>
            </w:r>
          </w:p>
        </w:tc>
        <w:tc>
          <w:tcPr>
            <w:tcW w:type="dxa" w:w="9648"/>
          </w:tcPr>
          <w:p>
            <w:r/>
            <w:r>
              <w:rPr>
                <w:sz w:val="17"/>
              </w:rPr>
              <w:t>BESS ERP to TDEQ and Harmon County FD (60 days before a Jan. 2026 BESS energization) (E-15).</w:t>
            </w:r>
          </w:p>
        </w:tc>
        <w:tc>
          <w:tcPr>
            <w:tcW w:type="dxa" w:w="1728"/>
          </w:tcPr>
          <w:p>
            <w:r/>
            <w:r>
              <w:rPr>
                <w:sz w:val="17"/>
              </w:rPr>
              <w:t>TDEQ</w:t>
            </w:r>
          </w:p>
        </w:tc>
      </w:tr>
      <w:tr>
        <w:tc>
          <w:tcPr>
            <w:tcW w:type="dxa" w:w="2736"/>
          </w:tcPr>
          <w:p>
            <w:r/>
            <w:r>
              <w:rPr>
                <w:b/>
                <w:sz w:val="17"/>
              </w:rPr>
              <w:t>~Mid-Dec. 2025</w:t>
            </w:r>
          </w:p>
        </w:tc>
        <w:tc>
          <w:tcPr>
            <w:tcW w:type="dxa" w:w="9648"/>
          </w:tcPr>
          <w:p>
            <w:r/>
            <w:r>
              <w:rPr>
                <w:sz w:val="17"/>
              </w:rPr>
              <w:t>BESS third-party fire certification filed (at least 15 days before first BESS energization) (E-15).</w:t>
            </w:r>
          </w:p>
        </w:tc>
        <w:tc>
          <w:tcPr>
            <w:tcW w:type="dxa" w:w="1728"/>
          </w:tcPr>
          <w:p>
            <w:r/>
            <w:r>
              <w:rPr>
                <w:sz w:val="17"/>
              </w:rPr>
              <w:t>TDEQ</w:t>
            </w:r>
          </w:p>
        </w:tc>
      </w:tr>
      <w:tr>
        <w:tc>
          <w:tcPr>
            <w:tcW w:type="dxa" w:w="2736"/>
          </w:tcPr>
          <w:p>
            <w:r/>
            <w:r>
              <w:rPr>
                <w:b/>
                <w:sz w:val="17"/>
              </w:rPr>
              <w:t>Jan. 31, 2026 (Sat.)</w:t>
            </w:r>
          </w:p>
        </w:tc>
        <w:tc>
          <w:tcPr>
            <w:tcW w:type="dxa" w:w="9648"/>
          </w:tcPr>
          <w:p>
            <w:r/>
            <w:r>
              <w:rPr>
                <w:sz w:val="17"/>
              </w:rPr>
              <w:t>First TDEQ environmental mitigation fee ($4,111.25), assuming commencement after Jan. 31, 2025 (E-9).</w:t>
            </w:r>
          </w:p>
        </w:tc>
        <w:tc>
          <w:tcPr>
            <w:tcW w:type="dxa" w:w="1728"/>
          </w:tcPr>
          <w:p>
            <w:r/>
            <w:r>
              <w:rPr>
                <w:sz w:val="17"/>
              </w:rPr>
              <w:t>TDEQ</w:t>
            </w:r>
          </w:p>
        </w:tc>
      </w:tr>
      <w:tr>
        <w:tc>
          <w:tcPr>
            <w:tcW w:type="dxa" w:w="2736"/>
          </w:tcPr>
          <w:p>
            <w:r/>
            <w:r>
              <w:rPr>
                <w:b/>
                <w:sz w:val="17"/>
              </w:rPr>
              <w:t>Feb. 17, 2026</w:t>
            </w:r>
          </w:p>
        </w:tc>
        <w:tc>
          <w:tcPr>
            <w:tcW w:type="dxa" w:w="9648"/>
          </w:tcPr>
          <w:p>
            <w:r/>
            <w:r>
              <w:rPr>
                <w:sz w:val="17"/>
              </w:rPr>
              <w:t>Last day to move to extend the CPCN construction commencement deadline (C-2).</w:t>
            </w:r>
          </w:p>
        </w:tc>
        <w:tc>
          <w:tcPr>
            <w:tcW w:type="dxa" w:w="1728"/>
          </w:tcPr>
          <w:p>
            <w:r/>
            <w:r>
              <w:rPr>
                <w:sz w:val="17"/>
              </w:rPr>
              <w:t>TPUC</w:t>
            </w:r>
          </w:p>
        </w:tc>
      </w:tr>
      <w:tr>
        <w:tc>
          <w:tcPr>
            <w:tcW w:type="dxa" w:w="2736"/>
          </w:tcPr>
          <w:p>
            <w:r/>
            <w:r>
              <w:rPr>
                <w:b/>
                <w:sz w:val="17"/>
              </w:rPr>
              <w:t>Mar. 27, 2026</w:t>
            </w:r>
          </w:p>
        </w:tc>
        <w:tc>
          <w:tcPr>
            <w:tcW w:type="dxa" w:w="9648"/>
          </w:tcPr>
          <w:p>
            <w:r/>
            <w:r>
              <w:rPr>
                <w:sz w:val="17"/>
              </w:rPr>
              <w:t>FAA: construction of studied structures must have started (F-5).</w:t>
            </w:r>
          </w:p>
        </w:tc>
        <w:tc>
          <w:tcPr>
            <w:tcW w:type="dxa" w:w="1728"/>
          </w:tcPr>
          <w:p>
            <w:r/>
            <w:r>
              <w:rPr>
                <w:sz w:val="17"/>
              </w:rPr>
              <w:t>FAA</w:t>
            </w:r>
          </w:p>
        </w:tc>
      </w:tr>
      <w:tr>
        <w:tc>
          <w:tcPr>
            <w:tcW w:type="dxa" w:w="2736"/>
          </w:tcPr>
          <w:p>
            <w:r/>
            <w:r>
              <w:rPr>
                <w:b/>
                <w:sz w:val="17"/>
              </w:rPr>
              <w:t>Apr. 18, 2026</w:t>
            </w:r>
          </w:p>
        </w:tc>
        <w:tc>
          <w:tcPr>
            <w:tcW w:type="dxa" w:w="9648"/>
          </w:tcPr>
          <w:p>
            <w:r/>
            <w:r>
              <w:rPr>
                <w:sz w:val="17"/>
              </w:rPr>
              <w:t>CPCN expires if construction has not commenced (C-2).</w:t>
            </w:r>
          </w:p>
        </w:tc>
        <w:tc>
          <w:tcPr>
            <w:tcW w:type="dxa" w:w="1728"/>
          </w:tcPr>
          <w:p>
            <w:r/>
            <w:r>
              <w:rPr>
                <w:sz w:val="17"/>
              </w:rPr>
              <w:t>TPUC</w:t>
            </w:r>
          </w:p>
        </w:tc>
      </w:tr>
      <w:tr>
        <w:tc>
          <w:tcPr>
            <w:tcW w:type="dxa" w:w="2736"/>
          </w:tcPr>
          <w:p>
            <w:r/>
            <w:r>
              <w:rPr>
                <w:b/>
                <w:sz w:val="17"/>
              </w:rPr>
              <w:t>~Jul. 2026</w:t>
            </w:r>
          </w:p>
        </w:tc>
        <w:tc>
          <w:tcPr>
            <w:tcW w:type="dxa" w:w="9648"/>
          </w:tcPr>
          <w:p>
            <w:r/>
            <w:r>
              <w:rPr>
                <w:sz w:val="17"/>
              </w:rPr>
              <w:t>Probable CPCN COD (first grid delivery). Notice to TPUC within 10 business days; screening installed and glare mitigation in place before operations (C-10, C-17, C-7).</w:t>
            </w:r>
          </w:p>
        </w:tc>
        <w:tc>
          <w:tcPr>
            <w:tcW w:type="dxa" w:w="1728"/>
          </w:tcPr>
          <w:p>
            <w:r/>
            <w:r>
              <w:rPr>
                <w:sz w:val="17"/>
              </w:rPr>
              <w:t>TPUC</w:t>
            </w:r>
          </w:p>
        </w:tc>
      </w:tr>
      <w:tr>
        <w:tc>
          <w:tcPr>
            <w:tcW w:type="dxa" w:w="2736"/>
          </w:tcPr>
          <w:p>
            <w:r/>
            <w:r>
              <w:rPr>
                <w:b/>
                <w:sz w:val="17"/>
              </w:rPr>
              <w:t>Sep. 2, 2026</w:t>
            </w:r>
          </w:p>
        </w:tc>
        <w:tc>
          <w:tcPr>
            <w:tcW w:type="dxa" w:w="9648"/>
          </w:tcPr>
          <w:p>
            <w:r/>
            <w:r>
              <w:rPr>
                <w:sz w:val="17"/>
              </w:rPr>
              <w:t>Laydown Yard Restoration Plan to TDEQ (90 days before Dec. 1, 2026 TDEQ COD) (E-10).</w:t>
            </w:r>
          </w:p>
        </w:tc>
        <w:tc>
          <w:tcPr>
            <w:tcW w:type="dxa" w:w="1728"/>
          </w:tcPr>
          <w:p>
            <w:r/>
            <w:r>
              <w:rPr>
                <w:sz w:val="17"/>
              </w:rPr>
              <w:t>TDEQ</w:t>
            </w:r>
          </w:p>
        </w:tc>
      </w:tr>
      <w:tr>
        <w:tc>
          <w:tcPr>
            <w:tcW w:type="dxa" w:w="2736"/>
          </w:tcPr>
          <w:p>
            <w:r/>
            <w:r>
              <w:rPr>
                <w:b/>
                <w:sz w:val="17"/>
              </w:rPr>
              <w:t>Dec. 1, 2026</w:t>
            </w:r>
          </w:p>
        </w:tc>
        <w:tc>
          <w:tcPr>
            <w:tcW w:type="dxa" w:w="9648"/>
          </w:tcPr>
          <w:p>
            <w:r/>
            <w:r>
              <w:rPr>
                <w:sz w:val="17"/>
              </w:rPr>
              <w:t>Target TDEQ COD (full commissioning).</w:t>
            </w:r>
          </w:p>
        </w:tc>
        <w:tc>
          <w:tcPr>
            <w:tcW w:type="dxa" w:w="1728"/>
          </w:tcPr>
          <w:p>
            <w:r/>
            <w:r>
              <w:rPr>
                <w:sz w:val="17"/>
              </w:rPr>
              <w:t>TDEQ</w:t>
            </w:r>
          </w:p>
        </w:tc>
      </w:tr>
      <w:tr>
        <w:tc>
          <w:tcPr>
            <w:tcW w:type="dxa" w:w="2736"/>
          </w:tcPr>
          <w:p>
            <w:r/>
            <w:r>
              <w:rPr>
                <w:b/>
                <w:sz w:val="17"/>
              </w:rPr>
              <w:t>Mar. 27, 2027</w:t>
            </w:r>
          </w:p>
        </w:tc>
        <w:tc>
          <w:tcPr>
            <w:tcW w:type="dxa" w:w="9648"/>
          </w:tcPr>
          <w:p>
            <w:r/>
            <w:r>
              <w:rPr>
                <w:sz w:val="17"/>
              </w:rPr>
              <w:t>FAA: tallest structures must be completed (F-6).</w:t>
            </w:r>
          </w:p>
        </w:tc>
        <w:tc>
          <w:tcPr>
            <w:tcW w:type="dxa" w:w="1728"/>
          </w:tcPr>
          <w:p>
            <w:r/>
            <w:r>
              <w:rPr>
                <w:sz w:val="17"/>
              </w:rPr>
              <w:t>FAA</w:t>
            </w:r>
          </w:p>
        </w:tc>
      </w:tr>
      <w:tr>
        <w:tc>
          <w:tcPr>
            <w:tcW w:type="dxa" w:w="2736"/>
          </w:tcPr>
          <w:p>
            <w:r/>
            <w:r>
              <w:rPr>
                <w:b/>
                <w:sz w:val="17"/>
              </w:rPr>
              <w:t>May 30, 2027</w:t>
            </w:r>
          </w:p>
        </w:tc>
        <w:tc>
          <w:tcPr>
            <w:tcW w:type="dxa" w:w="9648"/>
          </w:tcPr>
          <w:p>
            <w:r/>
            <w:r>
              <w:rPr>
                <w:sz w:val="17"/>
              </w:rPr>
              <w:t>Laydown yard restoration complete (180 days after TDEQ COD); joint inspection within 30 days of completion (E-10).</w:t>
            </w:r>
          </w:p>
        </w:tc>
        <w:tc>
          <w:tcPr>
            <w:tcW w:type="dxa" w:w="1728"/>
          </w:tcPr>
          <w:p>
            <w:r/>
            <w:r>
              <w:rPr>
                <w:sz w:val="17"/>
              </w:rPr>
              <w:t>TDEQ</w:t>
            </w:r>
          </w:p>
        </w:tc>
      </w:tr>
      <w:tr>
        <w:tc>
          <w:tcPr>
            <w:tcW w:type="dxa" w:w="2736"/>
          </w:tcPr>
          <w:p>
            <w:r/>
            <w:r>
              <w:rPr>
                <w:b/>
                <w:sz w:val="17"/>
              </w:rPr>
              <w:t>~Jul. 2027 (1 yr after CPCN COD)</w:t>
            </w:r>
          </w:p>
        </w:tc>
        <w:tc>
          <w:tcPr>
            <w:tcW w:type="dxa" w:w="9648"/>
          </w:tcPr>
          <w:p>
            <w:r/>
            <w:r>
              <w:rPr>
                <w:sz w:val="17"/>
              </w:rPr>
              <w:t>Decommissioning bond posted (at least $19.2M recommended) and first $150,000 community benefit fund payment (C-14, C-9).</w:t>
            </w:r>
          </w:p>
        </w:tc>
        <w:tc>
          <w:tcPr>
            <w:tcW w:type="dxa" w:w="1728"/>
          </w:tcPr>
          <w:p>
            <w:r/>
            <w:r>
              <w:rPr>
                <w:sz w:val="17"/>
              </w:rPr>
              <w:t>TPUC / County</w:t>
            </w:r>
          </w:p>
        </w:tc>
      </w:tr>
      <w:tr>
        <w:tc>
          <w:tcPr>
            <w:tcW w:type="dxa" w:w="2736"/>
          </w:tcPr>
          <w:p>
            <w:r/>
            <w:r>
              <w:rPr>
                <w:b/>
                <w:sz w:val="17"/>
              </w:rPr>
              <w:t>Mar. 1, 2028 / 2029 / 2030</w:t>
            </w:r>
          </w:p>
        </w:tc>
        <w:tc>
          <w:tcPr>
            <w:tcW w:type="dxa" w:w="9648"/>
          </w:tcPr>
          <w:p>
            <w:r/>
            <w:r>
              <w:rPr>
                <w:sz w:val="17"/>
              </w:rPr>
              <w:t>Annual avian monitoring reports to TDEQ and TPUC (E-12, C-21).</w:t>
            </w:r>
          </w:p>
        </w:tc>
        <w:tc>
          <w:tcPr>
            <w:tcW w:type="dxa" w:w="1728"/>
          </w:tcPr>
          <w:p>
            <w:r/>
            <w:r>
              <w:rPr>
                <w:sz w:val="17"/>
              </w:rPr>
              <w:t>TDEQ / TPUC</w:t>
            </w:r>
          </w:p>
        </w:tc>
      </w:tr>
      <w:tr>
        <w:tc>
          <w:tcPr>
            <w:tcW w:type="dxa" w:w="2736"/>
          </w:tcPr>
          <w:p>
            <w:r/>
            <w:r>
              <w:rPr>
                <w:b/>
                <w:sz w:val="17"/>
              </w:rPr>
              <w:t>Every 5 years after posting</w:t>
            </w:r>
          </w:p>
        </w:tc>
        <w:tc>
          <w:tcPr>
            <w:tcW w:type="dxa" w:w="9648"/>
          </w:tcPr>
          <w:p>
            <w:r/>
            <w:r>
              <w:rPr>
                <w:sz w:val="17"/>
              </w:rPr>
              <w:t>Decommissioning cost re-estimate and bond adjustment (C-14).</w:t>
            </w:r>
          </w:p>
        </w:tc>
        <w:tc>
          <w:tcPr>
            <w:tcW w:type="dxa" w:w="1728"/>
          </w:tcPr>
          <w:p>
            <w:r/>
            <w:r>
              <w:rPr>
                <w:sz w:val="17"/>
              </w:rPr>
              <w:t>TPUC</w:t>
            </w:r>
          </w:p>
        </w:tc>
      </w:tr>
    </w:tbl>
    <w:p>
      <w:pPr>
        <w:spacing w:after="40"/>
      </w:pPr>
    </w:p>
    <w:p>
      <w:pPr>
        <w:pStyle w:val="Heading1"/>
      </w:pPr>
      <w:r>
        <w:t>6. Status Summary</w:t>
      </w:r>
    </w:p>
    <w:tbl>
      <w:tblPr>
        <w:tblStyle w:val="TableGrid"/>
        <w:tblW w:type="auto" w:w="0"/>
        <w:jc w:val="center"/>
        <w:tblLayout w:type="fixed"/>
        <w:tblLook w:firstColumn="1" w:firstRow="1" w:lastColumn="0" w:lastRow="0" w:noHBand="0" w:noVBand="1" w:val="04A0"/>
      </w:tblPr>
      <w:tblGrid>
        <w:gridCol w:w="2304"/>
        <w:gridCol w:w="1440"/>
        <w:gridCol w:w="1440"/>
        <w:gridCol w:w="1440"/>
        <w:gridCol w:w="1440"/>
      </w:tblGrid>
      <w:tr>
        <w:trPr>
          <w:tblHeader w:val="true"/>
        </w:trPr>
        <w:tc>
          <w:tcPr>
            <w:tcW w:type="dxa" w:w="2304"/>
            <w:shd w:val="clear" w:color="auto" w:fill="1F3A5F"/>
          </w:tcPr>
          <w:p>
            <w:r/>
            <w:r>
              <w:rPr>
                <w:b/>
                <w:color w:val="FFFFFF"/>
                <w:sz w:val="18"/>
              </w:rPr>
              <w:t>Status</w:t>
            </w:r>
          </w:p>
        </w:tc>
        <w:tc>
          <w:tcPr>
            <w:tcW w:type="dxa" w:w="1440"/>
            <w:shd w:val="clear" w:color="auto" w:fill="1F3A5F"/>
          </w:tcPr>
          <w:p>
            <w:r/>
            <w:r>
              <w:rPr>
                <w:b/>
                <w:color w:val="FFFFFF"/>
                <w:sz w:val="18"/>
              </w:rPr>
              <w:t>CPCN</w:t>
            </w:r>
          </w:p>
        </w:tc>
        <w:tc>
          <w:tcPr>
            <w:tcW w:type="dxa" w:w="1440"/>
            <w:shd w:val="clear" w:color="auto" w:fill="1F3A5F"/>
          </w:tcPr>
          <w:p>
            <w:r/>
            <w:r>
              <w:rPr>
                <w:b/>
                <w:color w:val="FFFFFF"/>
                <w:sz w:val="18"/>
              </w:rPr>
              <w:t>TDEQ ECO</w:t>
            </w:r>
          </w:p>
        </w:tc>
        <w:tc>
          <w:tcPr>
            <w:tcW w:type="dxa" w:w="1440"/>
            <w:shd w:val="clear" w:color="auto" w:fill="1F3A5F"/>
          </w:tcPr>
          <w:p>
            <w:r/>
            <w:r>
              <w:rPr>
                <w:b/>
                <w:color w:val="FFFFFF"/>
                <w:sz w:val="18"/>
              </w:rPr>
              <w:t>FAA</w:t>
            </w:r>
          </w:p>
        </w:tc>
        <w:tc>
          <w:tcPr>
            <w:tcW w:type="dxa" w:w="1440"/>
            <w:shd w:val="clear" w:color="auto" w:fill="1F3A5F"/>
          </w:tcPr>
          <w:p>
            <w:r/>
            <w:r>
              <w:rPr>
                <w:b/>
                <w:color w:val="FFFFFF"/>
                <w:sz w:val="18"/>
              </w:rPr>
              <w:t>Total</w:t>
            </w:r>
          </w:p>
        </w:tc>
      </w:tr>
      <w:tr>
        <w:tc>
          <w:tcPr>
            <w:tcW w:type="dxa" w:w="2304"/>
            <w:shd w:val="clear" w:color="auto" w:fill="C00000"/>
          </w:tcPr>
          <w:p>
            <w:r/>
            <w:r>
              <w:rPr>
                <w:b/>
                <w:color w:val="FFFFFF"/>
                <w:sz w:val="18"/>
              </w:rPr>
              <w:t>CRITICAL</w:t>
            </w:r>
          </w:p>
        </w:tc>
        <w:tc>
          <w:tcPr>
            <w:tcW w:type="dxa" w:w="1440"/>
          </w:tcPr>
          <w:p>
            <w:r/>
            <w:r>
              <w:rPr>
                <w:sz w:val="18"/>
              </w:rPr>
              <w:t>5</w:t>
            </w:r>
          </w:p>
        </w:tc>
        <w:tc>
          <w:tcPr>
            <w:tcW w:type="dxa" w:w="1440"/>
          </w:tcPr>
          <w:p>
            <w:r/>
            <w:r>
              <w:rPr>
                <w:sz w:val="18"/>
              </w:rPr>
              <w:t>5</w:t>
            </w:r>
          </w:p>
        </w:tc>
        <w:tc>
          <w:tcPr>
            <w:tcW w:type="dxa" w:w="1440"/>
          </w:tcPr>
          <w:p>
            <w:r/>
            <w:r>
              <w:rPr>
                <w:sz w:val="18"/>
              </w:rPr>
              <w:t>0</w:t>
            </w:r>
          </w:p>
        </w:tc>
        <w:tc>
          <w:tcPr>
            <w:tcW w:type="dxa" w:w="1440"/>
          </w:tcPr>
          <w:p>
            <w:r/>
            <w:r>
              <w:rPr>
                <w:sz w:val="18"/>
              </w:rPr>
              <w:t>10</w:t>
            </w:r>
          </w:p>
        </w:tc>
      </w:tr>
      <w:tr>
        <w:tc>
          <w:tcPr>
            <w:tcW w:type="dxa" w:w="2304"/>
            <w:shd w:val="clear" w:color="auto" w:fill="ED7D31"/>
          </w:tcPr>
          <w:p>
            <w:r/>
            <w:r>
              <w:rPr>
                <w:b/>
                <w:color w:val="FFFFFF"/>
                <w:sz w:val="18"/>
              </w:rPr>
              <w:t>AT RISK</w:t>
            </w:r>
          </w:p>
        </w:tc>
        <w:tc>
          <w:tcPr>
            <w:tcW w:type="dxa" w:w="1440"/>
          </w:tcPr>
          <w:p>
            <w:r/>
            <w:r>
              <w:rPr>
                <w:sz w:val="18"/>
              </w:rPr>
              <w:t>13</w:t>
            </w:r>
          </w:p>
        </w:tc>
        <w:tc>
          <w:tcPr>
            <w:tcW w:type="dxa" w:w="1440"/>
          </w:tcPr>
          <w:p>
            <w:r/>
            <w:r>
              <w:rPr>
                <w:sz w:val="18"/>
              </w:rPr>
              <w:t>6</w:t>
            </w:r>
          </w:p>
        </w:tc>
        <w:tc>
          <w:tcPr>
            <w:tcW w:type="dxa" w:w="1440"/>
          </w:tcPr>
          <w:p>
            <w:r/>
            <w:r>
              <w:rPr>
                <w:sz w:val="18"/>
              </w:rPr>
              <w:t>4</w:t>
            </w:r>
          </w:p>
        </w:tc>
        <w:tc>
          <w:tcPr>
            <w:tcW w:type="dxa" w:w="1440"/>
          </w:tcPr>
          <w:p>
            <w:r/>
            <w:r>
              <w:rPr>
                <w:sz w:val="18"/>
              </w:rPr>
              <w:t>23</w:t>
            </w:r>
          </w:p>
        </w:tc>
      </w:tr>
      <w:tr>
        <w:tc>
          <w:tcPr>
            <w:tcW w:type="dxa" w:w="2304"/>
            <w:shd w:val="clear" w:color="auto" w:fill="FFC000"/>
          </w:tcPr>
          <w:p>
            <w:r/>
            <w:r>
              <w:rPr>
                <w:b/>
                <w:sz w:val="18"/>
              </w:rPr>
              <w:t>GAP</w:t>
            </w:r>
          </w:p>
        </w:tc>
        <w:tc>
          <w:tcPr>
            <w:tcW w:type="dxa" w:w="1440"/>
          </w:tcPr>
          <w:p>
            <w:r/>
            <w:r>
              <w:rPr>
                <w:sz w:val="18"/>
              </w:rPr>
              <w:t>5</w:t>
            </w:r>
          </w:p>
        </w:tc>
        <w:tc>
          <w:tcPr>
            <w:tcW w:type="dxa" w:w="1440"/>
          </w:tcPr>
          <w:p>
            <w:r/>
            <w:r>
              <w:rPr>
                <w:sz w:val="18"/>
              </w:rPr>
              <w:t>8</w:t>
            </w:r>
          </w:p>
        </w:tc>
        <w:tc>
          <w:tcPr>
            <w:tcW w:type="dxa" w:w="1440"/>
          </w:tcPr>
          <w:p>
            <w:r/>
            <w:r>
              <w:rPr>
                <w:sz w:val="18"/>
              </w:rPr>
              <w:t>0</w:t>
            </w:r>
          </w:p>
        </w:tc>
        <w:tc>
          <w:tcPr>
            <w:tcW w:type="dxa" w:w="1440"/>
          </w:tcPr>
          <w:p>
            <w:r/>
            <w:r>
              <w:rPr>
                <w:sz w:val="18"/>
              </w:rPr>
              <w:t>13</w:t>
            </w:r>
          </w:p>
        </w:tc>
      </w:tr>
      <w:tr>
        <w:tc>
          <w:tcPr>
            <w:tcW w:type="dxa" w:w="2304"/>
            <w:shd w:val="clear" w:color="auto" w:fill="70AD47"/>
          </w:tcPr>
          <w:p>
            <w:r/>
            <w:r>
              <w:rPr>
                <w:b/>
                <w:color w:val="FFFFFF"/>
                <w:sz w:val="18"/>
              </w:rPr>
              <w:t>ALIGNED</w:t>
            </w:r>
          </w:p>
        </w:tc>
        <w:tc>
          <w:tcPr>
            <w:tcW w:type="dxa" w:w="1440"/>
          </w:tcPr>
          <w:p>
            <w:r/>
            <w:r>
              <w:rPr>
                <w:sz w:val="18"/>
              </w:rPr>
              <w:t>2</w:t>
            </w:r>
          </w:p>
        </w:tc>
        <w:tc>
          <w:tcPr>
            <w:tcW w:type="dxa" w:w="1440"/>
          </w:tcPr>
          <w:p>
            <w:r/>
            <w:r>
              <w:rPr>
                <w:sz w:val="18"/>
              </w:rPr>
              <w:t>0</w:t>
            </w:r>
          </w:p>
        </w:tc>
        <w:tc>
          <w:tcPr>
            <w:tcW w:type="dxa" w:w="1440"/>
          </w:tcPr>
          <w:p>
            <w:r/>
            <w:r>
              <w:rPr>
                <w:sz w:val="18"/>
              </w:rPr>
              <w:t>3</w:t>
            </w:r>
          </w:p>
        </w:tc>
        <w:tc>
          <w:tcPr>
            <w:tcW w:type="dxa" w:w="1440"/>
          </w:tcPr>
          <w:p>
            <w:r/>
            <w:r>
              <w:rPr>
                <w:sz w:val="18"/>
              </w:rPr>
              <w:t>5</w:t>
            </w:r>
          </w:p>
        </w:tc>
      </w:tr>
      <w:tr>
        <w:tc>
          <w:tcPr>
            <w:tcW w:type="dxa" w:w="2304"/>
            <w:shd w:val="clear" w:color="auto" w:fill="5B9BD5"/>
          </w:tcPr>
          <w:p>
            <w:r/>
            <w:r>
              <w:rPr>
                <w:b/>
                <w:color w:val="FFFFFF"/>
                <w:sz w:val="18"/>
              </w:rPr>
              <w:t>ONGOING</w:t>
            </w:r>
          </w:p>
        </w:tc>
        <w:tc>
          <w:tcPr>
            <w:tcW w:type="dxa" w:w="1440"/>
          </w:tcPr>
          <w:p>
            <w:r/>
            <w:r>
              <w:rPr>
                <w:sz w:val="18"/>
              </w:rPr>
              <w:t>1</w:t>
            </w:r>
          </w:p>
        </w:tc>
        <w:tc>
          <w:tcPr>
            <w:tcW w:type="dxa" w:w="1440"/>
          </w:tcPr>
          <w:p>
            <w:r/>
            <w:r>
              <w:rPr>
                <w:sz w:val="18"/>
              </w:rPr>
              <w:t>3</w:t>
            </w:r>
          </w:p>
        </w:tc>
        <w:tc>
          <w:tcPr>
            <w:tcW w:type="dxa" w:w="1440"/>
          </w:tcPr>
          <w:p>
            <w:r/>
            <w:r>
              <w:rPr>
                <w:sz w:val="18"/>
              </w:rPr>
              <w:t>1</w:t>
            </w:r>
          </w:p>
        </w:tc>
        <w:tc>
          <w:tcPr>
            <w:tcW w:type="dxa" w:w="1440"/>
          </w:tcPr>
          <w:p>
            <w:r/>
            <w:r>
              <w:rPr>
                <w:sz w:val="18"/>
              </w:rPr>
              <w:t>5</w:t>
            </w:r>
          </w:p>
        </w:tc>
      </w:tr>
      <w:tr>
        <w:tc>
          <w:tcPr>
            <w:tcW w:type="dxa" w:w="2304"/>
            <w:shd w:val="clear" w:color="auto" w:fill="FFFFFF"/>
          </w:tcPr>
          <w:p>
            <w:r/>
            <w:r>
              <w:rPr>
                <w:b/>
                <w:sz w:val="18"/>
              </w:rPr>
              <w:t>TOTAL</w:t>
            </w:r>
          </w:p>
        </w:tc>
        <w:tc>
          <w:tcPr>
            <w:tcW w:type="dxa" w:w="1440"/>
          </w:tcPr>
          <w:p>
            <w:r/>
            <w:r>
              <w:rPr>
                <w:sz w:val="18"/>
              </w:rPr>
              <w:t>26</w:t>
            </w:r>
          </w:p>
        </w:tc>
        <w:tc>
          <w:tcPr>
            <w:tcW w:type="dxa" w:w="1440"/>
          </w:tcPr>
          <w:p>
            <w:r/>
            <w:r>
              <w:rPr>
                <w:sz w:val="18"/>
              </w:rPr>
              <w:t>22</w:t>
            </w:r>
          </w:p>
        </w:tc>
        <w:tc>
          <w:tcPr>
            <w:tcW w:type="dxa" w:w="1440"/>
          </w:tcPr>
          <w:p>
            <w:r/>
            <w:r>
              <w:rPr>
                <w:sz w:val="18"/>
              </w:rPr>
              <w:t>8</w:t>
            </w:r>
          </w:p>
        </w:tc>
        <w:tc>
          <w:tcPr>
            <w:tcW w:type="dxa" w:w="1440"/>
          </w:tcPr>
          <w:p>
            <w:r/>
            <w:r>
              <w:rPr>
                <w:sz w:val="18"/>
              </w:rPr>
              <w:t>56</w:t>
            </w:r>
          </w:p>
        </w:tc>
      </w:tr>
    </w:tbl>
    <w:p>
      <w:pPr>
        <w:spacing w:after="40"/>
      </w:pPr>
    </w:p>
    <w:p>
      <w:pPr>
        <w:pStyle w:val="Heading1"/>
      </w:pPr>
      <w:r>
        <w:t>7. Open Items, Information Requests and Assumptions</w:t>
      </w:r>
    </w:p>
    <w:p>
      <w:pPr>
        <w:pStyle w:val="ListBullet"/>
        <w:spacing w:after="40"/>
      </w:pPr>
      <w:r>
        <w:rPr>
          <w:b/>
        </w:rPr>
        <w:t xml:space="preserve">Harmon County SUP No. HC-2024-0038. </w:t>
      </w:r>
      <w:r>
        <w:t>Not provided. It is incorporated into the CPCN (Cond. 22), and its conditions, including the reported 75-ft setback, road improvements, dust control and screening, must be added to this matrix.</w:t>
      </w:r>
    </w:p>
    <w:p>
      <w:pPr>
        <w:pStyle w:val="ListBullet"/>
        <w:spacing w:after="40"/>
      </w:pPr>
      <w:r>
        <w:rPr>
          <w:b/>
        </w:rPr>
        <w:t xml:space="preserve">Interconnection Agreement status. </w:t>
      </w:r>
      <w:r>
        <w:t>We need the current draft, the open technical appendices (system protection and relay coordination) and Midplains' escalation contacts to assess whether the Jan. 16, 2025 deadline is achievable or an extension motion is needed.</w:t>
      </w:r>
    </w:p>
    <w:p>
      <w:pPr>
        <w:pStyle w:val="ListBullet"/>
        <w:spacing w:after="40"/>
      </w:pPr>
      <w:r>
        <w:rPr>
          <w:b/>
        </w:rPr>
        <w:t xml:space="preserve">Definition of "start of construction" (CPCN). </w:t>
      </w:r>
      <w:r>
        <w:t>The CPCN does not define the term. We have assumed it is the first physical ground disturbance, consistent with ECO Finding 8. Written TPUC Staff confirmation is recommended, including whether NTP alone or off-site procurement starts the clock.</w:t>
      </w:r>
    </w:p>
    <w:p>
      <w:pPr>
        <w:pStyle w:val="ListBullet"/>
        <w:spacing w:after="40"/>
      </w:pPr>
      <w:r>
        <w:rPr>
          <w:b/>
        </w:rPr>
        <w:t xml:space="preserve">Financing structure. </w:t>
      </w:r>
      <w:r>
        <w:t>We need the tax-equity and back-leverage term sheets to assess whether closing involves a CPCN transfer or change of control (Cond. 25: 90-day prior application) or a TDEQ transfer (Cond. 20), and what notice is required under CPCN Cond. 24(b).</w:t>
      </w:r>
    </w:p>
    <w:p>
      <w:pPr>
        <w:pStyle w:val="ListBullet"/>
        <w:spacing w:after="40"/>
      </w:pPr>
      <w:r>
        <w:rPr>
          <w:b/>
        </w:rPr>
        <w:t xml:space="preserve">Airport data. </w:t>
      </w:r>
      <w:r>
        <w:t>Reconcile the Memo's reference to Vance Municipal Airport (about 6.2 mi SE) with the FAA's finding that the nearest public-use airport is Hollis Municipal (85F, about 18 nm NE). Also note that the CPCN locates the town of Hollis about 6.5 mi SE of the site.</w:t>
      </w:r>
    </w:p>
    <w:p>
      <w:pPr>
        <w:pStyle w:val="ListBullet"/>
        <w:spacing w:after="40"/>
      </w:pPr>
      <w:r>
        <w:rPr>
          <w:b/>
        </w:rPr>
        <w:t xml:space="preserve">Pullman family identity. </w:t>
      </w:r>
      <w:r>
        <w:t>The CPCN identifies the intervenors as Frank and Dorothy Pullman; the ECO service list names Dale and Joanne Pullman at the same address. Confirm the correct owners and occupants for construction-noise notices (ECO Cond. 13) and any SUP notices.</w:t>
      </w:r>
    </w:p>
    <w:p>
      <w:pPr>
        <w:pStyle w:val="ListBullet"/>
        <w:spacing w:after="40"/>
      </w:pPr>
      <w:r>
        <w:rPr>
          <w:b/>
        </w:rPr>
        <w:t xml:space="preserve">Environmental mitigation fee basis. </w:t>
      </w:r>
      <w:r>
        <w:t>The 1,495-acre basis (ECO Finding 3 / Cond. 9) excludes the about 12-acre BESS/substation pad, the gen-tie corridor and new roads outside the array area. The arithmetic is correct ($4,111.25 per year). Confirm with TDEQ that the acreage basis will not be re-opened.</w:t>
      </w:r>
    </w:p>
    <w:p>
      <w:pPr>
        <w:pStyle w:val="ListBullet"/>
        <w:spacing w:after="40"/>
      </w:pPr>
      <w:r>
        <w:rPr>
          <w:b/>
        </w:rPr>
        <w:t xml:space="preserve">Assumptions. </w:t>
      </w:r>
      <w:r>
        <w:t>Business-day calculations exclude weekends and the Dec. 25 and Jan. 1 holidays. Where a deadline falls on a weekend, we recommend filing on the preceding business day. Whether the approvals' own rules roll deadlines forward has not been confirmed. This matrix covers only the three approvals and the Memo provided; it does not address the Talmadge statutes or TPUC/TDEQ rules cited in them beyond their terms as quoted.</w:t>
      </w:r>
    </w:p>
    <w:sectPr w:rsidR="00FC693F" w:rsidRPr="0006063C" w:rsidSect="00034616">
      <w:footerReference w:type="default" r:id="rId9"/>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Privileged &amp; Confidential — Attorney-Client Communication / Attorney Work Product — Ridgeline Compliance Tracking Matrix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