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HARGROVE &amp; TILLMAN LLP</w:t>
      </w:r>
    </w:p>
    <w:p>
      <w:pPr>
        <w:spacing w:after="160"/>
        <w:jc w:val="center"/>
      </w:pPr>
      <w:r>
        <w:rPr>
          <w:b w:val="0"/>
          <w:i w:val="0"/>
          <w:sz w:val="18"/>
        </w:rPr>
        <w:t>900 SW Fifth Avenue, Suite 1800 | Portland, Oregon 97204</w:t>
      </w:r>
    </w:p>
    <w:p>
      <w:pPr>
        <w:spacing w:after="0"/>
        <w:jc w:val="center"/>
      </w:pPr>
      <w:r>
        <w:rPr>
          <w:b/>
          <w:i w:val="0"/>
          <w:sz w:val="18"/>
        </w:rPr>
        <w:t>PRIVILEGED &amp; CONFIDENTIAL | ATTORNEY-CLIENT COMMUNICATION | ATTORNEY WORK PRODUCT</w:t>
      </w:r>
    </w:p>
    <w:p>
      <w:pPr>
        <w:spacing w:after="200"/>
        <w:jc w:val="center"/>
      </w:pPr>
      <w:r>
        <w:rPr>
          <w:b/>
          <w:i w:val="0"/>
          <w:sz w:val="18"/>
        </w:rPr>
        <w:t>DRAFT FOR PARTNER REVIEW</w:t>
      </w:r>
    </w:p>
    <w:p>
      <w:pPr>
        <w:spacing w:after="120"/>
      </w:pPr>
      <w:r>
        <w:rPr>
          <w:b/>
          <w:i w:val="0"/>
          <w:sz w:val="28"/>
        </w:rPr>
        <w:t>MEMORANDUM</w:t>
      </w:r>
    </w:p>
    <w:tbl>
      <w:tblPr>
        <w:tblW w:type="auto" w:w="0"/>
        <w:tblLook w:firstColumn="1" w:firstRow="1" w:lastColumn="0" w:lastRow="0" w:noHBand="0" w:noVBand="1" w:val="04A0"/>
      </w:tblPr>
      <w:tblGrid>
        <w:gridCol w:w="4680"/>
        <w:gridCol w:w="4680"/>
      </w:tblGrid>
      <w:tr>
        <w:tc>
          <w:tcPr>
            <w:tcW w:type="dxa" w:w="2304"/>
          </w:tcPr>
          <w:p>
            <w:r/>
            <w:r>
              <w:rPr>
                <w:b/>
                <w:sz w:val="20"/>
              </w:rPr>
              <w:t>TO:</w:t>
            </w:r>
          </w:p>
        </w:tc>
        <w:tc>
          <w:tcPr>
            <w:tcW w:type="dxa" w:w="7056"/>
          </w:tcPr>
          <w:p>
            <w:r/>
            <w:r>
              <w:rPr>
                <w:sz w:val="20"/>
              </w:rPr>
              <w:t>Margaret Chen-Woodward, General Counsel, Cascadia Industrial Holdings, Inc.</w:t>
            </w:r>
          </w:p>
        </w:tc>
      </w:tr>
      <w:tr>
        <w:tc>
          <w:tcPr>
            <w:tcW w:type="dxa" w:w="2304"/>
          </w:tcPr>
          <w:p>
            <w:r/>
            <w:r>
              <w:rPr>
                <w:b/>
                <w:sz w:val="20"/>
              </w:rPr>
              <w:t>FROM:</w:t>
            </w:r>
          </w:p>
        </w:tc>
        <w:tc>
          <w:tcPr>
            <w:tcW w:type="dxa" w:w="7056"/>
          </w:tcPr>
          <w:p>
            <w:r/>
            <w:r>
              <w:rPr>
                <w:sz w:val="20"/>
              </w:rPr>
              <w:t>Hargrove &amp; Tillman LLP (Victoria Sandoval / Daniel Reeves)</w:t>
            </w:r>
          </w:p>
        </w:tc>
      </w:tr>
      <w:tr>
        <w:tc>
          <w:tcPr>
            <w:tcW w:type="dxa" w:w="2304"/>
          </w:tcPr>
          <w:p>
            <w:r/>
            <w:r>
              <w:rPr>
                <w:b/>
                <w:sz w:val="20"/>
              </w:rPr>
              <w:t>DATE:</w:t>
            </w:r>
          </w:p>
        </w:tc>
        <w:tc>
          <w:tcPr>
            <w:tcW w:type="dxa" w:w="7056"/>
          </w:tcPr>
          <w:p>
            <w:r/>
            <w:r>
              <w:rPr>
                <w:sz w:val="20"/>
              </w:rPr>
              <w:t>February 21, 2025</w:t>
            </w:r>
          </w:p>
        </w:tc>
      </w:tr>
      <w:tr>
        <w:tc>
          <w:tcPr>
            <w:tcW w:type="dxa" w:w="2304"/>
          </w:tcPr>
          <w:p>
            <w:r/>
            <w:r>
              <w:rPr>
                <w:b/>
                <w:sz w:val="20"/>
              </w:rPr>
              <w:t>RE:</w:t>
            </w:r>
          </w:p>
        </w:tc>
        <w:tc>
          <w:tcPr>
            <w:tcW w:type="dxa" w:w="7056"/>
          </w:tcPr>
          <w:p>
            <w:r/>
            <w:r>
              <w:rPr>
                <w:sz w:val="20"/>
              </w:rPr>
              <w:t>Tideflats Way Environmental Settlement (Thurston County Super. Ct. Case No. 25-2-01847-34) -- Comprehensive Summary and Risk Analysis of Indemnification Provisions</w:t>
            </w:r>
          </w:p>
        </w:tc>
      </w:tr>
      <w:tr>
        <w:tc>
          <w:tcPr>
            <w:tcW w:type="dxa" w:w="2304"/>
          </w:tcPr>
          <w:p>
            <w:r/>
            <w:r>
              <w:rPr>
                <w:b/>
                <w:sz w:val="20"/>
              </w:rPr>
              <w:t>DOCUMENTS REVIEWED:</w:t>
            </w:r>
          </w:p>
        </w:tc>
        <w:tc>
          <w:tcPr>
            <w:tcW w:type="dxa" w:w="7056"/>
          </w:tcPr>
          <w:p>
            <w:r/>
            <w:r>
              <w:rPr>
                <w:sz w:val="20"/>
              </w:rPr>
              <w:t>Comprehensive Settlement Agreement and Consent Decree (executed Jan. 12, 2025; Effective Date Feb. 1, 2025; entered Feb. 14, 2025) ("SA"); Exhibit D, Indemnification Procedures ("Exh. D"); Side Letter Re: Pre-Existing Third-Party Claims dated Jan. 12, 2025 ("SL"); Escrow Agreement dated as of Jan. 12, 2025 among Cascadia, Northshore and Ridgeway Escrow Services, Inc. ("EA")</w:t>
            </w:r>
          </w:p>
        </w:tc>
      </w:tr>
    </w:tbl>
    <w:p>
      <w:pPr>
        <w:spacing w:after="120"/>
      </w:pPr>
      <w:r>
        <w:rPr>
          <w:b w:val="0"/>
          <w:i w:val="0"/>
          <w:sz w:val="16"/>
        </w:rPr>
        <w:t>_______________________________________________________________________________________________</w:t>
      </w:r>
    </w:p>
    <w:p>
      <w:pPr>
        <w:pStyle w:val="Heading1"/>
      </w:pPr>
      <w:r>
        <w:t>Contents and Quick-Reference Guide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864"/>
            <w:shd w:val="clear" w:color="auto" w:fill="1F3A5F"/>
          </w:tcPr>
          <w:p>
            <w:r/>
            <w:r>
              <w:rPr>
                <w:b/>
                <w:color w:val="FFFFFF"/>
                <w:sz w:val="17"/>
              </w:rPr>
              <w:t>Part</w:t>
            </w:r>
          </w:p>
        </w:tc>
        <w:tc>
          <w:tcPr>
            <w:tcW w:type="dxa" w:w="3456"/>
            <w:shd w:val="clear" w:color="auto" w:fill="1F3A5F"/>
          </w:tcPr>
          <w:p>
            <w:r/>
            <w:r>
              <w:rPr>
                <w:b/>
                <w:color w:val="FFFFFF"/>
                <w:sz w:val="17"/>
              </w:rPr>
              <w:t>Topic</w:t>
            </w:r>
          </w:p>
        </w:tc>
        <w:tc>
          <w:tcPr>
            <w:tcW w:type="dxa" w:w="5040"/>
            <w:shd w:val="clear" w:color="auto" w:fill="1F3A5F"/>
          </w:tcPr>
          <w:p>
            <w:r/>
            <w:r>
              <w:rPr>
                <w:b/>
                <w:color w:val="FFFFFF"/>
                <w:sz w:val="17"/>
              </w:rPr>
              <w:t>Use it to find</w:t>
            </w:r>
          </w:p>
        </w:tc>
      </w:tr>
      <w:tr>
        <w:tc>
          <w:tcPr>
            <w:tcW w:type="dxa" w:w="864"/>
          </w:tcPr>
          <w:p>
            <w:pPr>
              <w:spacing w:after="20"/>
            </w:pPr>
            <w:r/>
            <w:r>
              <w:rPr>
                <w:b w:val="0"/>
                <w:i w:val="0"/>
                <w:sz w:val="17"/>
              </w:rPr>
              <w:t>I</w:t>
            </w:r>
          </w:p>
        </w:tc>
        <w:tc>
          <w:tcPr>
            <w:tcW w:type="dxa" w:w="3456"/>
          </w:tcPr>
          <w:p>
            <w:pPr>
              <w:spacing w:after="20"/>
            </w:pPr>
            <w:r/>
            <w:r>
              <w:rPr>
                <w:b w:val="0"/>
                <w:i w:val="0"/>
                <w:sz w:val="17"/>
              </w:rPr>
              <w:t>Executive Summary</w:t>
            </w:r>
          </w:p>
        </w:tc>
        <w:tc>
          <w:tcPr>
            <w:tcW w:type="dxa" w:w="5040"/>
          </w:tcPr>
          <w:p>
            <w:pPr>
              <w:spacing w:after="20"/>
            </w:pPr>
            <w:r/>
            <w:r>
              <w:rPr>
                <w:b w:val="0"/>
                <w:i w:val="0"/>
                <w:sz w:val="17"/>
              </w:rPr>
              <w:t>Bottom-line conclusions and priority actions</w:t>
            </w:r>
          </w:p>
        </w:tc>
      </w:tr>
      <w:tr>
        <w:tc>
          <w:tcPr>
            <w:tcW w:type="dxa" w:w="864"/>
          </w:tcPr>
          <w:p>
            <w:pPr>
              <w:spacing w:after="20"/>
            </w:pPr>
            <w:r/>
            <w:r>
              <w:rPr>
                <w:b w:val="0"/>
                <w:i w:val="0"/>
                <w:sz w:val="17"/>
              </w:rPr>
              <w:t>II</w:t>
            </w:r>
          </w:p>
        </w:tc>
        <w:tc>
          <w:tcPr>
            <w:tcW w:type="dxa" w:w="3456"/>
          </w:tcPr>
          <w:p>
            <w:pPr>
              <w:spacing w:after="20"/>
            </w:pPr>
            <w:r/>
            <w:r>
              <w:rPr>
                <w:b w:val="0"/>
                <w:i w:val="0"/>
                <w:sz w:val="17"/>
              </w:rPr>
              <w:t>Transaction Overview and Defined Terms</w:t>
            </w:r>
          </w:p>
        </w:tc>
        <w:tc>
          <w:tcPr>
            <w:tcW w:type="dxa" w:w="5040"/>
          </w:tcPr>
          <w:p>
            <w:pPr>
              <w:spacing w:after="20"/>
            </w:pPr>
            <w:r/>
            <w:r>
              <w:rPr>
                <w:b w:val="0"/>
                <w:i w:val="0"/>
                <w:sz w:val="17"/>
              </w:rPr>
              <w:t>Parties, roles, cost shares, insurance and security instruments</w:t>
            </w:r>
          </w:p>
        </w:tc>
      </w:tr>
      <w:tr>
        <w:tc>
          <w:tcPr>
            <w:tcW w:type="dxa" w:w="864"/>
          </w:tcPr>
          <w:p>
            <w:pPr>
              <w:spacing w:after="20"/>
            </w:pPr>
            <w:r/>
            <w:r>
              <w:rPr>
                <w:b w:val="0"/>
                <w:i w:val="0"/>
                <w:sz w:val="17"/>
              </w:rPr>
              <w:t>III</w:t>
            </w:r>
          </w:p>
        </w:tc>
        <w:tc>
          <w:tcPr>
            <w:tcW w:type="dxa" w:w="3456"/>
          </w:tcPr>
          <w:p>
            <w:pPr>
              <w:spacing w:after="20"/>
            </w:pPr>
            <w:r/>
            <w:r>
              <w:rPr>
                <w:b w:val="0"/>
                <w:i w:val="0"/>
                <w:sz w:val="17"/>
              </w:rPr>
              <w:t>Catalog of Indemnification Obligations</w:t>
            </w:r>
          </w:p>
        </w:tc>
        <w:tc>
          <w:tcPr>
            <w:tcW w:type="dxa" w:w="5040"/>
          </w:tcPr>
          <w:p>
            <w:pPr>
              <w:spacing w:after="20"/>
            </w:pPr>
            <w:r/>
            <w:r>
              <w:rPr>
                <w:b w:val="0"/>
                <w:i w:val="0"/>
                <w:sz w:val="17"/>
              </w:rPr>
              <w:t>Every obligation by document and section: indemnitor, indemnitee, trigger, scope, cap, basket (and type), exclusions, survival</w:t>
            </w:r>
          </w:p>
        </w:tc>
      </w:tr>
      <w:tr>
        <w:tc>
          <w:tcPr>
            <w:tcW w:type="dxa" w:w="864"/>
          </w:tcPr>
          <w:p>
            <w:pPr>
              <w:spacing w:after="20"/>
            </w:pPr>
            <w:r/>
            <w:r>
              <w:rPr>
                <w:b w:val="0"/>
                <w:i w:val="0"/>
                <w:sz w:val="17"/>
              </w:rPr>
              <w:t>IV</w:t>
            </w:r>
          </w:p>
        </w:tc>
        <w:tc>
          <w:tcPr>
            <w:tcW w:type="dxa" w:w="3456"/>
          </w:tcPr>
          <w:p>
            <w:pPr>
              <w:spacing w:after="20"/>
            </w:pPr>
            <w:r/>
            <w:r>
              <w:rPr>
                <w:b w:val="0"/>
                <w:i w:val="0"/>
                <w:sz w:val="17"/>
              </w:rPr>
              <w:t>Cascadia Financial Exposure Summary</w:t>
            </w:r>
          </w:p>
        </w:tc>
        <w:tc>
          <w:tcPr>
            <w:tcW w:type="dxa" w:w="5040"/>
          </w:tcPr>
          <w:p>
            <w:pPr>
              <w:spacing w:after="20"/>
            </w:pPr>
            <w:r/>
            <w:r>
              <w:rPr>
                <w:b w:val="0"/>
                <w:i w:val="0"/>
                <w:sz w:val="17"/>
              </w:rPr>
              <w:t>Dollar exposure under each obligation, the Puget guarantee analysis, and illustrative scenarios</w:t>
            </w:r>
          </w:p>
        </w:tc>
      </w:tr>
      <w:tr>
        <w:tc>
          <w:tcPr>
            <w:tcW w:type="dxa" w:w="864"/>
          </w:tcPr>
          <w:p>
            <w:pPr>
              <w:spacing w:after="20"/>
            </w:pPr>
            <w:r/>
            <w:r>
              <w:rPr>
                <w:b w:val="0"/>
                <w:i w:val="0"/>
                <w:sz w:val="17"/>
              </w:rPr>
              <w:t>V</w:t>
            </w:r>
          </w:p>
        </w:tc>
        <w:tc>
          <w:tcPr>
            <w:tcW w:type="dxa" w:w="3456"/>
          </w:tcPr>
          <w:p>
            <w:pPr>
              <w:spacing w:after="20"/>
            </w:pPr>
            <w:r/>
            <w:r>
              <w:rPr>
                <w:b w:val="0"/>
                <w:i w:val="0"/>
                <w:sz w:val="17"/>
              </w:rPr>
              <w:t>Coverage Map and Gap Analysis</w:t>
            </w:r>
          </w:p>
        </w:tc>
        <w:tc>
          <w:tcPr>
            <w:tcW w:type="dxa" w:w="5040"/>
          </w:tcPr>
          <w:p>
            <w:pPr>
              <w:spacing w:after="20"/>
            </w:pPr>
            <w:r/>
            <w:r>
              <w:rPr>
                <w:b w:val="0"/>
                <w:i w:val="0"/>
                <w:sz w:val="17"/>
              </w:rPr>
              <w:t>Government cost recovery, NRD, third-party tort and other claim categories</w:t>
            </w:r>
          </w:p>
        </w:tc>
      </w:tr>
      <w:tr>
        <w:tc>
          <w:tcPr>
            <w:tcW w:type="dxa" w:w="864"/>
          </w:tcPr>
          <w:p>
            <w:pPr>
              <w:spacing w:after="20"/>
            </w:pPr>
            <w:r/>
            <w:r>
              <w:rPr>
                <w:b w:val="0"/>
                <w:i w:val="0"/>
                <w:sz w:val="17"/>
              </w:rPr>
              <w:t>VI</w:t>
            </w:r>
          </w:p>
        </w:tc>
        <w:tc>
          <w:tcPr>
            <w:tcW w:type="dxa" w:w="3456"/>
          </w:tcPr>
          <w:p>
            <w:pPr>
              <w:spacing w:after="20"/>
            </w:pPr>
            <w:r/>
            <w:r>
              <w:rPr>
                <w:b w:val="0"/>
                <w:i w:val="0"/>
                <w:sz w:val="17"/>
              </w:rPr>
              <w:t>Deviations from the 62/28/10 Allocation and Structural Asymmetries</w:t>
            </w:r>
          </w:p>
        </w:tc>
        <w:tc>
          <w:tcPr>
            <w:tcW w:type="dxa" w:w="5040"/>
          </w:tcPr>
          <w:p>
            <w:pPr>
              <w:spacing w:after="20"/>
            </w:pPr>
            <w:r/>
            <w:r>
              <w:rPr>
                <w:b w:val="0"/>
                <w:i w:val="0"/>
                <w:sz w:val="17"/>
              </w:rPr>
              <w:t>Where allocation, caps, baskets and mechanics depart from the cost-share split</w:t>
            </w:r>
          </w:p>
        </w:tc>
      </w:tr>
      <w:tr>
        <w:tc>
          <w:tcPr>
            <w:tcW w:type="dxa" w:w="864"/>
          </w:tcPr>
          <w:p>
            <w:pPr>
              <w:spacing w:after="20"/>
            </w:pPr>
            <w:r/>
            <w:r>
              <w:rPr>
                <w:b w:val="0"/>
                <w:i w:val="0"/>
                <w:sz w:val="17"/>
              </w:rPr>
              <w:t>VII</w:t>
            </w:r>
          </w:p>
        </w:tc>
        <w:tc>
          <w:tcPr>
            <w:tcW w:type="dxa" w:w="3456"/>
          </w:tcPr>
          <w:p>
            <w:pPr>
              <w:spacing w:after="20"/>
            </w:pPr>
            <w:r/>
            <w:r>
              <w:rPr>
                <w:b w:val="0"/>
                <w:i w:val="0"/>
                <w:sz w:val="17"/>
              </w:rPr>
              <w:t>Insurance Interplay (Hollcroft PLL Policy)</w:t>
            </w:r>
          </w:p>
        </w:tc>
        <w:tc>
          <w:tcPr>
            <w:tcW w:type="dxa" w:w="5040"/>
          </w:tcPr>
          <w:p>
            <w:pPr>
              <w:spacing w:after="20"/>
            </w:pPr>
            <w:r/>
            <w:r>
              <w:rPr>
                <w:b w:val="0"/>
                <w:i w:val="0"/>
                <w:sz w:val="17"/>
              </w:rPr>
              <w:t>Sequencing, offsets, SIR, limit erosion, policy expiry</w:t>
            </w:r>
          </w:p>
        </w:tc>
      </w:tr>
      <w:tr>
        <w:tc>
          <w:tcPr>
            <w:tcW w:type="dxa" w:w="864"/>
          </w:tcPr>
          <w:p>
            <w:pPr>
              <w:spacing w:after="20"/>
            </w:pPr>
            <w:r/>
            <w:r>
              <w:rPr>
                <w:b w:val="0"/>
                <w:i w:val="0"/>
                <w:sz w:val="17"/>
              </w:rPr>
              <w:t>VIII</w:t>
            </w:r>
          </w:p>
        </w:tc>
        <w:tc>
          <w:tcPr>
            <w:tcW w:type="dxa" w:w="3456"/>
          </w:tcPr>
          <w:p>
            <w:pPr>
              <w:spacing w:after="20"/>
            </w:pPr>
            <w:r/>
            <w:r>
              <w:rPr>
                <w:b w:val="0"/>
                <w:i w:val="0"/>
                <w:sz w:val="17"/>
              </w:rPr>
              <w:t>Survival and Tail</w:t>
            </w:r>
          </w:p>
        </w:tc>
        <w:tc>
          <w:tcPr>
            <w:tcW w:type="dxa" w:w="5040"/>
          </w:tcPr>
          <w:p>
            <w:pPr>
              <w:spacing w:after="20"/>
            </w:pPr>
            <w:r/>
            <w:r>
              <w:rPr>
                <w:b w:val="0"/>
                <w:i w:val="0"/>
                <w:sz w:val="17"/>
              </w:rPr>
              <w:t>Each survival period mapped to its obligation, with adequacy assessment</w:t>
            </w:r>
          </w:p>
        </w:tc>
      </w:tr>
      <w:tr>
        <w:tc>
          <w:tcPr>
            <w:tcW w:type="dxa" w:w="864"/>
          </w:tcPr>
          <w:p>
            <w:pPr>
              <w:spacing w:after="20"/>
            </w:pPr>
            <w:r/>
            <w:r>
              <w:rPr>
                <w:b w:val="0"/>
                <w:i w:val="0"/>
                <w:sz w:val="17"/>
              </w:rPr>
              <w:t>IX</w:t>
            </w:r>
          </w:p>
        </w:tc>
        <w:tc>
          <w:tcPr>
            <w:tcW w:type="dxa" w:w="3456"/>
          </w:tcPr>
          <w:p>
            <w:pPr>
              <w:spacing w:after="20"/>
            </w:pPr>
            <w:r/>
            <w:r>
              <w:rPr>
                <w:b w:val="0"/>
                <w:i w:val="0"/>
                <w:sz w:val="17"/>
              </w:rPr>
              <w:t>Exhibit D Procedural Requirements and Defects</w:t>
            </w:r>
          </w:p>
        </w:tc>
        <w:tc>
          <w:tcPr>
            <w:tcW w:type="dxa" w:w="5040"/>
          </w:tcPr>
          <w:p>
            <w:pPr>
              <w:spacing w:after="20"/>
            </w:pPr>
            <w:r/>
            <w:r>
              <w:rPr>
                <w:b w:val="0"/>
                <w:i w:val="0"/>
                <w:sz w:val="17"/>
              </w:rPr>
              <w:t>Notice, defense, settlement consent, cooperation, payment, disputes; drafting errors</w:t>
            </w:r>
          </w:p>
        </w:tc>
      </w:tr>
      <w:tr>
        <w:tc>
          <w:tcPr>
            <w:tcW w:type="dxa" w:w="864"/>
          </w:tcPr>
          <w:p>
            <w:pPr>
              <w:spacing w:after="20"/>
            </w:pPr>
            <w:r/>
            <w:r>
              <w:rPr>
                <w:b w:val="0"/>
                <w:i w:val="0"/>
                <w:sz w:val="17"/>
              </w:rPr>
              <w:t>X</w:t>
            </w:r>
          </w:p>
        </w:tc>
        <w:tc>
          <w:tcPr>
            <w:tcW w:type="dxa" w:w="3456"/>
          </w:tcPr>
          <w:p>
            <w:pPr>
              <w:spacing w:after="20"/>
            </w:pPr>
            <w:r/>
            <w:r>
              <w:rPr>
                <w:b w:val="0"/>
                <w:i w:val="0"/>
                <w:sz w:val="17"/>
              </w:rPr>
              <w:t>Risk Register and Recommendations</w:t>
            </w:r>
          </w:p>
        </w:tc>
        <w:tc>
          <w:tcPr>
            <w:tcW w:type="dxa" w:w="5040"/>
          </w:tcPr>
          <w:p>
            <w:pPr>
              <w:spacing w:after="20"/>
            </w:pPr>
            <w:r/>
            <w:r>
              <w:rPr>
                <w:b w:val="0"/>
                <w:i w:val="0"/>
                <w:sz w:val="17"/>
              </w:rPr>
              <w:t>Each gap/inconsistency with severity and recommended next step</w:t>
            </w:r>
          </w:p>
        </w:tc>
      </w:tr>
      <w:tr>
        <w:tc>
          <w:tcPr>
            <w:tcW w:type="dxa" w:w="864"/>
          </w:tcPr>
          <w:p>
            <w:pPr>
              <w:spacing w:after="20"/>
            </w:pPr>
            <w:r/>
            <w:r>
              <w:rPr>
                <w:b w:val="0"/>
                <w:i w:val="0"/>
                <w:sz w:val="17"/>
              </w:rPr>
              <w:t>XI</w:t>
            </w:r>
          </w:p>
        </w:tc>
        <w:tc>
          <w:tcPr>
            <w:tcW w:type="dxa" w:w="3456"/>
          </w:tcPr>
          <w:p>
            <w:pPr>
              <w:spacing w:after="20"/>
            </w:pPr>
            <w:r/>
            <w:r>
              <w:rPr>
                <w:b w:val="0"/>
                <w:i w:val="0"/>
                <w:sz w:val="17"/>
              </w:rPr>
              <w:t>Recommended Next Steps</w:t>
            </w:r>
          </w:p>
        </w:tc>
        <w:tc>
          <w:tcPr>
            <w:tcW w:type="dxa" w:w="5040"/>
          </w:tcPr>
          <w:p>
            <w:pPr>
              <w:spacing w:after="20"/>
            </w:pPr>
            <w:r/>
            <w:r>
              <w:rPr>
                <w:b w:val="0"/>
                <w:i w:val="0"/>
                <w:sz w:val="17"/>
              </w:rPr>
              <w:t>Prioritized action list</w:t>
            </w:r>
          </w:p>
        </w:tc>
      </w:tr>
      <w:tr>
        <w:tc>
          <w:tcPr>
            <w:tcW w:type="dxa" w:w="864"/>
          </w:tcPr>
          <w:p>
            <w:pPr>
              <w:spacing w:after="20"/>
            </w:pPr>
            <w:r/>
            <w:r>
              <w:rPr>
                <w:b w:val="0"/>
                <w:i w:val="0"/>
                <w:sz w:val="17"/>
              </w:rPr>
              <w:t>App. A</w:t>
            </w:r>
          </w:p>
        </w:tc>
        <w:tc>
          <w:tcPr>
            <w:tcW w:type="dxa" w:w="3456"/>
          </w:tcPr>
          <w:p>
            <w:pPr>
              <w:spacing w:after="20"/>
            </w:pPr>
            <w:r/>
            <w:r>
              <w:rPr>
                <w:b w:val="0"/>
                <w:i w:val="0"/>
                <w:sz w:val="17"/>
              </w:rPr>
              <w:t>Cross-Reference and Conforming Errata</w:t>
            </w:r>
          </w:p>
        </w:tc>
        <w:tc>
          <w:tcPr>
            <w:tcW w:type="dxa" w:w="5040"/>
          </w:tcPr>
          <w:p>
            <w:pPr>
              <w:spacing w:after="20"/>
            </w:pPr>
            <w:r/>
            <w:r>
              <w:rPr>
                <w:b w:val="0"/>
                <w:i w:val="0"/>
                <w:sz w:val="17"/>
              </w:rPr>
              <w:t>Incorrect section references and factual inconsistencies across the suite</w:t>
            </w:r>
          </w:p>
        </w:tc>
      </w:tr>
      <w:tr>
        <w:tc>
          <w:tcPr>
            <w:tcW w:type="dxa" w:w="864"/>
          </w:tcPr>
          <w:p>
            <w:pPr>
              <w:spacing w:after="20"/>
            </w:pPr>
            <w:r/>
            <w:r>
              <w:rPr>
                <w:b w:val="0"/>
                <w:i w:val="0"/>
                <w:sz w:val="17"/>
              </w:rPr>
              <w:t>App. B</w:t>
            </w:r>
          </w:p>
        </w:tc>
        <w:tc>
          <w:tcPr>
            <w:tcW w:type="dxa" w:w="3456"/>
          </w:tcPr>
          <w:p>
            <w:pPr>
              <w:spacing w:after="20"/>
            </w:pPr>
            <w:r/>
            <w:r>
              <w:rPr>
                <w:b w:val="0"/>
                <w:i w:val="0"/>
                <w:sz w:val="17"/>
              </w:rPr>
              <w:t>Key Dates and Deadlines Calendar</w:t>
            </w:r>
          </w:p>
        </w:tc>
        <w:tc>
          <w:tcPr>
            <w:tcW w:type="dxa" w:w="5040"/>
          </w:tcPr>
          <w:p>
            <w:pPr>
              <w:spacing w:after="20"/>
            </w:pPr>
            <w:r/>
            <w:r>
              <w:rPr>
                <w:b w:val="0"/>
                <w:i w:val="0"/>
                <w:sz w:val="17"/>
              </w:rPr>
              <w:t>Survival expirations, policy expiry, recurring payment dates</w:t>
            </w:r>
          </w:p>
        </w:tc>
      </w:tr>
    </w:tbl>
    <w:p>
      <w:pPr>
        <w:spacing w:after="40"/>
      </w:pPr>
    </w:p>
    <w:p>
      <w:pPr>
        <w:pStyle w:val="Heading1"/>
      </w:pPr>
      <w:r>
        <w:t>I. Executive Summary</w:t>
      </w:r>
    </w:p>
    <w:p>
      <w:pPr>
        <w:spacing w:after="80"/>
      </w:pPr>
      <w:r>
        <w:rPr>
          <w:b w:val="0"/>
          <w:i w:val="0"/>
        </w:rPr>
        <w:t>You asked us to catalog every indemnification-related provision in the Tideflats Way settlement suite, quantify Cascadia's exposure, identify gaps and anomalies, explain how the Hollcroft Point Surety Group PLL Policy interacts with the indemnities, and map survival periods. Our principal conclusions follow. Section references are to the SA unless otherwise indicated. This first draft is based solely on the four documents listed above; we have not reviewed the PLL Policy itself, the 2016 Puget Metalworks acquisition agreement, the term sheet, or SA Exhibits A-C, E and F, and several conclusions should be confirmed against those documents.</w:t>
      </w:r>
    </w:p>
    <w:p>
      <w:pPr>
        <w:spacing w:after="40"/>
      </w:pPr>
      <w:r>
        <w:rPr>
          <w:b/>
          <w:i w:val="0"/>
        </w:rPr>
        <w:t>Bottom line.</w:t>
      </w:r>
    </w:p>
    <w:p>
      <w:pPr>
        <w:pStyle w:val="ListBullet"/>
        <w:spacing w:after="40"/>
      </w:pPr>
      <w:r>
        <w:rPr>
          <w:b/>
          <w:i w:val="0"/>
        </w:rPr>
        <w:t>Cascadia's effective remediation cost share is 72% ($20,448,000), not 62% ($17,608,000).</w:t>
      </w:r>
      <w:r>
        <w:rPr>
          <w:b w:val="0"/>
          <w:i w:val="0"/>
        </w:rPr>
        <w:t xml:space="preserve"> Puget Metalworks is dormant with "no material independent assets" (SA 3.4), and Cascadia's guarantee of Puget's share is unconditional, irrevocable, and a guarantee of payment (not collection) without any exhaustion requirement (SA 5.3). The $2,840,000 Puget share and 10% of any cost overruns under SA 5.6 should be treated as Cascadia's own liability for budgeting, reserving and audit-committee purposes.</w:t>
      </w:r>
    </w:p>
    <w:p>
      <w:pPr>
        <w:pStyle w:val="ListBullet"/>
        <w:spacing w:after="40"/>
      </w:pPr>
      <w:r>
        <w:rPr>
          <w:b/>
          <w:i w:val="0"/>
        </w:rPr>
        <w:t>The Puget guarantee extends well beyond the 10% cost share.</w:t>
      </w:r>
      <w:r>
        <w:rPr>
          <w:b w:val="0"/>
          <w:i w:val="0"/>
        </w:rPr>
        <w:t xml:space="preserve"> Cascadia also guarantees Puget's SA 8.3 indemnity for Undisclosed Pre-Acquisition Conditions, which has no cap, no basket, indefinite survival, and is not subject to the SA 8.6 exclusions (SA 8.3(b)-(d), 8.6 final para., 8.8(c)). In practical terms Cascadia has given Northshore an uncapped, perpetual, first-dollar indemnity for undisclosed pre-2016 conditions, while the same provision gives Cascadia no real protection because Cascadia would be guaranteeing an indemnity owed to itself.</w:t>
      </w:r>
    </w:p>
    <w:p>
      <w:pPr>
        <w:pStyle w:val="ListBullet"/>
        <w:spacing w:after="40"/>
      </w:pPr>
      <w:r>
        <w:rPr>
          <w:b/>
          <w:i w:val="0"/>
        </w:rPr>
        <w:t>Quantifiable exposure.</w:t>
      </w:r>
      <w:r>
        <w:rPr>
          <w:b w:val="0"/>
          <w:i w:val="0"/>
        </w:rPr>
        <w:t xml:space="preserve"> Cascadia's quantifiable exposure is approximately </w:t>
      </w:r>
      <w:r>
        <w:rPr>
          <w:b/>
          <w:i w:val="0"/>
        </w:rPr>
        <w:t>$26.94 million</w:t>
      </w:r>
      <w:r>
        <w:rPr>
          <w:b w:val="0"/>
          <w:i w:val="0"/>
        </w:rPr>
        <w:t xml:space="preserve"> on a base case (72% effective cost share of $20.448M plus $6.495M retained or assumed on the three Pre-Existing Claims at their claimed amounts), rising to approximately </w:t>
      </w:r>
      <w:r>
        <w:rPr>
          <w:b/>
          <w:i w:val="0"/>
        </w:rPr>
        <w:t>$36.94 million</w:t>
      </w:r>
      <w:r>
        <w:rPr>
          <w:b w:val="0"/>
          <w:i w:val="0"/>
        </w:rPr>
        <w:t xml:space="preserve"> if the $10M SA 8.1 cap is exhausted, </w:t>
      </w:r>
      <w:r>
        <w:rPr>
          <w:b/>
          <w:i w:val="0"/>
        </w:rPr>
        <w:t>before</w:t>
      </w:r>
      <w:r>
        <w:rPr>
          <w:b w:val="0"/>
          <w:i w:val="0"/>
        </w:rPr>
        <w:t xml:space="preserve"> the uncapped obligations: Puget 8.3 (via guarantee), Government Cost Recovery (SA 8.4, 62% plus a likely 10% Puget share), NRD (100% above $12.5M of total NRD, SA 8.5), the Marina Claim above $4.1M (SL 2(c)), cost overruns (72%), and the joint and several escrow-agent indemnity (EA 6.1). See Part IV.</w:t>
      </w:r>
    </w:p>
    <w:p>
      <w:pPr>
        <w:pStyle w:val="ListBullet"/>
        <w:spacing w:after="40"/>
      </w:pPr>
      <w:r>
        <w:rPr>
          <w:b/>
          <w:i w:val="0"/>
        </w:rPr>
        <w:t>Coverage gaps.</w:t>
      </w:r>
      <w:r>
        <w:rPr>
          <w:b w:val="0"/>
          <w:i w:val="0"/>
        </w:rPr>
        <w:t xml:space="preserve"> The most significant gaps are: (i) </w:t>
      </w:r>
      <w:r>
        <w:rPr>
          <w:b/>
          <w:i w:val="0"/>
        </w:rPr>
        <w:t>no survival period at all for the NRD indemnity</w:t>
      </w:r>
      <w:r>
        <w:rPr>
          <w:b w:val="0"/>
          <w:i w:val="0"/>
        </w:rPr>
        <w:t xml:space="preserve"> (SA 8.8 omits SA 8.5); (ii) </w:t>
      </w:r>
      <w:r>
        <w:rPr>
          <w:b/>
          <w:i w:val="0"/>
        </w:rPr>
        <w:t>no indemnity covers third-party tort or private cost-recovery claims arising from Puget's historical operations</w:t>
      </w:r>
      <w:r>
        <w:rPr>
          <w:b w:val="0"/>
          <w:i w:val="0"/>
        </w:rPr>
        <w:t xml:space="preserve"> unless the claim is attributable to Northshore-supplied substances (SA 8.2) or to undisclosed pre-acquisition conditions (SA 8.3), so Cascadia bears these 100%; (iii) SA 8.4 covers only government "cost recovery, response costs, or remediation costs" (not penalties, and not private-party claims) that "exceed the scope" of the Consent Decree, an undefined standard; and (iv) Northshore's indemnity of Cascadia expires on February 1, 2037, although long-term monitoring runs 30 years and latent toxic-tort and NRD claims routinely surface decades after remediation. See Parts V and VIII.</w:t>
      </w:r>
    </w:p>
    <w:p>
      <w:pPr>
        <w:pStyle w:val="ListBullet"/>
        <w:spacing w:after="40"/>
      </w:pPr>
      <w:r>
        <w:rPr>
          <w:b/>
          <w:i w:val="0"/>
        </w:rPr>
        <w:t>Insurance sequencing works against Cascadia.</w:t>
      </w:r>
      <w:r>
        <w:rPr>
          <w:b w:val="0"/>
          <w:i w:val="0"/>
        </w:rPr>
        <w:t xml:space="preserve"> SA 8.7(b) and Exh. D 5(a), (d) require the Indemnified Party to pursue insurance (expressly including the PLL Policy) before seeking indemnification, and SA 8.7(a) reduces the indemnity dollar-for-dollar by proceeds received. When Cascadia is the indemnitee (SA 8.2, 8.5, SL 2(a)-(b)), Cascadia must erode its own $15M aggregate PLL limit for Northshore's benefit. The PLL Policy also expires January 1, 2028, less than three years into 12-year, 20-year and indefinite indemnity tails. See Part VII.</w:t>
      </w:r>
    </w:p>
    <w:p>
      <w:pPr>
        <w:pStyle w:val="ListBullet"/>
        <w:spacing w:after="40"/>
      </w:pPr>
      <w:r>
        <w:rPr>
          <w:b/>
          <w:i w:val="0"/>
        </w:rPr>
        <w:t>Asymmetries.</w:t>
      </w:r>
      <w:r>
        <w:rPr>
          <w:b w:val="0"/>
          <w:i w:val="0"/>
        </w:rPr>
        <w:t xml:space="preserve"> Cascadia's indemnity of Northshore is capped at $10,000,000 versus Northshore's $7,952,000 (SA 8.1(b), 8.2(b)); Cascadia's Marina Claim indemnity is 100% and uncapped while Northshore's Pre-Existing Claim indemnities are capped at $805,000 and $900,000 regardless of the ultimate judgment (SL 2); and the NRD provision is a one-way Northshore indemnity capped at $5M that leaves Cascadia uncapped above $12.5M (SA 8.5). The basket structure, by contrast, favors Cascadia: Cascadia's indemnity carries a $250,000 true deductible, whereas Northshore's carries a $150,000 tipping threshold that reverts to first-dollar coverage (SA 8.1(c), 8.2(c)). See Part VI.</w:t>
      </w:r>
    </w:p>
    <w:p>
      <w:pPr>
        <w:pStyle w:val="ListBullet"/>
        <w:spacing w:after="40"/>
      </w:pPr>
      <w:r>
        <w:rPr>
          <w:b/>
          <w:i w:val="0"/>
        </w:rPr>
        <w:t>Exhibit D contains multiple incorrect cross-references</w:t>
      </w:r>
      <w:r>
        <w:rPr>
          <w:b w:val="0"/>
          <w:i w:val="0"/>
        </w:rPr>
        <w:t xml:space="preserve"> (to "Article II" definitions, "Section 12.3" notices, "Article IX" dispute resolution and "Section 12.8" governing law), a Third-Party Claim definition that conflicts with SA 1.38, and mechanics that do not work for proportional or direct claims. The Side Letter repeats the Section 12.3 error and misidentifies the Consent Decree court as Pierce County. The Escrow Agreement cites the wrong SA section for the deposit (5.3 rather than 5.4) and sets fee timing and venue inconsistent with the SA. See Part IX and Appendix A.</w:t>
      </w:r>
    </w:p>
    <w:p>
      <w:pPr>
        <w:pStyle w:val="ListBullet"/>
        <w:spacing w:after="40"/>
      </w:pPr>
      <w:r>
        <w:rPr>
          <w:b/>
          <w:i w:val="0"/>
        </w:rPr>
        <w:t>Escrow security is narrower than it appears.</w:t>
      </w:r>
      <w:r>
        <w:rPr>
          <w:b w:val="0"/>
          <w:i w:val="0"/>
        </w:rPr>
        <w:t xml:space="preserve"> The $7,952,000 escrow secures Northshore's cost share for remediation disbursements (EA 3.3); it is not dedicated security for any Northshore indemnity, and every disbursement requires Northshore's co-signature or a final non-appealable court order (EA 3.1-3.2). Northshore's indemnities (up to $7.952M under SA 8.2, $5M under SA 8.5, $1.705M under the SL, and an uncapped 28% under SA 8.4) are unsecured obligations of a privately held company (SA 3.1(b)).</w:t>
      </w:r>
    </w:p>
    <w:p>
      <w:pPr>
        <w:spacing w:after="40"/>
      </w:pPr>
      <w:r>
        <w:rPr>
          <w:b/>
          <w:i w:val="0"/>
        </w:rPr>
        <w:t>Priority actions</w:t>
      </w:r>
      <w:r>
        <w:rPr>
          <w:b w:val="0"/>
          <w:i w:val="0"/>
        </w:rPr>
        <w:t xml:space="preserve"> (detailed in Parts X and XI):</w:t>
      </w:r>
    </w:p>
    <w:p>
      <w:pPr>
        <w:pStyle w:val="ListNumber"/>
        <w:spacing w:after="40"/>
      </w:pPr>
      <w:r>
        <w:rPr>
          <w:b w:val="0"/>
          <w:i w:val="0"/>
        </w:rPr>
        <w:t>Present the effective 72% share and the uncapped guarantee exposure in the audit-committee briefing and in reserve/contingency analyses.</w:t>
      </w:r>
    </w:p>
    <w:p>
      <w:pPr>
        <w:pStyle w:val="ListNumber"/>
        <w:spacing w:after="40"/>
      </w:pPr>
      <w:r>
        <w:rPr>
          <w:b w:val="0"/>
          <w:i w:val="0"/>
        </w:rPr>
        <w:t>Seek a conforming amendment (with Ecology signature and Court approval as required by SA 12.2) to: add a survival period for SA 8.5; add a notice-preservation clause to SA 8.8(b); correct the Exhibit D, Side Letter and Escrow Agreement cross-references; and harmonize the Third-Party Claim definition.</w:t>
      </w:r>
    </w:p>
    <w:p>
      <w:pPr>
        <w:pStyle w:val="ListNumber"/>
        <w:spacing w:after="40"/>
      </w:pPr>
      <w:r>
        <w:rPr>
          <w:b w:val="0"/>
          <w:i w:val="0"/>
        </w:rPr>
        <w:t>Reverse or soften the insurance-first rule where Cascadia is the Indemnified Party, or obtain Northshore's agreement that Cascadia's PLL recoveries apply first to Cascadia's retained share, SIR and uncovered losses.</w:t>
      </w:r>
    </w:p>
    <w:p>
      <w:pPr>
        <w:pStyle w:val="ListNumber"/>
        <w:spacing w:after="40"/>
      </w:pPr>
      <w:r>
        <w:rPr>
          <w:b w:val="0"/>
          <w:i w:val="0"/>
        </w:rPr>
        <w:t>Engage the PLL broker and coverage counsel regarding: renewal/extension beyond January 1, 2028; contractual-liability (insured contract) coverage for SA 8.1, the 8.3 guarantee, 8.4 and SL 2(c); known-conditions exclusions (the 2019 Phase II pre-dates the 2023 inception); consent-to-settle and cooperation conditions; and notice of the three Pre-Existing Claims and the Consent Decree.</w:t>
      </w:r>
    </w:p>
    <w:p>
      <w:pPr>
        <w:pStyle w:val="ListNumber"/>
        <w:spacing w:after="40"/>
      </w:pPr>
      <w:r>
        <w:rPr>
          <w:b w:val="0"/>
          <w:i w:val="0"/>
        </w:rPr>
        <w:t>Retrieve and review the 2016 Puget acquisition agreement to determine whether Cascadia has recourse against the seller for Undisclosed Pre-Acquisition Conditions and whether any survival or notice deadlines are running.</w:t>
      </w:r>
    </w:p>
    <w:p>
      <w:pPr>
        <w:pStyle w:val="ListNumber"/>
        <w:spacing w:after="40"/>
      </w:pPr>
      <w:r>
        <w:rPr>
          <w:b w:val="0"/>
          <w:i w:val="0"/>
        </w:rPr>
        <w:t>Confirm Claim Notices for the TNA, SSC and Marina Claims under SL 6 and Exh. D 2.1 (30 Business Days), and assert contribution protection (SA 7.4) in the Marina Claim defense that Cascadia controls under SL 7.</w:t>
      </w:r>
    </w:p>
    <w:p>
      <w:pPr>
        <w:pStyle w:val="ListNumber"/>
        <w:spacing w:after="40"/>
      </w:pPr>
      <w:r>
        <w:rPr>
          <w:b w:val="0"/>
          <w:i w:val="0"/>
        </w:rPr>
        <w:t>Calendar all deadlines in Appendix B, including the escrow fee date conflict (January 15 vs. February 1).</w:t>
      </w:r>
    </w:p>
    <w:p>
      <w:pPr>
        <w:pStyle w:val="Heading1"/>
      </w:pPr>
      <w:r>
        <w:t>II. Transaction Overview and Defined Terms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872"/>
            <w:shd w:val="clear" w:color="auto" w:fill="1F3A5F"/>
          </w:tcPr>
          <w:p>
            <w:r/>
            <w:r>
              <w:rPr>
                <w:b/>
                <w:color w:val="FFFFFF"/>
                <w:sz w:val="17"/>
              </w:rPr>
              <w:t>Item</w:t>
            </w:r>
          </w:p>
        </w:tc>
        <w:tc>
          <w:tcPr>
            <w:tcW w:type="dxa" w:w="5760"/>
            <w:shd w:val="clear" w:color="auto" w:fill="1F3A5F"/>
          </w:tcPr>
          <w:p>
            <w:r/>
            <w:r>
              <w:rPr>
                <w:b/>
                <w:color w:val="FFFFFF"/>
                <w:sz w:val="17"/>
              </w:rPr>
              <w:t>Terms</w:t>
            </w:r>
          </w:p>
        </w:tc>
        <w:tc>
          <w:tcPr>
            <w:tcW w:type="dxa" w:w="1728"/>
            <w:shd w:val="clear" w:color="auto" w:fill="1F3A5F"/>
          </w:tcPr>
          <w:p>
            <w:r/>
            <w:r>
              <w:rPr>
                <w:b/>
                <w:color w:val="FFFFFF"/>
                <w:sz w:val="17"/>
              </w:rPr>
              <w:t>Source</w:t>
            </w:r>
          </w:p>
        </w:tc>
      </w:tr>
      <w:tr>
        <w:tc>
          <w:tcPr>
            <w:tcW w:type="dxa" w:w="1872"/>
          </w:tcPr>
          <w:p>
            <w:pPr>
              <w:spacing w:after="20"/>
            </w:pPr>
            <w:r/>
            <w:r>
              <w:rPr>
                <w:b w:val="0"/>
                <w:i w:val="0"/>
                <w:sz w:val="17"/>
              </w:rPr>
              <w:t>Site</w:t>
            </w:r>
          </w:p>
        </w:tc>
        <w:tc>
          <w:tcPr>
            <w:tcW w:type="dxa" w:w="5760"/>
          </w:tcPr>
          <w:p>
            <w:pPr>
              <w:spacing w:after="20"/>
            </w:pPr>
            <w:r/>
            <w:r>
              <w:rPr>
                <w:b w:val="0"/>
                <w:i w:val="0"/>
                <w:sz w:val="17"/>
              </w:rPr>
              <w:t>2740 Tideflats Way, Tacoma, WA 98421; former electroplating facility operated by Puget Metalworks c. 1972-2016; TCE plume extends ~1,200 ft toward Commencement Bay; contamination to ~65 ft below ground surface</w:t>
            </w:r>
          </w:p>
        </w:tc>
        <w:tc>
          <w:tcPr>
            <w:tcW w:type="dxa" w:w="1728"/>
          </w:tcPr>
          <w:p>
            <w:pPr>
              <w:spacing w:after="20"/>
            </w:pPr>
            <w:r/>
            <w:r>
              <w:rPr>
                <w:b w:val="0"/>
                <w:i w:val="0"/>
                <w:sz w:val="17"/>
              </w:rPr>
              <w:t>SA Recitals B, C, F; 4.1-4.2</w:t>
            </w:r>
          </w:p>
        </w:tc>
      </w:tr>
      <w:tr>
        <w:tc>
          <w:tcPr>
            <w:tcW w:type="dxa" w:w="1872"/>
          </w:tcPr>
          <w:p>
            <w:pPr>
              <w:spacing w:after="20"/>
            </w:pPr>
            <w:r/>
            <w:r>
              <w:rPr>
                <w:b w:val="0"/>
                <w:i w:val="0"/>
                <w:sz w:val="17"/>
              </w:rPr>
              <w:t>Consent Decree</w:t>
            </w:r>
          </w:p>
        </w:tc>
        <w:tc>
          <w:tcPr>
            <w:tcW w:type="dxa" w:w="5760"/>
          </w:tcPr>
          <w:p>
            <w:pPr>
              <w:spacing w:after="20"/>
            </w:pPr>
            <w:r/>
            <w:r>
              <w:rPr>
                <w:b w:val="0"/>
                <w:i w:val="0"/>
                <w:sz w:val="17"/>
              </w:rPr>
              <w:t>Executed Jan. 12, 2025; Effective Date Feb. 1, 2025; entered Feb. 14, 2025 (Hon. Patricia M. Alvarez, Thurston County Superior Court, Case No. 25-2-01847-34); resolves Agreed Order No. DE-2021-04892 (as amended Sept. 8, 2022)</w:t>
            </w:r>
          </w:p>
        </w:tc>
        <w:tc>
          <w:tcPr>
            <w:tcW w:type="dxa" w:w="1728"/>
          </w:tcPr>
          <w:p>
            <w:pPr>
              <w:spacing w:after="20"/>
            </w:pPr>
            <w:r/>
            <w:r>
              <w:rPr>
                <w:b w:val="0"/>
                <w:i w:val="0"/>
                <w:sz w:val="17"/>
              </w:rPr>
              <w:t>SA 1.1, 1.12, 2.2, 12.9; signature page</w:t>
            </w:r>
          </w:p>
        </w:tc>
      </w:tr>
      <w:tr>
        <w:tc>
          <w:tcPr>
            <w:tcW w:type="dxa" w:w="1872"/>
          </w:tcPr>
          <w:p>
            <w:pPr>
              <w:spacing w:after="20"/>
            </w:pPr>
            <w:r/>
            <w:r>
              <w:rPr>
                <w:b w:val="0"/>
                <w:i w:val="0"/>
                <w:sz w:val="17"/>
              </w:rPr>
              <w:t>Settling Parties and roles</w:t>
            </w:r>
          </w:p>
        </w:tc>
        <w:tc>
          <w:tcPr>
            <w:tcW w:type="dxa" w:w="5760"/>
          </w:tcPr>
          <w:p>
            <w:pPr>
              <w:spacing w:after="20"/>
            </w:pPr>
            <w:r/>
            <w:r>
              <w:rPr>
                <w:b w:val="0"/>
                <w:i w:val="0"/>
                <w:sz w:val="17"/>
              </w:rPr>
              <w:t>Cascadia (Lead Settling Party; Site owner; sole member of Puget); Northshore (Contributing Settling Party; supplier/arranger 1978-2003; privately held by Kowalski family trust); Puget Metalworks (Operating Settling Party; dormant since 2016; no material independent assets, employees or revenue)</w:t>
            </w:r>
          </w:p>
        </w:tc>
        <w:tc>
          <w:tcPr>
            <w:tcW w:type="dxa" w:w="1728"/>
          </w:tcPr>
          <w:p>
            <w:pPr>
              <w:spacing w:after="20"/>
            </w:pPr>
            <w:r/>
            <w:r>
              <w:rPr>
                <w:b w:val="0"/>
                <w:i w:val="0"/>
                <w:sz w:val="17"/>
              </w:rPr>
              <w:t>SA 1.8, 1.23, 1.28, 3.1, 3.4</w:t>
            </w:r>
          </w:p>
        </w:tc>
      </w:tr>
      <w:tr>
        <w:tc>
          <w:tcPr>
            <w:tcW w:type="dxa" w:w="1872"/>
          </w:tcPr>
          <w:p>
            <w:pPr>
              <w:spacing w:after="20"/>
            </w:pPr>
            <w:r/>
            <w:r>
              <w:rPr>
                <w:b w:val="0"/>
                <w:i w:val="0"/>
                <w:sz w:val="17"/>
              </w:rPr>
              <w:t>Total Estimated Remediation Costs</w:t>
            </w:r>
          </w:p>
        </w:tc>
        <w:tc>
          <w:tcPr>
            <w:tcW w:type="dxa" w:w="5760"/>
          </w:tcPr>
          <w:p>
            <w:pPr>
              <w:spacing w:after="20"/>
            </w:pPr>
            <w:r/>
            <w:r>
              <w:rPr>
                <w:b w:val="0"/>
                <w:i w:val="0"/>
                <w:sz w:val="17"/>
              </w:rPr>
              <w:t>$28,400,000: excavation $8.2M; groundwater extraction/treatment $11.6M; 30-year long-term monitoring $4.8M; institutional/engineering controls $1.9M; contingency $1.9M (~7.04%)</w:t>
            </w:r>
          </w:p>
        </w:tc>
        <w:tc>
          <w:tcPr>
            <w:tcW w:type="dxa" w:w="1728"/>
          </w:tcPr>
          <w:p>
            <w:pPr>
              <w:spacing w:after="20"/>
            </w:pPr>
            <w:r/>
            <w:r>
              <w:rPr>
                <w:b w:val="0"/>
                <w:i w:val="0"/>
                <w:sz w:val="17"/>
              </w:rPr>
              <w:t>SA 5.1</w:t>
            </w:r>
          </w:p>
        </w:tc>
      </w:tr>
      <w:tr>
        <w:tc>
          <w:tcPr>
            <w:tcW w:type="dxa" w:w="1872"/>
          </w:tcPr>
          <w:p>
            <w:pPr>
              <w:spacing w:after="20"/>
            </w:pPr>
            <w:r/>
            <w:r>
              <w:rPr>
                <w:b w:val="0"/>
                <w:i w:val="0"/>
                <w:sz w:val="17"/>
              </w:rPr>
              <w:t>Cost Shares</w:t>
            </w:r>
          </w:p>
        </w:tc>
        <w:tc>
          <w:tcPr>
            <w:tcW w:type="dxa" w:w="5760"/>
          </w:tcPr>
          <w:p>
            <w:pPr>
              <w:spacing w:after="20"/>
            </w:pPr>
            <w:r/>
            <w:r>
              <w:rPr>
                <w:b w:val="0"/>
                <w:i w:val="0"/>
                <w:sz w:val="17"/>
              </w:rPr>
              <w:t>Cascadia 62% ($17,608,000); Northshore 28% ($7,952,000); Puget 10% ($2,840,000). Overruns allocated on the same percentages after the contingency is applied</w:t>
            </w:r>
          </w:p>
        </w:tc>
        <w:tc>
          <w:tcPr>
            <w:tcW w:type="dxa" w:w="1728"/>
          </w:tcPr>
          <w:p>
            <w:pPr>
              <w:spacing w:after="20"/>
            </w:pPr>
            <w:r/>
            <w:r>
              <w:rPr>
                <w:b w:val="0"/>
                <w:i w:val="0"/>
                <w:sz w:val="17"/>
              </w:rPr>
              <w:t>SA 5.2, 5.6, 5.7</w:t>
            </w:r>
          </w:p>
        </w:tc>
      </w:tr>
      <w:tr>
        <w:tc>
          <w:tcPr>
            <w:tcW w:type="dxa" w:w="1872"/>
          </w:tcPr>
          <w:p>
            <w:pPr>
              <w:spacing w:after="20"/>
            </w:pPr>
            <w:r/>
            <w:r>
              <w:rPr>
                <w:b w:val="0"/>
                <w:i w:val="0"/>
                <w:sz w:val="17"/>
              </w:rPr>
              <w:t>Puget guarantee</w:t>
            </w:r>
          </w:p>
        </w:tc>
        <w:tc>
          <w:tcPr>
            <w:tcW w:type="dxa" w:w="5760"/>
          </w:tcPr>
          <w:p>
            <w:pPr>
              <w:spacing w:after="20"/>
            </w:pPr>
            <w:r/>
            <w:r>
              <w:rPr>
                <w:b w:val="0"/>
                <w:i w:val="0"/>
                <w:sz w:val="17"/>
              </w:rPr>
              <w:t>Cascadia unconditionally and irrevocably guarantees Puget's Cost Share obligations (incl. SA 5.6 overruns) and its SA 8.3 indemnity; guarantee of payment and performance; no exhaustion</w:t>
            </w:r>
          </w:p>
        </w:tc>
        <w:tc>
          <w:tcPr>
            <w:tcW w:type="dxa" w:w="1728"/>
          </w:tcPr>
          <w:p>
            <w:pPr>
              <w:spacing w:after="20"/>
            </w:pPr>
            <w:r/>
            <w:r>
              <w:rPr>
                <w:b w:val="0"/>
                <w:i w:val="0"/>
                <w:sz w:val="17"/>
              </w:rPr>
              <w:t>SA 5.3, 8.3(d)</w:t>
            </w:r>
          </w:p>
        </w:tc>
      </w:tr>
      <w:tr>
        <w:tc>
          <w:tcPr>
            <w:tcW w:type="dxa" w:w="1872"/>
          </w:tcPr>
          <w:p>
            <w:pPr>
              <w:spacing w:after="20"/>
            </w:pPr>
            <w:r/>
            <w:r>
              <w:rPr>
                <w:b w:val="0"/>
                <w:i w:val="0"/>
                <w:sz w:val="17"/>
              </w:rPr>
              <w:t>Escrow</w:t>
            </w:r>
          </w:p>
        </w:tc>
        <w:tc>
          <w:tcPr>
            <w:tcW w:type="dxa" w:w="5760"/>
          </w:tcPr>
          <w:p>
            <w:pPr>
              <w:spacing w:after="20"/>
            </w:pPr>
            <w:r/>
            <w:r>
              <w:rPr>
                <w:b w:val="0"/>
                <w:i w:val="0"/>
                <w:sz w:val="17"/>
              </w:rPr>
              <w:t>Northshore deposited $7,952,000 on Jan. 15, 2025 with Ridgeway Escrow Services, Inc. at First Columbia Bank, N.A. (Tacoma); interest for Northshore's benefit; joint authorization or court order required for disbursement; $18,500 annual fee split equally</w:t>
            </w:r>
          </w:p>
        </w:tc>
        <w:tc>
          <w:tcPr>
            <w:tcW w:type="dxa" w:w="1728"/>
          </w:tcPr>
          <w:p>
            <w:pPr>
              <w:spacing w:after="20"/>
            </w:pPr>
            <w:r/>
            <w:r>
              <w:rPr>
                <w:b w:val="0"/>
                <w:i w:val="0"/>
                <w:sz w:val="17"/>
              </w:rPr>
              <w:t>SA 5.4, 5.5; EA 2-3, 5</w:t>
            </w:r>
          </w:p>
        </w:tc>
      </w:tr>
      <w:tr>
        <w:tc>
          <w:tcPr>
            <w:tcW w:type="dxa" w:w="1872"/>
          </w:tcPr>
          <w:p>
            <w:pPr>
              <w:spacing w:after="20"/>
            </w:pPr>
            <w:r/>
            <w:r>
              <w:rPr>
                <w:b w:val="0"/>
                <w:i w:val="0"/>
                <w:sz w:val="17"/>
              </w:rPr>
              <w:t>PLL Policy</w:t>
            </w:r>
          </w:p>
        </w:tc>
        <w:tc>
          <w:tcPr>
            <w:tcW w:type="dxa" w:w="5760"/>
          </w:tcPr>
          <w:p>
            <w:pPr>
              <w:spacing w:after="20"/>
            </w:pPr>
            <w:r/>
            <w:r>
              <w:rPr>
                <w:b w:val="0"/>
                <w:i w:val="0"/>
                <w:sz w:val="17"/>
              </w:rPr>
              <w:t>Hollcroft Point Surety Group Policy No. PLL-2023-08841; named insured Cascadia; $15,000,000 aggregate; $500,000 per-occurrence SIR; Jan. 1, 2023 - Jan. 1, 2028</w:t>
            </w:r>
          </w:p>
        </w:tc>
        <w:tc>
          <w:tcPr>
            <w:tcW w:type="dxa" w:w="1728"/>
          </w:tcPr>
          <w:p>
            <w:pPr>
              <w:spacing w:after="20"/>
            </w:pPr>
            <w:r/>
            <w:r>
              <w:rPr>
                <w:b w:val="0"/>
                <w:i w:val="0"/>
                <w:sz w:val="17"/>
              </w:rPr>
              <w:t>SA Recital O, 1.22; Exh. D 5(a); SL 8</w:t>
            </w:r>
          </w:p>
        </w:tc>
      </w:tr>
      <w:tr>
        <w:tc>
          <w:tcPr>
            <w:tcW w:type="dxa" w:w="1872"/>
          </w:tcPr>
          <w:p>
            <w:pPr>
              <w:spacing w:after="20"/>
            </w:pPr>
            <w:r/>
            <w:r>
              <w:rPr>
                <w:b w:val="0"/>
                <w:i w:val="0"/>
                <w:sz w:val="17"/>
              </w:rPr>
              <w:t>Financial Assurance Bond</w:t>
            </w:r>
          </w:p>
        </w:tc>
        <w:tc>
          <w:tcPr>
            <w:tcW w:type="dxa" w:w="5760"/>
          </w:tcPr>
          <w:p>
            <w:pPr>
              <w:spacing w:after="20"/>
            </w:pPr>
            <w:r/>
            <w:r>
              <w:rPr>
                <w:b w:val="0"/>
                <w:i w:val="0"/>
                <w:sz w:val="17"/>
              </w:rPr>
              <w:t>Hollcroft Bond No. FA-2025-3317, $5,000,000, effective Feb. 1, 2025; secures Cascadia's Remedial Action obligations; must be replaced within 30 days if drawn, cancelled or reduced</w:t>
            </w:r>
          </w:p>
        </w:tc>
        <w:tc>
          <w:tcPr>
            <w:tcW w:type="dxa" w:w="1728"/>
          </w:tcPr>
          <w:p>
            <w:pPr>
              <w:spacing w:after="20"/>
            </w:pPr>
            <w:r/>
            <w:r>
              <w:rPr>
                <w:b w:val="0"/>
                <w:i w:val="0"/>
                <w:sz w:val="17"/>
              </w:rPr>
              <w:t>SA 1.16, 6.6</w:t>
            </w:r>
          </w:p>
        </w:tc>
      </w:tr>
      <w:tr>
        <w:tc>
          <w:tcPr>
            <w:tcW w:type="dxa" w:w="1872"/>
          </w:tcPr>
          <w:p>
            <w:pPr>
              <w:spacing w:after="20"/>
            </w:pPr>
            <w:r/>
            <w:r>
              <w:rPr>
                <w:b w:val="0"/>
                <w:i w:val="0"/>
                <w:sz w:val="17"/>
              </w:rPr>
              <w:t>Key definitions</w:t>
            </w:r>
          </w:p>
        </w:tc>
        <w:tc>
          <w:tcPr>
            <w:tcW w:type="dxa" w:w="5760"/>
          </w:tcPr>
          <w:p>
            <w:pPr>
              <w:spacing w:after="20"/>
            </w:pPr>
            <w:r/>
            <w:r>
              <w:rPr>
                <w:b w:val="0"/>
                <w:i w:val="0"/>
                <w:sz w:val="17"/>
              </w:rPr>
              <w:t>"Losses" (actually incurred; includes attorneys', expert and consultant fees and remediation costs); "Third-Party Claim" (by any person other than the Parties, which include Ecology); "Basket"; "Natural Resource Damages"; "Undisclosed Pre-Acquisition Conditions"</w:t>
            </w:r>
          </w:p>
        </w:tc>
        <w:tc>
          <w:tcPr>
            <w:tcW w:type="dxa" w:w="1728"/>
          </w:tcPr>
          <w:p>
            <w:pPr>
              <w:spacing w:after="20"/>
            </w:pPr>
            <w:r/>
            <w:r>
              <w:rPr>
                <w:b w:val="0"/>
                <w:i w:val="0"/>
                <w:sz w:val="17"/>
              </w:rPr>
              <w:t>SA 1.2, 1.24, 1.26, 1.38, 8.3(a)</w:t>
            </w:r>
          </w:p>
        </w:tc>
      </w:tr>
    </w:tbl>
    <w:p>
      <w:pPr>
        <w:spacing w:after="40"/>
      </w:pPr>
    </w:p>
    <w:p>
      <w:pPr>
        <w:pStyle w:val="Heading1"/>
      </w:pPr>
      <w:r>
        <w:t>III. Catalog of Indemnification Obligations</w:t>
      </w:r>
    </w:p>
    <w:p>
      <w:pPr>
        <w:spacing w:after="80"/>
      </w:pPr>
      <w:r>
        <w:rPr>
          <w:b w:val="0"/>
          <w:i w:val="0"/>
        </w:rPr>
        <w:t xml:space="preserve">The tables below catalog every indemnification and indemnification-adjacent obligation in the suite, organized by source document and section. "Basket type" distinguishes a </w:t>
      </w:r>
      <w:r>
        <w:rPr>
          <w:b/>
          <w:i w:val="0"/>
        </w:rPr>
        <w:t>deductible</w:t>
      </w:r>
      <w:r>
        <w:rPr>
          <w:b w:val="0"/>
          <w:i w:val="0"/>
        </w:rPr>
        <w:t xml:space="preserve"> (indemnitor pays only the excess over the threshold) from a </w:t>
      </w:r>
      <w:r>
        <w:rPr>
          <w:b/>
          <w:i w:val="0"/>
        </w:rPr>
        <w:t>tipping threshold</w:t>
      </w:r>
      <w:r>
        <w:rPr>
          <w:b w:val="0"/>
          <w:i w:val="0"/>
        </w:rPr>
        <w:t xml:space="preserve"> (once reached, indemnitor pays from the first dollar).</w:t>
      </w:r>
    </w:p>
    <w:p>
      <w:pPr>
        <w:pStyle w:val="Heading2"/>
      </w:pPr>
      <w:r>
        <w:t>A. Settlement Agreement -- Article VIII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648"/>
            <w:shd w:val="clear" w:color="auto" w:fill="1F3A5F"/>
          </w:tcPr>
          <w:p>
            <w:r/>
            <w:r>
              <w:rPr>
                <w:b/>
                <w:color w:val="FFFFFF"/>
                <w:sz w:val="15"/>
              </w:rPr>
              <w:t>Sec.</w:t>
            </w:r>
          </w:p>
        </w:tc>
        <w:tc>
          <w:tcPr>
            <w:tcW w:type="dxa" w:w="1440"/>
            <w:shd w:val="clear" w:color="auto" w:fill="1F3A5F"/>
          </w:tcPr>
          <w:p>
            <w:r/>
            <w:r>
              <w:rPr>
                <w:b/>
                <w:color w:val="FFFFFF"/>
                <w:sz w:val="15"/>
              </w:rPr>
              <w:t>Indemnitor -&gt; Indemnitee</w:t>
            </w:r>
          </w:p>
        </w:tc>
        <w:tc>
          <w:tcPr>
            <w:tcW w:type="dxa" w:w="2664"/>
            <w:shd w:val="clear" w:color="auto" w:fill="1F3A5F"/>
          </w:tcPr>
          <w:p>
            <w:r/>
            <w:r>
              <w:rPr>
                <w:b/>
                <w:color w:val="FFFFFF"/>
                <w:sz w:val="15"/>
              </w:rPr>
              <w:t>Trigger / Scope</w:t>
            </w:r>
          </w:p>
        </w:tc>
        <w:tc>
          <w:tcPr>
            <w:tcW w:type="dxa" w:w="1152"/>
            <w:shd w:val="clear" w:color="auto" w:fill="1F3A5F"/>
          </w:tcPr>
          <w:p>
            <w:r/>
            <w:r>
              <w:rPr>
                <w:b/>
                <w:color w:val="FFFFFF"/>
                <w:sz w:val="15"/>
              </w:rPr>
              <w:t>Cap</w:t>
            </w:r>
          </w:p>
        </w:tc>
        <w:tc>
          <w:tcPr>
            <w:tcW w:type="dxa" w:w="1368"/>
            <w:shd w:val="clear" w:color="auto" w:fill="1F3A5F"/>
          </w:tcPr>
          <w:p>
            <w:r/>
            <w:r>
              <w:rPr>
                <w:b/>
                <w:color w:val="FFFFFF"/>
                <w:sz w:val="15"/>
              </w:rPr>
              <w:t>Basket (type)</w:t>
            </w:r>
          </w:p>
        </w:tc>
        <w:tc>
          <w:tcPr>
            <w:tcW w:type="dxa" w:w="1152"/>
            <w:shd w:val="clear" w:color="auto" w:fill="1F3A5F"/>
          </w:tcPr>
          <w:p>
            <w:r/>
            <w:r>
              <w:rPr>
                <w:b/>
                <w:color w:val="FFFFFF"/>
                <w:sz w:val="15"/>
              </w:rPr>
              <w:t>Exclusions (8.6)</w:t>
            </w:r>
          </w:p>
        </w:tc>
        <w:tc>
          <w:tcPr>
            <w:tcW w:type="dxa" w:w="1224"/>
            <w:shd w:val="clear" w:color="auto" w:fill="1F3A5F"/>
          </w:tcPr>
          <w:p>
            <w:r/>
            <w:r>
              <w:rPr>
                <w:b/>
                <w:color w:val="FFFFFF"/>
                <w:sz w:val="15"/>
              </w:rPr>
              <w:t>Survival (8.8)</w:t>
            </w:r>
          </w:p>
        </w:tc>
      </w:tr>
      <w:tr>
        <w:tc>
          <w:tcPr>
            <w:tcW w:type="dxa" w:w="648"/>
          </w:tcPr>
          <w:p>
            <w:pPr>
              <w:spacing w:after="20"/>
            </w:pPr>
            <w:r/>
            <w:r>
              <w:rPr>
                <w:b w:val="0"/>
                <w:i w:val="0"/>
                <w:sz w:val="15"/>
              </w:rPr>
              <w:t>8.1</w:t>
            </w:r>
          </w:p>
        </w:tc>
        <w:tc>
          <w:tcPr>
            <w:tcW w:type="dxa" w:w="1440"/>
          </w:tcPr>
          <w:p>
            <w:pPr>
              <w:spacing w:after="20"/>
            </w:pPr>
            <w:r/>
            <w:r>
              <w:rPr>
                <w:b w:val="0"/>
                <w:i w:val="0"/>
                <w:sz w:val="15"/>
              </w:rPr>
              <w:t>Cascadia -&gt; Northshore and its officers, directors, employees, agents and representatives ("Northshore Indemnified Parties")</w:t>
            </w:r>
          </w:p>
        </w:tc>
        <w:tc>
          <w:tcPr>
            <w:tcW w:type="dxa" w:w="2664"/>
          </w:tcPr>
          <w:p>
            <w:pPr>
              <w:spacing w:after="20"/>
            </w:pPr>
            <w:r/>
            <w:r>
              <w:rPr>
                <w:b w:val="0"/>
                <w:i w:val="0"/>
                <w:sz w:val="15"/>
              </w:rPr>
              <w:t>Indemnify, defend, hold harmless against all Losses arising from Cascadia's or Puget's Remedial Actions, incl. Third-Party Claims arising from conduct, management, oversight or performance of Remedial Actions by Cascadia, Puget or their contractors/agents (personal injury, property damage, economic loss)</w:t>
            </w:r>
          </w:p>
        </w:tc>
        <w:tc>
          <w:tcPr>
            <w:tcW w:type="dxa" w:w="1152"/>
          </w:tcPr>
          <w:p>
            <w:pPr>
              <w:spacing w:after="20"/>
            </w:pPr>
            <w:r/>
            <w:r>
              <w:rPr>
                <w:b w:val="0"/>
                <w:i w:val="0"/>
                <w:sz w:val="15"/>
              </w:rPr>
              <w:t>$10,000,000 aggregate (8.1(b))</w:t>
            </w:r>
          </w:p>
        </w:tc>
        <w:tc>
          <w:tcPr>
            <w:tcW w:type="dxa" w:w="1368"/>
          </w:tcPr>
          <w:p>
            <w:pPr>
              <w:spacing w:after="20"/>
            </w:pPr>
            <w:r/>
            <w:r>
              <w:rPr>
                <w:b w:val="0"/>
                <w:i w:val="0"/>
                <w:sz w:val="15"/>
              </w:rPr>
              <w:t xml:space="preserve">$250,000 aggregate </w:t>
            </w:r>
            <w:r>
              <w:rPr>
                <w:b/>
                <w:i w:val="0"/>
                <w:sz w:val="15"/>
              </w:rPr>
              <w:t>deductible</w:t>
            </w:r>
            <w:r>
              <w:rPr>
                <w:b w:val="0"/>
                <w:i w:val="0"/>
                <w:sz w:val="15"/>
              </w:rPr>
              <w:t>: Northshore bears first $250,000; Cascadia liable only for excess (8.1(c))</w:t>
            </w:r>
          </w:p>
        </w:tc>
        <w:tc>
          <w:tcPr>
            <w:tcW w:type="dxa" w:w="1152"/>
          </w:tcPr>
          <w:p>
            <w:pPr>
              <w:spacing w:after="20"/>
            </w:pPr>
            <w:r/>
            <w:r>
              <w:rPr>
                <w:b w:val="0"/>
                <w:i w:val="0"/>
                <w:sz w:val="15"/>
              </w:rPr>
              <w:t>Yes: (a) indemnitee's willful misconduct/gross negligence; (b) other sites; (c) punitive/exemplary/multiplied damages; (d) inter-party claims</w:t>
            </w:r>
          </w:p>
        </w:tc>
        <w:tc>
          <w:tcPr>
            <w:tcW w:type="dxa" w:w="1224"/>
          </w:tcPr>
          <w:p>
            <w:pPr>
              <w:spacing w:after="20"/>
            </w:pPr>
            <w:r/>
            <w:r>
              <w:rPr>
                <w:b w:val="0"/>
                <w:i w:val="0"/>
                <w:sz w:val="15"/>
              </w:rPr>
              <w:t>12 years, through Feb. 1, 2037; claims noticed before then survive to final resolution (8.8(a))</w:t>
            </w:r>
          </w:p>
        </w:tc>
      </w:tr>
      <w:tr>
        <w:tc>
          <w:tcPr>
            <w:tcW w:type="dxa" w:w="648"/>
          </w:tcPr>
          <w:p>
            <w:pPr>
              <w:spacing w:after="20"/>
            </w:pPr>
            <w:r/>
            <w:r>
              <w:rPr>
                <w:b w:val="0"/>
                <w:i w:val="0"/>
                <w:sz w:val="15"/>
              </w:rPr>
              <w:t>8.2</w:t>
            </w:r>
          </w:p>
        </w:tc>
        <w:tc>
          <w:tcPr>
            <w:tcW w:type="dxa" w:w="1440"/>
          </w:tcPr>
          <w:p>
            <w:pPr>
              <w:spacing w:after="20"/>
            </w:pPr>
            <w:r/>
            <w:r>
              <w:rPr>
                <w:b w:val="0"/>
                <w:i w:val="0"/>
                <w:sz w:val="15"/>
              </w:rPr>
              <w:t>Northshore -&gt; Cascadia and its officers, directors, employees, agents and representatives ("Cascadia Indemnified Parties")</w:t>
            </w:r>
          </w:p>
        </w:tc>
        <w:tc>
          <w:tcPr>
            <w:tcW w:type="dxa" w:w="2664"/>
          </w:tcPr>
          <w:p>
            <w:pPr>
              <w:spacing w:after="20"/>
            </w:pPr>
            <w:r/>
            <w:r>
              <w:rPr>
                <w:b w:val="0"/>
                <w:i w:val="0"/>
                <w:sz w:val="15"/>
              </w:rPr>
              <w:t>Indemnify, defend, hold harmless against all Losses arising from Northshore's historical supply of Hazardous Substances to the Site 1978-2003, incl. Third-Party Claims from arrangement for disposal/treatment; delivery, transport or sale of TCE, Cr(VI) or cadmium compounds; releases attributable to Northshore-supplied substances</w:t>
            </w:r>
          </w:p>
        </w:tc>
        <w:tc>
          <w:tcPr>
            <w:tcW w:type="dxa" w:w="1152"/>
          </w:tcPr>
          <w:p>
            <w:pPr>
              <w:spacing w:after="20"/>
            </w:pPr>
            <w:r/>
            <w:r>
              <w:rPr>
                <w:b w:val="0"/>
                <w:i w:val="0"/>
                <w:sz w:val="15"/>
              </w:rPr>
              <w:t>$7,952,000 aggregate, equal to Northshore's Cost Share (8.2(b))</w:t>
            </w:r>
          </w:p>
        </w:tc>
        <w:tc>
          <w:tcPr>
            <w:tcW w:type="dxa" w:w="1368"/>
          </w:tcPr>
          <w:p>
            <w:pPr>
              <w:spacing w:after="20"/>
            </w:pPr>
            <w:r/>
            <w:r>
              <w:rPr>
                <w:b w:val="0"/>
                <w:i w:val="0"/>
                <w:sz w:val="15"/>
              </w:rPr>
              <w:t xml:space="preserve">$150,000 aggregate </w:t>
            </w:r>
            <w:r>
              <w:rPr>
                <w:b/>
                <w:i w:val="0"/>
                <w:sz w:val="15"/>
              </w:rPr>
              <w:t>tipping threshold</w:t>
            </w:r>
            <w:r>
              <w:rPr>
                <w:b w:val="0"/>
                <w:i w:val="0"/>
                <w:sz w:val="15"/>
              </w:rPr>
              <w:t>: once Losses equal or exceed $150,000, Northshore liable from first dollar (8.2(c))</w:t>
            </w:r>
          </w:p>
        </w:tc>
        <w:tc>
          <w:tcPr>
            <w:tcW w:type="dxa" w:w="1152"/>
          </w:tcPr>
          <w:p>
            <w:pPr>
              <w:spacing w:after="20"/>
            </w:pPr>
            <w:r/>
            <w:r>
              <w:rPr>
                <w:b w:val="0"/>
                <w:i w:val="0"/>
                <w:sz w:val="15"/>
              </w:rPr>
              <w:t>Yes: same four categories</w:t>
            </w:r>
          </w:p>
        </w:tc>
        <w:tc>
          <w:tcPr>
            <w:tcW w:type="dxa" w:w="1224"/>
          </w:tcPr>
          <w:p>
            <w:pPr>
              <w:spacing w:after="20"/>
            </w:pPr>
            <w:r/>
            <w:r>
              <w:rPr>
                <w:b w:val="0"/>
                <w:i w:val="0"/>
                <w:sz w:val="15"/>
              </w:rPr>
              <w:t>12 years, through Feb. 1, 2037; noticed claims survive (8.8(a))</w:t>
            </w:r>
          </w:p>
        </w:tc>
      </w:tr>
      <w:tr>
        <w:tc>
          <w:tcPr>
            <w:tcW w:type="dxa" w:w="648"/>
          </w:tcPr>
          <w:p>
            <w:pPr>
              <w:spacing w:after="20"/>
            </w:pPr>
            <w:r/>
            <w:r>
              <w:rPr>
                <w:b w:val="0"/>
                <w:i w:val="0"/>
                <w:sz w:val="15"/>
              </w:rPr>
              <w:t>8.3</w:t>
            </w:r>
          </w:p>
        </w:tc>
        <w:tc>
          <w:tcPr>
            <w:tcW w:type="dxa" w:w="1440"/>
          </w:tcPr>
          <w:p>
            <w:pPr>
              <w:spacing w:after="20"/>
            </w:pPr>
            <w:r/>
            <w:r>
              <w:rPr>
                <w:b w:val="0"/>
                <w:i w:val="0"/>
                <w:sz w:val="15"/>
              </w:rPr>
              <w:t>Puget Metalworks -&gt; Cascadia and Northshore (and their officers, directors, employees, agents, representatives)</w:t>
            </w:r>
          </w:p>
        </w:tc>
        <w:tc>
          <w:tcPr>
            <w:tcW w:type="dxa" w:w="2664"/>
          </w:tcPr>
          <w:p>
            <w:pPr>
              <w:spacing w:after="20"/>
            </w:pPr>
            <w:r/>
            <w:r>
              <w:rPr>
                <w:b w:val="0"/>
                <w:i w:val="0"/>
                <w:sz w:val="15"/>
              </w:rPr>
              <w:t>Losses from environmental conditions that (i) existed before Cascadia's 2016 acquisition of Puget and (ii) were not disclosed to Cascadia in the acquisition ("Undisclosed Pre-Acquisition Conditions"); expressly includes Third-Party Claims, Government Cost Recovery Claims and enforcement actions</w:t>
            </w:r>
          </w:p>
        </w:tc>
        <w:tc>
          <w:tcPr>
            <w:tcW w:type="dxa" w:w="1152"/>
          </w:tcPr>
          <w:p>
            <w:pPr>
              <w:spacing w:after="20"/>
            </w:pPr>
            <w:r/>
            <w:r>
              <w:rPr>
                <w:b w:val="0"/>
                <w:i w:val="0"/>
                <w:sz w:val="15"/>
              </w:rPr>
              <w:t>None (8.3(b))</w:t>
            </w:r>
          </w:p>
        </w:tc>
        <w:tc>
          <w:tcPr>
            <w:tcW w:type="dxa" w:w="1368"/>
          </w:tcPr>
          <w:p>
            <w:pPr>
              <w:spacing w:after="20"/>
            </w:pPr>
            <w:r/>
            <w:r>
              <w:rPr>
                <w:b w:val="0"/>
                <w:i w:val="0"/>
                <w:sz w:val="15"/>
              </w:rPr>
              <w:t>None (8.3(c))</w:t>
            </w:r>
          </w:p>
        </w:tc>
        <w:tc>
          <w:tcPr>
            <w:tcW w:type="dxa" w:w="1152"/>
          </w:tcPr>
          <w:p>
            <w:pPr>
              <w:spacing w:after="20"/>
            </w:pPr>
            <w:r/>
            <w:r>
              <w:rPr>
                <w:b w:val="0"/>
                <w:i w:val="0"/>
                <w:sz w:val="15"/>
              </w:rPr>
              <w:t>No: 8.6 does not apply</w:t>
            </w:r>
          </w:p>
        </w:tc>
        <w:tc>
          <w:tcPr>
            <w:tcW w:type="dxa" w:w="1224"/>
          </w:tcPr>
          <w:p>
            <w:pPr>
              <w:spacing w:after="20"/>
            </w:pPr>
            <w:r/>
            <w:r>
              <w:rPr>
                <w:b w:val="0"/>
                <w:i w:val="0"/>
                <w:sz w:val="15"/>
              </w:rPr>
              <w:t>Indefinite (8.8(c)), subject to 8.8(d)</w:t>
            </w:r>
          </w:p>
        </w:tc>
      </w:tr>
      <w:tr>
        <w:tc>
          <w:tcPr>
            <w:tcW w:type="dxa" w:w="648"/>
          </w:tcPr>
          <w:p>
            <w:pPr>
              <w:spacing w:after="20"/>
            </w:pPr>
            <w:r/>
            <w:r>
              <w:rPr>
                <w:b w:val="0"/>
                <w:i w:val="0"/>
                <w:sz w:val="15"/>
              </w:rPr>
              <w:t>8.3(d)</w:t>
            </w:r>
          </w:p>
        </w:tc>
        <w:tc>
          <w:tcPr>
            <w:tcW w:type="dxa" w:w="1440"/>
          </w:tcPr>
          <w:p>
            <w:pPr>
              <w:spacing w:after="20"/>
            </w:pPr>
            <w:r/>
            <w:r>
              <w:rPr>
                <w:b w:val="0"/>
                <w:i w:val="0"/>
                <w:sz w:val="15"/>
              </w:rPr>
              <w:t>Cascadia (guarantor) -&gt; Puget's indemnitees (Northshore; nominally Cascadia itself)</w:t>
            </w:r>
          </w:p>
        </w:tc>
        <w:tc>
          <w:tcPr>
            <w:tcW w:type="dxa" w:w="2664"/>
          </w:tcPr>
          <w:p>
            <w:pPr>
              <w:spacing w:after="20"/>
            </w:pPr>
            <w:r/>
            <w:r>
              <w:rPr>
                <w:b w:val="0"/>
                <w:i w:val="0"/>
                <w:sz w:val="15"/>
              </w:rPr>
              <w:t>Unconditional, irrevocable guarantee of payment and performance of all Puget 8.3 obligations; Cascadia "directly and immediately liable" without exhaustion against Puget</w:t>
            </w:r>
          </w:p>
        </w:tc>
        <w:tc>
          <w:tcPr>
            <w:tcW w:type="dxa" w:w="1152"/>
          </w:tcPr>
          <w:p>
            <w:pPr>
              <w:spacing w:after="20"/>
            </w:pPr>
            <w:r/>
            <w:r>
              <w:rPr>
                <w:b w:val="0"/>
                <w:i w:val="0"/>
                <w:sz w:val="15"/>
              </w:rPr>
              <w:t>None</w:t>
            </w:r>
          </w:p>
        </w:tc>
        <w:tc>
          <w:tcPr>
            <w:tcW w:type="dxa" w:w="1368"/>
          </w:tcPr>
          <w:p>
            <w:pPr>
              <w:spacing w:after="20"/>
            </w:pPr>
            <w:r/>
            <w:r>
              <w:rPr>
                <w:b w:val="0"/>
                <w:i w:val="0"/>
                <w:sz w:val="15"/>
              </w:rPr>
              <w:t>None</w:t>
            </w:r>
          </w:p>
        </w:tc>
        <w:tc>
          <w:tcPr>
            <w:tcW w:type="dxa" w:w="1152"/>
          </w:tcPr>
          <w:p>
            <w:pPr>
              <w:spacing w:after="20"/>
            </w:pPr>
            <w:r/>
            <w:r>
              <w:rPr>
                <w:b w:val="0"/>
                <w:i w:val="0"/>
                <w:sz w:val="15"/>
              </w:rPr>
              <w:t>No</w:t>
            </w:r>
          </w:p>
        </w:tc>
        <w:tc>
          <w:tcPr>
            <w:tcW w:type="dxa" w:w="1224"/>
          </w:tcPr>
          <w:p>
            <w:pPr>
              <w:spacing w:after="20"/>
            </w:pPr>
            <w:r/>
            <w:r>
              <w:rPr>
                <w:b w:val="0"/>
                <w:i w:val="0"/>
                <w:sz w:val="15"/>
              </w:rPr>
              <w:t>Coextensive with 8.3 (indefinite)</w:t>
            </w:r>
          </w:p>
        </w:tc>
      </w:tr>
      <w:tr>
        <w:tc>
          <w:tcPr>
            <w:tcW w:type="dxa" w:w="648"/>
          </w:tcPr>
          <w:p>
            <w:pPr>
              <w:spacing w:after="20"/>
            </w:pPr>
            <w:r/>
            <w:r>
              <w:rPr>
                <w:b w:val="0"/>
                <w:i w:val="0"/>
                <w:sz w:val="15"/>
              </w:rPr>
              <w:t>8.4</w:t>
            </w:r>
          </w:p>
        </w:tc>
        <w:tc>
          <w:tcPr>
            <w:tcW w:type="dxa" w:w="1440"/>
          </w:tcPr>
          <w:p>
            <w:pPr>
              <w:spacing w:after="20"/>
            </w:pPr>
            <w:r/>
            <w:r>
              <w:rPr>
                <w:b w:val="0"/>
                <w:i w:val="0"/>
                <w:sz w:val="15"/>
              </w:rPr>
              <w:t>Each Settling Party -&gt; each other Settling Party (mutual cross-indemnity)</w:t>
            </w:r>
          </w:p>
        </w:tc>
        <w:tc>
          <w:tcPr>
            <w:tcW w:type="dxa" w:w="2664"/>
          </w:tcPr>
          <w:p>
            <w:pPr>
              <w:spacing w:after="20"/>
            </w:pPr>
            <w:r/>
            <w:r>
              <w:rPr>
                <w:b w:val="0"/>
                <w:i w:val="0"/>
                <w:sz w:val="15"/>
              </w:rPr>
              <w:t>Claim by Ecology, EPA or any federal, state or local governmental entity for cost recovery, response costs or remediation costs against any Settling Party that "exceeds the scope of the matters addressed in this Consent Decree" ("Government Cost Recovery Claim"); indemnity in proportion to Cost Shares: Cascadia 62%, Northshore 28%, Puget 10%</w:t>
            </w:r>
          </w:p>
        </w:tc>
        <w:tc>
          <w:tcPr>
            <w:tcW w:type="dxa" w:w="1152"/>
          </w:tcPr>
          <w:p>
            <w:pPr>
              <w:spacing w:after="20"/>
            </w:pPr>
            <w:r/>
            <w:r>
              <w:rPr>
                <w:b w:val="0"/>
                <w:i w:val="0"/>
                <w:sz w:val="15"/>
              </w:rPr>
              <w:t>None (8.4(b))</w:t>
            </w:r>
          </w:p>
        </w:tc>
        <w:tc>
          <w:tcPr>
            <w:tcW w:type="dxa" w:w="1368"/>
          </w:tcPr>
          <w:p>
            <w:pPr>
              <w:spacing w:after="20"/>
            </w:pPr>
            <w:r/>
            <w:r>
              <w:rPr>
                <w:b w:val="0"/>
                <w:i w:val="0"/>
                <w:sz w:val="15"/>
              </w:rPr>
              <w:t>None (8.4(c))</w:t>
            </w:r>
          </w:p>
        </w:tc>
        <w:tc>
          <w:tcPr>
            <w:tcW w:type="dxa" w:w="1152"/>
          </w:tcPr>
          <w:p>
            <w:pPr>
              <w:spacing w:after="20"/>
            </w:pPr>
            <w:r/>
            <w:r>
              <w:rPr>
                <w:b w:val="0"/>
                <w:i w:val="0"/>
                <w:sz w:val="15"/>
              </w:rPr>
              <w:t>No</w:t>
            </w:r>
          </w:p>
        </w:tc>
        <w:tc>
          <w:tcPr>
            <w:tcW w:type="dxa" w:w="1224"/>
          </w:tcPr>
          <w:p>
            <w:pPr>
              <w:spacing w:after="20"/>
            </w:pPr>
            <w:r/>
            <w:r>
              <w:rPr>
                <w:b w:val="0"/>
                <w:i w:val="0"/>
                <w:sz w:val="15"/>
              </w:rPr>
              <w:t xml:space="preserve">20 years, through Feb. 1, 2045 (8.8(b)); </w:t>
            </w:r>
            <w:r>
              <w:rPr>
                <w:b/>
                <w:i w:val="0"/>
                <w:sz w:val="15"/>
              </w:rPr>
              <w:t>no</w:t>
            </w:r>
            <w:r>
              <w:rPr>
                <w:b w:val="0"/>
                <w:i w:val="0"/>
                <w:sz w:val="15"/>
              </w:rPr>
              <w:t xml:space="preserve"> express preservation of noticed claims</w:t>
            </w:r>
          </w:p>
        </w:tc>
      </w:tr>
      <w:tr>
        <w:tc>
          <w:tcPr>
            <w:tcW w:type="dxa" w:w="648"/>
          </w:tcPr>
          <w:p>
            <w:pPr>
              <w:spacing w:after="20"/>
            </w:pPr>
            <w:r/>
            <w:r>
              <w:rPr>
                <w:b w:val="0"/>
                <w:i w:val="0"/>
                <w:sz w:val="15"/>
              </w:rPr>
              <w:t>8.5</w:t>
            </w:r>
          </w:p>
        </w:tc>
        <w:tc>
          <w:tcPr>
            <w:tcW w:type="dxa" w:w="1440"/>
          </w:tcPr>
          <w:p>
            <w:pPr>
              <w:spacing w:after="20"/>
            </w:pPr>
            <w:r/>
            <w:r>
              <w:rPr>
                <w:b w:val="0"/>
                <w:i w:val="0"/>
                <w:sz w:val="15"/>
              </w:rPr>
              <w:t>Northshore -&gt; Cascadia (40%); Cascadia "bears" 60%; Puget 0%</w:t>
            </w:r>
          </w:p>
        </w:tc>
        <w:tc>
          <w:tcPr>
            <w:tcW w:type="dxa" w:w="2664"/>
          </w:tcPr>
          <w:p>
            <w:pPr>
              <w:spacing w:after="20"/>
            </w:pPr>
            <w:r/>
            <w:r>
              <w:rPr>
                <w:b w:val="0"/>
                <w:i w:val="0"/>
                <w:sz w:val="15"/>
              </w:rPr>
              <w:t>NRD claim by any tribal, federal or state trustee relating to the Site, incl. Commencement Bay, its shorelines, tidelands, submerged lands and natural resources; covers 40% of NRD assessment costs, damages and associated litigation costs</w:t>
            </w:r>
          </w:p>
        </w:tc>
        <w:tc>
          <w:tcPr>
            <w:tcW w:type="dxa" w:w="1152"/>
          </w:tcPr>
          <w:p>
            <w:pPr>
              <w:spacing w:after="20"/>
            </w:pPr>
            <w:r/>
            <w:r>
              <w:rPr>
                <w:b w:val="0"/>
                <w:i w:val="0"/>
                <w:sz w:val="15"/>
              </w:rPr>
              <w:t>Northshore: $5,000,000 aggregate; Cascadia bears all NRD above that (8.5(b)). Cascadia: none</w:t>
            </w:r>
          </w:p>
        </w:tc>
        <w:tc>
          <w:tcPr>
            <w:tcW w:type="dxa" w:w="1368"/>
          </w:tcPr>
          <w:p>
            <w:pPr>
              <w:spacing w:after="20"/>
            </w:pPr>
            <w:r/>
            <w:r>
              <w:rPr>
                <w:b w:val="0"/>
                <w:i w:val="0"/>
                <w:sz w:val="15"/>
              </w:rPr>
              <w:t>None stated</w:t>
            </w:r>
          </w:p>
        </w:tc>
        <w:tc>
          <w:tcPr>
            <w:tcW w:type="dxa" w:w="1152"/>
          </w:tcPr>
          <w:p>
            <w:pPr>
              <w:spacing w:after="20"/>
            </w:pPr>
            <w:r/>
            <w:r>
              <w:rPr>
                <w:b w:val="0"/>
                <w:i w:val="0"/>
                <w:sz w:val="15"/>
              </w:rPr>
              <w:t>No</w:t>
            </w:r>
          </w:p>
        </w:tc>
        <w:tc>
          <w:tcPr>
            <w:tcW w:type="dxa" w:w="1224"/>
          </w:tcPr>
          <w:p>
            <w:pPr>
              <w:spacing w:after="20"/>
            </w:pPr>
            <w:r/>
            <w:r>
              <w:rPr>
                <w:b/>
                <w:i w:val="0"/>
                <w:sz w:val="15"/>
              </w:rPr>
              <w:t>None specified</w:t>
            </w:r>
            <w:r>
              <w:rPr>
                <w:b w:val="0"/>
                <w:i w:val="0"/>
                <w:sz w:val="15"/>
              </w:rPr>
              <w:t>: 8.8 is silent on 8.5 (gap)</w:t>
            </w:r>
          </w:p>
        </w:tc>
      </w:tr>
      <w:tr>
        <w:tc>
          <w:tcPr>
            <w:tcW w:type="dxa" w:w="648"/>
          </w:tcPr>
          <w:p>
            <w:pPr>
              <w:spacing w:after="20"/>
            </w:pPr>
            <w:r/>
            <w:r>
              <w:rPr>
                <w:b w:val="0"/>
                <w:i w:val="0"/>
                <w:sz w:val="15"/>
              </w:rPr>
              <w:t>8.6</w:t>
            </w:r>
          </w:p>
        </w:tc>
        <w:tc>
          <w:tcPr>
            <w:tcW w:type="dxa" w:w="1440"/>
          </w:tcPr>
          <w:p>
            <w:pPr>
              <w:spacing w:after="20"/>
            </w:pPr>
            <w:r/>
            <w:r>
              <w:rPr>
                <w:b w:val="0"/>
                <w:i w:val="0"/>
                <w:sz w:val="15"/>
              </w:rPr>
              <w:t>Limitation</w:t>
            </w:r>
          </w:p>
        </w:tc>
        <w:tc>
          <w:tcPr>
            <w:tcW w:type="dxa" w:w="2664"/>
          </w:tcPr>
          <w:p>
            <w:pPr>
              <w:spacing w:after="20"/>
            </w:pPr>
            <w:r/>
            <w:r>
              <w:rPr>
                <w:b w:val="0"/>
                <w:i w:val="0"/>
                <w:sz w:val="15"/>
              </w:rPr>
              <w:t>Excluded Claims apply only to 8.1 and 8.2: (a) willful misconduct/gross negligence of Indemnified Party; (b) activities at any site other than the Site; (c) punitive, exemplary, multiplied damages; (d) inter-party claims among Settling Parties (governed by SA and Article XI)</w:t>
            </w:r>
          </w:p>
        </w:tc>
        <w:tc>
          <w:tcPr>
            <w:tcW w:type="dxa" w:w="1152"/>
          </w:tcPr>
          <w:p>
            <w:pPr>
              <w:spacing w:after="20"/>
            </w:pPr>
            <w:r/>
            <w:r>
              <w:rPr>
                <w:b w:val="0"/>
                <w:i w:val="0"/>
                <w:sz w:val="15"/>
              </w:rPr>
              <w:t>--</w:t>
            </w:r>
          </w:p>
        </w:tc>
        <w:tc>
          <w:tcPr>
            <w:tcW w:type="dxa" w:w="1368"/>
          </w:tcPr>
          <w:p>
            <w:pPr>
              <w:spacing w:after="20"/>
            </w:pPr>
            <w:r/>
            <w:r>
              <w:rPr>
                <w:b w:val="0"/>
                <w:i w:val="0"/>
                <w:sz w:val="15"/>
              </w:rPr>
              <w:t>--</w:t>
            </w:r>
          </w:p>
        </w:tc>
        <w:tc>
          <w:tcPr>
            <w:tcW w:type="dxa" w:w="1152"/>
          </w:tcPr>
          <w:p>
            <w:pPr>
              <w:spacing w:after="20"/>
            </w:pPr>
            <w:r/>
            <w:r>
              <w:rPr>
                <w:b w:val="0"/>
                <w:i w:val="0"/>
                <w:sz w:val="15"/>
              </w:rPr>
              <w:t>--</w:t>
            </w:r>
          </w:p>
        </w:tc>
        <w:tc>
          <w:tcPr>
            <w:tcW w:type="dxa" w:w="1224"/>
          </w:tcPr>
          <w:p>
            <w:pPr>
              <w:spacing w:after="20"/>
            </w:pPr>
            <w:r/>
            <w:r>
              <w:rPr>
                <w:b w:val="0"/>
                <w:i w:val="0"/>
                <w:sz w:val="15"/>
              </w:rPr>
              <w:t>--</w:t>
            </w:r>
          </w:p>
        </w:tc>
      </w:tr>
      <w:tr>
        <w:tc>
          <w:tcPr>
            <w:tcW w:type="dxa" w:w="648"/>
          </w:tcPr>
          <w:p>
            <w:pPr>
              <w:spacing w:after="20"/>
            </w:pPr>
            <w:r/>
            <w:r>
              <w:rPr>
                <w:b w:val="0"/>
                <w:i w:val="0"/>
                <w:sz w:val="15"/>
              </w:rPr>
              <w:t>8.7</w:t>
            </w:r>
          </w:p>
        </w:tc>
        <w:tc>
          <w:tcPr>
            <w:tcW w:type="dxa" w:w="1440"/>
          </w:tcPr>
          <w:p>
            <w:pPr>
              <w:spacing w:after="20"/>
            </w:pPr>
            <w:r/>
            <w:r>
              <w:rPr>
                <w:b w:val="0"/>
                <w:i w:val="0"/>
                <w:sz w:val="15"/>
              </w:rPr>
              <w:t>Limitation / procedure</w:t>
            </w:r>
          </w:p>
        </w:tc>
        <w:tc>
          <w:tcPr>
            <w:tcW w:type="dxa" w:w="2664"/>
          </w:tcPr>
          <w:p>
            <w:pPr>
              <w:spacing w:after="20"/>
            </w:pPr>
            <w:r/>
            <w:r>
              <w:rPr>
                <w:b w:val="0"/>
                <w:i w:val="0"/>
                <w:sz w:val="15"/>
              </w:rPr>
              <w:t>Indemnity reduced dollar-for-dollar by insurance proceeds actually received (net of deductibles, SIRs and recovery costs); Indemnified Party must first use commercially reasonable efforts to pursue insurance incl. the PLL Policy and keep Indemnifying Party informed; no duty to sue insurer; no subrogation against Indemnified Party's insurer except as permitted by law and policy</w:t>
            </w:r>
          </w:p>
        </w:tc>
        <w:tc>
          <w:tcPr>
            <w:tcW w:type="dxa" w:w="1152"/>
          </w:tcPr>
          <w:p>
            <w:pPr>
              <w:spacing w:after="20"/>
            </w:pPr>
            <w:r/>
            <w:r>
              <w:rPr>
                <w:b w:val="0"/>
                <w:i w:val="0"/>
                <w:sz w:val="15"/>
              </w:rPr>
              <w:t>--</w:t>
            </w:r>
          </w:p>
        </w:tc>
        <w:tc>
          <w:tcPr>
            <w:tcW w:type="dxa" w:w="1368"/>
          </w:tcPr>
          <w:p>
            <w:pPr>
              <w:spacing w:after="20"/>
            </w:pPr>
            <w:r/>
            <w:r>
              <w:rPr>
                <w:b w:val="0"/>
                <w:i w:val="0"/>
                <w:sz w:val="15"/>
              </w:rPr>
              <w:t>--</w:t>
            </w:r>
          </w:p>
        </w:tc>
        <w:tc>
          <w:tcPr>
            <w:tcW w:type="dxa" w:w="1152"/>
          </w:tcPr>
          <w:p>
            <w:pPr>
              <w:spacing w:after="20"/>
            </w:pPr>
            <w:r/>
            <w:r>
              <w:rPr>
                <w:b w:val="0"/>
                <w:i w:val="0"/>
                <w:sz w:val="15"/>
              </w:rPr>
              <w:t>--</w:t>
            </w:r>
          </w:p>
        </w:tc>
        <w:tc>
          <w:tcPr>
            <w:tcW w:type="dxa" w:w="1224"/>
          </w:tcPr>
          <w:p>
            <w:pPr>
              <w:spacing w:after="20"/>
            </w:pPr>
            <w:r/>
            <w:r>
              <w:rPr>
                <w:b w:val="0"/>
                <w:i w:val="0"/>
                <w:sz w:val="15"/>
              </w:rPr>
              <w:t>--</w:t>
            </w:r>
          </w:p>
        </w:tc>
      </w:tr>
      <w:tr>
        <w:tc>
          <w:tcPr>
            <w:tcW w:type="dxa" w:w="648"/>
          </w:tcPr>
          <w:p>
            <w:pPr>
              <w:spacing w:after="20"/>
            </w:pPr>
            <w:r/>
            <w:r>
              <w:rPr>
                <w:b w:val="0"/>
                <w:i w:val="0"/>
                <w:sz w:val="15"/>
              </w:rPr>
              <w:t>8.8</w:t>
            </w:r>
          </w:p>
        </w:tc>
        <w:tc>
          <w:tcPr>
            <w:tcW w:type="dxa" w:w="1440"/>
          </w:tcPr>
          <w:p>
            <w:pPr>
              <w:spacing w:after="20"/>
            </w:pPr>
            <w:r/>
            <w:r>
              <w:rPr>
                <w:b w:val="0"/>
                <w:i w:val="0"/>
                <w:sz w:val="15"/>
              </w:rPr>
              <w:t>Survival</w:t>
            </w:r>
          </w:p>
        </w:tc>
        <w:tc>
          <w:tcPr>
            <w:tcW w:type="dxa" w:w="2664"/>
          </w:tcPr>
          <w:p>
            <w:pPr>
              <w:spacing w:after="20"/>
            </w:pPr>
            <w:r/>
            <w:r>
              <w:rPr>
                <w:b w:val="0"/>
                <w:i w:val="0"/>
                <w:sz w:val="15"/>
              </w:rPr>
              <w:t>8.1/8.2: 12 years (Feb. 1, 2037) with notice tail; 8.4: 20 years (Feb. 1, 2045); 8.3: indefinite; all subject to Washington statutes of limitation/repose (8.8(d)); 8.5 omitted</w:t>
            </w:r>
          </w:p>
        </w:tc>
        <w:tc>
          <w:tcPr>
            <w:tcW w:type="dxa" w:w="1152"/>
          </w:tcPr>
          <w:p>
            <w:pPr>
              <w:spacing w:after="20"/>
            </w:pPr>
            <w:r/>
            <w:r>
              <w:rPr>
                <w:b w:val="0"/>
                <w:i w:val="0"/>
                <w:sz w:val="15"/>
              </w:rPr>
              <w:t>--</w:t>
            </w:r>
          </w:p>
        </w:tc>
        <w:tc>
          <w:tcPr>
            <w:tcW w:type="dxa" w:w="1368"/>
          </w:tcPr>
          <w:p>
            <w:pPr>
              <w:spacing w:after="20"/>
            </w:pPr>
            <w:r/>
            <w:r>
              <w:rPr>
                <w:b w:val="0"/>
                <w:i w:val="0"/>
                <w:sz w:val="15"/>
              </w:rPr>
              <w:t>--</w:t>
            </w:r>
          </w:p>
        </w:tc>
        <w:tc>
          <w:tcPr>
            <w:tcW w:type="dxa" w:w="1152"/>
          </w:tcPr>
          <w:p>
            <w:pPr>
              <w:spacing w:after="20"/>
            </w:pPr>
            <w:r/>
            <w:r>
              <w:rPr>
                <w:b w:val="0"/>
                <w:i w:val="0"/>
                <w:sz w:val="15"/>
              </w:rPr>
              <w:t>--</w:t>
            </w:r>
          </w:p>
        </w:tc>
        <w:tc>
          <w:tcPr>
            <w:tcW w:type="dxa" w:w="1224"/>
          </w:tcPr>
          <w:p>
            <w:pPr>
              <w:spacing w:after="20"/>
            </w:pPr>
            <w:r/>
            <w:r>
              <w:rPr>
                <w:b w:val="0"/>
                <w:i w:val="0"/>
                <w:sz w:val="15"/>
              </w:rPr>
              <w:t>--</w:t>
            </w:r>
          </w:p>
        </w:tc>
      </w:tr>
      <w:tr>
        <w:tc>
          <w:tcPr>
            <w:tcW w:type="dxa" w:w="648"/>
          </w:tcPr>
          <w:p>
            <w:pPr>
              <w:spacing w:after="20"/>
            </w:pPr>
            <w:r/>
            <w:r>
              <w:rPr>
                <w:b w:val="0"/>
                <w:i w:val="0"/>
                <w:sz w:val="15"/>
              </w:rPr>
              <w:t>8.9</w:t>
            </w:r>
          </w:p>
        </w:tc>
        <w:tc>
          <w:tcPr>
            <w:tcW w:type="dxa" w:w="1440"/>
          </w:tcPr>
          <w:p>
            <w:pPr>
              <w:spacing w:after="20"/>
            </w:pPr>
            <w:r/>
            <w:r>
              <w:rPr>
                <w:b w:val="0"/>
                <w:i w:val="0"/>
                <w:sz w:val="15"/>
              </w:rPr>
              <w:t>Assignment</w:t>
            </w:r>
          </w:p>
        </w:tc>
        <w:tc>
          <w:tcPr>
            <w:tcW w:type="dxa" w:w="2664"/>
          </w:tcPr>
          <w:p>
            <w:pPr>
              <w:spacing w:after="20"/>
            </w:pPr>
            <w:r/>
            <w:r>
              <w:rPr>
                <w:b w:val="0"/>
                <w:i w:val="0"/>
                <w:sz w:val="15"/>
              </w:rPr>
              <w:t>No assignment/transfer/delegation of indemnification rights or obligations without consent of each affected Indemnifying Party (not unreasonably withheld); rights (not obligations) assignable on sale of all or substantially all assets if assignee assumes all obligations in writing; non-conforming assignments void and do not release assignor</w:t>
            </w:r>
          </w:p>
        </w:tc>
        <w:tc>
          <w:tcPr>
            <w:tcW w:type="dxa" w:w="1152"/>
          </w:tcPr>
          <w:p>
            <w:pPr>
              <w:spacing w:after="20"/>
            </w:pPr>
            <w:r/>
            <w:r>
              <w:rPr>
                <w:b w:val="0"/>
                <w:i w:val="0"/>
                <w:sz w:val="15"/>
              </w:rPr>
              <w:t>--</w:t>
            </w:r>
          </w:p>
        </w:tc>
        <w:tc>
          <w:tcPr>
            <w:tcW w:type="dxa" w:w="1368"/>
          </w:tcPr>
          <w:p>
            <w:pPr>
              <w:spacing w:after="20"/>
            </w:pPr>
            <w:r/>
            <w:r>
              <w:rPr>
                <w:b w:val="0"/>
                <w:i w:val="0"/>
                <w:sz w:val="15"/>
              </w:rPr>
              <w:t>--</w:t>
            </w:r>
          </w:p>
        </w:tc>
        <w:tc>
          <w:tcPr>
            <w:tcW w:type="dxa" w:w="1152"/>
          </w:tcPr>
          <w:p>
            <w:pPr>
              <w:spacing w:after="20"/>
            </w:pPr>
            <w:r/>
            <w:r>
              <w:rPr>
                <w:b w:val="0"/>
                <w:i w:val="0"/>
                <w:sz w:val="15"/>
              </w:rPr>
              <w:t>--</w:t>
            </w:r>
          </w:p>
        </w:tc>
        <w:tc>
          <w:tcPr>
            <w:tcW w:type="dxa" w:w="1224"/>
          </w:tcPr>
          <w:p>
            <w:pPr>
              <w:spacing w:after="20"/>
            </w:pPr>
            <w:r/>
            <w:r>
              <w:rPr>
                <w:b w:val="0"/>
                <w:i w:val="0"/>
                <w:sz w:val="15"/>
              </w:rPr>
              <w:t>--</w:t>
            </w:r>
          </w:p>
        </w:tc>
      </w:tr>
    </w:tbl>
    <w:p>
      <w:pPr>
        <w:spacing w:after="40"/>
      </w:pPr>
    </w:p>
    <w:p>
      <w:pPr>
        <w:pStyle w:val="Heading2"/>
      </w:pPr>
      <w:r>
        <w:t>B. Settlement Agreement -- Indemnification-Adjacent Provisions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1152"/>
            <w:shd w:val="clear" w:color="auto" w:fill="1F3A5F"/>
          </w:tcPr>
          <w:p>
            <w:r/>
            <w:r>
              <w:rPr>
                <w:b/>
                <w:color w:val="FFFFFF"/>
                <w:sz w:val="17"/>
              </w:rPr>
              <w:t>Sec.</w:t>
            </w:r>
          </w:p>
        </w:tc>
        <w:tc>
          <w:tcPr>
            <w:tcW w:type="dxa" w:w="3744"/>
            <w:shd w:val="clear" w:color="auto" w:fill="1F3A5F"/>
          </w:tcPr>
          <w:p>
            <w:r/>
            <w:r>
              <w:rPr>
                <w:b/>
                <w:color w:val="FFFFFF"/>
                <w:sz w:val="17"/>
              </w:rPr>
              <w:t>Provision</w:t>
            </w:r>
          </w:p>
        </w:tc>
        <w:tc>
          <w:tcPr>
            <w:tcW w:type="dxa" w:w="4464"/>
            <w:shd w:val="clear" w:color="auto" w:fill="1F3A5F"/>
          </w:tcPr>
          <w:p>
            <w:r/>
            <w:r>
              <w:rPr>
                <w:b/>
                <w:color w:val="FFFFFF"/>
                <w:sz w:val="17"/>
              </w:rPr>
              <w:t>Indemnification relevance</w:t>
            </w:r>
          </w:p>
        </w:tc>
      </w:tr>
      <w:tr>
        <w:tc>
          <w:tcPr>
            <w:tcW w:type="dxa" w:w="1152"/>
          </w:tcPr>
          <w:p>
            <w:pPr>
              <w:spacing w:after="20"/>
            </w:pPr>
            <w:r/>
            <w:r>
              <w:rPr>
                <w:b w:val="0"/>
                <w:i w:val="0"/>
                <w:sz w:val="17"/>
              </w:rPr>
              <w:t>3.4</w:t>
            </w:r>
          </w:p>
        </w:tc>
        <w:tc>
          <w:tcPr>
            <w:tcW w:type="dxa" w:w="3744"/>
          </w:tcPr>
          <w:p>
            <w:pPr>
              <w:spacing w:after="20"/>
            </w:pPr>
            <w:r/>
            <w:r>
              <w:rPr>
                <w:b w:val="0"/>
                <w:i w:val="0"/>
                <w:sz w:val="17"/>
              </w:rPr>
              <w:t>Puget is dormant: no material assets, operations, employees or revenue</w:t>
            </w:r>
          </w:p>
        </w:tc>
        <w:tc>
          <w:tcPr>
            <w:tcW w:type="dxa" w:w="4464"/>
          </w:tcPr>
          <w:p>
            <w:pPr>
              <w:spacing w:after="20"/>
            </w:pPr>
            <w:r/>
            <w:r>
              <w:rPr>
                <w:b w:val="0"/>
                <w:i w:val="0"/>
                <w:sz w:val="17"/>
              </w:rPr>
              <w:t>Puget's 10% cost share, 10% of SA 8.4 and its uncapped 8.3 indemnity have no independent credit support; Cascadia's guarantee is the only practical source of payment</w:t>
            </w:r>
          </w:p>
        </w:tc>
      </w:tr>
      <w:tr>
        <w:tc>
          <w:tcPr>
            <w:tcW w:type="dxa" w:w="1152"/>
          </w:tcPr>
          <w:p>
            <w:pPr>
              <w:spacing w:after="20"/>
            </w:pPr>
            <w:r/>
            <w:r>
              <w:rPr>
                <w:b w:val="0"/>
                <w:i w:val="0"/>
                <w:sz w:val="17"/>
              </w:rPr>
              <w:t>4.4; Recital N</w:t>
            </w:r>
          </w:p>
        </w:tc>
        <w:tc>
          <w:tcPr>
            <w:tcW w:type="dxa" w:w="3744"/>
          </w:tcPr>
          <w:p>
            <w:pPr>
              <w:spacing w:after="20"/>
            </w:pPr>
            <w:r/>
            <w:r>
              <w:rPr>
                <w:b w:val="0"/>
                <w:i w:val="0"/>
                <w:sz w:val="17"/>
              </w:rPr>
              <w:t>MTCA liability is strict, joint and several; SA allocation is contractual only and does not alter statutory liability</w:t>
            </w:r>
          </w:p>
        </w:tc>
        <w:tc>
          <w:tcPr>
            <w:tcW w:type="dxa" w:w="4464"/>
          </w:tcPr>
          <w:p>
            <w:pPr>
              <w:spacing w:after="20"/>
            </w:pPr>
            <w:r/>
            <w:r>
              <w:rPr>
                <w:b w:val="0"/>
                <w:i w:val="0"/>
                <w:sz w:val="17"/>
              </w:rPr>
              <w:t>Ecology can pursue Cascadia for 100% of costs if Northshore defaults; Cascadia's recourse is contractual (and the escrow for Northshore's base share)</w:t>
            </w:r>
          </w:p>
        </w:tc>
      </w:tr>
      <w:tr>
        <w:tc>
          <w:tcPr>
            <w:tcW w:type="dxa" w:w="1152"/>
          </w:tcPr>
          <w:p>
            <w:pPr>
              <w:spacing w:after="20"/>
            </w:pPr>
            <w:r/>
            <w:r>
              <w:rPr>
                <w:b w:val="0"/>
                <w:i w:val="0"/>
                <w:sz w:val="17"/>
              </w:rPr>
              <w:t>5.2(a)</w:t>
            </w:r>
          </w:p>
        </w:tc>
        <w:tc>
          <w:tcPr>
            <w:tcW w:type="dxa" w:w="3744"/>
          </w:tcPr>
          <w:p>
            <w:pPr>
              <w:spacing w:after="20"/>
            </w:pPr>
            <w:r/>
            <w:r>
              <w:rPr>
                <w:b w:val="0"/>
                <w:i w:val="0"/>
                <w:sz w:val="17"/>
              </w:rPr>
              <w:t>Cascadia's 62% share described "as successor to Puget Metalworks and current owner"</w:t>
            </w:r>
          </w:p>
        </w:tc>
        <w:tc>
          <w:tcPr>
            <w:tcW w:type="dxa" w:w="4464"/>
          </w:tcPr>
          <w:p>
            <w:pPr>
              <w:spacing w:after="20"/>
            </w:pPr>
            <w:r/>
            <w:r>
              <w:rPr>
                <w:b w:val="0"/>
                <w:i w:val="0"/>
                <w:sz w:val="17"/>
              </w:rPr>
              <w:t>Cascadia is Puget's parent, not its successor. The label invites an argument that Cascadia's 62% already includes Puget's liability, or supports disregarding Puget's separateness. Clarify (R-17)</w:t>
            </w:r>
          </w:p>
        </w:tc>
      </w:tr>
      <w:tr>
        <w:tc>
          <w:tcPr>
            <w:tcW w:type="dxa" w:w="1152"/>
          </w:tcPr>
          <w:p>
            <w:pPr>
              <w:spacing w:after="20"/>
            </w:pPr>
            <w:r/>
            <w:r>
              <w:rPr>
                <w:b w:val="0"/>
                <w:i w:val="0"/>
                <w:sz w:val="17"/>
              </w:rPr>
              <w:t>5.3</w:t>
            </w:r>
          </w:p>
        </w:tc>
        <w:tc>
          <w:tcPr>
            <w:tcW w:type="dxa" w:w="3744"/>
          </w:tcPr>
          <w:p>
            <w:pPr>
              <w:spacing w:after="20"/>
            </w:pPr>
            <w:r/>
            <w:r>
              <w:rPr>
                <w:b w:val="0"/>
                <w:i w:val="0"/>
                <w:sz w:val="17"/>
              </w:rPr>
              <w:t>Cascadia guarantee of Puget's Cost Share incl. 5.6 overruns; payment not collection; no exhaustion</w:t>
            </w:r>
          </w:p>
        </w:tc>
        <w:tc>
          <w:tcPr>
            <w:tcW w:type="dxa" w:w="4464"/>
          </w:tcPr>
          <w:p>
            <w:pPr>
              <w:spacing w:after="20"/>
            </w:pPr>
            <w:r/>
            <w:r>
              <w:rPr>
                <w:b w:val="0"/>
                <w:i w:val="0"/>
                <w:sz w:val="17"/>
              </w:rPr>
              <w:t>Converts Puget's $2.84M (and 10% of overruns) into Cascadia exposure. Not expressly extended to Puget's 10% under SA 8.4 (ambiguity; R-6)</w:t>
            </w:r>
          </w:p>
        </w:tc>
      </w:tr>
      <w:tr>
        <w:tc>
          <w:tcPr>
            <w:tcW w:type="dxa" w:w="1152"/>
          </w:tcPr>
          <w:p>
            <w:pPr>
              <w:spacing w:after="20"/>
            </w:pPr>
            <w:r/>
            <w:r>
              <w:rPr>
                <w:b w:val="0"/>
                <w:i w:val="0"/>
                <w:sz w:val="17"/>
              </w:rPr>
              <w:t>5.4</w:t>
            </w:r>
          </w:p>
        </w:tc>
        <w:tc>
          <w:tcPr>
            <w:tcW w:type="dxa" w:w="3744"/>
          </w:tcPr>
          <w:p>
            <w:pPr>
              <w:spacing w:after="20"/>
            </w:pPr>
            <w:r/>
            <w:r>
              <w:rPr>
                <w:b w:val="0"/>
                <w:i w:val="0"/>
                <w:sz w:val="17"/>
              </w:rPr>
              <w:t>Northshore escrow of $7,952,000 (deposited Jan. 15, 2025); interest to Northshore; disbursement by joint authorization or court order</w:t>
            </w:r>
          </w:p>
        </w:tc>
        <w:tc>
          <w:tcPr>
            <w:tcW w:type="dxa" w:w="4464"/>
          </w:tcPr>
          <w:p>
            <w:pPr>
              <w:spacing w:after="20"/>
            </w:pPr>
            <w:r/>
            <w:r>
              <w:rPr>
                <w:b w:val="0"/>
                <w:i w:val="0"/>
                <w:sz w:val="17"/>
              </w:rPr>
              <w:t>Security for Northshore's cost share only; not earmarked for indemnities</w:t>
            </w:r>
          </w:p>
        </w:tc>
      </w:tr>
      <w:tr>
        <w:tc>
          <w:tcPr>
            <w:tcW w:type="dxa" w:w="1152"/>
          </w:tcPr>
          <w:p>
            <w:pPr>
              <w:spacing w:after="20"/>
            </w:pPr>
            <w:r/>
            <w:r>
              <w:rPr>
                <w:b w:val="0"/>
                <w:i w:val="0"/>
                <w:sz w:val="17"/>
              </w:rPr>
              <w:t>5.6</w:t>
            </w:r>
          </w:p>
        </w:tc>
        <w:tc>
          <w:tcPr>
            <w:tcW w:type="dxa" w:w="3744"/>
          </w:tcPr>
          <w:p>
            <w:pPr>
              <w:spacing w:after="20"/>
            </w:pPr>
            <w:r/>
            <w:r>
              <w:rPr>
                <w:b w:val="0"/>
                <w:i w:val="0"/>
                <w:sz w:val="17"/>
              </w:rPr>
              <w:t>Overruns allocated 62/28/10 after contingency; surplus returned pro rata</w:t>
            </w:r>
          </w:p>
        </w:tc>
        <w:tc>
          <w:tcPr>
            <w:tcW w:type="dxa" w:w="4464"/>
          </w:tcPr>
          <w:p>
            <w:pPr>
              <w:spacing w:after="20"/>
            </w:pPr>
            <w:r/>
            <w:r>
              <w:rPr>
                <w:b w:val="0"/>
                <w:i w:val="0"/>
                <w:sz w:val="17"/>
              </w:rPr>
              <w:t>Cascadia bears an effective 72% of overruns; uncapped</w:t>
            </w:r>
          </w:p>
        </w:tc>
      </w:tr>
      <w:tr>
        <w:tc>
          <w:tcPr>
            <w:tcW w:type="dxa" w:w="1152"/>
          </w:tcPr>
          <w:p>
            <w:pPr>
              <w:spacing w:after="20"/>
            </w:pPr>
            <w:r/>
            <w:r>
              <w:rPr>
                <w:b w:val="0"/>
                <w:i w:val="0"/>
                <w:sz w:val="17"/>
              </w:rPr>
              <w:t>6.6</w:t>
            </w:r>
          </w:p>
        </w:tc>
        <w:tc>
          <w:tcPr>
            <w:tcW w:type="dxa" w:w="3744"/>
          </w:tcPr>
          <w:p>
            <w:pPr>
              <w:spacing w:after="20"/>
            </w:pPr>
            <w:r/>
            <w:r>
              <w:rPr>
                <w:b w:val="0"/>
                <w:i w:val="0"/>
                <w:sz w:val="17"/>
              </w:rPr>
              <w:t>$5M Financial Assurance Bond; 30-day replacement duty if drawn, cancelled or reduced</w:t>
            </w:r>
          </w:p>
        </w:tc>
        <w:tc>
          <w:tcPr>
            <w:tcW w:type="dxa" w:w="4464"/>
          </w:tcPr>
          <w:p>
            <w:pPr>
              <w:spacing w:after="20"/>
            </w:pPr>
            <w:r/>
            <w:r>
              <w:rPr>
                <w:b w:val="0"/>
                <w:i w:val="0"/>
                <w:sz w:val="17"/>
              </w:rPr>
              <w:t>Contingent replenishment obligation; the surety will likely hold indemnity rights against Cascadia (confirm terms of any indemnity agreement with Hollcroft)</w:t>
            </w:r>
          </w:p>
        </w:tc>
      </w:tr>
      <w:tr>
        <w:tc>
          <w:tcPr>
            <w:tcW w:type="dxa" w:w="1152"/>
          </w:tcPr>
          <w:p>
            <w:pPr>
              <w:spacing w:after="20"/>
            </w:pPr>
            <w:r/>
            <w:r>
              <w:rPr>
                <w:b w:val="0"/>
                <w:i w:val="0"/>
                <w:sz w:val="17"/>
              </w:rPr>
              <w:t>7.1-7.3</w:t>
            </w:r>
          </w:p>
        </w:tc>
        <w:tc>
          <w:tcPr>
            <w:tcW w:type="dxa" w:w="3744"/>
          </w:tcPr>
          <w:p>
            <w:pPr>
              <w:spacing w:after="20"/>
            </w:pPr>
            <w:r/>
            <w:r>
              <w:rPr>
                <w:b w:val="0"/>
                <w:i w:val="0"/>
                <w:sz w:val="17"/>
              </w:rPr>
              <w:t>Ecology covenant not to sue, conditioned on each Settling Party's performance; reservations for imminent endangerment, unknown conditions, uncured material breach (60 days), and NRD by tribal/federal/other trustees</w:t>
            </w:r>
          </w:p>
        </w:tc>
        <w:tc>
          <w:tcPr>
            <w:tcW w:type="dxa" w:w="4464"/>
          </w:tcPr>
          <w:p>
            <w:pPr>
              <w:spacing w:after="20"/>
            </w:pPr>
            <w:r/>
            <w:r>
              <w:rPr>
                <w:b w:val="0"/>
                <w:i w:val="0"/>
                <w:sz w:val="17"/>
              </w:rPr>
              <w:t>Reopeners feed SA 8.4 (Government Cost Recovery) and 8.5 (NRD). A default by Northshore or Puget could jeopardize the covenant</w:t>
            </w:r>
          </w:p>
        </w:tc>
      </w:tr>
      <w:tr>
        <w:tc>
          <w:tcPr>
            <w:tcW w:type="dxa" w:w="1152"/>
          </w:tcPr>
          <w:p>
            <w:pPr>
              <w:spacing w:after="20"/>
            </w:pPr>
            <w:r/>
            <w:r>
              <w:rPr>
                <w:b w:val="0"/>
                <w:i w:val="0"/>
                <w:sz w:val="17"/>
              </w:rPr>
              <w:t>7.2</w:t>
            </w:r>
          </w:p>
        </w:tc>
        <w:tc>
          <w:tcPr>
            <w:tcW w:type="dxa" w:w="3744"/>
          </w:tcPr>
          <w:p>
            <w:pPr>
              <w:spacing w:after="20"/>
            </w:pPr>
            <w:r/>
            <w:r>
              <w:rPr>
                <w:b w:val="0"/>
                <w:i w:val="0"/>
                <w:sz w:val="17"/>
              </w:rPr>
              <w:t>Settling Parties covenant not to sue each other on matters addressed, except under Article VIII and Article XI and for material breach</w:t>
            </w:r>
          </w:p>
        </w:tc>
        <w:tc>
          <w:tcPr>
            <w:tcW w:type="dxa" w:w="4464"/>
          </w:tcPr>
          <w:p>
            <w:pPr>
              <w:spacing w:after="20"/>
            </w:pPr>
            <w:r/>
            <w:r>
              <w:rPr>
                <w:b w:val="0"/>
                <w:i w:val="0"/>
                <w:sz w:val="17"/>
              </w:rPr>
              <w:t>Indemnity and dispute resolution are the exclusive inter-party channels</w:t>
            </w:r>
          </w:p>
        </w:tc>
      </w:tr>
      <w:tr>
        <w:tc>
          <w:tcPr>
            <w:tcW w:type="dxa" w:w="1152"/>
          </w:tcPr>
          <w:p>
            <w:pPr>
              <w:spacing w:after="20"/>
            </w:pPr>
            <w:r/>
            <w:r>
              <w:rPr>
                <w:b w:val="0"/>
                <w:i w:val="0"/>
                <w:sz w:val="17"/>
              </w:rPr>
              <w:t>7.4</w:t>
            </w:r>
          </w:p>
        </w:tc>
        <w:tc>
          <w:tcPr>
            <w:tcW w:type="dxa" w:w="3744"/>
          </w:tcPr>
          <w:p>
            <w:pPr>
              <w:spacing w:after="20"/>
            </w:pPr>
            <w:r/>
            <w:r>
              <w:rPr>
                <w:b w:val="0"/>
                <w:i w:val="0"/>
                <w:sz w:val="17"/>
              </w:rPr>
              <w:t>Contribution protection to the extent of Cost Share for matters addressed (RCW 70A.305.040(4)(b))</w:t>
            </w:r>
          </w:p>
        </w:tc>
        <w:tc>
          <w:tcPr>
            <w:tcW w:type="dxa" w:w="4464"/>
          </w:tcPr>
          <w:p>
            <w:pPr>
              <w:spacing w:after="20"/>
            </w:pPr>
            <w:r/>
            <w:r>
              <w:rPr>
                <w:b w:val="0"/>
                <w:i w:val="0"/>
                <w:sz w:val="17"/>
              </w:rPr>
              <w:t>Defense to third-party contribution claims such as the Marina Claim ("remediation cost contribution"); Cascadia controls that defense under SL 7</w:t>
            </w:r>
          </w:p>
        </w:tc>
      </w:tr>
      <w:tr>
        <w:tc>
          <w:tcPr>
            <w:tcW w:type="dxa" w:w="1152"/>
          </w:tcPr>
          <w:p>
            <w:pPr>
              <w:spacing w:after="20"/>
            </w:pPr>
            <w:r/>
            <w:r>
              <w:rPr>
                <w:b w:val="0"/>
                <w:i w:val="0"/>
                <w:sz w:val="17"/>
              </w:rPr>
              <w:t>11.5</w:t>
            </w:r>
          </w:p>
        </w:tc>
        <w:tc>
          <w:tcPr>
            <w:tcW w:type="dxa" w:w="3744"/>
          </w:tcPr>
          <w:p>
            <w:pPr>
              <w:spacing w:after="20"/>
            </w:pPr>
            <w:r/>
            <w:r>
              <w:rPr>
                <w:b w:val="0"/>
                <w:i w:val="0"/>
                <w:sz w:val="17"/>
              </w:rPr>
              <w:t>Indemnification disputes (obligation, amount, caps, baskets, exclusions, procedures) resolved under Article XI: 30-day negotiation, mediation, then Thurston County Superior Court or AAA arbitration if all agree</w:t>
            </w:r>
          </w:p>
        </w:tc>
        <w:tc>
          <w:tcPr>
            <w:tcW w:type="dxa" w:w="4464"/>
          </w:tcPr>
          <w:p>
            <w:pPr>
              <w:spacing w:after="20"/>
            </w:pPr>
            <w:r/>
            <w:r>
              <w:rPr>
                <w:b w:val="0"/>
                <w:i w:val="0"/>
                <w:sz w:val="17"/>
              </w:rPr>
              <w:t>Governs Exh. D disputes notwithstanding Exh. D's erroneous references to "Article IX"</w:t>
            </w:r>
          </w:p>
        </w:tc>
      </w:tr>
      <w:tr>
        <w:tc>
          <w:tcPr>
            <w:tcW w:type="dxa" w:w="1152"/>
          </w:tcPr>
          <w:p>
            <w:pPr>
              <w:spacing w:after="20"/>
            </w:pPr>
            <w:r/>
            <w:r>
              <w:rPr>
                <w:b w:val="0"/>
                <w:i w:val="0"/>
                <w:sz w:val="17"/>
              </w:rPr>
              <w:t>12.1</w:t>
            </w:r>
          </w:p>
        </w:tc>
        <w:tc>
          <w:tcPr>
            <w:tcW w:type="dxa" w:w="3744"/>
          </w:tcPr>
          <w:p>
            <w:pPr>
              <w:spacing w:after="20"/>
            </w:pPr>
            <w:r/>
            <w:r>
              <w:rPr>
                <w:b w:val="0"/>
                <w:i w:val="0"/>
                <w:sz w:val="17"/>
              </w:rPr>
              <w:t>Entire agreement includes SA, Exhibits A-F, Side Letter and Escrow Agreement</w:t>
            </w:r>
          </w:p>
        </w:tc>
        <w:tc>
          <w:tcPr>
            <w:tcW w:type="dxa" w:w="4464"/>
          </w:tcPr>
          <w:p>
            <w:pPr>
              <w:spacing w:after="20"/>
            </w:pPr>
            <w:r/>
            <w:r>
              <w:rPr>
                <w:b w:val="0"/>
                <w:i w:val="0"/>
                <w:sz w:val="17"/>
              </w:rPr>
              <w:t>Side Letter forms part of the integrated agreement, although Ecology and Puget are not party to it</w:t>
            </w:r>
          </w:p>
        </w:tc>
      </w:tr>
      <w:tr>
        <w:tc>
          <w:tcPr>
            <w:tcW w:type="dxa" w:w="1152"/>
          </w:tcPr>
          <w:p>
            <w:pPr>
              <w:spacing w:after="20"/>
            </w:pPr>
            <w:r/>
            <w:r>
              <w:rPr>
                <w:b w:val="0"/>
                <w:i w:val="0"/>
                <w:sz w:val="17"/>
              </w:rPr>
              <w:t>12.2</w:t>
            </w:r>
          </w:p>
        </w:tc>
        <w:tc>
          <w:tcPr>
            <w:tcW w:type="dxa" w:w="3744"/>
          </w:tcPr>
          <w:p>
            <w:pPr>
              <w:spacing w:after="20"/>
            </w:pPr>
            <w:r/>
            <w:r>
              <w:rPr>
                <w:b w:val="0"/>
                <w:i w:val="0"/>
                <w:sz w:val="17"/>
              </w:rPr>
              <w:t>Amendments require a writing signed by all Parties (incl. Ecology) and, if required, Court approval</w:t>
            </w:r>
          </w:p>
        </w:tc>
        <w:tc>
          <w:tcPr>
            <w:tcW w:type="dxa" w:w="4464"/>
          </w:tcPr>
          <w:p>
            <w:pPr>
              <w:spacing w:after="20"/>
            </w:pPr>
            <w:r/>
            <w:r>
              <w:rPr>
                <w:b w:val="0"/>
                <w:i w:val="0"/>
                <w:sz w:val="17"/>
              </w:rPr>
              <w:t>Correcting SA Article VIII requires Ecology's signature; conflicts with Exh. D 11.1 (Settling Parties only)</w:t>
            </w:r>
          </w:p>
        </w:tc>
      </w:tr>
      <w:tr>
        <w:tc>
          <w:tcPr>
            <w:tcW w:type="dxa" w:w="1152"/>
          </w:tcPr>
          <w:p>
            <w:pPr>
              <w:spacing w:after="20"/>
            </w:pPr>
            <w:r/>
            <w:r>
              <w:rPr>
                <w:b w:val="0"/>
                <w:i w:val="0"/>
                <w:sz w:val="17"/>
              </w:rPr>
              <w:t>12.7</w:t>
            </w:r>
          </w:p>
        </w:tc>
        <w:tc>
          <w:tcPr>
            <w:tcW w:type="dxa" w:w="3744"/>
          </w:tcPr>
          <w:p>
            <w:pPr>
              <w:spacing w:after="20"/>
            </w:pPr>
            <w:r/>
            <w:r>
              <w:rPr>
                <w:b w:val="0"/>
                <w:i w:val="0"/>
                <w:sz w:val="17"/>
              </w:rPr>
              <w:t>No third-party beneficiaries except officers, directors, employees and agents of Settling Parties under Article VIII</w:t>
            </w:r>
          </w:p>
        </w:tc>
        <w:tc>
          <w:tcPr>
            <w:tcW w:type="dxa" w:w="4464"/>
          </w:tcPr>
          <w:p>
            <w:pPr>
              <w:spacing w:after="20"/>
            </w:pPr>
            <w:r/>
            <w:r>
              <w:rPr>
                <w:b w:val="0"/>
                <w:i w:val="0"/>
                <w:sz w:val="17"/>
              </w:rPr>
              <w:t>Confirms indemnitee class; insurers and claimants have no rights</w:t>
            </w:r>
          </w:p>
        </w:tc>
      </w:tr>
      <w:tr>
        <w:tc>
          <w:tcPr>
            <w:tcW w:type="dxa" w:w="1152"/>
          </w:tcPr>
          <w:p>
            <w:pPr>
              <w:spacing w:after="20"/>
            </w:pPr>
            <w:r/>
            <w:r>
              <w:rPr>
                <w:b w:val="0"/>
                <w:i w:val="0"/>
                <w:sz w:val="17"/>
              </w:rPr>
              <w:t>Exhibit List (final para.)</w:t>
            </w:r>
          </w:p>
        </w:tc>
        <w:tc>
          <w:tcPr>
            <w:tcW w:type="dxa" w:w="3744"/>
          </w:tcPr>
          <w:p>
            <w:pPr>
              <w:spacing w:after="20"/>
            </w:pPr>
            <w:r/>
            <w:r>
              <w:rPr>
                <w:b w:val="0"/>
                <w:i w:val="0"/>
                <w:sz w:val="17"/>
              </w:rPr>
              <w:t>Body of SA controls over Exhibits except where an Exhibit adds non-inconsistent detail</w:t>
            </w:r>
          </w:p>
        </w:tc>
        <w:tc>
          <w:tcPr>
            <w:tcW w:type="dxa" w:w="4464"/>
          </w:tcPr>
          <w:p>
            <w:pPr>
              <w:spacing w:after="20"/>
            </w:pPr>
            <w:r/>
            <w:r>
              <w:rPr>
                <w:b w:val="0"/>
                <w:i w:val="0"/>
                <w:sz w:val="17"/>
              </w:rPr>
              <w:t>SA prevails over Exh. D conflicts (also Exh. D 11.4)</w:t>
            </w:r>
          </w:p>
        </w:tc>
      </w:tr>
    </w:tbl>
    <w:p>
      <w:pPr>
        <w:spacing w:after="40"/>
      </w:pPr>
    </w:p>
    <w:p>
      <w:pPr>
        <w:pStyle w:val="Heading2"/>
      </w:pPr>
      <w:r>
        <w:t>C. Side Letter Re: Pre-Existing Third-Party Claims (Cascadia-Northshore only)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648"/>
            <w:shd w:val="clear" w:color="auto" w:fill="1F3A5F"/>
          </w:tcPr>
          <w:p>
            <w:r/>
            <w:r>
              <w:rPr>
                <w:b/>
                <w:color w:val="FFFFFF"/>
                <w:sz w:val="15"/>
              </w:rPr>
              <w:t>Sec.</w:t>
            </w:r>
          </w:p>
        </w:tc>
        <w:tc>
          <w:tcPr>
            <w:tcW w:type="dxa" w:w="1440"/>
            <w:shd w:val="clear" w:color="auto" w:fill="1F3A5F"/>
          </w:tcPr>
          <w:p>
            <w:r/>
            <w:r>
              <w:rPr>
                <w:b/>
                <w:color w:val="FFFFFF"/>
                <w:sz w:val="15"/>
              </w:rPr>
              <w:t>Indemnitor -&gt; Indemnitee</w:t>
            </w:r>
          </w:p>
        </w:tc>
        <w:tc>
          <w:tcPr>
            <w:tcW w:type="dxa" w:w="2520"/>
            <w:shd w:val="clear" w:color="auto" w:fill="1F3A5F"/>
          </w:tcPr>
          <w:p>
            <w:r/>
            <w:r>
              <w:rPr>
                <w:b/>
                <w:color w:val="FFFFFF"/>
                <w:sz w:val="15"/>
              </w:rPr>
              <w:t>Claim / Scope</w:t>
            </w:r>
          </w:p>
        </w:tc>
        <w:tc>
          <w:tcPr>
            <w:tcW w:type="dxa" w:w="1440"/>
            <w:shd w:val="clear" w:color="auto" w:fill="1F3A5F"/>
          </w:tcPr>
          <w:p>
            <w:r/>
            <w:r>
              <w:rPr>
                <w:b/>
                <w:color w:val="FFFFFF"/>
                <w:sz w:val="15"/>
              </w:rPr>
              <w:t>Allocation</w:t>
            </w:r>
          </w:p>
        </w:tc>
        <w:tc>
          <w:tcPr>
            <w:tcW w:type="dxa" w:w="1224"/>
            <w:shd w:val="clear" w:color="auto" w:fill="1F3A5F"/>
          </w:tcPr>
          <w:p>
            <w:r/>
            <w:r>
              <w:rPr>
                <w:b/>
                <w:color w:val="FFFFFF"/>
                <w:sz w:val="15"/>
              </w:rPr>
              <w:t>Cap</w:t>
            </w:r>
          </w:p>
        </w:tc>
        <w:tc>
          <w:tcPr>
            <w:tcW w:type="dxa" w:w="864"/>
            <w:shd w:val="clear" w:color="auto" w:fill="1F3A5F"/>
          </w:tcPr>
          <w:p>
            <w:r/>
            <w:r>
              <w:rPr>
                <w:b/>
                <w:color w:val="FFFFFF"/>
                <w:sz w:val="15"/>
              </w:rPr>
              <w:t>Basket</w:t>
            </w:r>
          </w:p>
        </w:tc>
        <w:tc>
          <w:tcPr>
            <w:tcW w:type="dxa" w:w="1368"/>
            <w:shd w:val="clear" w:color="auto" w:fill="1F3A5F"/>
          </w:tcPr>
          <w:p>
            <w:r/>
            <w:r>
              <w:rPr>
                <w:b/>
                <w:color w:val="FFFFFF"/>
                <w:sz w:val="15"/>
              </w:rPr>
              <w:t>Survival</w:t>
            </w:r>
          </w:p>
        </w:tc>
      </w:tr>
      <w:tr>
        <w:tc>
          <w:tcPr>
            <w:tcW w:type="dxa" w:w="648"/>
          </w:tcPr>
          <w:p>
            <w:pPr>
              <w:spacing w:after="20"/>
            </w:pPr>
            <w:r/>
            <w:r>
              <w:rPr>
                <w:b w:val="0"/>
                <w:i w:val="0"/>
                <w:sz w:val="15"/>
              </w:rPr>
              <w:t>2(a)</w:t>
            </w:r>
          </w:p>
        </w:tc>
        <w:tc>
          <w:tcPr>
            <w:tcW w:type="dxa" w:w="1440"/>
          </w:tcPr>
          <w:p>
            <w:pPr>
              <w:spacing w:after="20"/>
            </w:pPr>
            <w:r/>
            <w:r>
              <w:rPr>
                <w:b w:val="0"/>
                <w:i w:val="0"/>
                <w:sz w:val="15"/>
              </w:rPr>
              <w:t>Northshore -&gt; Cascadia (and officers, directors, employees, agents, successors, assigns)</w:t>
            </w:r>
          </w:p>
        </w:tc>
        <w:tc>
          <w:tcPr>
            <w:tcW w:type="dxa" w:w="2520"/>
          </w:tcPr>
          <w:p>
            <w:pPr>
              <w:spacing w:after="20"/>
            </w:pPr>
            <w:r/>
            <w:r>
              <w:rPr>
                <w:b w:val="0"/>
                <w:i w:val="0"/>
                <w:sz w:val="15"/>
              </w:rPr>
              <w:t>TNA Claim: Tideflats Neighborhood Association, filed Oct. 3, 2023 (Pierce County) against Cascadia and Northshore; ~$2,300,000 property diminution</w:t>
            </w:r>
          </w:p>
        </w:tc>
        <w:tc>
          <w:tcPr>
            <w:tcW w:type="dxa" w:w="1440"/>
          </w:tcPr>
          <w:p>
            <w:pPr>
              <w:spacing w:after="20"/>
            </w:pPr>
            <w:r/>
            <w:r>
              <w:rPr>
                <w:b w:val="0"/>
                <w:i w:val="0"/>
                <w:sz w:val="15"/>
              </w:rPr>
              <w:t>Northshore 35%; Cascadia 65% of Covered Losses (incl. defense costs)</w:t>
            </w:r>
          </w:p>
        </w:tc>
        <w:tc>
          <w:tcPr>
            <w:tcW w:type="dxa" w:w="1224"/>
          </w:tcPr>
          <w:p>
            <w:pPr>
              <w:spacing w:after="20"/>
            </w:pPr>
            <w:r/>
            <w:r>
              <w:rPr>
                <w:b w:val="0"/>
                <w:i w:val="0"/>
                <w:sz w:val="15"/>
              </w:rPr>
              <w:t>$805,000 absolute cap regardless of ultimate liability</w:t>
            </w:r>
          </w:p>
        </w:tc>
        <w:tc>
          <w:tcPr>
            <w:tcW w:type="dxa" w:w="864"/>
          </w:tcPr>
          <w:p>
            <w:pPr>
              <w:spacing w:after="20"/>
            </w:pPr>
            <w:r/>
            <w:r>
              <w:rPr>
                <w:b w:val="0"/>
                <w:i w:val="0"/>
                <w:sz w:val="15"/>
              </w:rPr>
              <w:t>None; first dollar (SL 3)</w:t>
            </w:r>
          </w:p>
        </w:tc>
        <w:tc>
          <w:tcPr>
            <w:tcW w:type="dxa" w:w="1368"/>
          </w:tcPr>
          <w:p>
            <w:pPr>
              <w:spacing w:after="20"/>
            </w:pPr>
            <w:r/>
            <w:r>
              <w:rPr>
                <w:b w:val="0"/>
                <w:i w:val="0"/>
                <w:sz w:val="15"/>
              </w:rPr>
              <w:t>To 11:59 p.m. PT, Feb. 1, 2037; noticed claims survive to final resolution (SL 5)</w:t>
            </w:r>
          </w:p>
        </w:tc>
      </w:tr>
      <w:tr>
        <w:tc>
          <w:tcPr>
            <w:tcW w:type="dxa" w:w="648"/>
          </w:tcPr>
          <w:p>
            <w:pPr>
              <w:spacing w:after="20"/>
            </w:pPr>
            <w:r/>
            <w:r>
              <w:rPr>
                <w:b w:val="0"/>
                <w:i w:val="0"/>
                <w:sz w:val="15"/>
              </w:rPr>
              <w:t>2(b)</w:t>
            </w:r>
          </w:p>
        </w:tc>
        <w:tc>
          <w:tcPr>
            <w:tcW w:type="dxa" w:w="1440"/>
          </w:tcPr>
          <w:p>
            <w:pPr>
              <w:spacing w:after="20"/>
            </w:pPr>
            <w:r/>
            <w:r>
              <w:rPr>
                <w:b w:val="0"/>
                <w:i w:val="0"/>
                <w:sz w:val="15"/>
              </w:rPr>
              <w:t>Northshore -&gt; Cascadia</w:t>
            </w:r>
          </w:p>
        </w:tc>
        <w:tc>
          <w:tcPr>
            <w:tcW w:type="dxa" w:w="2520"/>
          </w:tcPr>
          <w:p>
            <w:pPr>
              <w:spacing w:after="20"/>
            </w:pPr>
            <w:r/>
            <w:r>
              <w:rPr>
                <w:b w:val="0"/>
                <w:i w:val="0"/>
                <w:sz w:val="15"/>
              </w:rPr>
              <w:t>SSC Claim: Salish Seafood Cooperative, filed Mar. 17, 2024 (Pierce County) against Cascadia and Northshore; ~$1,800,000 commercial losses (shellfish harvesting/processing)</w:t>
            </w:r>
          </w:p>
        </w:tc>
        <w:tc>
          <w:tcPr>
            <w:tcW w:type="dxa" w:w="1440"/>
          </w:tcPr>
          <w:p>
            <w:pPr>
              <w:spacing w:after="20"/>
            </w:pPr>
            <w:r/>
            <w:r>
              <w:rPr>
                <w:b w:val="0"/>
                <w:i w:val="0"/>
                <w:sz w:val="15"/>
              </w:rPr>
              <w:t>Northshore 50%; Cascadia 50%</w:t>
            </w:r>
          </w:p>
        </w:tc>
        <w:tc>
          <w:tcPr>
            <w:tcW w:type="dxa" w:w="1224"/>
          </w:tcPr>
          <w:p>
            <w:pPr>
              <w:spacing w:after="20"/>
            </w:pPr>
            <w:r/>
            <w:r>
              <w:rPr>
                <w:b w:val="0"/>
                <w:i w:val="0"/>
                <w:sz w:val="15"/>
              </w:rPr>
              <w:t>$900,000 absolute cap</w:t>
            </w:r>
          </w:p>
        </w:tc>
        <w:tc>
          <w:tcPr>
            <w:tcW w:type="dxa" w:w="864"/>
          </w:tcPr>
          <w:p>
            <w:pPr>
              <w:spacing w:after="20"/>
            </w:pPr>
            <w:r/>
            <w:r>
              <w:rPr>
                <w:b w:val="0"/>
                <w:i w:val="0"/>
                <w:sz w:val="15"/>
              </w:rPr>
              <w:t>None</w:t>
            </w:r>
          </w:p>
        </w:tc>
        <w:tc>
          <w:tcPr>
            <w:tcW w:type="dxa" w:w="1368"/>
          </w:tcPr>
          <w:p>
            <w:pPr>
              <w:spacing w:after="20"/>
            </w:pPr>
            <w:r/>
            <w:r>
              <w:rPr>
                <w:b w:val="0"/>
                <w:i w:val="0"/>
                <w:sz w:val="15"/>
              </w:rPr>
              <w:t>Same</w:t>
            </w:r>
          </w:p>
        </w:tc>
      </w:tr>
      <w:tr>
        <w:tc>
          <w:tcPr>
            <w:tcW w:type="dxa" w:w="648"/>
          </w:tcPr>
          <w:p>
            <w:pPr>
              <w:spacing w:after="20"/>
            </w:pPr>
            <w:r/>
            <w:r>
              <w:rPr>
                <w:b w:val="0"/>
                <w:i w:val="0"/>
                <w:sz w:val="15"/>
              </w:rPr>
              <w:t>2(c)</w:t>
            </w:r>
          </w:p>
        </w:tc>
        <w:tc>
          <w:tcPr>
            <w:tcW w:type="dxa" w:w="1440"/>
          </w:tcPr>
          <w:p>
            <w:pPr>
              <w:spacing w:after="20"/>
            </w:pPr>
            <w:r/>
            <w:r>
              <w:rPr>
                <w:b w:val="0"/>
                <w:i w:val="0"/>
                <w:sz w:val="15"/>
              </w:rPr>
              <w:t>Cascadia -&gt; Northshore (and officers, directors, employees, agents, successors, assigns)</w:t>
            </w:r>
          </w:p>
        </w:tc>
        <w:tc>
          <w:tcPr>
            <w:tcW w:type="dxa" w:w="2520"/>
          </w:tcPr>
          <w:p>
            <w:pPr>
              <w:spacing w:after="20"/>
            </w:pPr>
            <w:r/>
            <w:r>
              <w:rPr>
                <w:b w:val="0"/>
                <w:i w:val="0"/>
                <w:sz w:val="15"/>
              </w:rPr>
              <w:t>Marina Claim: Commencement Bay Marina LLC, filed June 22, 2024 (Pierce County) against Northshore only; ~$4,100,000 remediation cost contribution; alleged to arise from Puget operations</w:t>
            </w:r>
          </w:p>
        </w:tc>
        <w:tc>
          <w:tcPr>
            <w:tcW w:type="dxa" w:w="1440"/>
          </w:tcPr>
          <w:p>
            <w:pPr>
              <w:spacing w:after="20"/>
            </w:pPr>
            <w:r/>
            <w:r>
              <w:rPr>
                <w:b w:val="0"/>
                <w:i w:val="0"/>
                <w:sz w:val="15"/>
              </w:rPr>
              <w:t>Cascadia 100%, incl. amendments, supplements and increases</w:t>
            </w:r>
          </w:p>
        </w:tc>
        <w:tc>
          <w:tcPr>
            <w:tcW w:type="dxa" w:w="1224"/>
          </w:tcPr>
          <w:p>
            <w:pPr>
              <w:spacing w:after="20"/>
            </w:pPr>
            <w:r/>
            <w:r>
              <w:rPr>
                <w:b/>
                <w:i w:val="0"/>
                <w:sz w:val="15"/>
              </w:rPr>
              <w:t>None</w:t>
            </w:r>
          </w:p>
        </w:tc>
        <w:tc>
          <w:tcPr>
            <w:tcW w:type="dxa" w:w="864"/>
          </w:tcPr>
          <w:p>
            <w:pPr>
              <w:spacing w:after="20"/>
            </w:pPr>
            <w:r/>
            <w:r>
              <w:rPr>
                <w:b w:val="0"/>
                <w:i w:val="0"/>
                <w:sz w:val="15"/>
              </w:rPr>
              <w:t>None</w:t>
            </w:r>
          </w:p>
        </w:tc>
        <w:tc>
          <w:tcPr>
            <w:tcW w:type="dxa" w:w="1368"/>
          </w:tcPr>
          <w:p>
            <w:pPr>
              <w:spacing w:after="20"/>
            </w:pPr>
            <w:r/>
            <w:r>
              <w:rPr>
                <w:b w:val="0"/>
                <w:i w:val="0"/>
                <w:sz w:val="15"/>
              </w:rPr>
              <w:t>Same</w:t>
            </w:r>
          </w:p>
        </w:tc>
      </w:tr>
      <w:tr>
        <w:tc>
          <w:tcPr>
            <w:tcW w:type="dxa" w:w="648"/>
          </w:tcPr>
          <w:p>
            <w:pPr>
              <w:spacing w:after="20"/>
            </w:pPr>
            <w:r/>
            <w:r>
              <w:rPr>
                <w:b w:val="0"/>
                <w:i w:val="0"/>
                <w:sz w:val="15"/>
              </w:rPr>
              <w:t>3</w:t>
            </w:r>
          </w:p>
        </w:tc>
        <w:tc>
          <w:tcPr>
            <w:tcW w:type="dxa" w:w="1440"/>
          </w:tcPr>
          <w:p>
            <w:pPr>
              <w:spacing w:after="20"/>
            </w:pPr>
            <w:r/>
            <w:r>
              <w:rPr>
                <w:b w:val="0"/>
                <w:i w:val="0"/>
                <w:sz w:val="15"/>
              </w:rPr>
              <w:t>Both</w:t>
            </w:r>
          </w:p>
        </w:tc>
        <w:tc>
          <w:tcPr>
            <w:tcW w:type="dxa" w:w="2520"/>
          </w:tcPr>
          <w:p>
            <w:pPr>
              <w:spacing w:after="20"/>
            </w:pPr>
            <w:r/>
            <w:r>
              <w:rPr>
                <w:b w:val="0"/>
                <w:i w:val="0"/>
                <w:sz w:val="15"/>
              </w:rPr>
              <w:t>Expressly waives SA 8.1/8.2 baskets and deductibles for Pre-Existing Claims</w:t>
            </w:r>
          </w:p>
        </w:tc>
        <w:tc>
          <w:tcPr>
            <w:tcW w:type="dxa" w:w="1440"/>
          </w:tcPr>
          <w:p>
            <w:pPr>
              <w:spacing w:after="20"/>
            </w:pPr>
            <w:r/>
            <w:r>
              <w:rPr>
                <w:b w:val="0"/>
                <w:i w:val="0"/>
                <w:sz w:val="15"/>
              </w:rPr>
              <w:t>--</w:t>
            </w:r>
          </w:p>
        </w:tc>
        <w:tc>
          <w:tcPr>
            <w:tcW w:type="dxa" w:w="1224"/>
          </w:tcPr>
          <w:p>
            <w:pPr>
              <w:spacing w:after="20"/>
            </w:pPr>
            <w:r/>
            <w:r>
              <w:rPr>
                <w:b w:val="0"/>
                <w:i w:val="0"/>
                <w:sz w:val="15"/>
              </w:rPr>
              <w:t>--</w:t>
            </w:r>
          </w:p>
        </w:tc>
        <w:tc>
          <w:tcPr>
            <w:tcW w:type="dxa" w:w="864"/>
          </w:tcPr>
          <w:p>
            <w:pPr>
              <w:spacing w:after="20"/>
            </w:pPr>
            <w:r/>
            <w:r>
              <w:rPr>
                <w:b w:val="0"/>
                <w:i w:val="0"/>
                <w:sz w:val="15"/>
              </w:rPr>
              <w:t>None</w:t>
            </w:r>
          </w:p>
        </w:tc>
        <w:tc>
          <w:tcPr>
            <w:tcW w:type="dxa" w:w="1368"/>
          </w:tcPr>
          <w:p>
            <w:pPr>
              <w:spacing w:after="20"/>
            </w:pPr>
            <w:r/>
            <w:r>
              <w:rPr>
                <w:b w:val="0"/>
                <w:i w:val="0"/>
                <w:sz w:val="15"/>
              </w:rPr>
              <w:t>--</w:t>
            </w:r>
          </w:p>
        </w:tc>
      </w:tr>
      <w:tr>
        <w:tc>
          <w:tcPr>
            <w:tcW w:type="dxa" w:w="648"/>
          </w:tcPr>
          <w:p>
            <w:pPr>
              <w:spacing w:after="20"/>
            </w:pPr>
            <w:r/>
            <w:r>
              <w:rPr>
                <w:b w:val="0"/>
                <w:i w:val="0"/>
                <w:sz w:val="15"/>
              </w:rPr>
              <w:t>4</w:t>
            </w:r>
          </w:p>
        </w:tc>
        <w:tc>
          <w:tcPr>
            <w:tcW w:type="dxa" w:w="1440"/>
          </w:tcPr>
          <w:p>
            <w:pPr>
              <w:spacing w:after="20"/>
            </w:pPr>
            <w:r/>
            <w:r>
              <w:rPr>
                <w:b w:val="0"/>
                <w:i w:val="0"/>
                <w:sz w:val="15"/>
              </w:rPr>
              <w:t>Both</w:t>
            </w:r>
          </w:p>
        </w:tc>
        <w:tc>
          <w:tcPr>
            <w:tcW w:type="dxa" w:w="2520"/>
          </w:tcPr>
          <w:p>
            <w:pPr>
              <w:spacing w:after="20"/>
            </w:pPr>
            <w:r/>
            <w:r>
              <w:rPr>
                <w:b w:val="0"/>
                <w:i w:val="0"/>
                <w:sz w:val="15"/>
              </w:rPr>
              <w:t>SL obligations independent of and in addition to Article VIII; no offset or cap erosion either way; SL governs conflicts as to Pre-Existing Claims</w:t>
            </w:r>
          </w:p>
        </w:tc>
        <w:tc>
          <w:tcPr>
            <w:tcW w:type="dxa" w:w="1440"/>
          </w:tcPr>
          <w:p>
            <w:pPr>
              <w:spacing w:after="20"/>
            </w:pPr>
            <w:r/>
            <w:r>
              <w:rPr>
                <w:b w:val="0"/>
                <w:i w:val="0"/>
                <w:sz w:val="15"/>
              </w:rPr>
              <w:t>--</w:t>
            </w:r>
          </w:p>
        </w:tc>
        <w:tc>
          <w:tcPr>
            <w:tcW w:type="dxa" w:w="1224"/>
          </w:tcPr>
          <w:p>
            <w:pPr>
              <w:spacing w:after="20"/>
            </w:pPr>
            <w:r/>
            <w:r>
              <w:rPr>
                <w:b w:val="0"/>
                <w:i w:val="0"/>
                <w:sz w:val="15"/>
              </w:rPr>
              <w:t>SA caps not reduced by SL payments and vice versa</w:t>
            </w:r>
          </w:p>
        </w:tc>
        <w:tc>
          <w:tcPr>
            <w:tcW w:type="dxa" w:w="864"/>
          </w:tcPr>
          <w:p>
            <w:pPr>
              <w:spacing w:after="20"/>
            </w:pPr>
            <w:r/>
            <w:r>
              <w:rPr>
                <w:b w:val="0"/>
                <w:i w:val="0"/>
                <w:sz w:val="15"/>
              </w:rPr>
              <w:t>--</w:t>
            </w:r>
          </w:p>
        </w:tc>
        <w:tc>
          <w:tcPr>
            <w:tcW w:type="dxa" w:w="1368"/>
          </w:tcPr>
          <w:p>
            <w:pPr>
              <w:spacing w:after="20"/>
            </w:pPr>
            <w:r/>
            <w:r>
              <w:rPr>
                <w:b w:val="0"/>
                <w:i w:val="0"/>
                <w:sz w:val="15"/>
              </w:rPr>
              <w:t>--</w:t>
            </w:r>
          </w:p>
        </w:tc>
      </w:tr>
      <w:tr>
        <w:tc>
          <w:tcPr>
            <w:tcW w:type="dxa" w:w="648"/>
          </w:tcPr>
          <w:p>
            <w:pPr>
              <w:spacing w:after="20"/>
            </w:pPr>
            <w:r/>
            <w:r>
              <w:rPr>
                <w:b w:val="0"/>
                <w:i w:val="0"/>
                <w:sz w:val="15"/>
              </w:rPr>
              <w:t>6-7</w:t>
            </w:r>
          </w:p>
        </w:tc>
        <w:tc>
          <w:tcPr>
            <w:tcW w:type="dxa" w:w="1440"/>
          </w:tcPr>
          <w:p>
            <w:pPr>
              <w:spacing w:after="20"/>
            </w:pPr>
            <w:r/>
            <w:r>
              <w:rPr>
                <w:b w:val="0"/>
                <w:i w:val="0"/>
                <w:sz w:val="15"/>
              </w:rPr>
              <w:t>Both</w:t>
            </w:r>
          </w:p>
        </w:tc>
        <w:tc>
          <w:tcPr>
            <w:tcW w:type="dxa" w:w="2520"/>
          </w:tcPr>
          <w:p>
            <w:pPr>
              <w:spacing w:after="20"/>
            </w:pPr>
            <w:r/>
            <w:r>
              <w:rPr>
                <w:b w:val="0"/>
                <w:i w:val="0"/>
                <w:sz w:val="15"/>
              </w:rPr>
              <w:t>Exh. D applies mutatis mutandis; joint defense counsel for TNA/SSC by mutual agreement; Cascadia controls Marina defense and settlement but needs Northshore consent (not unreasonably withheld) for non-monetary terms or admissions binding Northshore; defense obligation limited to costs allocable to indemnified share, subject to caps</w:t>
            </w:r>
          </w:p>
        </w:tc>
        <w:tc>
          <w:tcPr>
            <w:tcW w:type="dxa" w:w="1440"/>
          </w:tcPr>
          <w:p>
            <w:pPr>
              <w:spacing w:after="20"/>
            </w:pPr>
            <w:r/>
            <w:r>
              <w:rPr>
                <w:b w:val="0"/>
                <w:i w:val="0"/>
                <w:sz w:val="15"/>
              </w:rPr>
              <w:t>--</w:t>
            </w:r>
          </w:p>
        </w:tc>
        <w:tc>
          <w:tcPr>
            <w:tcW w:type="dxa" w:w="1224"/>
          </w:tcPr>
          <w:p>
            <w:pPr>
              <w:spacing w:after="20"/>
            </w:pPr>
            <w:r/>
            <w:r>
              <w:rPr>
                <w:b w:val="0"/>
                <w:i w:val="0"/>
                <w:sz w:val="15"/>
              </w:rPr>
              <w:t>--</w:t>
            </w:r>
          </w:p>
        </w:tc>
        <w:tc>
          <w:tcPr>
            <w:tcW w:type="dxa" w:w="864"/>
          </w:tcPr>
          <w:p>
            <w:pPr>
              <w:spacing w:after="20"/>
            </w:pPr>
            <w:r/>
            <w:r>
              <w:rPr>
                <w:b w:val="0"/>
                <w:i w:val="0"/>
                <w:sz w:val="15"/>
              </w:rPr>
              <w:t>--</w:t>
            </w:r>
          </w:p>
        </w:tc>
        <w:tc>
          <w:tcPr>
            <w:tcW w:type="dxa" w:w="1368"/>
          </w:tcPr>
          <w:p>
            <w:pPr>
              <w:spacing w:after="20"/>
            </w:pPr>
            <w:r/>
            <w:r>
              <w:rPr>
                <w:b w:val="0"/>
                <w:i w:val="0"/>
                <w:sz w:val="15"/>
              </w:rPr>
              <w:t>--</w:t>
            </w:r>
          </w:p>
        </w:tc>
      </w:tr>
      <w:tr>
        <w:tc>
          <w:tcPr>
            <w:tcW w:type="dxa" w:w="648"/>
          </w:tcPr>
          <w:p>
            <w:pPr>
              <w:spacing w:after="20"/>
            </w:pPr>
            <w:r/>
            <w:r>
              <w:rPr>
                <w:b w:val="0"/>
                <w:i w:val="0"/>
                <w:sz w:val="15"/>
              </w:rPr>
              <w:t>8</w:t>
            </w:r>
          </w:p>
        </w:tc>
        <w:tc>
          <w:tcPr>
            <w:tcW w:type="dxa" w:w="1440"/>
          </w:tcPr>
          <w:p>
            <w:pPr>
              <w:spacing w:after="20"/>
            </w:pPr>
            <w:r/>
            <w:r>
              <w:rPr>
                <w:b w:val="0"/>
                <w:i w:val="0"/>
                <w:sz w:val="15"/>
              </w:rPr>
              <w:t>Insurance</w:t>
            </w:r>
          </w:p>
        </w:tc>
        <w:tc>
          <w:tcPr>
            <w:tcW w:type="dxa" w:w="2520"/>
          </w:tcPr>
          <w:p>
            <w:pPr>
              <w:spacing w:after="20"/>
            </w:pPr>
            <w:r/>
            <w:r>
              <w:rPr>
                <w:b w:val="0"/>
                <w:i w:val="0"/>
                <w:sz w:val="15"/>
              </w:rPr>
              <w:t>PLL proceeds received by Cascadia reduce the indemnifying party's SL obligation dollar-for-dollar; Cascadia to use commercially reasonable efforts to recover; no duty to sue insurer; failure to obtain proceeds does not reduce the indemnity</w:t>
            </w:r>
          </w:p>
        </w:tc>
        <w:tc>
          <w:tcPr>
            <w:tcW w:type="dxa" w:w="1440"/>
          </w:tcPr>
          <w:p>
            <w:pPr>
              <w:spacing w:after="20"/>
            </w:pPr>
            <w:r/>
            <w:r>
              <w:rPr>
                <w:b w:val="0"/>
                <w:i w:val="0"/>
                <w:sz w:val="15"/>
              </w:rPr>
              <w:t>--</w:t>
            </w:r>
          </w:p>
        </w:tc>
        <w:tc>
          <w:tcPr>
            <w:tcW w:type="dxa" w:w="1224"/>
          </w:tcPr>
          <w:p>
            <w:pPr>
              <w:spacing w:after="20"/>
            </w:pPr>
            <w:r/>
            <w:r>
              <w:rPr>
                <w:b w:val="0"/>
                <w:i w:val="0"/>
                <w:sz w:val="15"/>
              </w:rPr>
              <w:t>--</w:t>
            </w:r>
          </w:p>
        </w:tc>
        <w:tc>
          <w:tcPr>
            <w:tcW w:type="dxa" w:w="864"/>
          </w:tcPr>
          <w:p>
            <w:pPr>
              <w:spacing w:after="20"/>
            </w:pPr>
            <w:r/>
            <w:r>
              <w:rPr>
                <w:b w:val="0"/>
                <w:i w:val="0"/>
                <w:sz w:val="15"/>
              </w:rPr>
              <w:t>--</w:t>
            </w:r>
          </w:p>
        </w:tc>
        <w:tc>
          <w:tcPr>
            <w:tcW w:type="dxa" w:w="1368"/>
          </w:tcPr>
          <w:p>
            <w:pPr>
              <w:spacing w:after="20"/>
            </w:pPr>
            <w:r/>
            <w:r>
              <w:rPr>
                <w:b w:val="0"/>
                <w:i w:val="0"/>
                <w:sz w:val="15"/>
              </w:rPr>
              <w:t>--</w:t>
            </w:r>
          </w:p>
        </w:tc>
      </w:tr>
      <w:tr>
        <w:tc>
          <w:tcPr>
            <w:tcW w:type="dxa" w:w="648"/>
          </w:tcPr>
          <w:p>
            <w:pPr>
              <w:spacing w:after="20"/>
            </w:pPr>
            <w:r/>
            <w:r>
              <w:rPr>
                <w:b w:val="0"/>
                <w:i w:val="0"/>
                <w:sz w:val="15"/>
              </w:rPr>
              <w:t>9(d)</w:t>
            </w:r>
          </w:p>
        </w:tc>
        <w:tc>
          <w:tcPr>
            <w:tcW w:type="dxa" w:w="1440"/>
          </w:tcPr>
          <w:p>
            <w:pPr>
              <w:spacing w:after="20"/>
            </w:pPr>
            <w:r/>
            <w:r>
              <w:rPr>
                <w:b w:val="0"/>
                <w:i w:val="0"/>
                <w:sz w:val="15"/>
              </w:rPr>
              <w:t>Both (representation)</w:t>
            </w:r>
          </w:p>
        </w:tc>
        <w:tc>
          <w:tcPr>
            <w:tcW w:type="dxa" w:w="2520"/>
          </w:tcPr>
          <w:p>
            <w:pPr>
              <w:spacing w:after="20"/>
            </w:pPr>
            <w:r/>
            <w:r>
              <w:rPr>
                <w:b w:val="0"/>
                <w:i w:val="0"/>
                <w:sz w:val="15"/>
              </w:rPr>
              <w:t>Each party unaware of any other third-party claims relating to the Property beyond the Pre-Existing Claims and matters addressed in the SA</w:t>
            </w:r>
          </w:p>
        </w:tc>
        <w:tc>
          <w:tcPr>
            <w:tcW w:type="dxa" w:w="1440"/>
          </w:tcPr>
          <w:p>
            <w:pPr>
              <w:spacing w:after="20"/>
            </w:pPr>
            <w:r/>
            <w:r>
              <w:rPr>
                <w:b w:val="0"/>
                <w:i w:val="0"/>
                <w:sz w:val="15"/>
              </w:rPr>
              <w:t>--</w:t>
            </w:r>
          </w:p>
        </w:tc>
        <w:tc>
          <w:tcPr>
            <w:tcW w:type="dxa" w:w="1224"/>
          </w:tcPr>
          <w:p>
            <w:pPr>
              <w:spacing w:after="20"/>
            </w:pPr>
            <w:r/>
            <w:r>
              <w:rPr>
                <w:b w:val="0"/>
                <w:i w:val="0"/>
                <w:sz w:val="15"/>
              </w:rPr>
              <w:t>--</w:t>
            </w:r>
          </w:p>
        </w:tc>
        <w:tc>
          <w:tcPr>
            <w:tcW w:type="dxa" w:w="864"/>
          </w:tcPr>
          <w:p>
            <w:pPr>
              <w:spacing w:after="20"/>
            </w:pPr>
            <w:r/>
            <w:r>
              <w:rPr>
                <w:b w:val="0"/>
                <w:i w:val="0"/>
                <w:sz w:val="15"/>
              </w:rPr>
              <w:t>--</w:t>
            </w:r>
          </w:p>
        </w:tc>
        <w:tc>
          <w:tcPr>
            <w:tcW w:type="dxa" w:w="1368"/>
          </w:tcPr>
          <w:p>
            <w:pPr>
              <w:spacing w:after="20"/>
            </w:pPr>
            <w:r/>
            <w:r>
              <w:rPr>
                <w:b w:val="0"/>
                <w:i w:val="0"/>
                <w:sz w:val="15"/>
              </w:rPr>
              <w:t>--</w:t>
            </w:r>
          </w:p>
        </w:tc>
      </w:tr>
    </w:tbl>
    <w:p>
      <w:pPr>
        <w:spacing w:after="40"/>
      </w:pPr>
    </w:p>
    <w:p>
      <w:pPr>
        <w:pStyle w:val="Heading2"/>
      </w:pPr>
      <w:r>
        <w:t>D. Escrow Agreement -- Section 6 and Related Provisions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720"/>
            <w:shd w:val="clear" w:color="auto" w:fill="1F3A5F"/>
          </w:tcPr>
          <w:p>
            <w:r/>
            <w:r>
              <w:rPr>
                <w:b/>
                <w:color w:val="FFFFFF"/>
                <w:sz w:val="15"/>
              </w:rPr>
              <w:t>Sec.</w:t>
            </w:r>
          </w:p>
        </w:tc>
        <w:tc>
          <w:tcPr>
            <w:tcW w:type="dxa" w:w="1584"/>
            <w:shd w:val="clear" w:color="auto" w:fill="1F3A5F"/>
          </w:tcPr>
          <w:p>
            <w:r/>
            <w:r>
              <w:rPr>
                <w:b/>
                <w:color w:val="FFFFFF"/>
                <w:sz w:val="15"/>
              </w:rPr>
              <w:t>Indemnitor -&gt; Indemnitee</w:t>
            </w:r>
          </w:p>
        </w:tc>
        <w:tc>
          <w:tcPr>
            <w:tcW w:type="dxa" w:w="2736"/>
            <w:shd w:val="clear" w:color="auto" w:fill="1F3A5F"/>
          </w:tcPr>
          <w:p>
            <w:r/>
            <w:r>
              <w:rPr>
                <w:b/>
                <w:color w:val="FFFFFF"/>
                <w:sz w:val="15"/>
              </w:rPr>
              <w:t>Trigger / Scope</w:t>
            </w:r>
          </w:p>
        </w:tc>
        <w:tc>
          <w:tcPr>
            <w:tcW w:type="dxa" w:w="864"/>
            <w:shd w:val="clear" w:color="auto" w:fill="1F3A5F"/>
          </w:tcPr>
          <w:p>
            <w:r/>
            <w:r>
              <w:rPr>
                <w:b/>
                <w:color w:val="FFFFFF"/>
                <w:sz w:val="15"/>
              </w:rPr>
              <w:t>Cap</w:t>
            </w:r>
          </w:p>
        </w:tc>
        <w:tc>
          <w:tcPr>
            <w:tcW w:type="dxa" w:w="720"/>
            <w:shd w:val="clear" w:color="auto" w:fill="1F3A5F"/>
          </w:tcPr>
          <w:p>
            <w:r/>
            <w:r>
              <w:rPr>
                <w:b/>
                <w:color w:val="FFFFFF"/>
                <w:sz w:val="15"/>
              </w:rPr>
              <w:t>Basket</w:t>
            </w:r>
          </w:p>
        </w:tc>
        <w:tc>
          <w:tcPr>
            <w:tcW w:type="dxa" w:w="1440"/>
            <w:shd w:val="clear" w:color="auto" w:fill="1F3A5F"/>
          </w:tcPr>
          <w:p>
            <w:r/>
            <w:r>
              <w:rPr>
                <w:b/>
                <w:color w:val="FFFFFF"/>
                <w:sz w:val="15"/>
              </w:rPr>
              <w:t>Exclusions</w:t>
            </w:r>
          </w:p>
        </w:tc>
        <w:tc>
          <w:tcPr>
            <w:tcW w:type="dxa" w:w="1296"/>
            <w:shd w:val="clear" w:color="auto" w:fill="1F3A5F"/>
          </w:tcPr>
          <w:p>
            <w:r/>
            <w:r>
              <w:rPr>
                <w:b/>
                <w:color w:val="FFFFFF"/>
                <w:sz w:val="15"/>
              </w:rPr>
              <w:t>Survival</w:t>
            </w:r>
          </w:p>
        </w:tc>
      </w:tr>
      <w:tr>
        <w:tc>
          <w:tcPr>
            <w:tcW w:type="dxa" w:w="720"/>
          </w:tcPr>
          <w:p>
            <w:pPr>
              <w:spacing w:after="20"/>
            </w:pPr>
            <w:r/>
            <w:r>
              <w:rPr>
                <w:b w:val="0"/>
                <w:i w:val="0"/>
                <w:sz w:val="15"/>
              </w:rPr>
              <w:t>6.1</w:t>
            </w:r>
          </w:p>
        </w:tc>
        <w:tc>
          <w:tcPr>
            <w:tcW w:type="dxa" w:w="1584"/>
          </w:tcPr>
          <w:p>
            <w:pPr>
              <w:spacing w:after="20"/>
            </w:pPr>
            <w:r/>
            <w:r>
              <w:rPr>
                <w:b w:val="0"/>
                <w:i w:val="0"/>
                <w:sz w:val="15"/>
              </w:rPr>
              <w:t xml:space="preserve">Cascadia and Northshore, </w:t>
            </w:r>
            <w:r>
              <w:rPr>
                <w:b/>
                <w:i w:val="0"/>
                <w:sz w:val="15"/>
              </w:rPr>
              <w:t>jointly and severally</w:t>
            </w:r>
            <w:r>
              <w:rPr>
                <w:b w:val="0"/>
                <w:i w:val="0"/>
                <w:sz w:val="15"/>
              </w:rPr>
              <w:t xml:space="preserve"> -&gt; Escrow Agent and its officers, directors, employees, agents, successors, assigns</w:t>
            </w:r>
          </w:p>
        </w:tc>
        <w:tc>
          <w:tcPr>
            <w:tcW w:type="dxa" w:w="2736"/>
          </w:tcPr>
          <w:p>
            <w:pPr>
              <w:spacing w:after="20"/>
            </w:pPr>
            <w:r/>
            <w:r>
              <w:rPr>
                <w:b w:val="0"/>
                <w:i w:val="0"/>
                <w:sz w:val="15"/>
              </w:rPr>
              <w:t>All Escrow Losses (incl. penalties and attorneys' fees) arising from acceptance or performance of the escrow role, incl. Cascadia-Northshore disputes, third-party claims to the funds, and litigation in which the agent is named; agent may recover 100% from either party at its election</w:t>
            </w:r>
          </w:p>
        </w:tc>
        <w:tc>
          <w:tcPr>
            <w:tcW w:type="dxa" w:w="864"/>
          </w:tcPr>
          <w:p>
            <w:pPr>
              <w:spacing w:after="20"/>
            </w:pPr>
            <w:r/>
            <w:r>
              <w:rPr>
                <w:b w:val="0"/>
                <w:i w:val="0"/>
                <w:sz w:val="15"/>
              </w:rPr>
              <w:t>None</w:t>
            </w:r>
          </w:p>
        </w:tc>
        <w:tc>
          <w:tcPr>
            <w:tcW w:type="dxa" w:w="720"/>
          </w:tcPr>
          <w:p>
            <w:pPr>
              <w:spacing w:after="20"/>
            </w:pPr>
            <w:r/>
            <w:r>
              <w:rPr>
                <w:b w:val="0"/>
                <w:i w:val="0"/>
                <w:sz w:val="15"/>
              </w:rPr>
              <w:t>None</w:t>
            </w:r>
          </w:p>
        </w:tc>
        <w:tc>
          <w:tcPr>
            <w:tcW w:type="dxa" w:w="1440"/>
          </w:tcPr>
          <w:p>
            <w:pPr>
              <w:spacing w:after="20"/>
            </w:pPr>
            <w:r/>
            <w:r>
              <w:rPr>
                <w:b w:val="0"/>
                <w:i w:val="0"/>
                <w:sz w:val="15"/>
              </w:rPr>
              <w:t>Agent's own gross negligence or willful misconduct, as finally determined by non-appealable judgment</w:t>
            </w:r>
          </w:p>
        </w:tc>
        <w:tc>
          <w:tcPr>
            <w:tcW w:type="dxa" w:w="1296"/>
          </w:tcPr>
          <w:p>
            <w:pPr>
              <w:spacing w:after="20"/>
            </w:pPr>
            <w:r/>
            <w:r>
              <w:rPr>
                <w:b w:val="0"/>
                <w:i w:val="0"/>
                <w:sz w:val="15"/>
              </w:rPr>
              <w:t>Indefinite: survives termination, disbursement, resignation/removal until all claims resolved (6.3, 7.5)</w:t>
            </w:r>
          </w:p>
        </w:tc>
      </w:tr>
      <w:tr>
        <w:tc>
          <w:tcPr>
            <w:tcW w:type="dxa" w:w="720"/>
          </w:tcPr>
          <w:p>
            <w:pPr>
              <w:spacing w:after="20"/>
            </w:pPr>
            <w:r/>
            <w:r>
              <w:rPr>
                <w:b w:val="0"/>
                <w:i w:val="0"/>
                <w:sz w:val="15"/>
              </w:rPr>
              <w:t>6.2</w:t>
            </w:r>
          </w:p>
        </w:tc>
        <w:tc>
          <w:tcPr>
            <w:tcW w:type="dxa" w:w="1584"/>
          </w:tcPr>
          <w:p>
            <w:pPr>
              <w:spacing w:after="20"/>
            </w:pPr>
            <w:r/>
            <w:r>
              <w:rPr>
                <w:b w:val="0"/>
                <w:i w:val="0"/>
                <w:sz w:val="15"/>
              </w:rPr>
              <w:t>Limitation in favor of Escrow Agent</w:t>
            </w:r>
          </w:p>
        </w:tc>
        <w:tc>
          <w:tcPr>
            <w:tcW w:type="dxa" w:w="2736"/>
          </w:tcPr>
          <w:p>
            <w:pPr>
              <w:spacing w:after="20"/>
            </w:pPr>
            <w:r/>
            <w:r>
              <w:rPr>
                <w:b w:val="0"/>
                <w:i w:val="0"/>
                <w:sz w:val="15"/>
              </w:rPr>
              <w:t>Agent's aggregate liability to Cascadia and Northshore capped at Annual Escrow Fees actually received (projected $92,500 over an estimated 5-year term)</w:t>
            </w:r>
          </w:p>
        </w:tc>
        <w:tc>
          <w:tcPr>
            <w:tcW w:type="dxa" w:w="864"/>
          </w:tcPr>
          <w:p>
            <w:pPr>
              <w:spacing w:after="20"/>
            </w:pPr>
            <w:r/>
            <w:r>
              <w:rPr>
                <w:b w:val="0"/>
                <w:i w:val="0"/>
                <w:sz w:val="15"/>
              </w:rPr>
              <w:t>Fees received</w:t>
            </w:r>
          </w:p>
        </w:tc>
        <w:tc>
          <w:tcPr>
            <w:tcW w:type="dxa" w:w="720"/>
          </w:tcPr>
          <w:p>
            <w:pPr>
              <w:spacing w:after="20"/>
            </w:pPr>
            <w:r/>
            <w:r>
              <w:rPr>
                <w:b w:val="0"/>
                <w:i w:val="0"/>
                <w:sz w:val="15"/>
              </w:rPr>
              <w:t>--</w:t>
            </w:r>
          </w:p>
        </w:tc>
        <w:tc>
          <w:tcPr>
            <w:tcW w:type="dxa" w:w="1440"/>
          </w:tcPr>
          <w:p>
            <w:pPr>
              <w:spacing w:after="20"/>
            </w:pPr>
            <w:r/>
            <w:r>
              <w:rPr>
                <w:b w:val="0"/>
                <w:i w:val="0"/>
                <w:sz w:val="15"/>
              </w:rPr>
              <w:t>Cap does not apply to gross negligence/willful misconduct</w:t>
            </w:r>
          </w:p>
        </w:tc>
        <w:tc>
          <w:tcPr>
            <w:tcW w:type="dxa" w:w="1296"/>
          </w:tcPr>
          <w:p>
            <w:pPr>
              <w:spacing w:after="20"/>
            </w:pPr>
            <w:r/>
            <w:r>
              <w:rPr>
                <w:b w:val="0"/>
                <w:i w:val="0"/>
                <w:sz w:val="15"/>
              </w:rPr>
              <w:t>n/a</w:t>
            </w:r>
          </w:p>
        </w:tc>
      </w:tr>
      <w:tr>
        <w:tc>
          <w:tcPr>
            <w:tcW w:type="dxa" w:w="720"/>
          </w:tcPr>
          <w:p>
            <w:pPr>
              <w:spacing w:after="20"/>
            </w:pPr>
            <w:r/>
            <w:r>
              <w:rPr>
                <w:b w:val="0"/>
                <w:i w:val="0"/>
                <w:sz w:val="15"/>
              </w:rPr>
              <w:t>4.3-4.4</w:t>
            </w:r>
          </w:p>
        </w:tc>
        <w:tc>
          <w:tcPr>
            <w:tcW w:type="dxa" w:w="1584"/>
          </w:tcPr>
          <w:p>
            <w:pPr>
              <w:spacing w:after="20"/>
            </w:pPr>
            <w:r/>
            <w:r>
              <w:rPr>
                <w:b w:val="0"/>
                <w:i w:val="0"/>
                <w:sz w:val="15"/>
              </w:rPr>
              <w:t>Exculpation</w:t>
            </w:r>
          </w:p>
        </w:tc>
        <w:tc>
          <w:tcPr>
            <w:tcW w:type="dxa" w:w="2736"/>
          </w:tcPr>
          <w:p>
            <w:pPr>
              <w:spacing w:after="20"/>
            </w:pPr>
            <w:r/>
            <w:r>
              <w:rPr>
                <w:b w:val="0"/>
                <w:i w:val="0"/>
                <w:sz w:val="15"/>
              </w:rPr>
              <w:t>No agent liability for investment losses, force majeure, Depository Bank default/insolvency, or taxes; interpleader costs borne equally by Cascadia and Northshore</w:t>
            </w:r>
          </w:p>
        </w:tc>
        <w:tc>
          <w:tcPr>
            <w:tcW w:type="dxa" w:w="864"/>
          </w:tcPr>
          <w:p>
            <w:pPr>
              <w:spacing w:after="20"/>
            </w:pPr>
            <w:r/>
            <w:r>
              <w:rPr>
                <w:b w:val="0"/>
                <w:i w:val="0"/>
                <w:sz w:val="15"/>
              </w:rPr>
              <w:t>--</w:t>
            </w:r>
          </w:p>
        </w:tc>
        <w:tc>
          <w:tcPr>
            <w:tcW w:type="dxa" w:w="720"/>
          </w:tcPr>
          <w:p>
            <w:pPr>
              <w:spacing w:after="20"/>
            </w:pPr>
            <w:r/>
            <w:r>
              <w:rPr>
                <w:b w:val="0"/>
                <w:i w:val="0"/>
                <w:sz w:val="15"/>
              </w:rPr>
              <w:t>--</w:t>
            </w:r>
          </w:p>
        </w:tc>
        <w:tc>
          <w:tcPr>
            <w:tcW w:type="dxa" w:w="1440"/>
          </w:tcPr>
          <w:p>
            <w:pPr>
              <w:spacing w:after="20"/>
            </w:pPr>
            <w:r/>
            <w:r>
              <w:rPr>
                <w:b w:val="0"/>
                <w:i w:val="0"/>
                <w:sz w:val="15"/>
              </w:rPr>
              <w:t>--</w:t>
            </w:r>
          </w:p>
        </w:tc>
        <w:tc>
          <w:tcPr>
            <w:tcW w:type="dxa" w:w="1296"/>
          </w:tcPr>
          <w:p>
            <w:pPr>
              <w:spacing w:after="20"/>
            </w:pPr>
            <w:r/>
            <w:r>
              <w:rPr>
                <w:b w:val="0"/>
                <w:i w:val="0"/>
                <w:sz w:val="15"/>
              </w:rPr>
              <w:t>Survives (7.5)</w:t>
            </w:r>
          </w:p>
        </w:tc>
      </w:tr>
      <w:tr>
        <w:tc>
          <w:tcPr>
            <w:tcW w:type="dxa" w:w="720"/>
          </w:tcPr>
          <w:p>
            <w:pPr>
              <w:spacing w:after="20"/>
            </w:pPr>
            <w:r/>
            <w:r>
              <w:rPr>
                <w:b w:val="0"/>
                <w:i w:val="0"/>
                <w:sz w:val="15"/>
              </w:rPr>
              <w:t>5.2-5.3</w:t>
            </w:r>
          </w:p>
        </w:tc>
        <w:tc>
          <w:tcPr>
            <w:tcW w:type="dxa" w:w="1584"/>
          </w:tcPr>
          <w:p>
            <w:pPr>
              <w:spacing w:after="20"/>
            </w:pPr>
            <w:r/>
            <w:r>
              <w:rPr>
                <w:b w:val="0"/>
                <w:i w:val="0"/>
                <w:sz w:val="15"/>
              </w:rPr>
              <w:t>Expense reimbursement</w:t>
            </w:r>
          </w:p>
        </w:tc>
        <w:tc>
          <w:tcPr>
            <w:tcW w:type="dxa" w:w="2736"/>
          </w:tcPr>
          <w:p>
            <w:pPr>
              <w:spacing w:after="20"/>
            </w:pPr>
            <w:r/>
            <w:r>
              <w:rPr>
                <w:b w:val="0"/>
                <w:i w:val="0"/>
                <w:sz w:val="15"/>
              </w:rPr>
              <w:t>Agent's out-of-pocket expenses (incl. legal fees) split equally; unpaid fees may be deducted from Escrow Funds on 10 Business Days' notice</w:t>
            </w:r>
          </w:p>
        </w:tc>
        <w:tc>
          <w:tcPr>
            <w:tcW w:type="dxa" w:w="864"/>
          </w:tcPr>
          <w:p>
            <w:pPr>
              <w:spacing w:after="20"/>
            </w:pPr>
            <w:r/>
            <w:r>
              <w:rPr>
                <w:b w:val="0"/>
                <w:i w:val="0"/>
                <w:sz w:val="15"/>
              </w:rPr>
              <w:t>--</w:t>
            </w:r>
          </w:p>
        </w:tc>
        <w:tc>
          <w:tcPr>
            <w:tcW w:type="dxa" w:w="720"/>
          </w:tcPr>
          <w:p>
            <w:pPr>
              <w:spacing w:after="20"/>
            </w:pPr>
            <w:r/>
            <w:r>
              <w:rPr>
                <w:b w:val="0"/>
                <w:i w:val="0"/>
                <w:sz w:val="15"/>
              </w:rPr>
              <w:t>--</w:t>
            </w:r>
          </w:p>
        </w:tc>
        <w:tc>
          <w:tcPr>
            <w:tcW w:type="dxa" w:w="1440"/>
          </w:tcPr>
          <w:p>
            <w:pPr>
              <w:spacing w:after="20"/>
            </w:pPr>
            <w:r/>
            <w:r>
              <w:rPr>
                <w:b w:val="0"/>
                <w:i w:val="0"/>
                <w:sz w:val="15"/>
              </w:rPr>
              <w:t>--</w:t>
            </w:r>
          </w:p>
        </w:tc>
        <w:tc>
          <w:tcPr>
            <w:tcW w:type="dxa" w:w="1296"/>
          </w:tcPr>
          <w:p>
            <w:pPr>
              <w:spacing w:after="20"/>
            </w:pPr>
            <w:r/>
            <w:r>
              <w:rPr>
                <w:b w:val="0"/>
                <w:i w:val="0"/>
                <w:sz w:val="15"/>
              </w:rPr>
              <w:t>--</w:t>
            </w:r>
          </w:p>
        </w:tc>
      </w:tr>
    </w:tbl>
    <w:p>
      <w:pPr>
        <w:spacing w:after="40"/>
      </w:pPr>
    </w:p>
    <w:p>
      <w:pPr>
        <w:spacing w:after="80"/>
      </w:pPr>
      <w:r>
        <w:rPr>
          <w:b w:val="0"/>
          <w:i w:val="0"/>
        </w:rPr>
        <w:t xml:space="preserve">There is </w:t>
      </w:r>
      <w:r>
        <w:rPr>
          <w:b/>
          <w:i w:val="0"/>
        </w:rPr>
        <w:t>no contribution or allocation agreement between Cascadia and Northshore</w:t>
      </w:r>
      <w:r>
        <w:rPr>
          <w:b w:val="0"/>
          <w:i w:val="0"/>
        </w:rPr>
        <w:t xml:space="preserve"> for EA 6.1 liabilities, even though fees and expenses are split 50/50 (EA 5.1-5.2) and interpleader costs are borne equally (EA 4.4). If the agent elects to pursue Cascadia alone, Cascadia's right to recover from Northshore rests on general equitable contribution principles.</w:t>
      </w:r>
    </w:p>
    <w:p>
      <w:pPr>
        <w:pStyle w:val="Heading2"/>
      </w:pPr>
      <w:r>
        <w:t>E. Exhibit D -- Procedural Overlay</w:t>
      </w:r>
    </w:p>
    <w:p>
      <w:pPr>
        <w:spacing w:after="80"/>
      </w:pPr>
      <w:r>
        <w:rPr>
          <w:b w:val="0"/>
          <w:i w:val="0"/>
        </w:rPr>
        <w:t>Exhibit D creates no independent substantive indemnity; it governs procedure for claims under SA 8.1-8.5 and, mutatis mutandis, SL 2 (SL 6). It does create several freestanding payment obligations: reimbursement of cooperation costs within 30 days (Exh. D 4.2); remittance of later-received insurance proceeds within 15 Business Days (Exh. D 5(e)); interest at the lesser of 1% per month compounded monthly or the maximum lawful rate on late undisputed amounts (Exh. D 6.2); and subrogation (Exh. D 8). See Part IX.</w:t>
      </w:r>
    </w:p>
    <w:p>
      <w:pPr>
        <w:pStyle w:val="Heading1"/>
      </w:pPr>
      <w:r>
        <w:t>IV. Cascadia Financial Exposure Summary</w:t>
      </w:r>
    </w:p>
    <w:p>
      <w:pPr>
        <w:pStyle w:val="Heading2"/>
      </w:pPr>
      <w:r>
        <w:t>A. What the Puget guarantee really means</w:t>
      </w:r>
    </w:p>
    <w:p>
      <w:pPr>
        <w:spacing w:after="80"/>
      </w:pPr>
      <w:r>
        <w:rPr>
          <w:b w:val="0"/>
          <w:i w:val="0"/>
        </w:rPr>
        <w:t>Cascadia's stated share is 62% ($17,608,000). Because Puget is a dormant shell (SA 3.4) and Cascadia's guarantee is a primary, unconditional guarantee of payment and performance with no exhaustion requirement (SA 5.3), Puget's 10% share ($2,840,000) is economically Cascadia's. Cascadia is also Puget's notice recipient (Exh. D 2.1), shares its counsel (SA 3.3) and is its sole member (SA 3.4). For financial-reporting and risk purposes, Cascadia's effective shares are: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880"/>
            <w:shd w:val="clear" w:color="auto" w:fill="1F3A5F"/>
          </w:tcPr>
          <w:p>
            <w:r/>
            <w:r>
              <w:rPr>
                <w:b/>
                <w:color w:val="FFFFFF"/>
                <w:sz w:val="17"/>
              </w:rPr>
              <w:t>Category</w:t>
            </w:r>
          </w:p>
        </w:tc>
        <w:tc>
          <w:tcPr>
            <w:tcW w:type="dxa" w:w="1728"/>
            <w:shd w:val="clear" w:color="auto" w:fill="1F3A5F"/>
          </w:tcPr>
          <w:p>
            <w:r/>
            <w:r>
              <w:rPr>
                <w:b/>
                <w:color w:val="FFFFFF"/>
                <w:sz w:val="17"/>
              </w:rPr>
              <w:t>Stated Cascadia share</w:t>
            </w:r>
          </w:p>
        </w:tc>
        <w:tc>
          <w:tcPr>
            <w:tcW w:type="dxa" w:w="3168"/>
            <w:shd w:val="clear" w:color="auto" w:fill="1F3A5F"/>
          </w:tcPr>
          <w:p>
            <w:r/>
            <w:r>
              <w:rPr>
                <w:b/>
                <w:color w:val="FFFFFF"/>
                <w:sz w:val="17"/>
              </w:rPr>
              <w:t>Effective Cascadia share (incl. Puget)</w:t>
            </w:r>
          </w:p>
        </w:tc>
        <w:tc>
          <w:tcPr>
            <w:tcW w:type="dxa" w:w="1584"/>
            <w:shd w:val="clear" w:color="auto" w:fill="1F3A5F"/>
          </w:tcPr>
          <w:p>
            <w:r/>
            <w:r>
              <w:rPr>
                <w:b/>
                <w:color w:val="FFFFFF"/>
                <w:sz w:val="17"/>
              </w:rPr>
              <w:t>Basis</w:t>
            </w:r>
          </w:p>
        </w:tc>
      </w:tr>
      <w:tr>
        <w:tc>
          <w:tcPr>
            <w:tcW w:type="dxa" w:w="2880"/>
          </w:tcPr>
          <w:p>
            <w:pPr>
              <w:spacing w:after="20"/>
            </w:pPr>
            <w:r/>
            <w:r>
              <w:rPr>
                <w:b w:val="0"/>
                <w:i w:val="0"/>
                <w:sz w:val="17"/>
              </w:rPr>
              <w:t>Base remediation costs ($28.4M)</w:t>
            </w:r>
          </w:p>
        </w:tc>
        <w:tc>
          <w:tcPr>
            <w:tcW w:type="dxa" w:w="1728"/>
          </w:tcPr>
          <w:p>
            <w:pPr>
              <w:spacing w:after="20"/>
            </w:pPr>
            <w:r/>
            <w:r>
              <w:rPr>
                <w:b w:val="0"/>
                <w:i w:val="0"/>
                <w:sz w:val="17"/>
              </w:rPr>
              <w:t>62% = $17,608,000</w:t>
            </w:r>
          </w:p>
        </w:tc>
        <w:tc>
          <w:tcPr>
            <w:tcW w:type="dxa" w:w="3168"/>
          </w:tcPr>
          <w:p>
            <w:pPr>
              <w:spacing w:after="20"/>
            </w:pPr>
            <w:r/>
            <w:r>
              <w:rPr>
                <w:b/>
                <w:i w:val="0"/>
                <w:sz w:val="17"/>
              </w:rPr>
              <w:t>72% = $20,448,000</w:t>
            </w:r>
          </w:p>
        </w:tc>
        <w:tc>
          <w:tcPr>
            <w:tcW w:type="dxa" w:w="1584"/>
          </w:tcPr>
          <w:p>
            <w:pPr>
              <w:spacing w:after="20"/>
            </w:pPr>
            <w:r/>
            <w:r>
              <w:rPr>
                <w:b w:val="0"/>
                <w:i w:val="0"/>
                <w:sz w:val="17"/>
              </w:rPr>
              <w:t>SA 5.2, 5.3</w:t>
            </w:r>
          </w:p>
        </w:tc>
      </w:tr>
      <w:tr>
        <w:tc>
          <w:tcPr>
            <w:tcW w:type="dxa" w:w="2880"/>
          </w:tcPr>
          <w:p>
            <w:pPr>
              <w:spacing w:after="20"/>
            </w:pPr>
            <w:r/>
            <w:r>
              <w:rPr>
                <w:b w:val="0"/>
                <w:i w:val="0"/>
                <w:sz w:val="17"/>
              </w:rPr>
              <w:t>Cost overruns above $28.4M (after contingency)</w:t>
            </w:r>
          </w:p>
        </w:tc>
        <w:tc>
          <w:tcPr>
            <w:tcW w:type="dxa" w:w="1728"/>
          </w:tcPr>
          <w:p>
            <w:pPr>
              <w:spacing w:after="20"/>
            </w:pPr>
            <w:r/>
            <w:r>
              <w:rPr>
                <w:b w:val="0"/>
                <w:i w:val="0"/>
                <w:sz w:val="17"/>
              </w:rPr>
              <w:t>62%</w:t>
            </w:r>
          </w:p>
        </w:tc>
        <w:tc>
          <w:tcPr>
            <w:tcW w:type="dxa" w:w="3168"/>
          </w:tcPr>
          <w:p>
            <w:pPr>
              <w:spacing w:after="20"/>
            </w:pPr>
            <w:r/>
            <w:r>
              <w:rPr>
                <w:b/>
                <w:i w:val="0"/>
                <w:sz w:val="17"/>
              </w:rPr>
              <w:t>72%</w:t>
            </w:r>
            <w:r>
              <w:rPr>
                <w:b w:val="0"/>
                <w:i w:val="0"/>
                <w:sz w:val="17"/>
              </w:rPr>
              <w:t xml:space="preserve"> (uncapped)</w:t>
            </w:r>
          </w:p>
        </w:tc>
        <w:tc>
          <w:tcPr>
            <w:tcW w:type="dxa" w:w="1584"/>
          </w:tcPr>
          <w:p>
            <w:pPr>
              <w:spacing w:after="20"/>
            </w:pPr>
            <w:r/>
            <w:r>
              <w:rPr>
                <w:b w:val="0"/>
                <w:i w:val="0"/>
                <w:sz w:val="17"/>
              </w:rPr>
              <w:t>SA 5.3, 5.6</w:t>
            </w:r>
          </w:p>
        </w:tc>
      </w:tr>
      <w:tr>
        <w:tc>
          <w:tcPr>
            <w:tcW w:type="dxa" w:w="2880"/>
          </w:tcPr>
          <w:p>
            <w:pPr>
              <w:spacing w:after="20"/>
            </w:pPr>
            <w:r/>
            <w:r>
              <w:rPr>
                <w:b w:val="0"/>
                <w:i w:val="0"/>
                <w:sz w:val="17"/>
              </w:rPr>
              <w:t>Government Cost Recovery Claims (beyond decree scope)</w:t>
            </w:r>
          </w:p>
        </w:tc>
        <w:tc>
          <w:tcPr>
            <w:tcW w:type="dxa" w:w="1728"/>
          </w:tcPr>
          <w:p>
            <w:pPr>
              <w:spacing w:after="20"/>
            </w:pPr>
            <w:r/>
            <w:r>
              <w:rPr>
                <w:b w:val="0"/>
                <w:i w:val="0"/>
                <w:sz w:val="17"/>
              </w:rPr>
              <w:t>62%</w:t>
            </w:r>
          </w:p>
        </w:tc>
        <w:tc>
          <w:tcPr>
            <w:tcW w:type="dxa" w:w="3168"/>
          </w:tcPr>
          <w:p>
            <w:pPr>
              <w:spacing w:after="20"/>
            </w:pPr>
            <w:r/>
            <w:r>
              <w:rPr>
                <w:b/>
                <w:i w:val="0"/>
                <w:sz w:val="17"/>
              </w:rPr>
              <w:t>72% in practice</w:t>
            </w:r>
            <w:r>
              <w:rPr>
                <w:b w:val="0"/>
                <w:i w:val="0"/>
                <w:sz w:val="17"/>
              </w:rPr>
              <w:t xml:space="preserve"> (Puget's 10% is uncollectible; guarantee coverage arguable, see R-6)</w:t>
            </w:r>
          </w:p>
        </w:tc>
        <w:tc>
          <w:tcPr>
            <w:tcW w:type="dxa" w:w="1584"/>
          </w:tcPr>
          <w:p>
            <w:pPr>
              <w:spacing w:after="20"/>
            </w:pPr>
            <w:r/>
            <w:r>
              <w:rPr>
                <w:b w:val="0"/>
                <w:i w:val="0"/>
                <w:sz w:val="17"/>
              </w:rPr>
              <w:t>SA 8.4, 5.3</w:t>
            </w:r>
          </w:p>
        </w:tc>
      </w:tr>
      <w:tr>
        <w:tc>
          <w:tcPr>
            <w:tcW w:type="dxa" w:w="2880"/>
          </w:tcPr>
          <w:p>
            <w:pPr>
              <w:spacing w:after="20"/>
            </w:pPr>
            <w:r/>
            <w:r>
              <w:rPr>
                <w:b w:val="0"/>
                <w:i w:val="0"/>
                <w:sz w:val="17"/>
              </w:rPr>
              <w:t>Puget 8.3 indemnity (Undisclosed Pre-Acquisition Conditions)</w:t>
            </w:r>
          </w:p>
        </w:tc>
        <w:tc>
          <w:tcPr>
            <w:tcW w:type="dxa" w:w="1728"/>
          </w:tcPr>
          <w:p>
            <w:pPr>
              <w:spacing w:after="20"/>
            </w:pPr>
            <w:r/>
            <w:r>
              <w:rPr>
                <w:b w:val="0"/>
                <w:i w:val="0"/>
                <w:sz w:val="17"/>
              </w:rPr>
              <w:t>0% (Puget's obligation)</w:t>
            </w:r>
          </w:p>
        </w:tc>
        <w:tc>
          <w:tcPr>
            <w:tcW w:type="dxa" w:w="3168"/>
          </w:tcPr>
          <w:p>
            <w:pPr>
              <w:spacing w:after="20"/>
            </w:pPr>
            <w:r/>
            <w:r>
              <w:rPr>
                <w:b/>
                <w:i w:val="0"/>
                <w:sz w:val="17"/>
              </w:rPr>
              <w:t>100% of Losses owed to Northshore</w:t>
            </w:r>
            <w:r>
              <w:rPr>
                <w:b w:val="0"/>
                <w:i w:val="0"/>
                <w:sz w:val="17"/>
              </w:rPr>
              <w:t xml:space="preserve"> (uncapped, no basket, indefinite); no real protection for Cascadia's own Losses</w:t>
            </w:r>
          </w:p>
        </w:tc>
        <w:tc>
          <w:tcPr>
            <w:tcW w:type="dxa" w:w="1584"/>
          </w:tcPr>
          <w:p>
            <w:pPr>
              <w:spacing w:after="20"/>
            </w:pPr>
            <w:r/>
            <w:r>
              <w:rPr>
                <w:b w:val="0"/>
                <w:i w:val="0"/>
                <w:sz w:val="17"/>
              </w:rPr>
              <w:t>SA 8.3(d), 8.8(c)</w:t>
            </w:r>
          </w:p>
        </w:tc>
      </w:tr>
      <w:tr>
        <w:tc>
          <w:tcPr>
            <w:tcW w:type="dxa" w:w="2880"/>
          </w:tcPr>
          <w:p>
            <w:pPr>
              <w:spacing w:after="20"/>
            </w:pPr>
            <w:r/>
            <w:r>
              <w:rPr>
                <w:b w:val="0"/>
                <w:i w:val="0"/>
                <w:sz w:val="17"/>
              </w:rPr>
              <w:t>NRD</w:t>
            </w:r>
          </w:p>
        </w:tc>
        <w:tc>
          <w:tcPr>
            <w:tcW w:type="dxa" w:w="1728"/>
          </w:tcPr>
          <w:p>
            <w:pPr>
              <w:spacing w:after="20"/>
            </w:pPr>
            <w:r/>
            <w:r>
              <w:rPr>
                <w:b w:val="0"/>
                <w:i w:val="0"/>
                <w:sz w:val="17"/>
              </w:rPr>
              <w:t>60%</w:t>
            </w:r>
          </w:p>
        </w:tc>
        <w:tc>
          <w:tcPr>
            <w:tcW w:type="dxa" w:w="3168"/>
          </w:tcPr>
          <w:p>
            <w:pPr>
              <w:spacing w:after="20"/>
            </w:pPr>
            <w:r/>
            <w:r>
              <w:rPr>
                <w:b w:val="0"/>
                <w:i w:val="0"/>
                <w:sz w:val="17"/>
              </w:rPr>
              <w:t>60% up to $12.5M total NRD; 100% of every dollar above $12.5M</w:t>
            </w:r>
          </w:p>
        </w:tc>
        <w:tc>
          <w:tcPr>
            <w:tcW w:type="dxa" w:w="1584"/>
          </w:tcPr>
          <w:p>
            <w:pPr>
              <w:spacing w:after="20"/>
            </w:pPr>
            <w:r/>
            <w:r>
              <w:rPr>
                <w:b w:val="0"/>
                <w:i w:val="0"/>
                <w:sz w:val="17"/>
              </w:rPr>
              <w:t>SA 8.5</w:t>
            </w:r>
          </w:p>
        </w:tc>
      </w:tr>
    </w:tbl>
    <w:p>
      <w:pPr>
        <w:spacing w:after="40"/>
      </w:pPr>
    </w:p>
    <w:p>
      <w:pPr>
        <w:spacing w:after="80"/>
      </w:pPr>
      <w:r>
        <w:rPr>
          <w:b w:val="0"/>
          <w:i w:val="0"/>
        </w:rPr>
        <w:t>The 8.3 point deserves emphasis. Puget's indemnity runs to Cascadia and Northshore, but Cascadia guarantees it. As to Cascadia the indemnity is circular: Cascadia would be guaranteeing payment to itself, so for Undisclosed Pre-Acquisition Conditions Cascadia's only potential recourse is against the 2016 seller of Puget under the acquisition agreement, which we have not reviewed. As to Northshore, Cascadia has effectively given an uncapped, first-dollar, perpetual indemnity that is not subject to the gross-negligence, punitive-damages or other SA 8.6 exclusions.</w:t>
      </w:r>
    </w:p>
    <w:p>
      <w:pPr>
        <w:pStyle w:val="Heading2"/>
      </w:pPr>
      <w:r>
        <w:t>B. Maximum exposure by obligation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1F3A5F"/>
          </w:tcPr>
          <w:p>
            <w:r/>
            <w:r>
              <w:rPr>
                <w:b/>
                <w:color w:val="FFFFFF"/>
                <w:sz w:val="16"/>
              </w:rPr>
              <w:t>#</w:t>
            </w:r>
          </w:p>
        </w:tc>
        <w:tc>
          <w:tcPr>
            <w:tcW w:type="dxa" w:w="2592"/>
            <w:shd w:val="clear" w:color="auto" w:fill="1F3A5F"/>
          </w:tcPr>
          <w:p>
            <w:r/>
            <w:r>
              <w:rPr>
                <w:b/>
                <w:color w:val="FFFFFF"/>
                <w:sz w:val="16"/>
              </w:rPr>
              <w:t>Obligation</w:t>
            </w:r>
          </w:p>
        </w:tc>
        <w:tc>
          <w:tcPr>
            <w:tcW w:type="dxa" w:w="1152"/>
            <w:shd w:val="clear" w:color="auto" w:fill="1F3A5F"/>
          </w:tcPr>
          <w:p>
            <w:r/>
            <w:r>
              <w:rPr>
                <w:b/>
                <w:color w:val="FFFFFF"/>
                <w:sz w:val="16"/>
              </w:rPr>
              <w:t>Source</w:t>
            </w:r>
          </w:p>
        </w:tc>
        <w:tc>
          <w:tcPr>
            <w:tcW w:type="dxa" w:w="2736"/>
            <w:shd w:val="clear" w:color="auto" w:fill="1F3A5F"/>
          </w:tcPr>
          <w:p>
            <w:r/>
            <w:r>
              <w:rPr>
                <w:b/>
                <w:color w:val="FFFFFF"/>
                <w:sz w:val="16"/>
              </w:rPr>
              <w:t>Cascadia maximum exposure</w:t>
            </w:r>
          </w:p>
        </w:tc>
        <w:tc>
          <w:tcPr>
            <w:tcW w:type="dxa" w:w="2448"/>
            <w:shd w:val="clear" w:color="auto" w:fill="1F3A5F"/>
          </w:tcPr>
          <w:p>
            <w:r/>
            <w:r>
              <w:rPr>
                <w:b/>
                <w:color w:val="FFFFFF"/>
                <w:sz w:val="16"/>
              </w:rPr>
              <w:t>Comment</w:t>
            </w:r>
          </w:p>
        </w:tc>
      </w:tr>
      <w:tr>
        <w:tc>
          <w:tcPr>
            <w:tcW w:type="dxa" w:w="432"/>
          </w:tcPr>
          <w:p>
            <w:pPr>
              <w:spacing w:after="20"/>
            </w:pPr>
            <w:r/>
            <w:r>
              <w:rPr>
                <w:b w:val="0"/>
                <w:i w:val="0"/>
                <w:sz w:val="16"/>
              </w:rPr>
              <w:t>1</w:t>
            </w:r>
          </w:p>
        </w:tc>
        <w:tc>
          <w:tcPr>
            <w:tcW w:type="dxa" w:w="2592"/>
          </w:tcPr>
          <w:p>
            <w:pPr>
              <w:spacing w:after="20"/>
            </w:pPr>
            <w:r/>
            <w:r>
              <w:rPr>
                <w:b w:val="0"/>
                <w:i w:val="0"/>
                <w:sz w:val="16"/>
              </w:rPr>
              <w:t>Remediation Cost Share</w:t>
            </w:r>
          </w:p>
        </w:tc>
        <w:tc>
          <w:tcPr>
            <w:tcW w:type="dxa" w:w="1152"/>
          </w:tcPr>
          <w:p>
            <w:pPr>
              <w:spacing w:after="20"/>
            </w:pPr>
            <w:r/>
            <w:r>
              <w:rPr>
                <w:b w:val="0"/>
                <w:i w:val="0"/>
                <w:sz w:val="16"/>
              </w:rPr>
              <w:t>SA 5.2(a)</w:t>
            </w:r>
          </w:p>
        </w:tc>
        <w:tc>
          <w:tcPr>
            <w:tcW w:type="dxa" w:w="2736"/>
          </w:tcPr>
          <w:p>
            <w:pPr>
              <w:spacing w:after="20"/>
            </w:pPr>
            <w:r/>
            <w:r>
              <w:rPr>
                <w:b w:val="0"/>
                <w:i w:val="0"/>
                <w:sz w:val="16"/>
              </w:rPr>
              <w:t>$17,608,000</w:t>
            </w:r>
          </w:p>
        </w:tc>
        <w:tc>
          <w:tcPr>
            <w:tcW w:type="dxa" w:w="2448"/>
          </w:tcPr>
          <w:p>
            <w:pPr>
              <w:spacing w:after="20"/>
            </w:pPr>
            <w:r/>
            <w:r>
              <w:rPr>
                <w:b w:val="0"/>
                <w:i w:val="0"/>
                <w:sz w:val="16"/>
              </w:rPr>
              <w:t>Fixed share of estimate</w:t>
            </w:r>
          </w:p>
        </w:tc>
      </w:tr>
      <w:tr>
        <w:tc>
          <w:tcPr>
            <w:tcW w:type="dxa" w:w="432"/>
          </w:tcPr>
          <w:p>
            <w:pPr>
              <w:spacing w:after="20"/>
            </w:pPr>
            <w:r/>
            <w:r>
              <w:rPr>
                <w:b w:val="0"/>
                <w:i w:val="0"/>
                <w:sz w:val="16"/>
              </w:rPr>
              <w:t>2</w:t>
            </w:r>
          </w:p>
        </w:tc>
        <w:tc>
          <w:tcPr>
            <w:tcW w:type="dxa" w:w="2592"/>
          </w:tcPr>
          <w:p>
            <w:pPr>
              <w:spacing w:after="20"/>
            </w:pPr>
            <w:r/>
            <w:r>
              <w:rPr>
                <w:b w:val="0"/>
                <w:i w:val="0"/>
                <w:sz w:val="16"/>
              </w:rPr>
              <w:t>Guarantee of Puget Cost Share</w:t>
            </w:r>
          </w:p>
        </w:tc>
        <w:tc>
          <w:tcPr>
            <w:tcW w:type="dxa" w:w="1152"/>
          </w:tcPr>
          <w:p>
            <w:pPr>
              <w:spacing w:after="20"/>
            </w:pPr>
            <w:r/>
            <w:r>
              <w:rPr>
                <w:b w:val="0"/>
                <w:i w:val="0"/>
                <w:sz w:val="16"/>
              </w:rPr>
              <w:t>SA 5.3</w:t>
            </w:r>
          </w:p>
        </w:tc>
        <w:tc>
          <w:tcPr>
            <w:tcW w:type="dxa" w:w="2736"/>
          </w:tcPr>
          <w:p>
            <w:pPr>
              <w:spacing w:after="20"/>
            </w:pPr>
            <w:r/>
            <w:r>
              <w:rPr>
                <w:b w:val="0"/>
                <w:i w:val="0"/>
                <w:sz w:val="16"/>
              </w:rPr>
              <w:t>$2,840,000</w:t>
            </w:r>
          </w:p>
        </w:tc>
        <w:tc>
          <w:tcPr>
            <w:tcW w:type="dxa" w:w="2448"/>
          </w:tcPr>
          <w:p>
            <w:pPr>
              <w:spacing w:after="20"/>
            </w:pPr>
            <w:r/>
            <w:r>
              <w:rPr>
                <w:b w:val="0"/>
                <w:i w:val="0"/>
                <w:sz w:val="16"/>
              </w:rPr>
              <w:t>Treat as certain; Puget has no assets</w:t>
            </w:r>
          </w:p>
        </w:tc>
      </w:tr>
      <w:tr>
        <w:tc>
          <w:tcPr>
            <w:tcW w:type="dxa" w:w="432"/>
          </w:tcPr>
          <w:p>
            <w:pPr>
              <w:spacing w:after="20"/>
            </w:pPr>
            <w:r/>
            <w:r>
              <w:rPr>
                <w:b w:val="0"/>
                <w:i w:val="0"/>
                <w:sz w:val="16"/>
              </w:rPr>
              <w:t>3</w:t>
            </w:r>
          </w:p>
        </w:tc>
        <w:tc>
          <w:tcPr>
            <w:tcW w:type="dxa" w:w="2592"/>
          </w:tcPr>
          <w:p>
            <w:pPr>
              <w:spacing w:after="20"/>
            </w:pPr>
            <w:r/>
            <w:r>
              <w:rPr>
                <w:b w:val="0"/>
                <w:i w:val="0"/>
                <w:sz w:val="16"/>
              </w:rPr>
              <w:t>Cost overruns (Cascadia 62% + Puget 10%)</w:t>
            </w:r>
          </w:p>
        </w:tc>
        <w:tc>
          <w:tcPr>
            <w:tcW w:type="dxa" w:w="1152"/>
          </w:tcPr>
          <w:p>
            <w:pPr>
              <w:spacing w:after="20"/>
            </w:pPr>
            <w:r/>
            <w:r>
              <w:rPr>
                <w:b w:val="0"/>
                <w:i w:val="0"/>
                <w:sz w:val="16"/>
              </w:rPr>
              <w:t>SA 5.6, 5.3</w:t>
            </w:r>
          </w:p>
        </w:tc>
        <w:tc>
          <w:tcPr>
            <w:tcW w:type="dxa" w:w="2736"/>
          </w:tcPr>
          <w:p>
            <w:pPr>
              <w:spacing w:after="20"/>
            </w:pPr>
            <w:r/>
            <w:r>
              <w:rPr>
                <w:b w:val="0"/>
                <w:i w:val="0"/>
                <w:sz w:val="16"/>
              </w:rPr>
              <w:t>Uncapped; $720,000 per $1M of overrun</w:t>
            </w:r>
          </w:p>
        </w:tc>
        <w:tc>
          <w:tcPr>
            <w:tcW w:type="dxa" w:w="2448"/>
          </w:tcPr>
          <w:p>
            <w:pPr>
              <w:spacing w:after="20"/>
            </w:pPr>
            <w:r/>
            <w:r>
              <w:rPr>
                <w:b w:val="0"/>
                <w:i w:val="0"/>
                <w:sz w:val="16"/>
              </w:rPr>
              <w:t>E.g., 25% overrun ($7.1M) = $5,112,000</w:t>
            </w:r>
          </w:p>
        </w:tc>
      </w:tr>
      <w:tr>
        <w:tc>
          <w:tcPr>
            <w:tcW w:type="dxa" w:w="432"/>
          </w:tcPr>
          <w:p>
            <w:pPr>
              <w:spacing w:after="20"/>
            </w:pPr>
            <w:r/>
            <w:r>
              <w:rPr>
                <w:b w:val="0"/>
                <w:i w:val="0"/>
                <w:sz w:val="16"/>
              </w:rPr>
              <w:t>4</w:t>
            </w:r>
          </w:p>
        </w:tc>
        <w:tc>
          <w:tcPr>
            <w:tcW w:type="dxa" w:w="2592"/>
          </w:tcPr>
          <w:p>
            <w:pPr>
              <w:spacing w:after="20"/>
            </w:pPr>
            <w:r/>
            <w:r>
              <w:rPr>
                <w:b w:val="0"/>
                <w:i w:val="0"/>
                <w:sz w:val="16"/>
              </w:rPr>
              <w:t>Indemnity of Northshore: Remedial Actions</w:t>
            </w:r>
          </w:p>
        </w:tc>
        <w:tc>
          <w:tcPr>
            <w:tcW w:type="dxa" w:w="1152"/>
          </w:tcPr>
          <w:p>
            <w:pPr>
              <w:spacing w:after="20"/>
            </w:pPr>
            <w:r/>
            <w:r>
              <w:rPr>
                <w:b w:val="0"/>
                <w:i w:val="0"/>
                <w:sz w:val="16"/>
              </w:rPr>
              <w:t>SA 8.1</w:t>
            </w:r>
          </w:p>
        </w:tc>
        <w:tc>
          <w:tcPr>
            <w:tcW w:type="dxa" w:w="2736"/>
          </w:tcPr>
          <w:p>
            <w:pPr>
              <w:spacing w:after="20"/>
            </w:pPr>
            <w:r/>
            <w:r>
              <w:rPr>
                <w:b w:val="0"/>
                <w:i w:val="0"/>
                <w:sz w:val="16"/>
              </w:rPr>
              <w:t>$10,000,000 (reached at $10.25M of Losses)</w:t>
            </w:r>
          </w:p>
        </w:tc>
        <w:tc>
          <w:tcPr>
            <w:tcW w:type="dxa" w:w="2448"/>
          </w:tcPr>
          <w:p>
            <w:pPr>
              <w:spacing w:after="20"/>
            </w:pPr>
            <w:r/>
            <w:r>
              <w:rPr>
                <w:b w:val="0"/>
                <w:i w:val="0"/>
                <w:sz w:val="16"/>
              </w:rPr>
              <w:t>Net of $250K deductible; PLL may respond only if Northshore is an insured or contractual liability is covered</w:t>
            </w:r>
          </w:p>
        </w:tc>
      </w:tr>
      <w:tr>
        <w:tc>
          <w:tcPr>
            <w:tcW w:type="dxa" w:w="432"/>
          </w:tcPr>
          <w:p>
            <w:pPr>
              <w:spacing w:after="20"/>
            </w:pPr>
            <w:r/>
            <w:r>
              <w:rPr>
                <w:b w:val="0"/>
                <w:i w:val="0"/>
                <w:sz w:val="16"/>
              </w:rPr>
              <w:t>5</w:t>
            </w:r>
          </w:p>
        </w:tc>
        <w:tc>
          <w:tcPr>
            <w:tcW w:type="dxa" w:w="2592"/>
          </w:tcPr>
          <w:p>
            <w:pPr>
              <w:spacing w:after="20"/>
            </w:pPr>
            <w:r/>
            <w:r>
              <w:rPr>
                <w:b w:val="0"/>
                <w:i w:val="0"/>
                <w:sz w:val="16"/>
              </w:rPr>
              <w:t>Guarantee of Puget indemnity (Undisclosed Pre-Acquisition Conditions)</w:t>
            </w:r>
          </w:p>
        </w:tc>
        <w:tc>
          <w:tcPr>
            <w:tcW w:type="dxa" w:w="1152"/>
          </w:tcPr>
          <w:p>
            <w:pPr>
              <w:spacing w:after="20"/>
            </w:pPr>
            <w:r/>
            <w:r>
              <w:rPr>
                <w:b w:val="0"/>
                <w:i w:val="0"/>
                <w:sz w:val="16"/>
              </w:rPr>
              <w:t>SA 8.3(d)</w:t>
            </w:r>
          </w:p>
        </w:tc>
        <w:tc>
          <w:tcPr>
            <w:tcW w:type="dxa" w:w="2736"/>
          </w:tcPr>
          <w:p>
            <w:pPr>
              <w:spacing w:after="20"/>
            </w:pPr>
            <w:r/>
            <w:r>
              <w:rPr>
                <w:b/>
                <w:i w:val="0"/>
                <w:sz w:val="16"/>
              </w:rPr>
              <w:t>Unlimited</w:t>
            </w:r>
          </w:p>
        </w:tc>
        <w:tc>
          <w:tcPr>
            <w:tcW w:type="dxa" w:w="2448"/>
          </w:tcPr>
          <w:p>
            <w:pPr>
              <w:spacing w:after="20"/>
            </w:pPr>
            <w:r/>
            <w:r>
              <w:rPr>
                <w:b w:val="0"/>
                <w:i w:val="0"/>
                <w:sz w:val="16"/>
              </w:rPr>
              <w:t>No cap, basket, exclusions or time limit</w:t>
            </w:r>
          </w:p>
        </w:tc>
      </w:tr>
      <w:tr>
        <w:tc>
          <w:tcPr>
            <w:tcW w:type="dxa" w:w="432"/>
          </w:tcPr>
          <w:p>
            <w:pPr>
              <w:spacing w:after="20"/>
            </w:pPr>
            <w:r/>
            <w:r>
              <w:rPr>
                <w:b w:val="0"/>
                <w:i w:val="0"/>
                <w:sz w:val="16"/>
              </w:rPr>
              <w:t>6</w:t>
            </w:r>
          </w:p>
        </w:tc>
        <w:tc>
          <w:tcPr>
            <w:tcW w:type="dxa" w:w="2592"/>
          </w:tcPr>
          <w:p>
            <w:pPr>
              <w:spacing w:after="20"/>
            </w:pPr>
            <w:r/>
            <w:r>
              <w:rPr>
                <w:b w:val="0"/>
                <w:i w:val="0"/>
                <w:sz w:val="16"/>
              </w:rPr>
              <w:t>Government Cost Recovery cross-indemnity</w:t>
            </w:r>
          </w:p>
        </w:tc>
        <w:tc>
          <w:tcPr>
            <w:tcW w:type="dxa" w:w="1152"/>
          </w:tcPr>
          <w:p>
            <w:pPr>
              <w:spacing w:after="20"/>
            </w:pPr>
            <w:r/>
            <w:r>
              <w:rPr>
                <w:b w:val="0"/>
                <w:i w:val="0"/>
                <w:sz w:val="16"/>
              </w:rPr>
              <w:t>SA 8.4</w:t>
            </w:r>
          </w:p>
        </w:tc>
        <w:tc>
          <w:tcPr>
            <w:tcW w:type="dxa" w:w="2736"/>
          </w:tcPr>
          <w:p>
            <w:pPr>
              <w:spacing w:after="20"/>
            </w:pPr>
            <w:r/>
            <w:r>
              <w:rPr>
                <w:b/>
                <w:i w:val="0"/>
                <w:sz w:val="16"/>
              </w:rPr>
              <w:t>Unlimited</w:t>
            </w:r>
            <w:r>
              <w:rPr>
                <w:b w:val="0"/>
                <w:i w:val="0"/>
                <w:sz w:val="16"/>
              </w:rPr>
              <w:t>; 62% (72% effective) of each claim</w:t>
            </w:r>
          </w:p>
        </w:tc>
        <w:tc>
          <w:tcPr>
            <w:tcW w:type="dxa" w:w="2448"/>
          </w:tcPr>
          <w:p>
            <w:pPr>
              <w:spacing w:after="20"/>
            </w:pPr>
            <w:r/>
            <w:r>
              <w:rPr>
                <w:b w:val="0"/>
                <w:i w:val="0"/>
                <w:sz w:val="16"/>
              </w:rPr>
              <w:t>E.g., $5M claim = $3.1M-$3.6M</w:t>
            </w:r>
          </w:p>
        </w:tc>
      </w:tr>
      <w:tr>
        <w:tc>
          <w:tcPr>
            <w:tcW w:type="dxa" w:w="432"/>
          </w:tcPr>
          <w:p>
            <w:pPr>
              <w:spacing w:after="20"/>
            </w:pPr>
            <w:r/>
            <w:r>
              <w:rPr>
                <w:b w:val="0"/>
                <w:i w:val="0"/>
                <w:sz w:val="16"/>
              </w:rPr>
              <w:t>7</w:t>
            </w:r>
          </w:p>
        </w:tc>
        <w:tc>
          <w:tcPr>
            <w:tcW w:type="dxa" w:w="2592"/>
          </w:tcPr>
          <w:p>
            <w:pPr>
              <w:spacing w:after="20"/>
            </w:pPr>
            <w:r/>
            <w:r>
              <w:rPr>
                <w:b w:val="0"/>
                <w:i w:val="0"/>
                <w:sz w:val="16"/>
              </w:rPr>
              <w:t>NRD share</w:t>
            </w:r>
          </w:p>
        </w:tc>
        <w:tc>
          <w:tcPr>
            <w:tcW w:type="dxa" w:w="1152"/>
          </w:tcPr>
          <w:p>
            <w:pPr>
              <w:spacing w:after="20"/>
            </w:pPr>
            <w:r/>
            <w:r>
              <w:rPr>
                <w:b w:val="0"/>
                <w:i w:val="0"/>
                <w:sz w:val="16"/>
              </w:rPr>
              <w:t>SA 8.5</w:t>
            </w:r>
          </w:p>
        </w:tc>
        <w:tc>
          <w:tcPr>
            <w:tcW w:type="dxa" w:w="2736"/>
          </w:tcPr>
          <w:p>
            <w:pPr>
              <w:spacing w:after="20"/>
            </w:pPr>
            <w:r/>
            <w:r>
              <w:rPr>
                <w:b/>
                <w:i w:val="0"/>
                <w:sz w:val="16"/>
              </w:rPr>
              <w:t>Unlimited</w:t>
            </w:r>
            <w:r>
              <w:rPr>
                <w:b w:val="0"/>
                <w:i w:val="0"/>
                <w:sz w:val="16"/>
              </w:rPr>
              <w:t>; 60% up to $12.5M; 100% above</w:t>
            </w:r>
          </w:p>
        </w:tc>
        <w:tc>
          <w:tcPr>
            <w:tcW w:type="dxa" w:w="2448"/>
          </w:tcPr>
          <w:p>
            <w:pPr>
              <w:spacing w:after="20"/>
            </w:pPr>
            <w:r/>
            <w:r>
              <w:rPr>
                <w:b w:val="0"/>
                <w:i w:val="0"/>
                <w:sz w:val="16"/>
              </w:rPr>
              <w:t>E.g., $20M NRD = Cascadia $15M, Northshore $5M</w:t>
            </w:r>
          </w:p>
        </w:tc>
      </w:tr>
      <w:tr>
        <w:tc>
          <w:tcPr>
            <w:tcW w:type="dxa" w:w="432"/>
          </w:tcPr>
          <w:p>
            <w:pPr>
              <w:spacing w:after="20"/>
            </w:pPr>
            <w:r/>
            <w:r>
              <w:rPr>
                <w:b w:val="0"/>
                <w:i w:val="0"/>
                <w:sz w:val="16"/>
              </w:rPr>
              <w:t>8</w:t>
            </w:r>
          </w:p>
        </w:tc>
        <w:tc>
          <w:tcPr>
            <w:tcW w:type="dxa" w:w="2592"/>
          </w:tcPr>
          <w:p>
            <w:pPr>
              <w:spacing w:after="20"/>
            </w:pPr>
            <w:r/>
            <w:r>
              <w:rPr>
                <w:b w:val="0"/>
                <w:i w:val="0"/>
                <w:sz w:val="16"/>
              </w:rPr>
              <w:t>TNA Claim retained share</w:t>
            </w:r>
          </w:p>
        </w:tc>
        <w:tc>
          <w:tcPr>
            <w:tcW w:type="dxa" w:w="1152"/>
          </w:tcPr>
          <w:p>
            <w:pPr>
              <w:spacing w:after="20"/>
            </w:pPr>
            <w:r/>
            <w:r>
              <w:rPr>
                <w:b w:val="0"/>
                <w:i w:val="0"/>
                <w:sz w:val="16"/>
              </w:rPr>
              <w:t>SL 2(a)</w:t>
            </w:r>
          </w:p>
        </w:tc>
        <w:tc>
          <w:tcPr>
            <w:tcW w:type="dxa" w:w="2736"/>
          </w:tcPr>
          <w:p>
            <w:pPr>
              <w:spacing w:after="20"/>
            </w:pPr>
            <w:r/>
            <w:r>
              <w:rPr>
                <w:b w:val="0"/>
                <w:i w:val="0"/>
                <w:sz w:val="16"/>
              </w:rPr>
              <w:t>$1,495,000 at claimed amount; 100% of any amount above Northshore's $805,000 cap</w:t>
            </w:r>
          </w:p>
        </w:tc>
        <w:tc>
          <w:tcPr>
            <w:tcW w:type="dxa" w:w="2448"/>
          </w:tcPr>
          <w:p>
            <w:pPr>
              <w:spacing w:after="20"/>
            </w:pPr>
            <w:r/>
            <w:r>
              <w:rPr>
                <w:b w:val="0"/>
                <w:i w:val="0"/>
                <w:sz w:val="16"/>
              </w:rPr>
              <w:t>Plus 65% of defense costs until cap reached</w:t>
            </w:r>
          </w:p>
        </w:tc>
      </w:tr>
      <w:tr>
        <w:tc>
          <w:tcPr>
            <w:tcW w:type="dxa" w:w="432"/>
          </w:tcPr>
          <w:p>
            <w:pPr>
              <w:spacing w:after="20"/>
            </w:pPr>
            <w:r/>
            <w:r>
              <w:rPr>
                <w:b w:val="0"/>
                <w:i w:val="0"/>
                <w:sz w:val="16"/>
              </w:rPr>
              <w:t>9</w:t>
            </w:r>
          </w:p>
        </w:tc>
        <w:tc>
          <w:tcPr>
            <w:tcW w:type="dxa" w:w="2592"/>
          </w:tcPr>
          <w:p>
            <w:pPr>
              <w:spacing w:after="20"/>
            </w:pPr>
            <w:r/>
            <w:r>
              <w:rPr>
                <w:b w:val="0"/>
                <w:i w:val="0"/>
                <w:sz w:val="16"/>
              </w:rPr>
              <w:t>SSC Claim retained share</w:t>
            </w:r>
          </w:p>
        </w:tc>
        <w:tc>
          <w:tcPr>
            <w:tcW w:type="dxa" w:w="1152"/>
          </w:tcPr>
          <w:p>
            <w:pPr>
              <w:spacing w:after="20"/>
            </w:pPr>
            <w:r/>
            <w:r>
              <w:rPr>
                <w:b w:val="0"/>
                <w:i w:val="0"/>
                <w:sz w:val="16"/>
              </w:rPr>
              <w:t>SL 2(b)</w:t>
            </w:r>
          </w:p>
        </w:tc>
        <w:tc>
          <w:tcPr>
            <w:tcW w:type="dxa" w:w="2736"/>
          </w:tcPr>
          <w:p>
            <w:pPr>
              <w:spacing w:after="20"/>
            </w:pPr>
            <w:r/>
            <w:r>
              <w:rPr>
                <w:b w:val="0"/>
                <w:i w:val="0"/>
                <w:sz w:val="16"/>
              </w:rPr>
              <w:t>$900,000 at claimed amount; 100% above Northshore's $900,000 cap</w:t>
            </w:r>
          </w:p>
        </w:tc>
        <w:tc>
          <w:tcPr>
            <w:tcW w:type="dxa" w:w="2448"/>
          </w:tcPr>
          <w:p>
            <w:pPr>
              <w:spacing w:after="20"/>
            </w:pPr>
            <w:r/>
            <w:r>
              <w:rPr>
                <w:b w:val="0"/>
                <w:i w:val="0"/>
                <w:sz w:val="16"/>
              </w:rPr>
              <w:t>Plus 50% of defense costs until cap reached</w:t>
            </w:r>
          </w:p>
        </w:tc>
      </w:tr>
      <w:tr>
        <w:tc>
          <w:tcPr>
            <w:tcW w:type="dxa" w:w="432"/>
          </w:tcPr>
          <w:p>
            <w:pPr>
              <w:spacing w:after="20"/>
            </w:pPr>
            <w:r/>
            <w:r>
              <w:rPr>
                <w:b w:val="0"/>
                <w:i w:val="0"/>
                <w:sz w:val="16"/>
              </w:rPr>
              <w:t>10</w:t>
            </w:r>
          </w:p>
        </w:tc>
        <w:tc>
          <w:tcPr>
            <w:tcW w:type="dxa" w:w="2592"/>
          </w:tcPr>
          <w:p>
            <w:pPr>
              <w:spacing w:after="20"/>
            </w:pPr>
            <w:r/>
            <w:r>
              <w:rPr>
                <w:b w:val="0"/>
                <w:i w:val="0"/>
                <w:sz w:val="16"/>
              </w:rPr>
              <w:t>Marina Claim indemnity of Northshore</w:t>
            </w:r>
          </w:p>
        </w:tc>
        <w:tc>
          <w:tcPr>
            <w:tcW w:type="dxa" w:w="1152"/>
          </w:tcPr>
          <w:p>
            <w:pPr>
              <w:spacing w:after="20"/>
            </w:pPr>
            <w:r/>
            <w:r>
              <w:rPr>
                <w:b w:val="0"/>
                <w:i w:val="0"/>
                <w:sz w:val="16"/>
              </w:rPr>
              <w:t>SL 2(c)</w:t>
            </w:r>
          </w:p>
        </w:tc>
        <w:tc>
          <w:tcPr>
            <w:tcW w:type="dxa" w:w="2736"/>
          </w:tcPr>
          <w:p>
            <w:pPr>
              <w:spacing w:after="20"/>
            </w:pPr>
            <w:r/>
            <w:r>
              <w:rPr>
                <w:b w:val="0"/>
                <w:i w:val="0"/>
                <w:sz w:val="16"/>
              </w:rPr>
              <w:t xml:space="preserve">$4,100,000 claimed; </w:t>
            </w:r>
            <w:r>
              <w:rPr>
                <w:b/>
                <w:i w:val="0"/>
                <w:sz w:val="16"/>
              </w:rPr>
              <w:t>uncapped</w:t>
            </w:r>
            <w:r>
              <w:rPr>
                <w:b w:val="0"/>
                <w:i w:val="0"/>
                <w:sz w:val="16"/>
              </w:rPr>
              <w:t>, incl. increases and defense costs</w:t>
            </w:r>
          </w:p>
        </w:tc>
        <w:tc>
          <w:tcPr>
            <w:tcW w:type="dxa" w:w="2448"/>
          </w:tcPr>
          <w:p>
            <w:pPr>
              <w:spacing w:after="20"/>
            </w:pPr>
            <w:r/>
            <w:r>
              <w:rPr>
                <w:b w:val="0"/>
                <w:i w:val="0"/>
                <w:sz w:val="16"/>
              </w:rPr>
              <w:t>Cascadia controls defense (SL 7); assert contribution protection (SA 7.4)</w:t>
            </w:r>
          </w:p>
        </w:tc>
      </w:tr>
      <w:tr>
        <w:tc>
          <w:tcPr>
            <w:tcW w:type="dxa" w:w="432"/>
          </w:tcPr>
          <w:p>
            <w:pPr>
              <w:spacing w:after="20"/>
            </w:pPr>
            <w:r/>
            <w:r>
              <w:rPr>
                <w:b w:val="0"/>
                <w:i w:val="0"/>
                <w:sz w:val="16"/>
              </w:rPr>
              <w:t>11</w:t>
            </w:r>
          </w:p>
        </w:tc>
        <w:tc>
          <w:tcPr>
            <w:tcW w:type="dxa" w:w="2592"/>
          </w:tcPr>
          <w:p>
            <w:pPr>
              <w:spacing w:after="20"/>
            </w:pPr>
            <w:r/>
            <w:r>
              <w:rPr>
                <w:b w:val="0"/>
                <w:i w:val="0"/>
                <w:sz w:val="16"/>
              </w:rPr>
              <w:t>Escrow Agent indemnity (joint and several)</w:t>
            </w:r>
          </w:p>
        </w:tc>
        <w:tc>
          <w:tcPr>
            <w:tcW w:type="dxa" w:w="1152"/>
          </w:tcPr>
          <w:p>
            <w:pPr>
              <w:spacing w:after="20"/>
            </w:pPr>
            <w:r/>
            <w:r>
              <w:rPr>
                <w:b w:val="0"/>
                <w:i w:val="0"/>
                <w:sz w:val="16"/>
              </w:rPr>
              <w:t>EA 6.1</w:t>
            </w:r>
          </w:p>
        </w:tc>
        <w:tc>
          <w:tcPr>
            <w:tcW w:type="dxa" w:w="2736"/>
          </w:tcPr>
          <w:p>
            <w:pPr>
              <w:spacing w:after="20"/>
            </w:pPr>
            <w:r/>
            <w:r>
              <w:rPr>
                <w:b/>
                <w:i w:val="0"/>
                <w:sz w:val="16"/>
              </w:rPr>
              <w:t>Unlimited</w:t>
            </w:r>
          </w:p>
        </w:tc>
        <w:tc>
          <w:tcPr>
            <w:tcW w:type="dxa" w:w="2448"/>
          </w:tcPr>
          <w:p>
            <w:pPr>
              <w:spacing w:after="20"/>
            </w:pPr>
            <w:r/>
            <w:r>
              <w:rPr>
                <w:b w:val="0"/>
                <w:i w:val="0"/>
                <w:sz w:val="16"/>
              </w:rPr>
              <w:t>Likely low probability; no contribution right against Northshore</w:t>
            </w:r>
          </w:p>
        </w:tc>
      </w:tr>
      <w:tr>
        <w:tc>
          <w:tcPr>
            <w:tcW w:type="dxa" w:w="432"/>
          </w:tcPr>
          <w:p>
            <w:pPr>
              <w:spacing w:after="20"/>
            </w:pPr>
            <w:r/>
            <w:r>
              <w:rPr>
                <w:b w:val="0"/>
                <w:i w:val="0"/>
                <w:sz w:val="16"/>
              </w:rPr>
              <w:t>12</w:t>
            </w:r>
          </w:p>
        </w:tc>
        <w:tc>
          <w:tcPr>
            <w:tcW w:type="dxa" w:w="2592"/>
          </w:tcPr>
          <w:p>
            <w:pPr>
              <w:spacing w:after="20"/>
            </w:pPr>
            <w:r/>
            <w:r>
              <w:rPr>
                <w:b w:val="0"/>
                <w:i w:val="0"/>
                <w:sz w:val="16"/>
              </w:rPr>
              <w:t>Escrow fees and expenses</w:t>
            </w:r>
          </w:p>
        </w:tc>
        <w:tc>
          <w:tcPr>
            <w:tcW w:type="dxa" w:w="1152"/>
          </w:tcPr>
          <w:p>
            <w:pPr>
              <w:spacing w:after="20"/>
            </w:pPr>
            <w:r/>
            <w:r>
              <w:rPr>
                <w:b w:val="0"/>
                <w:i w:val="0"/>
                <w:sz w:val="16"/>
              </w:rPr>
              <w:t>SA 5.5; EA 5.1-5.2</w:t>
            </w:r>
          </w:p>
        </w:tc>
        <w:tc>
          <w:tcPr>
            <w:tcW w:type="dxa" w:w="2736"/>
          </w:tcPr>
          <w:p>
            <w:pPr>
              <w:spacing w:after="20"/>
            </w:pPr>
            <w:r/>
            <w:r>
              <w:rPr>
                <w:b w:val="0"/>
                <w:i w:val="0"/>
                <w:sz w:val="16"/>
              </w:rPr>
              <w:t>$9,250/yr (subject to up to 5%/yr increases) + 50% of expenses</w:t>
            </w:r>
          </w:p>
        </w:tc>
        <w:tc>
          <w:tcPr>
            <w:tcW w:type="dxa" w:w="2448"/>
          </w:tcPr>
          <w:p>
            <w:pPr>
              <w:spacing w:after="20"/>
            </w:pPr>
            <w:r/>
            <w:r>
              <w:rPr>
                <w:b w:val="0"/>
                <w:i w:val="0"/>
                <w:sz w:val="16"/>
              </w:rPr>
              <w:t>Fee date conflict (Jan. 15 vs. Feb. 1)</w:t>
            </w:r>
          </w:p>
        </w:tc>
      </w:tr>
      <w:tr>
        <w:tc>
          <w:tcPr>
            <w:tcW w:type="dxa" w:w="432"/>
          </w:tcPr>
          <w:p>
            <w:pPr>
              <w:spacing w:after="20"/>
            </w:pPr>
            <w:r/>
            <w:r>
              <w:rPr>
                <w:b w:val="0"/>
                <w:i w:val="0"/>
                <w:sz w:val="16"/>
              </w:rPr>
              <w:t>13</w:t>
            </w:r>
          </w:p>
        </w:tc>
        <w:tc>
          <w:tcPr>
            <w:tcW w:type="dxa" w:w="2592"/>
          </w:tcPr>
          <w:p>
            <w:pPr>
              <w:spacing w:after="20"/>
            </w:pPr>
            <w:r/>
            <w:r>
              <w:rPr>
                <w:b w:val="0"/>
                <w:i w:val="0"/>
                <w:sz w:val="16"/>
              </w:rPr>
              <w:t>Financial Assurance Bond replenishment</w:t>
            </w:r>
          </w:p>
        </w:tc>
        <w:tc>
          <w:tcPr>
            <w:tcW w:type="dxa" w:w="1152"/>
          </w:tcPr>
          <w:p>
            <w:pPr>
              <w:spacing w:after="20"/>
            </w:pPr>
            <w:r/>
            <w:r>
              <w:rPr>
                <w:b w:val="0"/>
                <w:i w:val="0"/>
                <w:sz w:val="16"/>
              </w:rPr>
              <w:t>SA 6.6</w:t>
            </w:r>
          </w:p>
        </w:tc>
        <w:tc>
          <w:tcPr>
            <w:tcW w:type="dxa" w:w="2736"/>
          </w:tcPr>
          <w:p>
            <w:pPr>
              <w:spacing w:after="20"/>
            </w:pPr>
            <w:r/>
            <w:r>
              <w:rPr>
                <w:b w:val="0"/>
                <w:i w:val="0"/>
                <w:sz w:val="16"/>
              </w:rPr>
              <w:t>Up to $5,000,000 per replenishment</w:t>
            </w:r>
          </w:p>
        </w:tc>
        <w:tc>
          <w:tcPr>
            <w:tcW w:type="dxa" w:w="2448"/>
          </w:tcPr>
          <w:p>
            <w:pPr>
              <w:spacing w:after="20"/>
            </w:pPr>
            <w:r/>
            <w:r>
              <w:rPr>
                <w:b w:val="0"/>
                <w:i w:val="0"/>
                <w:sz w:val="16"/>
              </w:rPr>
              <w:t>Plus likely surety indemnity to Hollcroft (confirm)</w:t>
            </w:r>
          </w:p>
        </w:tc>
      </w:tr>
      <w:tr>
        <w:tc>
          <w:tcPr>
            <w:tcW w:type="dxa" w:w="432"/>
          </w:tcPr>
          <w:p>
            <w:pPr>
              <w:spacing w:after="20"/>
            </w:pPr>
            <w:r/>
            <w:r>
              <w:rPr>
                <w:b w:val="0"/>
                <w:i w:val="0"/>
                <w:sz w:val="16"/>
              </w:rPr>
              <w:t>14</w:t>
            </w:r>
          </w:p>
        </w:tc>
        <w:tc>
          <w:tcPr>
            <w:tcW w:type="dxa" w:w="2592"/>
          </w:tcPr>
          <w:p>
            <w:pPr>
              <w:spacing w:after="20"/>
            </w:pPr>
            <w:r/>
            <w:r>
              <w:rPr>
                <w:b w:val="0"/>
                <w:i w:val="0"/>
                <w:sz w:val="16"/>
              </w:rPr>
              <w:t>MTCA joint and several backstop</w:t>
            </w:r>
          </w:p>
        </w:tc>
        <w:tc>
          <w:tcPr>
            <w:tcW w:type="dxa" w:w="1152"/>
          </w:tcPr>
          <w:p>
            <w:pPr>
              <w:spacing w:after="20"/>
            </w:pPr>
            <w:r/>
            <w:r>
              <w:rPr>
                <w:b w:val="0"/>
                <w:i w:val="0"/>
                <w:sz w:val="16"/>
              </w:rPr>
              <w:t>SA 4.4; Recital N</w:t>
            </w:r>
          </w:p>
        </w:tc>
        <w:tc>
          <w:tcPr>
            <w:tcW w:type="dxa" w:w="2736"/>
          </w:tcPr>
          <w:p>
            <w:pPr>
              <w:spacing w:after="20"/>
            </w:pPr>
            <w:r/>
            <w:r>
              <w:rPr>
                <w:b w:val="0"/>
                <w:i w:val="0"/>
                <w:sz w:val="16"/>
              </w:rPr>
              <w:t>Up to 100% of remediation costs vis-a-vis Ecology</w:t>
            </w:r>
          </w:p>
        </w:tc>
        <w:tc>
          <w:tcPr>
            <w:tcW w:type="dxa" w:w="2448"/>
          </w:tcPr>
          <w:p>
            <w:pPr>
              <w:spacing w:after="20"/>
            </w:pPr>
            <w:r/>
            <w:r>
              <w:rPr>
                <w:b w:val="0"/>
                <w:i w:val="0"/>
                <w:sz w:val="16"/>
              </w:rPr>
              <w:t>Mitigated for Northshore's base share by the escrow; not for overruns or 8.4/8.5</w:t>
            </w:r>
          </w:p>
        </w:tc>
      </w:tr>
      <w:tr>
        <w:tc>
          <w:tcPr>
            <w:tcW w:type="dxa" w:w="432"/>
          </w:tcPr>
          <w:p>
            <w:pPr>
              <w:spacing w:after="20"/>
            </w:pPr>
            <w:r/>
            <w:r>
              <w:rPr>
                <w:b w:val="0"/>
                <w:i w:val="0"/>
                <w:sz w:val="16"/>
              </w:rPr>
              <w:t>15</w:t>
            </w:r>
          </w:p>
        </w:tc>
        <w:tc>
          <w:tcPr>
            <w:tcW w:type="dxa" w:w="2592"/>
          </w:tcPr>
          <w:p>
            <w:pPr>
              <w:spacing w:after="20"/>
            </w:pPr>
            <w:r/>
            <w:r>
              <w:rPr>
                <w:b w:val="0"/>
                <w:i w:val="0"/>
                <w:sz w:val="16"/>
              </w:rPr>
              <w:t>Exh. D late-payment interest; cooperation costs</w:t>
            </w:r>
          </w:p>
        </w:tc>
        <w:tc>
          <w:tcPr>
            <w:tcW w:type="dxa" w:w="1152"/>
          </w:tcPr>
          <w:p>
            <w:pPr>
              <w:spacing w:after="20"/>
            </w:pPr>
            <w:r/>
            <w:r>
              <w:rPr>
                <w:b w:val="0"/>
                <w:i w:val="0"/>
                <w:sz w:val="16"/>
              </w:rPr>
              <w:t>Exh. D 4.2, 6.2</w:t>
            </w:r>
          </w:p>
        </w:tc>
        <w:tc>
          <w:tcPr>
            <w:tcW w:type="dxa" w:w="2736"/>
          </w:tcPr>
          <w:p>
            <w:pPr>
              <w:spacing w:after="20"/>
            </w:pPr>
            <w:r/>
            <w:r>
              <w:rPr>
                <w:b w:val="0"/>
                <w:i w:val="0"/>
                <w:sz w:val="16"/>
              </w:rPr>
              <w:t>Lesser of 1%/month compounded (~12.7%/yr) or lawful maximum</w:t>
            </w:r>
          </w:p>
        </w:tc>
        <w:tc>
          <w:tcPr>
            <w:tcW w:type="dxa" w:w="2448"/>
          </w:tcPr>
          <w:p>
            <w:pPr>
              <w:spacing w:after="20"/>
            </w:pPr>
            <w:r/>
            <w:r>
              <w:rPr>
                <w:b w:val="0"/>
                <w:i w:val="0"/>
                <w:sz w:val="16"/>
              </w:rPr>
              <w:t>Applies when Cascadia is indemnitor</w:t>
            </w:r>
          </w:p>
        </w:tc>
      </w:tr>
    </w:tbl>
    <w:p>
      <w:pPr>
        <w:spacing w:after="40"/>
      </w:pP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7200"/>
            <w:shd w:val="clear" w:color="auto" w:fill="1F3A5F"/>
          </w:tcPr>
          <w:p>
            <w:r/>
            <w:r>
              <w:rPr>
                <w:b/>
                <w:color w:val="FFFFFF"/>
                <w:sz w:val="17"/>
              </w:rPr>
              <w:t>Aggregation (illustrative, before insurance)</w:t>
            </w:r>
          </w:p>
        </w:tc>
        <w:tc>
          <w:tcPr>
            <w:tcW w:type="dxa" w:w="2160"/>
            <w:shd w:val="clear" w:color="auto" w:fill="1F3A5F"/>
          </w:tcPr>
          <w:p>
            <w:r/>
            <w:r>
              <w:rPr>
                <w:b/>
                <w:color w:val="FFFFFF"/>
                <w:sz w:val="17"/>
              </w:rPr>
              <w:t>Amount</w:t>
            </w:r>
          </w:p>
        </w:tc>
      </w:tr>
      <w:tr>
        <w:tc>
          <w:tcPr>
            <w:tcW w:type="dxa" w:w="7200"/>
          </w:tcPr>
          <w:p>
            <w:pPr>
              <w:spacing w:after="20"/>
            </w:pPr>
            <w:r/>
            <w:r>
              <w:rPr>
                <w:b w:val="0"/>
                <w:i w:val="0"/>
                <w:sz w:val="17"/>
              </w:rPr>
              <w:t>Base case: effective cost share (72%) + Pre-Existing Claims at claimed amounts (TNA $1.495M + SSC $0.9M + Marina $4.1M = $6.495M)</w:t>
            </w:r>
          </w:p>
        </w:tc>
        <w:tc>
          <w:tcPr>
            <w:tcW w:type="dxa" w:w="2160"/>
          </w:tcPr>
          <w:p>
            <w:pPr>
              <w:spacing w:after="20"/>
            </w:pPr>
            <w:r/>
            <w:r>
              <w:rPr>
                <w:b/>
                <w:i w:val="0"/>
                <w:sz w:val="17"/>
              </w:rPr>
              <w:t>$26,943,000</w:t>
            </w:r>
          </w:p>
        </w:tc>
      </w:tr>
      <w:tr>
        <w:tc>
          <w:tcPr>
            <w:tcW w:type="dxa" w:w="7200"/>
          </w:tcPr>
          <w:p>
            <w:pPr>
              <w:spacing w:after="20"/>
            </w:pPr>
            <w:r/>
            <w:r>
              <w:rPr>
                <w:b w:val="0"/>
                <w:i w:val="0"/>
                <w:sz w:val="17"/>
              </w:rPr>
              <w:t>Add SA 8.1 cap fully exhausted ($10,000,000)</w:t>
            </w:r>
          </w:p>
        </w:tc>
        <w:tc>
          <w:tcPr>
            <w:tcW w:type="dxa" w:w="2160"/>
          </w:tcPr>
          <w:p>
            <w:pPr>
              <w:spacing w:after="20"/>
            </w:pPr>
            <w:r/>
            <w:r>
              <w:rPr>
                <w:b/>
                <w:i w:val="0"/>
                <w:sz w:val="17"/>
              </w:rPr>
              <w:t>$36,943,000</w:t>
            </w:r>
          </w:p>
        </w:tc>
      </w:tr>
      <w:tr>
        <w:tc>
          <w:tcPr>
            <w:tcW w:type="dxa" w:w="7200"/>
          </w:tcPr>
          <w:p>
            <w:pPr>
              <w:spacing w:after="20"/>
            </w:pPr>
            <w:r/>
            <w:r>
              <w:rPr>
                <w:b w:val="0"/>
                <w:i w:val="0"/>
                <w:sz w:val="17"/>
              </w:rPr>
              <w:t>Plus uncapped: Puget 8.3 guarantee; SA 8.4 (62-72%); NRD (60% to $12.5M, 100% above); overruns (72%); Marina above $4.1M; TNA/SSC above Northshore caps; EA 6.1; bond replenishment</w:t>
            </w:r>
          </w:p>
        </w:tc>
        <w:tc>
          <w:tcPr>
            <w:tcW w:type="dxa" w:w="2160"/>
          </w:tcPr>
          <w:p>
            <w:pPr>
              <w:spacing w:after="20"/>
            </w:pPr>
            <w:r/>
            <w:r>
              <w:rPr>
                <w:b w:val="0"/>
                <w:i w:val="0"/>
                <w:sz w:val="17"/>
              </w:rPr>
              <w:t>Unquantified / unlimited</w:t>
            </w:r>
          </w:p>
        </w:tc>
      </w:tr>
      <w:tr>
        <w:tc>
          <w:tcPr>
            <w:tcW w:type="dxa" w:w="7200"/>
          </w:tcPr>
          <w:p>
            <w:pPr>
              <w:spacing w:after="20"/>
            </w:pPr>
            <w:r/>
            <w:r>
              <w:rPr>
                <w:b w:val="0"/>
                <w:i w:val="0"/>
                <w:sz w:val="17"/>
              </w:rPr>
              <w:t>Potential offsets: Northshore indemnities to Cascadia (SA 8.2 up to $7,952,000; SA 8.5 up to $5,000,000; SL up to $1,705,000; SA 8.4 28%, uncapped), all unsecured; PLL Policy up to $15,000,000 aggregate less $500,000 SIR per occurrence, expiring Jan. 1, 2028</w:t>
            </w:r>
          </w:p>
        </w:tc>
        <w:tc>
          <w:tcPr>
            <w:tcW w:type="dxa" w:w="2160"/>
          </w:tcPr>
          <w:p>
            <w:pPr>
              <w:spacing w:after="20"/>
            </w:pPr>
            <w:r/>
            <w:r>
              <w:rPr>
                <w:b w:val="0"/>
                <w:i w:val="0"/>
                <w:sz w:val="17"/>
              </w:rPr>
              <w:t>Up to ~$14.66M contractual (plus 8.4) and $15M insurance, subject to collectability and coverage</w:t>
            </w:r>
          </w:p>
        </w:tc>
      </w:tr>
    </w:tbl>
    <w:p>
      <w:pPr>
        <w:spacing w:after="40"/>
      </w:pPr>
    </w:p>
    <w:p>
      <w:pPr>
        <w:spacing w:after="80"/>
      </w:pPr>
      <w:r>
        <w:rPr>
          <w:b w:val="0"/>
          <w:i w:val="0"/>
        </w:rPr>
        <w:t>Note: the 8.2 cap ($7,952,000) is described as "an amount equal to" Northshore's Cost Share. Northshore may argue that cost-share payments count against the indemnity cap. Nothing in SA 8.2 says so, and the separate escrow and cost-share mechanics support reading them as independent, but the point should be clarified (R-10).</w:t>
      </w:r>
    </w:p>
    <w:p>
      <w:pPr>
        <w:pStyle w:val="Heading1"/>
      </w:pPr>
      <w:r>
        <w:t>V. Coverage Map and Gap Analysis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016"/>
            <w:shd w:val="clear" w:color="auto" w:fill="1F3A5F"/>
          </w:tcPr>
          <w:p>
            <w:r/>
            <w:r>
              <w:rPr>
                <w:b/>
                <w:color w:val="FFFFFF"/>
                <w:sz w:val="16"/>
              </w:rPr>
              <w:t>Claim category</w:t>
            </w:r>
          </w:p>
        </w:tc>
        <w:tc>
          <w:tcPr>
            <w:tcW w:type="dxa" w:w="1872"/>
            <w:shd w:val="clear" w:color="auto" w:fill="1F3A5F"/>
          </w:tcPr>
          <w:p>
            <w:r/>
            <w:r>
              <w:rPr>
                <w:b/>
                <w:color w:val="FFFFFF"/>
                <w:sz w:val="16"/>
              </w:rPr>
              <w:t>Provision(s) that respond</w:t>
            </w:r>
          </w:p>
        </w:tc>
        <w:tc>
          <w:tcPr>
            <w:tcW w:type="dxa" w:w="1728"/>
            <w:shd w:val="clear" w:color="auto" w:fill="1F3A5F"/>
          </w:tcPr>
          <w:p>
            <w:r/>
            <w:r>
              <w:rPr>
                <w:b/>
                <w:color w:val="FFFFFF"/>
                <w:sz w:val="16"/>
              </w:rPr>
              <w:t>Who bears it</w:t>
            </w:r>
          </w:p>
        </w:tc>
        <w:tc>
          <w:tcPr>
            <w:tcW w:type="dxa" w:w="3744"/>
            <w:shd w:val="clear" w:color="auto" w:fill="1F3A5F"/>
          </w:tcPr>
          <w:p>
            <w:r/>
            <w:r>
              <w:rPr>
                <w:b/>
                <w:color w:val="FFFFFF"/>
                <w:sz w:val="16"/>
              </w:rPr>
              <w:t>Gaps / ambiguities</w:t>
            </w:r>
          </w:p>
        </w:tc>
      </w:tr>
      <w:tr>
        <w:tc>
          <w:tcPr>
            <w:tcW w:type="dxa" w:w="2016"/>
          </w:tcPr>
          <w:p>
            <w:pPr>
              <w:spacing w:after="20"/>
            </w:pPr>
            <w:r/>
            <w:r>
              <w:rPr>
                <w:b w:val="0"/>
                <w:i w:val="0"/>
                <w:sz w:val="16"/>
              </w:rPr>
              <w:t>Remediation costs within decree scope (incl. overruns)</w:t>
            </w:r>
          </w:p>
        </w:tc>
        <w:tc>
          <w:tcPr>
            <w:tcW w:type="dxa" w:w="1872"/>
          </w:tcPr>
          <w:p>
            <w:pPr>
              <w:spacing w:after="20"/>
            </w:pPr>
            <w:r/>
            <w:r>
              <w:rPr>
                <w:b w:val="0"/>
                <w:i w:val="0"/>
                <w:sz w:val="16"/>
              </w:rPr>
              <w:t>SA 5.2, 5.3, 5.6</w:t>
            </w:r>
          </w:p>
        </w:tc>
        <w:tc>
          <w:tcPr>
            <w:tcW w:type="dxa" w:w="1728"/>
          </w:tcPr>
          <w:p>
            <w:pPr>
              <w:spacing w:after="20"/>
            </w:pPr>
            <w:r/>
            <w:r>
              <w:rPr>
                <w:b w:val="0"/>
                <w:i w:val="0"/>
                <w:sz w:val="16"/>
              </w:rPr>
              <w:t>62/28/10 (Cascadia effectively 72%)</w:t>
            </w:r>
          </w:p>
        </w:tc>
        <w:tc>
          <w:tcPr>
            <w:tcW w:type="dxa" w:w="3744"/>
          </w:tcPr>
          <w:p>
            <w:pPr>
              <w:spacing w:after="20"/>
            </w:pPr>
            <w:r/>
            <w:r>
              <w:rPr>
                <w:b w:val="0"/>
                <w:i w:val="0"/>
                <w:sz w:val="16"/>
              </w:rPr>
              <w:t>SA 5.6 applies the contingency "first" to overruns although the $1.9M contingency is already inside the $28.4M estimate, so it is unclear whether overruns are measured from $26.5M or $28.4M. No cap on overruns</w:t>
            </w:r>
          </w:p>
        </w:tc>
      </w:tr>
      <w:tr>
        <w:tc>
          <w:tcPr>
            <w:tcW w:type="dxa" w:w="2016"/>
          </w:tcPr>
          <w:p>
            <w:pPr>
              <w:spacing w:after="20"/>
            </w:pPr>
            <w:r/>
            <w:r>
              <w:rPr>
                <w:b w:val="0"/>
                <w:i w:val="0"/>
                <w:sz w:val="16"/>
              </w:rPr>
              <w:t>Government cost recovery beyond decree scope (Ecology reopeners, EPA, local)</w:t>
            </w:r>
          </w:p>
        </w:tc>
        <w:tc>
          <w:tcPr>
            <w:tcW w:type="dxa" w:w="1872"/>
          </w:tcPr>
          <w:p>
            <w:pPr>
              <w:spacing w:after="20"/>
            </w:pPr>
            <w:r/>
            <w:r>
              <w:rPr>
                <w:b w:val="0"/>
                <w:i w:val="0"/>
                <w:sz w:val="16"/>
              </w:rPr>
              <w:t>SA 8.4 (and 8.3 if undisclosed pre-acquisition)</w:t>
            </w:r>
          </w:p>
        </w:tc>
        <w:tc>
          <w:tcPr>
            <w:tcW w:type="dxa" w:w="1728"/>
          </w:tcPr>
          <w:p>
            <w:pPr>
              <w:spacing w:after="20"/>
            </w:pPr>
            <w:r/>
            <w:r>
              <w:rPr>
                <w:b w:val="0"/>
                <w:i w:val="0"/>
                <w:sz w:val="16"/>
              </w:rPr>
              <w:t>62/28/10, uncapped, 20 years</w:t>
            </w:r>
          </w:p>
        </w:tc>
        <w:tc>
          <w:tcPr>
            <w:tcW w:type="dxa" w:w="3744"/>
          </w:tcPr>
          <w:p>
            <w:pPr>
              <w:spacing w:after="20"/>
            </w:pPr>
            <w:r/>
            <w:r>
              <w:rPr>
                <w:b w:val="0"/>
                <w:i w:val="0"/>
                <w:sz w:val="16"/>
              </w:rPr>
              <w:t xml:space="preserve">"Exceeds the scope of the matters addressed" is undefined; covers cost recovery/response/remediation costs only, </w:t>
            </w:r>
            <w:r>
              <w:rPr>
                <w:b/>
                <w:i w:val="0"/>
                <w:sz w:val="16"/>
              </w:rPr>
              <w:t>not civil penalties, fines or oversight costs</w:t>
            </w:r>
            <w:r>
              <w:rPr>
                <w:b w:val="0"/>
                <w:i w:val="0"/>
                <w:sz w:val="16"/>
              </w:rPr>
              <w:t>; no notice-preservation tail after Feb. 1, 2045; Puget's 10% likely falls on Cascadia; overlaps SA 8.3 with no priority rule</w:t>
            </w:r>
          </w:p>
        </w:tc>
      </w:tr>
      <w:tr>
        <w:tc>
          <w:tcPr>
            <w:tcW w:type="dxa" w:w="2016"/>
          </w:tcPr>
          <w:p>
            <w:pPr>
              <w:spacing w:after="20"/>
            </w:pPr>
            <w:r/>
            <w:r>
              <w:rPr>
                <w:b w:val="0"/>
                <w:i w:val="0"/>
                <w:sz w:val="16"/>
              </w:rPr>
              <w:t>Natural Resource Damages</w:t>
            </w:r>
          </w:p>
        </w:tc>
        <w:tc>
          <w:tcPr>
            <w:tcW w:type="dxa" w:w="1872"/>
          </w:tcPr>
          <w:p>
            <w:pPr>
              <w:spacing w:after="20"/>
            </w:pPr>
            <w:r/>
            <w:r>
              <w:rPr>
                <w:b w:val="0"/>
                <w:i w:val="0"/>
                <w:sz w:val="16"/>
              </w:rPr>
              <w:t>SA 8.5; Ecology reservation SA 7.3(d)</w:t>
            </w:r>
          </w:p>
        </w:tc>
        <w:tc>
          <w:tcPr>
            <w:tcW w:type="dxa" w:w="1728"/>
          </w:tcPr>
          <w:p>
            <w:pPr>
              <w:spacing w:after="20"/>
            </w:pPr>
            <w:r/>
            <w:r>
              <w:rPr>
                <w:b w:val="0"/>
                <w:i w:val="0"/>
                <w:sz w:val="16"/>
              </w:rPr>
              <w:t>Cascadia 60% / Northshore 40% (cap $5M); Puget 0%</w:t>
            </w:r>
          </w:p>
        </w:tc>
        <w:tc>
          <w:tcPr>
            <w:tcW w:type="dxa" w:w="3744"/>
          </w:tcPr>
          <w:p>
            <w:pPr>
              <w:spacing w:after="20"/>
            </w:pPr>
            <w:r/>
            <w:r>
              <w:rPr>
                <w:b/>
                <w:i w:val="0"/>
                <w:sz w:val="16"/>
              </w:rPr>
              <w:t>No survival period</w:t>
            </w:r>
            <w:r>
              <w:rPr>
                <w:b w:val="0"/>
                <w:i w:val="0"/>
                <w:sz w:val="16"/>
              </w:rPr>
              <w:t>; one-directional drafting (no express Cascadia indemnity of Northshore, though Exh. D 7(d) treats it as an allocation); no basket; Cascadia 100% above $12.5M; no rule on interplay with SA 8.2 (Northshore-supplied Cr(VI) is the stated driver of Bay impacts, SA 8.5(c))</w:t>
            </w:r>
          </w:p>
        </w:tc>
      </w:tr>
      <w:tr>
        <w:tc>
          <w:tcPr>
            <w:tcW w:type="dxa" w:w="2016"/>
          </w:tcPr>
          <w:p>
            <w:pPr>
              <w:spacing w:after="20"/>
            </w:pPr>
            <w:r/>
            <w:r>
              <w:rPr>
                <w:b w:val="0"/>
                <w:i w:val="0"/>
                <w:sz w:val="16"/>
              </w:rPr>
              <w:t>Third-party tort arising from remediation work</w:t>
            </w:r>
          </w:p>
        </w:tc>
        <w:tc>
          <w:tcPr>
            <w:tcW w:type="dxa" w:w="1872"/>
          </w:tcPr>
          <w:p>
            <w:pPr>
              <w:spacing w:after="20"/>
            </w:pPr>
            <w:r/>
            <w:r>
              <w:rPr>
                <w:b w:val="0"/>
                <w:i w:val="0"/>
                <w:sz w:val="16"/>
              </w:rPr>
              <w:t>SA 8.1 (Cascadia -&gt; Northshore)</w:t>
            </w:r>
          </w:p>
        </w:tc>
        <w:tc>
          <w:tcPr>
            <w:tcW w:type="dxa" w:w="1728"/>
          </w:tcPr>
          <w:p>
            <w:pPr>
              <w:spacing w:after="20"/>
            </w:pPr>
            <w:r/>
            <w:r>
              <w:rPr>
                <w:b w:val="0"/>
                <w:i w:val="0"/>
                <w:sz w:val="16"/>
              </w:rPr>
              <w:t>Cascadia up to $10M after $250K deductible</w:t>
            </w:r>
          </w:p>
        </w:tc>
        <w:tc>
          <w:tcPr>
            <w:tcW w:type="dxa" w:w="3744"/>
          </w:tcPr>
          <w:p>
            <w:pPr>
              <w:spacing w:after="20"/>
            </w:pPr>
            <w:r/>
            <w:r>
              <w:rPr>
                <w:b w:val="0"/>
                <w:i w:val="0"/>
                <w:sz w:val="16"/>
              </w:rPr>
              <w:t>One-way: no Northshore indemnity for its own conduct in connection with remediation; Cascadia bears 100% of claims against itself</w:t>
            </w:r>
          </w:p>
        </w:tc>
      </w:tr>
      <w:tr>
        <w:tc>
          <w:tcPr>
            <w:tcW w:type="dxa" w:w="2016"/>
          </w:tcPr>
          <w:p>
            <w:pPr>
              <w:spacing w:after="20"/>
            </w:pPr>
            <w:r/>
            <w:r>
              <w:rPr>
                <w:b w:val="0"/>
                <w:i w:val="0"/>
                <w:sz w:val="16"/>
              </w:rPr>
              <w:t>Third-party tort from Northshore-supplied substances</w:t>
            </w:r>
          </w:p>
        </w:tc>
        <w:tc>
          <w:tcPr>
            <w:tcW w:type="dxa" w:w="1872"/>
          </w:tcPr>
          <w:p>
            <w:pPr>
              <w:spacing w:after="20"/>
            </w:pPr>
            <w:r/>
            <w:r>
              <w:rPr>
                <w:b w:val="0"/>
                <w:i w:val="0"/>
                <w:sz w:val="16"/>
              </w:rPr>
              <w:t>SA 8.2 (Northshore -&gt; Cascadia)</w:t>
            </w:r>
          </w:p>
        </w:tc>
        <w:tc>
          <w:tcPr>
            <w:tcW w:type="dxa" w:w="1728"/>
          </w:tcPr>
          <w:p>
            <w:pPr>
              <w:spacing w:after="20"/>
            </w:pPr>
            <w:r/>
            <w:r>
              <w:rPr>
                <w:b w:val="0"/>
                <w:i w:val="0"/>
                <w:sz w:val="16"/>
              </w:rPr>
              <w:t>Northshore up to $7.952M</w:t>
            </w:r>
          </w:p>
        </w:tc>
        <w:tc>
          <w:tcPr>
            <w:tcW w:type="dxa" w:w="3744"/>
          </w:tcPr>
          <w:p>
            <w:pPr>
              <w:spacing w:after="20"/>
            </w:pPr>
            <w:r/>
            <w:r>
              <w:rPr>
                <w:b w:val="0"/>
                <w:i w:val="0"/>
                <w:sz w:val="16"/>
              </w:rPr>
              <w:t>Causation contests likely: TCE/Cr(VI) were used and disposed of by Puget; "attributable to substances supplied by Northshore" invites apportionment disputes with no default allocation rule</w:t>
            </w:r>
          </w:p>
        </w:tc>
      </w:tr>
      <w:tr>
        <w:tc>
          <w:tcPr>
            <w:tcW w:type="dxa" w:w="2016"/>
          </w:tcPr>
          <w:p>
            <w:pPr>
              <w:spacing w:after="20"/>
            </w:pPr>
            <w:r/>
            <w:r>
              <w:rPr>
                <w:b w:val="0"/>
                <w:i w:val="0"/>
                <w:sz w:val="16"/>
              </w:rPr>
              <w:t>Third-party tort from Puget's historical operations (disclosed conditions; non-Northshore substances; pre-1978 or post-2003 activities)</w:t>
            </w:r>
          </w:p>
        </w:tc>
        <w:tc>
          <w:tcPr>
            <w:tcW w:type="dxa" w:w="1872"/>
          </w:tcPr>
          <w:p>
            <w:pPr>
              <w:spacing w:after="20"/>
            </w:pPr>
            <w:r/>
            <w:r>
              <w:rPr>
                <w:b/>
                <w:i w:val="0"/>
                <w:sz w:val="16"/>
              </w:rPr>
              <w:t>None</w:t>
            </w:r>
            <w:r>
              <w:rPr>
                <w:b w:val="0"/>
                <w:i w:val="0"/>
                <w:sz w:val="16"/>
              </w:rPr>
              <w:t xml:space="preserve"> (SA 8.3 only if undisclosed and pre-2016)</w:t>
            </w:r>
          </w:p>
        </w:tc>
        <w:tc>
          <w:tcPr>
            <w:tcW w:type="dxa" w:w="1728"/>
          </w:tcPr>
          <w:p>
            <w:pPr>
              <w:spacing w:after="20"/>
            </w:pPr>
            <w:r/>
            <w:r>
              <w:rPr>
                <w:b w:val="0"/>
                <w:i w:val="0"/>
                <w:sz w:val="16"/>
              </w:rPr>
              <w:t>Cascadia 100%</w:t>
            </w:r>
          </w:p>
        </w:tc>
        <w:tc>
          <w:tcPr>
            <w:tcW w:type="dxa" w:w="3744"/>
          </w:tcPr>
          <w:p>
            <w:pPr>
              <w:spacing w:after="20"/>
            </w:pPr>
            <w:r/>
            <w:r>
              <w:rPr>
                <w:b/>
                <w:i w:val="0"/>
                <w:sz w:val="16"/>
              </w:rPr>
              <w:t>Major gap.</w:t>
            </w:r>
            <w:r>
              <w:rPr>
                <w:b w:val="0"/>
                <w:i w:val="0"/>
                <w:sz w:val="16"/>
              </w:rPr>
              <w:t xml:space="preserve"> Includes vapor-intrusion and personal-injury claims from the TCE plume, nickel/acid wastes, substances from other suppliers, and conditions disclosed in 2016</w:t>
            </w:r>
          </w:p>
        </w:tc>
      </w:tr>
      <w:tr>
        <w:tc>
          <w:tcPr>
            <w:tcW w:type="dxa" w:w="2016"/>
          </w:tcPr>
          <w:p>
            <w:pPr>
              <w:spacing w:after="20"/>
            </w:pPr>
            <w:r/>
            <w:r>
              <w:rPr>
                <w:b w:val="0"/>
                <w:i w:val="0"/>
                <w:sz w:val="16"/>
              </w:rPr>
              <w:t>Private cost-recovery/contribution claims (MTCA private right of action, CERCLA)</w:t>
            </w:r>
          </w:p>
        </w:tc>
        <w:tc>
          <w:tcPr>
            <w:tcW w:type="dxa" w:w="1872"/>
          </w:tcPr>
          <w:p>
            <w:pPr>
              <w:spacing w:after="20"/>
            </w:pPr>
            <w:r/>
            <w:r>
              <w:rPr>
                <w:b w:val="0"/>
                <w:i w:val="0"/>
                <w:sz w:val="16"/>
              </w:rPr>
              <w:t>SA 8.2 only if Northshore-attributable; SL for Marina</w:t>
            </w:r>
          </w:p>
        </w:tc>
        <w:tc>
          <w:tcPr>
            <w:tcW w:type="dxa" w:w="1728"/>
          </w:tcPr>
          <w:p>
            <w:pPr>
              <w:spacing w:after="20"/>
            </w:pPr>
            <w:r/>
            <w:r>
              <w:rPr>
                <w:b w:val="0"/>
                <w:i w:val="0"/>
                <w:sz w:val="16"/>
              </w:rPr>
              <w:t>Otherwise Cascadia 100%</w:t>
            </w:r>
          </w:p>
        </w:tc>
        <w:tc>
          <w:tcPr>
            <w:tcW w:type="dxa" w:w="3744"/>
          </w:tcPr>
          <w:p>
            <w:pPr>
              <w:spacing w:after="20"/>
            </w:pPr>
            <w:r/>
            <w:r>
              <w:rPr>
                <w:b w:val="0"/>
                <w:i w:val="0"/>
                <w:sz w:val="16"/>
              </w:rPr>
              <w:t>Not "government" claims, so SA 8.4 does not respond; contribution protection (SA 7.4) only to the extent of matters addressed</w:t>
            </w:r>
          </w:p>
        </w:tc>
      </w:tr>
      <w:tr>
        <w:tc>
          <w:tcPr>
            <w:tcW w:type="dxa" w:w="2016"/>
          </w:tcPr>
          <w:p>
            <w:pPr>
              <w:spacing w:after="20"/>
            </w:pPr>
            <w:r/>
            <w:r>
              <w:rPr>
                <w:b w:val="0"/>
                <w:i w:val="0"/>
                <w:sz w:val="16"/>
              </w:rPr>
              <w:t>Off-site plume (~1,200 ft toward Commencement Bay)</w:t>
            </w:r>
          </w:p>
        </w:tc>
        <w:tc>
          <w:tcPr>
            <w:tcW w:type="dxa" w:w="1872"/>
          </w:tcPr>
          <w:p>
            <w:pPr>
              <w:spacing w:after="20"/>
            </w:pPr>
            <w:r/>
            <w:r>
              <w:rPr>
                <w:b w:val="0"/>
                <w:i w:val="0"/>
                <w:sz w:val="16"/>
              </w:rPr>
              <w:t>SA 8.1, 8.2 subject to 8.6(b)</w:t>
            </w:r>
          </w:p>
        </w:tc>
        <w:tc>
          <w:tcPr>
            <w:tcW w:type="dxa" w:w="1728"/>
          </w:tcPr>
          <w:p>
            <w:pPr>
              <w:spacing w:after="20"/>
            </w:pPr>
            <w:r/>
            <w:r>
              <w:rPr>
                <w:b w:val="0"/>
                <w:i w:val="0"/>
                <w:sz w:val="16"/>
              </w:rPr>
              <w:t>Depends on category</w:t>
            </w:r>
          </w:p>
        </w:tc>
        <w:tc>
          <w:tcPr>
            <w:tcW w:type="dxa" w:w="3744"/>
          </w:tcPr>
          <w:p>
            <w:pPr>
              <w:spacing w:after="20"/>
            </w:pPr>
            <w:r/>
            <w:r>
              <w:rPr>
                <w:b w:val="0"/>
                <w:i w:val="0"/>
                <w:sz w:val="16"/>
              </w:rPr>
              <w:t>SA 8.6(b) excludes Losses from "activities at any site other than the Site"; Northshore could argue off-site migration areas or Bay sediments are "other sites". Clarify that migration from the Site is covered</w:t>
            </w:r>
          </w:p>
        </w:tc>
      </w:tr>
      <w:tr>
        <w:tc>
          <w:tcPr>
            <w:tcW w:type="dxa" w:w="2016"/>
          </w:tcPr>
          <w:p>
            <w:pPr>
              <w:spacing w:after="20"/>
            </w:pPr>
            <w:r/>
            <w:r>
              <w:rPr>
                <w:b w:val="0"/>
                <w:i w:val="0"/>
                <w:sz w:val="16"/>
              </w:rPr>
              <w:t>Pre-Existing Claims (TNA, SSC, Marina)</w:t>
            </w:r>
          </w:p>
        </w:tc>
        <w:tc>
          <w:tcPr>
            <w:tcW w:type="dxa" w:w="1872"/>
          </w:tcPr>
          <w:p>
            <w:pPr>
              <w:spacing w:after="20"/>
            </w:pPr>
            <w:r/>
            <w:r>
              <w:rPr>
                <w:b w:val="0"/>
                <w:i w:val="0"/>
                <w:sz w:val="16"/>
              </w:rPr>
              <w:t>Side Letter 2</w:t>
            </w:r>
          </w:p>
        </w:tc>
        <w:tc>
          <w:tcPr>
            <w:tcW w:type="dxa" w:w="1728"/>
          </w:tcPr>
          <w:p>
            <w:pPr>
              <w:spacing w:after="20"/>
            </w:pPr>
            <w:r/>
            <w:r>
              <w:rPr>
                <w:b w:val="0"/>
                <w:i w:val="0"/>
                <w:sz w:val="16"/>
              </w:rPr>
              <w:t>35/65; 50/50; 100% Cascadia</w:t>
            </w:r>
          </w:p>
        </w:tc>
        <w:tc>
          <w:tcPr>
            <w:tcW w:type="dxa" w:w="3744"/>
          </w:tcPr>
          <w:p>
            <w:pPr>
              <w:spacing w:after="20"/>
            </w:pPr>
            <w:r/>
            <w:r>
              <w:rPr>
                <w:b w:val="0"/>
                <w:i w:val="0"/>
                <w:sz w:val="16"/>
              </w:rPr>
              <w:t>Interaction with SA 8.1/8.2 unclear ("independent and in addition" vs. SL controls on conflict); Northshore caps absolute even if judgments exceed claims; Marina uncapped</w:t>
            </w:r>
          </w:p>
        </w:tc>
      </w:tr>
      <w:tr>
        <w:tc>
          <w:tcPr>
            <w:tcW w:type="dxa" w:w="2016"/>
          </w:tcPr>
          <w:p>
            <w:pPr>
              <w:spacing w:after="20"/>
            </w:pPr>
            <w:r/>
            <w:r>
              <w:rPr>
                <w:b w:val="0"/>
                <w:i w:val="0"/>
                <w:sz w:val="16"/>
              </w:rPr>
              <w:t>Punitive / multiplied damages; indemnitee gross negligence</w:t>
            </w:r>
          </w:p>
        </w:tc>
        <w:tc>
          <w:tcPr>
            <w:tcW w:type="dxa" w:w="1872"/>
          </w:tcPr>
          <w:p>
            <w:pPr>
              <w:spacing w:after="20"/>
            </w:pPr>
            <w:r/>
            <w:r>
              <w:rPr>
                <w:b w:val="0"/>
                <w:i w:val="0"/>
                <w:sz w:val="16"/>
              </w:rPr>
              <w:t>Excluded from 8.1/8.2 only (SA 8.6)</w:t>
            </w:r>
          </w:p>
        </w:tc>
        <w:tc>
          <w:tcPr>
            <w:tcW w:type="dxa" w:w="1728"/>
          </w:tcPr>
          <w:p>
            <w:pPr>
              <w:spacing w:after="20"/>
            </w:pPr>
            <w:r/>
            <w:r>
              <w:rPr>
                <w:b w:val="0"/>
                <w:i w:val="0"/>
                <w:sz w:val="16"/>
              </w:rPr>
              <w:t>Each party bears its own under 8.1/8.2</w:t>
            </w:r>
          </w:p>
        </w:tc>
        <w:tc>
          <w:tcPr>
            <w:tcW w:type="dxa" w:w="3744"/>
          </w:tcPr>
          <w:p>
            <w:pPr>
              <w:spacing w:after="20"/>
            </w:pPr>
            <w:r/>
            <w:r>
              <w:rPr>
                <w:b w:val="0"/>
                <w:i w:val="0"/>
                <w:sz w:val="16"/>
              </w:rPr>
              <w:t>Not excluded from 8.3 (Cascadia via guarantee could indemnify Northshore's punitive damages or gross negligence), 8.4 or 8.5; public-policy limits may apply</w:t>
            </w:r>
          </w:p>
        </w:tc>
      </w:tr>
      <w:tr>
        <w:tc>
          <w:tcPr>
            <w:tcW w:type="dxa" w:w="2016"/>
          </w:tcPr>
          <w:p>
            <w:pPr>
              <w:spacing w:after="20"/>
            </w:pPr>
            <w:r/>
            <w:r>
              <w:rPr>
                <w:b w:val="0"/>
                <w:i w:val="0"/>
                <w:sz w:val="16"/>
              </w:rPr>
              <w:t>Undisclosed pre-acquisition conditions</w:t>
            </w:r>
          </w:p>
        </w:tc>
        <w:tc>
          <w:tcPr>
            <w:tcW w:type="dxa" w:w="1872"/>
          </w:tcPr>
          <w:p>
            <w:pPr>
              <w:spacing w:after="20"/>
            </w:pPr>
            <w:r/>
            <w:r>
              <w:rPr>
                <w:b w:val="0"/>
                <w:i w:val="0"/>
                <w:sz w:val="16"/>
              </w:rPr>
              <w:t>SA 8.3 / 8.3(d)</w:t>
            </w:r>
          </w:p>
        </w:tc>
        <w:tc>
          <w:tcPr>
            <w:tcW w:type="dxa" w:w="1728"/>
          </w:tcPr>
          <w:p>
            <w:pPr>
              <w:spacing w:after="20"/>
            </w:pPr>
            <w:r/>
            <w:r>
              <w:rPr>
                <w:b w:val="0"/>
                <w:i w:val="0"/>
                <w:sz w:val="16"/>
              </w:rPr>
              <w:t>Puget, guaranteed by Cascadia</w:t>
            </w:r>
          </w:p>
        </w:tc>
        <w:tc>
          <w:tcPr>
            <w:tcW w:type="dxa" w:w="3744"/>
          </w:tcPr>
          <w:p>
            <w:pPr>
              <w:spacing w:after="20"/>
            </w:pPr>
            <w:r/>
            <w:r>
              <w:rPr>
                <w:b w:val="0"/>
                <w:i w:val="0"/>
                <w:sz w:val="16"/>
              </w:rPr>
              <w:t>Circular for Cascadia; "not disclosed to Cascadia" puts Cascadia's own acquisition-diligence file at issue; Northshore will seek discovery of the 2016 disclosures</w:t>
            </w:r>
          </w:p>
        </w:tc>
      </w:tr>
      <w:tr>
        <w:tc>
          <w:tcPr>
            <w:tcW w:type="dxa" w:w="2016"/>
          </w:tcPr>
          <w:p>
            <w:pPr>
              <w:spacing w:after="20"/>
            </w:pPr>
            <w:r/>
            <w:r>
              <w:rPr>
                <w:b w:val="0"/>
                <w:i w:val="0"/>
                <w:sz w:val="16"/>
              </w:rPr>
              <w:t>Newly discovered contaminants / unknown conditions</w:t>
            </w:r>
          </w:p>
        </w:tc>
        <w:tc>
          <w:tcPr>
            <w:tcW w:type="dxa" w:w="1872"/>
          </w:tcPr>
          <w:p>
            <w:pPr>
              <w:spacing w:after="20"/>
            </w:pPr>
            <w:r/>
            <w:r>
              <w:rPr>
                <w:b w:val="0"/>
                <w:i w:val="0"/>
                <w:sz w:val="16"/>
              </w:rPr>
              <w:t>SA 7.3(b) reopener -&gt; 8.4; 5.6</w:t>
            </w:r>
          </w:p>
        </w:tc>
        <w:tc>
          <w:tcPr>
            <w:tcW w:type="dxa" w:w="1728"/>
          </w:tcPr>
          <w:p>
            <w:pPr>
              <w:spacing w:after="20"/>
            </w:pPr>
            <w:r/>
            <w:r>
              <w:rPr>
                <w:b w:val="0"/>
                <w:i w:val="0"/>
                <w:sz w:val="16"/>
              </w:rPr>
              <w:t>62/28/10</w:t>
            </w:r>
          </w:p>
        </w:tc>
        <w:tc>
          <w:tcPr>
            <w:tcW w:type="dxa" w:w="3744"/>
          </w:tcPr>
          <w:p>
            <w:pPr>
              <w:spacing w:after="20"/>
            </w:pPr>
            <w:r/>
            <w:r>
              <w:rPr>
                <w:b w:val="0"/>
                <w:i w:val="0"/>
                <w:sz w:val="16"/>
              </w:rPr>
              <w:t>Whether new-contaminant costs are "remediation costs" under 5.6 or 8.4 claims (with different survival) is unclear</w:t>
            </w:r>
          </w:p>
        </w:tc>
      </w:tr>
      <w:tr>
        <w:tc>
          <w:tcPr>
            <w:tcW w:type="dxa" w:w="2016"/>
          </w:tcPr>
          <w:p>
            <w:pPr>
              <w:spacing w:after="20"/>
            </w:pPr>
            <w:r/>
            <w:r>
              <w:rPr>
                <w:b w:val="0"/>
                <w:i w:val="0"/>
                <w:sz w:val="16"/>
              </w:rPr>
              <w:t>Direct (first-party) losses between Settling Parties</w:t>
            </w:r>
          </w:p>
        </w:tc>
        <w:tc>
          <w:tcPr>
            <w:tcW w:type="dxa" w:w="1872"/>
          </w:tcPr>
          <w:p>
            <w:pPr>
              <w:spacing w:after="20"/>
            </w:pPr>
            <w:r/>
            <w:r>
              <w:rPr>
                <w:b w:val="0"/>
                <w:i w:val="0"/>
                <w:sz w:val="16"/>
              </w:rPr>
              <w:t>SA 8.1-8.5 ("any and all Losses")</w:t>
            </w:r>
          </w:p>
        </w:tc>
        <w:tc>
          <w:tcPr>
            <w:tcW w:type="dxa" w:w="1728"/>
          </w:tcPr>
          <w:p>
            <w:pPr>
              <w:spacing w:after="20"/>
            </w:pPr>
            <w:r/>
            <w:r>
              <w:rPr>
                <w:b w:val="0"/>
                <w:i w:val="0"/>
                <w:sz w:val="16"/>
              </w:rPr>
              <w:t>--</w:t>
            </w:r>
          </w:p>
        </w:tc>
        <w:tc>
          <w:tcPr>
            <w:tcW w:type="dxa" w:w="3744"/>
          </w:tcPr>
          <w:p>
            <w:pPr>
              <w:spacing w:after="20"/>
            </w:pPr>
            <w:r/>
            <w:r>
              <w:rPr>
                <w:b w:val="0"/>
                <w:i w:val="0"/>
                <w:sz w:val="16"/>
              </w:rPr>
              <w:t>SA 8.6(d) excludes Losses "arising from claims asserted by any Settling Party against another"; read literally this could swallow direct-loss recovery under 8.1/8.2; Exh. D provides procedures only for Third-Party Claims</w:t>
            </w:r>
          </w:p>
        </w:tc>
      </w:tr>
    </w:tbl>
    <w:p>
      <w:pPr>
        <w:spacing w:after="40"/>
      </w:pPr>
    </w:p>
    <w:p>
      <w:pPr>
        <w:pStyle w:val="Heading1"/>
      </w:pPr>
      <w:r>
        <w:t>VI. Deviations from the 62/28/10 Allocation and Structural Asymmetries</w:t>
      </w:r>
    </w:p>
    <w:p>
      <w:pPr>
        <w:spacing w:after="80"/>
      </w:pPr>
      <w:r>
        <w:rPr>
          <w:b w:val="0"/>
          <w:i w:val="0"/>
        </w:rPr>
        <w:t>We do not have the term sheet. The following items depart from the 62/28/10 cost-share framework, or are asymmetric or unusual on their face, and should be compared against the term sheet when it is available.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576"/>
            <w:shd w:val="clear" w:color="auto" w:fill="1F3A5F"/>
          </w:tcPr>
          <w:p>
            <w:r/>
            <w:r>
              <w:rPr>
                <w:b/>
                <w:color w:val="FFFFFF"/>
                <w:sz w:val="16"/>
              </w:rPr>
              <w:t>#</w:t>
            </w:r>
          </w:p>
        </w:tc>
        <w:tc>
          <w:tcPr>
            <w:tcW w:type="dxa" w:w="1584"/>
            <w:shd w:val="clear" w:color="auto" w:fill="1F3A5F"/>
          </w:tcPr>
          <w:p>
            <w:r/>
            <w:r>
              <w:rPr>
                <w:b/>
                <w:color w:val="FFFFFF"/>
                <w:sz w:val="16"/>
              </w:rPr>
              <w:t>Item</w:t>
            </w:r>
          </w:p>
        </w:tc>
        <w:tc>
          <w:tcPr>
            <w:tcW w:type="dxa" w:w="2304"/>
            <w:shd w:val="clear" w:color="auto" w:fill="1F3A5F"/>
          </w:tcPr>
          <w:p>
            <w:r/>
            <w:r>
              <w:rPr>
                <w:b/>
                <w:color w:val="FFFFFF"/>
                <w:sz w:val="16"/>
              </w:rPr>
              <w:t>Terms</w:t>
            </w:r>
          </w:p>
        </w:tc>
        <w:tc>
          <w:tcPr>
            <w:tcW w:type="dxa" w:w="3168"/>
            <w:shd w:val="clear" w:color="auto" w:fill="1F3A5F"/>
          </w:tcPr>
          <w:p>
            <w:r/>
            <w:r>
              <w:rPr>
                <w:b/>
                <w:color w:val="FFFFFF"/>
                <w:sz w:val="16"/>
              </w:rPr>
              <w:t>Deviation / asymmetry</w:t>
            </w:r>
          </w:p>
        </w:tc>
        <w:tc>
          <w:tcPr>
            <w:tcW w:type="dxa" w:w="1728"/>
            <w:shd w:val="clear" w:color="auto" w:fill="1F3A5F"/>
          </w:tcPr>
          <w:p>
            <w:r/>
            <w:r>
              <w:rPr>
                <w:b/>
                <w:color w:val="FFFFFF"/>
                <w:sz w:val="16"/>
              </w:rPr>
              <w:t>Net effect on Cascadia</w:t>
            </w:r>
          </w:p>
        </w:tc>
      </w:tr>
      <w:tr>
        <w:tc>
          <w:tcPr>
            <w:tcW w:type="dxa" w:w="576"/>
          </w:tcPr>
          <w:p>
            <w:pPr>
              <w:spacing w:after="20"/>
            </w:pPr>
            <w:r/>
            <w:r>
              <w:rPr>
                <w:b w:val="0"/>
                <w:i w:val="0"/>
                <w:sz w:val="16"/>
              </w:rPr>
              <w:t>D-1</w:t>
            </w:r>
          </w:p>
        </w:tc>
        <w:tc>
          <w:tcPr>
            <w:tcW w:type="dxa" w:w="1584"/>
          </w:tcPr>
          <w:p>
            <w:pPr>
              <w:spacing w:after="20"/>
            </w:pPr>
            <w:r/>
            <w:r>
              <w:rPr>
                <w:b w:val="0"/>
                <w:i w:val="0"/>
                <w:sz w:val="16"/>
              </w:rPr>
              <w:t>Indemnity caps</w:t>
            </w:r>
          </w:p>
        </w:tc>
        <w:tc>
          <w:tcPr>
            <w:tcW w:type="dxa" w:w="2304"/>
          </w:tcPr>
          <w:p>
            <w:pPr>
              <w:spacing w:after="20"/>
            </w:pPr>
            <w:r/>
            <w:r>
              <w:rPr>
                <w:b w:val="0"/>
                <w:i w:val="0"/>
                <w:sz w:val="16"/>
              </w:rPr>
              <w:t>8.1 Cascadia cap $10,000,000 vs. 8.2 Northshore cap $7,952,000</w:t>
            </w:r>
          </w:p>
        </w:tc>
        <w:tc>
          <w:tcPr>
            <w:tcW w:type="dxa" w:w="3168"/>
          </w:tcPr>
          <w:p>
            <w:pPr>
              <w:spacing w:after="20"/>
            </w:pPr>
            <w:r/>
            <w:r>
              <w:rPr>
                <w:b w:val="0"/>
                <w:i w:val="0"/>
                <w:sz w:val="16"/>
              </w:rPr>
              <w:t>Cascadia's cap is ~26% higher; Northshore's cap is tied to its cost share, Cascadia's is not tied to any metric</w:t>
            </w:r>
          </w:p>
        </w:tc>
        <w:tc>
          <w:tcPr>
            <w:tcW w:type="dxa" w:w="1728"/>
          </w:tcPr>
          <w:p>
            <w:pPr>
              <w:spacing w:after="20"/>
            </w:pPr>
            <w:r/>
            <w:r>
              <w:rPr>
                <w:b w:val="0"/>
                <w:i w:val="0"/>
                <w:sz w:val="16"/>
              </w:rPr>
              <w:t>Unfavorable</w:t>
            </w:r>
          </w:p>
        </w:tc>
      </w:tr>
      <w:tr>
        <w:tc>
          <w:tcPr>
            <w:tcW w:type="dxa" w:w="576"/>
          </w:tcPr>
          <w:p>
            <w:pPr>
              <w:spacing w:after="20"/>
            </w:pPr>
            <w:r/>
            <w:r>
              <w:rPr>
                <w:b w:val="0"/>
                <w:i w:val="0"/>
                <w:sz w:val="16"/>
              </w:rPr>
              <w:t>D-2</w:t>
            </w:r>
          </w:p>
        </w:tc>
        <w:tc>
          <w:tcPr>
            <w:tcW w:type="dxa" w:w="1584"/>
          </w:tcPr>
          <w:p>
            <w:pPr>
              <w:spacing w:after="20"/>
            </w:pPr>
            <w:r/>
            <w:r>
              <w:rPr>
                <w:b w:val="0"/>
                <w:i w:val="0"/>
                <w:sz w:val="16"/>
              </w:rPr>
              <w:t>Basket type</w:t>
            </w:r>
          </w:p>
        </w:tc>
        <w:tc>
          <w:tcPr>
            <w:tcW w:type="dxa" w:w="2304"/>
          </w:tcPr>
          <w:p>
            <w:pPr>
              <w:spacing w:after="20"/>
            </w:pPr>
            <w:r/>
            <w:r>
              <w:rPr>
                <w:b w:val="0"/>
                <w:i w:val="0"/>
                <w:sz w:val="16"/>
              </w:rPr>
              <w:t>8.1 $250K true deductible vs. 8.2 $150K tipping threshold (first-dollar)</w:t>
            </w:r>
          </w:p>
        </w:tc>
        <w:tc>
          <w:tcPr>
            <w:tcW w:type="dxa" w:w="3168"/>
          </w:tcPr>
          <w:p>
            <w:pPr>
              <w:spacing w:after="20"/>
            </w:pPr>
            <w:r/>
            <w:r>
              <w:rPr>
                <w:b w:val="0"/>
                <w:i w:val="0"/>
                <w:sz w:val="16"/>
              </w:rPr>
              <w:t>Different size and mechanics; SA 1.2 defines a single "Basket" concept that fits neither precisely</w:t>
            </w:r>
          </w:p>
        </w:tc>
        <w:tc>
          <w:tcPr>
            <w:tcW w:type="dxa" w:w="1728"/>
          </w:tcPr>
          <w:p>
            <w:pPr>
              <w:spacing w:after="20"/>
            </w:pPr>
            <w:r/>
            <w:r>
              <w:rPr>
                <w:b w:val="0"/>
                <w:i w:val="0"/>
                <w:sz w:val="16"/>
              </w:rPr>
              <w:t>Favorable (Cascadia owes less and recovers more)</w:t>
            </w:r>
          </w:p>
        </w:tc>
      </w:tr>
      <w:tr>
        <w:tc>
          <w:tcPr>
            <w:tcW w:type="dxa" w:w="576"/>
          </w:tcPr>
          <w:p>
            <w:pPr>
              <w:spacing w:after="20"/>
            </w:pPr>
            <w:r/>
            <w:r>
              <w:rPr>
                <w:b w:val="0"/>
                <w:i w:val="0"/>
                <w:sz w:val="16"/>
              </w:rPr>
              <w:t>D-3</w:t>
            </w:r>
          </w:p>
        </w:tc>
        <w:tc>
          <w:tcPr>
            <w:tcW w:type="dxa" w:w="1584"/>
          </w:tcPr>
          <w:p>
            <w:pPr>
              <w:spacing w:after="20"/>
            </w:pPr>
            <w:r/>
            <w:r>
              <w:rPr>
                <w:b w:val="0"/>
                <w:i w:val="0"/>
                <w:sz w:val="16"/>
              </w:rPr>
              <w:t>NRD split</w:t>
            </w:r>
          </w:p>
        </w:tc>
        <w:tc>
          <w:tcPr>
            <w:tcW w:type="dxa" w:w="2304"/>
          </w:tcPr>
          <w:p>
            <w:pPr>
              <w:spacing w:after="20"/>
            </w:pPr>
            <w:r/>
            <w:r>
              <w:rPr>
                <w:b w:val="0"/>
                <w:i w:val="0"/>
                <w:sz w:val="16"/>
              </w:rPr>
              <w:t>60/40 with Northshore capped at $5M; Puget 0%</w:t>
            </w:r>
          </w:p>
        </w:tc>
        <w:tc>
          <w:tcPr>
            <w:tcW w:type="dxa" w:w="3168"/>
          </w:tcPr>
          <w:p>
            <w:pPr>
              <w:spacing w:after="20"/>
            </w:pPr>
            <w:r/>
            <w:r>
              <w:rPr>
                <w:b w:val="0"/>
                <w:i w:val="0"/>
                <w:sz w:val="16"/>
              </w:rPr>
              <w:t>Departs from 62/28/10; Puget's 10% absorbed; Cascadia 100% above $12.5M</w:t>
            </w:r>
          </w:p>
        </w:tc>
        <w:tc>
          <w:tcPr>
            <w:tcW w:type="dxa" w:w="1728"/>
          </w:tcPr>
          <w:p>
            <w:pPr>
              <w:spacing w:after="20"/>
            </w:pPr>
            <w:r/>
            <w:r>
              <w:rPr>
                <w:b w:val="0"/>
                <w:i w:val="0"/>
                <w:sz w:val="16"/>
              </w:rPr>
              <w:t>Favorable up to $12.5M; unfavorable above</w:t>
            </w:r>
          </w:p>
        </w:tc>
      </w:tr>
      <w:tr>
        <w:tc>
          <w:tcPr>
            <w:tcW w:type="dxa" w:w="576"/>
          </w:tcPr>
          <w:p>
            <w:pPr>
              <w:spacing w:after="20"/>
            </w:pPr>
            <w:r/>
            <w:r>
              <w:rPr>
                <w:b w:val="0"/>
                <w:i w:val="0"/>
                <w:sz w:val="16"/>
              </w:rPr>
              <w:t>D-4</w:t>
            </w:r>
          </w:p>
        </w:tc>
        <w:tc>
          <w:tcPr>
            <w:tcW w:type="dxa" w:w="1584"/>
          </w:tcPr>
          <w:p>
            <w:pPr>
              <w:spacing w:after="20"/>
            </w:pPr>
            <w:r/>
            <w:r>
              <w:rPr>
                <w:b w:val="0"/>
                <w:i w:val="0"/>
                <w:sz w:val="16"/>
              </w:rPr>
              <w:t>Pre-Existing Claims</w:t>
            </w:r>
          </w:p>
        </w:tc>
        <w:tc>
          <w:tcPr>
            <w:tcW w:type="dxa" w:w="2304"/>
          </w:tcPr>
          <w:p>
            <w:pPr>
              <w:spacing w:after="20"/>
            </w:pPr>
            <w:r/>
            <w:r>
              <w:rPr>
                <w:b w:val="0"/>
                <w:i w:val="0"/>
                <w:sz w:val="16"/>
              </w:rPr>
              <w:t>TNA 35/65 (cap $805K); SSC 50/50 (cap $900K); Marina 100% Cascadia (no cap)</w:t>
            </w:r>
          </w:p>
        </w:tc>
        <w:tc>
          <w:tcPr>
            <w:tcW w:type="dxa" w:w="3168"/>
          </w:tcPr>
          <w:p>
            <w:pPr>
              <w:spacing w:after="20"/>
            </w:pPr>
            <w:r/>
            <w:r>
              <w:rPr>
                <w:b w:val="0"/>
                <w:i w:val="0"/>
                <w:sz w:val="16"/>
              </w:rPr>
              <w:t>Northshore shares (35%, 50%) exceed 28% but are hard-capped; Marina 100% to Cascadia, including Puget's share</w:t>
            </w:r>
          </w:p>
        </w:tc>
        <w:tc>
          <w:tcPr>
            <w:tcW w:type="dxa" w:w="1728"/>
          </w:tcPr>
          <w:p>
            <w:pPr>
              <w:spacing w:after="20"/>
            </w:pPr>
            <w:r/>
            <w:r>
              <w:rPr>
                <w:b w:val="0"/>
                <w:i w:val="0"/>
                <w:sz w:val="16"/>
              </w:rPr>
              <w:t>Mixed; uncapped Marina indemnity is the key exposure</w:t>
            </w:r>
          </w:p>
        </w:tc>
      </w:tr>
      <w:tr>
        <w:tc>
          <w:tcPr>
            <w:tcW w:type="dxa" w:w="576"/>
          </w:tcPr>
          <w:p>
            <w:pPr>
              <w:spacing w:after="20"/>
            </w:pPr>
            <w:r/>
            <w:r>
              <w:rPr>
                <w:b w:val="0"/>
                <w:i w:val="0"/>
                <w:sz w:val="16"/>
              </w:rPr>
              <w:t>D-5</w:t>
            </w:r>
          </w:p>
        </w:tc>
        <w:tc>
          <w:tcPr>
            <w:tcW w:type="dxa" w:w="1584"/>
          </w:tcPr>
          <w:p>
            <w:pPr>
              <w:spacing w:after="20"/>
            </w:pPr>
            <w:r/>
            <w:r>
              <w:rPr>
                <w:b w:val="0"/>
                <w:i w:val="0"/>
                <w:sz w:val="16"/>
              </w:rPr>
              <w:t>Puget 8.3</w:t>
            </w:r>
          </w:p>
        </w:tc>
        <w:tc>
          <w:tcPr>
            <w:tcW w:type="dxa" w:w="2304"/>
          </w:tcPr>
          <w:p>
            <w:pPr>
              <w:spacing w:after="20"/>
            </w:pPr>
            <w:r/>
            <w:r>
              <w:rPr>
                <w:b w:val="0"/>
                <w:i w:val="0"/>
                <w:sz w:val="16"/>
              </w:rPr>
              <w:t>No cap, no basket, indefinite, no exclusions</w:t>
            </w:r>
          </w:p>
        </w:tc>
        <w:tc>
          <w:tcPr>
            <w:tcW w:type="dxa" w:w="3168"/>
          </w:tcPr>
          <w:p>
            <w:pPr>
              <w:spacing w:after="20"/>
            </w:pPr>
            <w:r/>
            <w:r>
              <w:rPr>
                <w:b w:val="0"/>
                <w:i w:val="0"/>
                <w:sz w:val="16"/>
              </w:rPr>
              <w:t>Most onerous indemnity in the suite, guaranteed by Cascadia</w:t>
            </w:r>
          </w:p>
        </w:tc>
        <w:tc>
          <w:tcPr>
            <w:tcW w:type="dxa" w:w="1728"/>
          </w:tcPr>
          <w:p>
            <w:pPr>
              <w:spacing w:after="20"/>
            </w:pPr>
            <w:r/>
            <w:r>
              <w:rPr>
                <w:b w:val="0"/>
                <w:i w:val="0"/>
                <w:sz w:val="16"/>
              </w:rPr>
              <w:t>Unfavorable</w:t>
            </w:r>
          </w:p>
        </w:tc>
      </w:tr>
      <w:tr>
        <w:tc>
          <w:tcPr>
            <w:tcW w:type="dxa" w:w="576"/>
          </w:tcPr>
          <w:p>
            <w:pPr>
              <w:spacing w:after="20"/>
            </w:pPr>
            <w:r/>
            <w:r>
              <w:rPr>
                <w:b w:val="0"/>
                <w:i w:val="0"/>
                <w:sz w:val="16"/>
              </w:rPr>
              <w:t>D-6</w:t>
            </w:r>
          </w:p>
        </w:tc>
        <w:tc>
          <w:tcPr>
            <w:tcW w:type="dxa" w:w="1584"/>
          </w:tcPr>
          <w:p>
            <w:pPr>
              <w:spacing w:after="20"/>
            </w:pPr>
            <w:r/>
            <w:r>
              <w:rPr>
                <w:b w:val="0"/>
                <w:i w:val="0"/>
                <w:sz w:val="16"/>
              </w:rPr>
              <w:t>Government Cost Recovery</w:t>
            </w:r>
          </w:p>
        </w:tc>
        <w:tc>
          <w:tcPr>
            <w:tcW w:type="dxa" w:w="2304"/>
          </w:tcPr>
          <w:p>
            <w:pPr>
              <w:spacing w:after="20"/>
            </w:pPr>
            <w:r/>
            <w:r>
              <w:rPr>
                <w:b w:val="0"/>
                <w:i w:val="0"/>
                <w:sz w:val="16"/>
              </w:rPr>
              <w:t>62/28/10, no cap, no basket, 20 years</w:t>
            </w:r>
          </w:p>
        </w:tc>
        <w:tc>
          <w:tcPr>
            <w:tcW w:type="dxa" w:w="3168"/>
          </w:tcPr>
          <w:p>
            <w:pPr>
              <w:spacing w:after="20"/>
            </w:pPr>
            <w:r/>
            <w:r>
              <w:rPr>
                <w:b w:val="0"/>
                <w:i w:val="0"/>
                <w:sz w:val="16"/>
              </w:rPr>
              <w:t>Tracks cost shares, but survival (20 years) differs from 8.1/8.2 (12 years) and 8.3 (indefinite)</w:t>
            </w:r>
          </w:p>
        </w:tc>
        <w:tc>
          <w:tcPr>
            <w:tcW w:type="dxa" w:w="1728"/>
          </w:tcPr>
          <w:p>
            <w:pPr>
              <w:spacing w:after="20"/>
            </w:pPr>
            <w:r/>
            <w:r>
              <w:rPr>
                <w:b w:val="0"/>
                <w:i w:val="0"/>
                <w:sz w:val="16"/>
              </w:rPr>
              <w:t>Neutral on allocation; unfavorable via Puget share</w:t>
            </w:r>
          </w:p>
        </w:tc>
      </w:tr>
      <w:tr>
        <w:tc>
          <w:tcPr>
            <w:tcW w:type="dxa" w:w="576"/>
          </w:tcPr>
          <w:p>
            <w:pPr>
              <w:spacing w:after="20"/>
            </w:pPr>
            <w:r/>
            <w:r>
              <w:rPr>
                <w:b w:val="0"/>
                <w:i w:val="0"/>
                <w:sz w:val="16"/>
              </w:rPr>
              <w:t>D-7</w:t>
            </w:r>
          </w:p>
        </w:tc>
        <w:tc>
          <w:tcPr>
            <w:tcW w:type="dxa" w:w="1584"/>
          </w:tcPr>
          <w:p>
            <w:pPr>
              <w:spacing w:after="20"/>
            </w:pPr>
            <w:r/>
            <w:r>
              <w:rPr>
                <w:b w:val="0"/>
                <w:i w:val="0"/>
                <w:sz w:val="16"/>
              </w:rPr>
              <w:t>Exclusions</w:t>
            </w:r>
          </w:p>
        </w:tc>
        <w:tc>
          <w:tcPr>
            <w:tcW w:type="dxa" w:w="2304"/>
          </w:tcPr>
          <w:p>
            <w:pPr>
              <w:spacing w:after="20"/>
            </w:pPr>
            <w:r/>
            <w:r>
              <w:rPr>
                <w:b w:val="0"/>
                <w:i w:val="0"/>
                <w:sz w:val="16"/>
              </w:rPr>
              <w:t>SA 8.6 applies only to 8.1 and 8.2</w:t>
            </w:r>
          </w:p>
        </w:tc>
        <w:tc>
          <w:tcPr>
            <w:tcW w:type="dxa" w:w="3168"/>
          </w:tcPr>
          <w:p>
            <w:pPr>
              <w:spacing w:after="20"/>
            </w:pPr>
            <w:r/>
            <w:r>
              <w:rPr>
                <w:b w:val="0"/>
                <w:i w:val="0"/>
                <w:sz w:val="16"/>
              </w:rPr>
              <w:t>Gross negligence, punitive damages and off-site limits do not protect indemnitors under 8.3, 8.4, 8.5</w:t>
            </w:r>
          </w:p>
        </w:tc>
        <w:tc>
          <w:tcPr>
            <w:tcW w:type="dxa" w:w="1728"/>
          </w:tcPr>
          <w:p>
            <w:pPr>
              <w:spacing w:after="20"/>
            </w:pPr>
            <w:r/>
            <w:r>
              <w:rPr>
                <w:b w:val="0"/>
                <w:i w:val="0"/>
                <w:sz w:val="16"/>
              </w:rPr>
              <w:t>Unfavorable (Cascadia is the economic indemnitor under 8.3)</w:t>
            </w:r>
          </w:p>
        </w:tc>
      </w:tr>
      <w:tr>
        <w:tc>
          <w:tcPr>
            <w:tcW w:type="dxa" w:w="576"/>
          </w:tcPr>
          <w:p>
            <w:pPr>
              <w:spacing w:after="20"/>
            </w:pPr>
            <w:r/>
            <w:r>
              <w:rPr>
                <w:b w:val="0"/>
                <w:i w:val="0"/>
                <w:sz w:val="16"/>
              </w:rPr>
              <w:t>D-8</w:t>
            </w:r>
          </w:p>
        </w:tc>
        <w:tc>
          <w:tcPr>
            <w:tcW w:type="dxa" w:w="1584"/>
          </w:tcPr>
          <w:p>
            <w:pPr>
              <w:spacing w:after="20"/>
            </w:pPr>
            <w:r/>
            <w:r>
              <w:rPr>
                <w:b w:val="0"/>
                <w:i w:val="0"/>
                <w:sz w:val="16"/>
              </w:rPr>
              <w:t>Insurance-first rule</w:t>
            </w:r>
          </w:p>
        </w:tc>
        <w:tc>
          <w:tcPr>
            <w:tcW w:type="dxa" w:w="2304"/>
          </w:tcPr>
          <w:p>
            <w:pPr>
              <w:spacing w:after="20"/>
            </w:pPr>
            <w:r/>
            <w:r>
              <w:rPr>
                <w:b w:val="0"/>
                <w:i w:val="0"/>
                <w:sz w:val="16"/>
              </w:rPr>
              <w:t>SA 8.7(b); Exh. D 5</w:t>
            </w:r>
          </w:p>
        </w:tc>
        <w:tc>
          <w:tcPr>
            <w:tcW w:type="dxa" w:w="3168"/>
          </w:tcPr>
          <w:p>
            <w:pPr>
              <w:spacing w:after="20"/>
            </w:pPr>
            <w:r/>
            <w:r>
              <w:rPr>
                <w:b w:val="0"/>
                <w:i w:val="0"/>
                <w:sz w:val="16"/>
              </w:rPr>
              <w:t>Only Cascadia has an identified policy (PLL); Northshore's insurance is not described</w:t>
            </w:r>
          </w:p>
        </w:tc>
        <w:tc>
          <w:tcPr>
            <w:tcW w:type="dxa" w:w="1728"/>
          </w:tcPr>
          <w:p>
            <w:pPr>
              <w:spacing w:after="20"/>
            </w:pPr>
            <w:r/>
            <w:r>
              <w:rPr>
                <w:b w:val="0"/>
                <w:i w:val="0"/>
                <w:sz w:val="16"/>
              </w:rPr>
              <w:t>Unfavorable when Cascadia is indemnitee</w:t>
            </w:r>
          </w:p>
        </w:tc>
      </w:tr>
      <w:tr>
        <w:tc>
          <w:tcPr>
            <w:tcW w:type="dxa" w:w="576"/>
          </w:tcPr>
          <w:p>
            <w:pPr>
              <w:spacing w:after="20"/>
            </w:pPr>
            <w:r/>
            <w:r>
              <w:rPr>
                <w:b w:val="0"/>
                <w:i w:val="0"/>
                <w:sz w:val="16"/>
              </w:rPr>
              <w:t>D-9</w:t>
            </w:r>
          </w:p>
        </w:tc>
        <w:tc>
          <w:tcPr>
            <w:tcW w:type="dxa" w:w="1584"/>
          </w:tcPr>
          <w:p>
            <w:pPr>
              <w:spacing w:after="20"/>
            </w:pPr>
            <w:r/>
            <w:r>
              <w:rPr>
                <w:b w:val="0"/>
                <w:i w:val="0"/>
                <w:sz w:val="16"/>
              </w:rPr>
              <w:t>Security</w:t>
            </w:r>
          </w:p>
        </w:tc>
        <w:tc>
          <w:tcPr>
            <w:tcW w:type="dxa" w:w="2304"/>
          </w:tcPr>
          <w:p>
            <w:pPr>
              <w:spacing w:after="20"/>
            </w:pPr>
            <w:r/>
            <w:r>
              <w:rPr>
                <w:b w:val="0"/>
                <w:i w:val="0"/>
                <w:sz w:val="16"/>
              </w:rPr>
              <w:t>Northshore cost share escrowed; Cascadia posts $5M bond</w:t>
            </w:r>
          </w:p>
        </w:tc>
        <w:tc>
          <w:tcPr>
            <w:tcW w:type="dxa" w:w="3168"/>
          </w:tcPr>
          <w:p>
            <w:pPr>
              <w:spacing w:after="20"/>
            </w:pPr>
            <w:r/>
            <w:r>
              <w:rPr>
                <w:b w:val="0"/>
                <w:i w:val="0"/>
                <w:sz w:val="16"/>
              </w:rPr>
              <w:t>Neither party's indemnity is secured; Northshore is privately held and Puget is a shell</w:t>
            </w:r>
          </w:p>
        </w:tc>
        <w:tc>
          <w:tcPr>
            <w:tcW w:type="dxa" w:w="1728"/>
          </w:tcPr>
          <w:p>
            <w:pPr>
              <w:spacing w:after="20"/>
            </w:pPr>
            <w:r/>
            <w:r>
              <w:rPr>
                <w:b w:val="0"/>
                <w:i w:val="0"/>
                <w:sz w:val="16"/>
              </w:rPr>
              <w:t>Unfavorable (credit risk on Northshore indemnities)</w:t>
            </w:r>
          </w:p>
        </w:tc>
      </w:tr>
      <w:tr>
        <w:tc>
          <w:tcPr>
            <w:tcW w:type="dxa" w:w="576"/>
          </w:tcPr>
          <w:p>
            <w:pPr>
              <w:spacing w:after="20"/>
            </w:pPr>
            <w:r/>
            <w:r>
              <w:rPr>
                <w:b w:val="0"/>
                <w:i w:val="0"/>
                <w:sz w:val="16"/>
              </w:rPr>
              <w:t>D-10</w:t>
            </w:r>
          </w:p>
        </w:tc>
        <w:tc>
          <w:tcPr>
            <w:tcW w:type="dxa" w:w="1584"/>
          </w:tcPr>
          <w:p>
            <w:pPr>
              <w:spacing w:after="20"/>
            </w:pPr>
            <w:r/>
            <w:r>
              <w:rPr>
                <w:b w:val="0"/>
                <w:i w:val="0"/>
                <w:sz w:val="16"/>
              </w:rPr>
              <w:t>Escrow agent indemnity</w:t>
            </w:r>
          </w:p>
        </w:tc>
        <w:tc>
          <w:tcPr>
            <w:tcW w:type="dxa" w:w="2304"/>
          </w:tcPr>
          <w:p>
            <w:pPr>
              <w:spacing w:after="20"/>
            </w:pPr>
            <w:r/>
            <w:r>
              <w:rPr>
                <w:b w:val="0"/>
                <w:i w:val="0"/>
                <w:sz w:val="16"/>
              </w:rPr>
              <w:t>Joint and several, uncapped; agent liability capped at fees</w:t>
            </w:r>
          </w:p>
        </w:tc>
        <w:tc>
          <w:tcPr>
            <w:tcW w:type="dxa" w:w="3168"/>
          </w:tcPr>
          <w:p>
            <w:pPr>
              <w:spacing w:after="20"/>
            </w:pPr>
            <w:r/>
            <w:r>
              <w:rPr>
                <w:b w:val="0"/>
                <w:i w:val="0"/>
                <w:sz w:val="16"/>
              </w:rPr>
              <w:t>No internal 50/50 allocation, although fees are split 50/50</w:t>
            </w:r>
          </w:p>
        </w:tc>
        <w:tc>
          <w:tcPr>
            <w:tcW w:type="dxa" w:w="1728"/>
          </w:tcPr>
          <w:p>
            <w:pPr>
              <w:spacing w:after="20"/>
            </w:pPr>
            <w:r/>
            <w:r>
              <w:rPr>
                <w:b w:val="0"/>
                <w:i w:val="0"/>
                <w:sz w:val="16"/>
              </w:rPr>
              <w:t>Unfavorable</w:t>
            </w:r>
          </w:p>
        </w:tc>
      </w:tr>
      <w:tr>
        <w:tc>
          <w:tcPr>
            <w:tcW w:type="dxa" w:w="576"/>
          </w:tcPr>
          <w:p>
            <w:pPr>
              <w:spacing w:after="20"/>
            </w:pPr>
            <w:r/>
            <w:r>
              <w:rPr>
                <w:b w:val="0"/>
                <w:i w:val="0"/>
                <w:sz w:val="16"/>
              </w:rPr>
              <w:t>D-11</w:t>
            </w:r>
          </w:p>
        </w:tc>
        <w:tc>
          <w:tcPr>
            <w:tcW w:type="dxa" w:w="1584"/>
          </w:tcPr>
          <w:p>
            <w:pPr>
              <w:spacing w:after="20"/>
            </w:pPr>
            <w:r/>
            <w:r>
              <w:rPr>
                <w:b w:val="0"/>
                <w:i w:val="0"/>
                <w:sz w:val="16"/>
              </w:rPr>
              <w:t>Survival</w:t>
            </w:r>
          </w:p>
        </w:tc>
        <w:tc>
          <w:tcPr>
            <w:tcW w:type="dxa" w:w="2304"/>
          </w:tcPr>
          <w:p>
            <w:pPr>
              <w:spacing w:after="20"/>
            </w:pPr>
            <w:r/>
            <w:r>
              <w:rPr>
                <w:b w:val="0"/>
                <w:i w:val="0"/>
                <w:sz w:val="16"/>
              </w:rPr>
              <w:t>8.1/8.2/SL 12 years; 8.4 20 years; 8.3 indefinite; 8.5 none; EA indefinite</w:t>
            </w:r>
          </w:p>
        </w:tc>
        <w:tc>
          <w:tcPr>
            <w:tcW w:type="dxa" w:w="3168"/>
          </w:tcPr>
          <w:p>
            <w:pPr>
              <w:spacing w:after="20"/>
            </w:pPr>
            <w:r/>
            <w:r>
              <w:rPr>
                <w:b w:val="0"/>
                <w:i w:val="0"/>
                <w:sz w:val="16"/>
              </w:rPr>
              <w:t>Inconsistent tails for overlapping claim types</w:t>
            </w:r>
          </w:p>
        </w:tc>
        <w:tc>
          <w:tcPr>
            <w:tcW w:type="dxa" w:w="1728"/>
          </w:tcPr>
          <w:p>
            <w:pPr>
              <w:spacing w:after="20"/>
            </w:pPr>
            <w:r/>
            <w:r>
              <w:rPr>
                <w:b w:val="0"/>
                <w:i w:val="0"/>
                <w:sz w:val="16"/>
              </w:rPr>
              <w:t>Mixed; see Part VIII</w:t>
            </w:r>
          </w:p>
        </w:tc>
      </w:tr>
      <w:tr>
        <w:tc>
          <w:tcPr>
            <w:tcW w:type="dxa" w:w="576"/>
          </w:tcPr>
          <w:p>
            <w:pPr>
              <w:spacing w:after="20"/>
            </w:pPr>
            <w:r/>
            <w:r>
              <w:rPr>
                <w:b w:val="0"/>
                <w:i w:val="0"/>
                <w:sz w:val="16"/>
              </w:rPr>
              <w:t>D-12</w:t>
            </w:r>
          </w:p>
        </w:tc>
        <w:tc>
          <w:tcPr>
            <w:tcW w:type="dxa" w:w="1584"/>
          </w:tcPr>
          <w:p>
            <w:pPr>
              <w:spacing w:after="20"/>
            </w:pPr>
            <w:r/>
            <w:r>
              <w:rPr>
                <w:b w:val="0"/>
                <w:i w:val="0"/>
                <w:sz w:val="16"/>
              </w:rPr>
              <w:t>Defense cost reimbursement</w:t>
            </w:r>
          </w:p>
        </w:tc>
        <w:tc>
          <w:tcPr>
            <w:tcW w:type="dxa" w:w="2304"/>
          </w:tcPr>
          <w:p>
            <w:pPr>
              <w:spacing w:after="20"/>
            </w:pPr>
            <w:r/>
            <w:r>
              <w:rPr>
                <w:b w:val="0"/>
                <w:i w:val="0"/>
                <w:sz w:val="16"/>
              </w:rPr>
              <w:t>Exh. D 6.1 claim only after final resolution</w:t>
            </w:r>
          </w:p>
        </w:tc>
        <w:tc>
          <w:tcPr>
            <w:tcW w:type="dxa" w:w="3168"/>
          </w:tcPr>
          <w:p>
            <w:pPr>
              <w:spacing w:after="20"/>
            </w:pPr>
            <w:r/>
            <w:r>
              <w:rPr>
                <w:b w:val="0"/>
                <w:i w:val="0"/>
                <w:sz w:val="16"/>
              </w:rPr>
              <w:t>Indemnified Party funds the defense through final judgment</w:t>
            </w:r>
          </w:p>
        </w:tc>
        <w:tc>
          <w:tcPr>
            <w:tcW w:type="dxa" w:w="1728"/>
          </w:tcPr>
          <w:p>
            <w:pPr>
              <w:spacing w:after="20"/>
            </w:pPr>
            <w:r/>
            <w:r>
              <w:rPr>
                <w:b w:val="0"/>
                <w:i w:val="0"/>
                <w:sz w:val="16"/>
              </w:rPr>
              <w:t>Unfavorable when Cascadia is indemnitee</w:t>
            </w:r>
          </w:p>
        </w:tc>
      </w:tr>
    </w:tbl>
    <w:p>
      <w:pPr>
        <w:spacing w:after="40"/>
      </w:pPr>
    </w:p>
    <w:p>
      <w:pPr>
        <w:pStyle w:val="Heading1"/>
      </w:pPr>
      <w:r>
        <w:t>VII. Insurance Interplay -- Hollcroft Point Surety Group PLL Policy No. PLL-2023-08841</w:t>
      </w:r>
    </w:p>
    <w:p>
      <w:pPr>
        <w:pStyle w:val="Heading2"/>
      </w:pPr>
      <w:r>
        <w:t>A. Sequencing as drafted</w:t>
      </w:r>
    </w:p>
    <w:p>
      <w:pPr>
        <w:pStyle w:val="ListBullet"/>
        <w:spacing w:after="40"/>
      </w:pPr>
      <w:r>
        <w:rPr>
          <w:b/>
          <w:i w:val="0"/>
        </w:rPr>
        <w:t>Step 1 -- Insurance first.</w:t>
      </w:r>
      <w:r>
        <w:rPr>
          <w:b w:val="0"/>
          <w:i w:val="0"/>
        </w:rPr>
        <w:t xml:space="preserve"> Before seeking indemnification, the Indemnified Party must use commercially reasonable efforts to pursue all applicable insurance, "including the PLL Policy" (SA 8.7(b)). Before submitting an indemnification claim under Exh. D 6 it must at a minimum: (i) file a timely proof of loss; (ii) respond to insurer information requests; and (iii) </w:t>
      </w:r>
      <w:r>
        <w:rPr>
          <w:b/>
          <w:i w:val="0"/>
        </w:rPr>
        <w:t>exhaust any internal appeals</w:t>
      </w:r>
      <w:r>
        <w:rPr>
          <w:b w:val="0"/>
          <w:i w:val="0"/>
        </w:rPr>
        <w:t xml:space="preserve"> offered by the insurer, before which the claim is not "ripe" (Exh. D 5(a), (d)). Litigation or arbitration against the insurer is not required (SA 8.7(c); Exh. D 5(d)).</w:t>
      </w:r>
    </w:p>
    <w:p>
      <w:pPr>
        <w:pStyle w:val="ListBullet"/>
        <w:spacing w:after="40"/>
      </w:pPr>
      <w:r>
        <w:rPr>
          <w:b/>
          <w:i w:val="0"/>
        </w:rPr>
        <w:t>Step 2 -- Reporting.</w:t>
      </w:r>
      <w:r>
        <w:rPr>
          <w:b w:val="0"/>
          <w:i w:val="0"/>
        </w:rPr>
        <w:t xml:space="preserve"> The Indemnified Party must promptly notify the Indemnifying Party of insurance claims (SA 8.7(b)) and report any material development (coverage position, reservation of rights, denial, offer, payment) within 15 Business Days (Exh. D 5(b)).</w:t>
      </w:r>
    </w:p>
    <w:p>
      <w:pPr>
        <w:pStyle w:val="ListBullet"/>
        <w:spacing w:after="40"/>
      </w:pPr>
      <w:r>
        <w:rPr>
          <w:b/>
          <w:i w:val="0"/>
        </w:rPr>
        <w:t>Step 3 -- Offset.</w:t>
      </w:r>
      <w:r>
        <w:rPr>
          <w:b w:val="0"/>
          <w:i w:val="0"/>
        </w:rPr>
        <w:t xml:space="preserve"> Indemnity is reduced dollar-for-dollar by proceeds actually received, net of deductibles, SIRs and recovery costs (SA 8.7(a); Exh. D 5(c)). The $500,000 SIR therefore remains within indemnifiable Losses.</w:t>
      </w:r>
    </w:p>
    <w:p>
      <w:pPr>
        <w:pStyle w:val="ListBullet"/>
        <w:spacing w:after="40"/>
      </w:pPr>
      <w:r>
        <w:rPr>
          <w:b/>
          <w:i w:val="0"/>
        </w:rPr>
        <w:t>Step 4 -- Claw-back.</w:t>
      </w:r>
      <w:r>
        <w:rPr>
          <w:b w:val="0"/>
          <w:i w:val="0"/>
        </w:rPr>
        <w:t xml:space="preserve"> Proceeds received after an indemnity payment must be remitted within 15 Business Days, up to the amount of indemnity paid (Exh. D 5(e)).</w:t>
      </w:r>
    </w:p>
    <w:p>
      <w:pPr>
        <w:pStyle w:val="ListBullet"/>
        <w:spacing w:after="40"/>
      </w:pPr>
      <w:r>
        <w:rPr>
          <w:b/>
          <w:i w:val="0"/>
        </w:rPr>
        <w:t>Step 5 -- Subrogation.</w:t>
      </w:r>
      <w:r>
        <w:rPr>
          <w:b w:val="0"/>
          <w:i w:val="0"/>
        </w:rPr>
        <w:t xml:space="preserve"> The Indemnifying Party is subrogated to the Indemnified Party's rights against third parties other than Settling Parties (Exh. D 8), but may not subrogate against the Indemnified Party's insurer except as law and the policy allow (SA 8.7(d)).</w:t>
      </w:r>
    </w:p>
    <w:p>
      <w:pPr>
        <w:pStyle w:val="ListBullet"/>
        <w:spacing w:after="40"/>
      </w:pPr>
      <w:r>
        <w:rPr>
          <w:b/>
          <w:i w:val="0"/>
        </w:rPr>
        <w:t>Side Letter variant.</w:t>
      </w:r>
      <w:r>
        <w:rPr>
          <w:b w:val="0"/>
          <w:i w:val="0"/>
        </w:rPr>
        <w:t xml:space="preserve"> For Pre-Existing Claims, PLL proceeds received by Cascadia reduce the indemnifying party's obligation dollar-for-dollar; Cascadia must use commercially reasonable efforts to recover; and failure to obtain proceeds does not reduce the indemnity (SL 8). Because Exh. D applies mutatis mutandis (SL 6), Northshore may argue that the Exh. D 5(d)(iii) exhaustion/ripeness condition also applies to SL claims.</w:t>
      </w:r>
    </w:p>
    <w:p>
      <w:pPr>
        <w:pStyle w:val="Heading2"/>
      </w:pPr>
      <w:r>
        <w:t>B. Issues for Cascadia</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576"/>
            <w:shd w:val="clear" w:color="auto" w:fill="1F3A5F"/>
          </w:tcPr>
          <w:p>
            <w:r/>
            <w:r>
              <w:rPr>
                <w:b/>
                <w:color w:val="FFFFFF"/>
                <w:sz w:val="16"/>
              </w:rPr>
              <w:t>#</w:t>
            </w:r>
          </w:p>
        </w:tc>
        <w:tc>
          <w:tcPr>
            <w:tcW w:type="dxa" w:w="2016"/>
            <w:shd w:val="clear" w:color="auto" w:fill="1F3A5F"/>
          </w:tcPr>
          <w:p>
            <w:r/>
            <w:r>
              <w:rPr>
                <w:b/>
                <w:color w:val="FFFFFF"/>
                <w:sz w:val="16"/>
              </w:rPr>
              <w:t>Issue</w:t>
            </w:r>
          </w:p>
        </w:tc>
        <w:tc>
          <w:tcPr>
            <w:tcW w:type="dxa" w:w="3600"/>
            <w:shd w:val="clear" w:color="auto" w:fill="1F3A5F"/>
          </w:tcPr>
          <w:p>
            <w:r/>
            <w:r>
              <w:rPr>
                <w:b/>
                <w:color w:val="FFFFFF"/>
                <w:sz w:val="16"/>
              </w:rPr>
              <w:t>Why it matters</w:t>
            </w:r>
          </w:p>
        </w:tc>
        <w:tc>
          <w:tcPr>
            <w:tcW w:type="dxa" w:w="3168"/>
            <w:shd w:val="clear" w:color="auto" w:fill="1F3A5F"/>
          </w:tcPr>
          <w:p>
            <w:r/>
            <w:r>
              <w:rPr>
                <w:b/>
                <w:color w:val="FFFFFF"/>
                <w:sz w:val="16"/>
              </w:rPr>
              <w:t>Recommendation</w:t>
            </w:r>
          </w:p>
        </w:tc>
      </w:tr>
      <w:tr>
        <w:tc>
          <w:tcPr>
            <w:tcW w:type="dxa" w:w="576"/>
          </w:tcPr>
          <w:p>
            <w:pPr>
              <w:spacing w:after="20"/>
            </w:pPr>
            <w:r/>
            <w:r>
              <w:rPr>
                <w:b w:val="0"/>
                <w:i w:val="0"/>
                <w:sz w:val="16"/>
              </w:rPr>
              <w:t>I-1</w:t>
            </w:r>
          </w:p>
        </w:tc>
        <w:tc>
          <w:tcPr>
            <w:tcW w:type="dxa" w:w="2016"/>
          </w:tcPr>
          <w:p>
            <w:pPr>
              <w:spacing w:after="20"/>
            </w:pPr>
            <w:r/>
            <w:r>
              <w:rPr>
                <w:b w:val="0"/>
                <w:i w:val="0"/>
                <w:sz w:val="16"/>
              </w:rPr>
              <w:t>Cascadia's policy subsidizes Northshore</w:t>
            </w:r>
          </w:p>
        </w:tc>
        <w:tc>
          <w:tcPr>
            <w:tcW w:type="dxa" w:w="3600"/>
          </w:tcPr>
          <w:p>
            <w:pPr>
              <w:spacing w:after="20"/>
            </w:pPr>
            <w:r/>
            <w:r>
              <w:rPr>
                <w:b w:val="0"/>
                <w:i w:val="0"/>
                <w:sz w:val="16"/>
              </w:rPr>
              <w:t>When Cascadia is indemnitee (8.2, 8.5, SL 2(a)-(b)), PLL recoveries reduce Northshore's obligation first, eroding the $15M aggregate that Cascadia needs for its own retained exposures (8.1, 8.3, Marina, NRD, uncovered tort)</w:t>
            </w:r>
          </w:p>
        </w:tc>
        <w:tc>
          <w:tcPr>
            <w:tcW w:type="dxa" w:w="3168"/>
          </w:tcPr>
          <w:p>
            <w:pPr>
              <w:spacing w:after="20"/>
            </w:pPr>
            <w:r/>
            <w:r>
              <w:rPr>
                <w:b w:val="0"/>
                <w:i w:val="0"/>
                <w:sz w:val="16"/>
              </w:rPr>
              <w:t>Negotiate an allocation rule: PLL proceeds apply first to Cascadia's retained share, SIR and uncovered Losses; or make the indemnity primary and insurance excess as between the parties</w:t>
            </w:r>
          </w:p>
        </w:tc>
      </w:tr>
      <w:tr>
        <w:tc>
          <w:tcPr>
            <w:tcW w:type="dxa" w:w="576"/>
          </w:tcPr>
          <w:p>
            <w:pPr>
              <w:spacing w:after="20"/>
            </w:pPr>
            <w:r/>
            <w:r>
              <w:rPr>
                <w:b w:val="0"/>
                <w:i w:val="0"/>
                <w:sz w:val="16"/>
              </w:rPr>
              <w:t>I-2</w:t>
            </w:r>
          </w:p>
        </w:tc>
        <w:tc>
          <w:tcPr>
            <w:tcW w:type="dxa" w:w="2016"/>
          </w:tcPr>
          <w:p>
            <w:pPr>
              <w:spacing w:after="20"/>
            </w:pPr>
            <w:r/>
            <w:r>
              <w:rPr>
                <w:b w:val="0"/>
                <w:i w:val="0"/>
                <w:sz w:val="16"/>
              </w:rPr>
              <w:t>Single aggregate shared across all exposures</w:t>
            </w:r>
          </w:p>
        </w:tc>
        <w:tc>
          <w:tcPr>
            <w:tcW w:type="dxa" w:w="3600"/>
          </w:tcPr>
          <w:p>
            <w:pPr>
              <w:spacing w:after="20"/>
            </w:pPr>
            <w:r/>
            <w:r>
              <w:rPr>
                <w:b w:val="0"/>
                <w:i w:val="0"/>
                <w:sz w:val="16"/>
              </w:rPr>
              <w:t>The $15M aggregate may be consumed by remediation costs (Recital O: the policy covers "certain remediation costs"), Pre-Existing Claims and new claims</w:t>
            </w:r>
          </w:p>
        </w:tc>
        <w:tc>
          <w:tcPr>
            <w:tcW w:type="dxa" w:w="3168"/>
          </w:tcPr>
          <w:p>
            <w:pPr>
              <w:spacing w:after="20"/>
            </w:pPr>
            <w:r/>
            <w:r>
              <w:rPr>
                <w:b w:val="0"/>
                <w:i w:val="0"/>
                <w:sz w:val="16"/>
              </w:rPr>
              <w:t>Obtain loss runs and a coverage allocation plan; consider additional limits</w:t>
            </w:r>
          </w:p>
        </w:tc>
      </w:tr>
      <w:tr>
        <w:tc>
          <w:tcPr>
            <w:tcW w:type="dxa" w:w="576"/>
          </w:tcPr>
          <w:p>
            <w:pPr>
              <w:spacing w:after="20"/>
            </w:pPr>
            <w:r/>
            <w:r>
              <w:rPr>
                <w:b w:val="0"/>
                <w:i w:val="0"/>
                <w:sz w:val="16"/>
              </w:rPr>
              <w:t>I-3</w:t>
            </w:r>
          </w:p>
        </w:tc>
        <w:tc>
          <w:tcPr>
            <w:tcW w:type="dxa" w:w="2016"/>
          </w:tcPr>
          <w:p>
            <w:pPr>
              <w:spacing w:after="20"/>
            </w:pPr>
            <w:r/>
            <w:r>
              <w:rPr>
                <w:b w:val="0"/>
                <w:i w:val="0"/>
                <w:sz w:val="16"/>
              </w:rPr>
              <w:t>Per-occurrence $500K SIR</w:t>
            </w:r>
          </w:p>
        </w:tc>
        <w:tc>
          <w:tcPr>
            <w:tcW w:type="dxa" w:w="3600"/>
          </w:tcPr>
          <w:p>
            <w:pPr>
              <w:spacing w:after="20"/>
            </w:pPr>
            <w:r/>
            <w:r>
              <w:rPr>
                <w:b w:val="0"/>
                <w:i w:val="0"/>
                <w:sz w:val="16"/>
              </w:rPr>
              <w:t>Each occurrence carries a $500K SIR borne by Cascadia; three Pre-Existing Claims could mean three SIRs ($1.5M) unless treated as one pollution condition</w:t>
            </w:r>
          </w:p>
        </w:tc>
        <w:tc>
          <w:tcPr>
            <w:tcW w:type="dxa" w:w="3168"/>
          </w:tcPr>
          <w:p>
            <w:pPr>
              <w:spacing w:after="20"/>
            </w:pPr>
            <w:r/>
            <w:r>
              <w:rPr>
                <w:b w:val="0"/>
                <w:i w:val="0"/>
                <w:sz w:val="16"/>
              </w:rPr>
              <w:t>Confirm occurrence/pollution-condition aggregation language</w:t>
            </w:r>
          </w:p>
        </w:tc>
      </w:tr>
      <w:tr>
        <w:tc>
          <w:tcPr>
            <w:tcW w:type="dxa" w:w="576"/>
          </w:tcPr>
          <w:p>
            <w:pPr>
              <w:spacing w:after="20"/>
            </w:pPr>
            <w:r/>
            <w:r>
              <w:rPr>
                <w:b w:val="0"/>
                <w:i w:val="0"/>
                <w:sz w:val="16"/>
              </w:rPr>
              <w:t>I-4</w:t>
            </w:r>
          </w:p>
        </w:tc>
        <w:tc>
          <w:tcPr>
            <w:tcW w:type="dxa" w:w="2016"/>
          </w:tcPr>
          <w:p>
            <w:pPr>
              <w:spacing w:after="20"/>
            </w:pPr>
            <w:r/>
            <w:r>
              <w:rPr>
                <w:b w:val="0"/>
                <w:i w:val="0"/>
                <w:sz w:val="16"/>
              </w:rPr>
              <w:t>Policy expires Jan. 1, 2028</w:t>
            </w:r>
          </w:p>
        </w:tc>
        <w:tc>
          <w:tcPr>
            <w:tcW w:type="dxa" w:w="3600"/>
          </w:tcPr>
          <w:p>
            <w:pPr>
              <w:spacing w:after="20"/>
            </w:pPr>
            <w:r/>
            <w:r>
              <w:rPr>
                <w:b w:val="0"/>
                <w:i w:val="0"/>
                <w:sz w:val="16"/>
              </w:rPr>
              <w:t>Survival runs to 2037 (8.1/8.2/SL), 2045 (8.4) and indefinitely (8.3); NRD is open-ended; long-term monitoring runs 30 years</w:t>
            </w:r>
          </w:p>
        </w:tc>
        <w:tc>
          <w:tcPr>
            <w:tcW w:type="dxa" w:w="3168"/>
          </w:tcPr>
          <w:p>
            <w:pPr>
              <w:spacing w:after="20"/>
            </w:pPr>
            <w:r/>
            <w:r>
              <w:rPr>
                <w:b w:val="0"/>
                <w:i w:val="0"/>
                <w:sz w:val="16"/>
              </w:rPr>
              <w:t>Pursue renewal or a long-term site PLL; negotiate an extended reporting period; consider requiring Northshore to maintain its own coverage</w:t>
            </w:r>
          </w:p>
        </w:tc>
      </w:tr>
      <w:tr>
        <w:tc>
          <w:tcPr>
            <w:tcW w:type="dxa" w:w="576"/>
          </w:tcPr>
          <w:p>
            <w:pPr>
              <w:spacing w:after="20"/>
            </w:pPr>
            <w:r/>
            <w:r>
              <w:rPr>
                <w:b w:val="0"/>
                <w:i w:val="0"/>
                <w:sz w:val="16"/>
              </w:rPr>
              <w:t>I-5</w:t>
            </w:r>
          </w:p>
        </w:tc>
        <w:tc>
          <w:tcPr>
            <w:tcW w:type="dxa" w:w="2016"/>
          </w:tcPr>
          <w:p>
            <w:pPr>
              <w:spacing w:after="20"/>
            </w:pPr>
            <w:r/>
            <w:r>
              <w:rPr>
                <w:b w:val="0"/>
                <w:i w:val="0"/>
                <w:sz w:val="16"/>
              </w:rPr>
              <w:t>Insurer-condition conflicts</w:t>
            </w:r>
          </w:p>
        </w:tc>
        <w:tc>
          <w:tcPr>
            <w:tcW w:type="dxa" w:w="3600"/>
          </w:tcPr>
          <w:p>
            <w:pPr>
              <w:spacing w:after="20"/>
            </w:pPr>
            <w:r/>
            <w:r>
              <w:rPr>
                <w:b w:val="0"/>
                <w:i w:val="0"/>
                <w:sz w:val="16"/>
              </w:rPr>
              <w:t>Exh. D lets an Indemnifying Party control defense and settle (3.2) and requires cooperation and subrogation (4, 8); PLL policies typically require insurer consent to settle, bar voluntary payments and preserve insurer subrogation</w:t>
            </w:r>
          </w:p>
        </w:tc>
        <w:tc>
          <w:tcPr>
            <w:tcW w:type="dxa" w:w="3168"/>
          </w:tcPr>
          <w:p>
            <w:pPr>
              <w:spacing w:after="20"/>
            </w:pPr>
            <w:r/>
            <w:r>
              <w:rPr>
                <w:b w:val="0"/>
                <w:i w:val="0"/>
                <w:sz w:val="16"/>
              </w:rPr>
              <w:t>Obtain the policy; align Exh. D tenders with policy conditions; seek insurer acknowledgment of the SA and SL allocations so they are not treated as voluntary assumptions</w:t>
            </w:r>
          </w:p>
        </w:tc>
      </w:tr>
      <w:tr>
        <w:tc>
          <w:tcPr>
            <w:tcW w:type="dxa" w:w="576"/>
          </w:tcPr>
          <w:p>
            <w:pPr>
              <w:spacing w:after="20"/>
            </w:pPr>
            <w:r/>
            <w:r>
              <w:rPr>
                <w:b w:val="0"/>
                <w:i w:val="0"/>
                <w:sz w:val="16"/>
              </w:rPr>
              <w:t>I-6</w:t>
            </w:r>
          </w:p>
        </w:tc>
        <w:tc>
          <w:tcPr>
            <w:tcW w:type="dxa" w:w="2016"/>
          </w:tcPr>
          <w:p>
            <w:pPr>
              <w:spacing w:after="20"/>
            </w:pPr>
            <w:r/>
            <w:r>
              <w:rPr>
                <w:b w:val="0"/>
                <w:i w:val="0"/>
                <w:sz w:val="16"/>
              </w:rPr>
              <w:t>Contractual liability / insured contract</w:t>
            </w:r>
          </w:p>
        </w:tc>
        <w:tc>
          <w:tcPr>
            <w:tcW w:type="dxa" w:w="3600"/>
          </w:tcPr>
          <w:p>
            <w:pPr>
              <w:spacing w:after="20"/>
            </w:pPr>
            <w:r/>
            <w:r>
              <w:rPr>
                <w:b w:val="0"/>
                <w:i w:val="0"/>
                <w:sz w:val="16"/>
              </w:rPr>
              <w:t>Cascadia's indemnities (8.1, 8.3 guarantee, 8.4, SL 2(c)) are contractually assumed liabilities, commonly excluded unless insured-contract coverage applies</w:t>
            </w:r>
          </w:p>
        </w:tc>
        <w:tc>
          <w:tcPr>
            <w:tcW w:type="dxa" w:w="3168"/>
          </w:tcPr>
          <w:p>
            <w:pPr>
              <w:spacing w:after="20"/>
            </w:pPr>
            <w:r/>
            <w:r>
              <w:rPr>
                <w:b w:val="0"/>
                <w:i w:val="0"/>
                <w:sz w:val="16"/>
              </w:rPr>
              <w:t>Confirm contractual-liability coverage; seek an endorsement scheduling the SA, SL and Puget guarantee</w:t>
            </w:r>
          </w:p>
        </w:tc>
      </w:tr>
      <w:tr>
        <w:tc>
          <w:tcPr>
            <w:tcW w:type="dxa" w:w="576"/>
          </w:tcPr>
          <w:p>
            <w:pPr>
              <w:spacing w:after="20"/>
            </w:pPr>
            <w:r/>
            <w:r>
              <w:rPr>
                <w:b w:val="0"/>
                <w:i w:val="0"/>
                <w:sz w:val="16"/>
              </w:rPr>
              <w:t>I-7</w:t>
            </w:r>
          </w:p>
        </w:tc>
        <w:tc>
          <w:tcPr>
            <w:tcW w:type="dxa" w:w="2016"/>
          </w:tcPr>
          <w:p>
            <w:pPr>
              <w:spacing w:after="20"/>
            </w:pPr>
            <w:r/>
            <w:r>
              <w:rPr>
                <w:b w:val="0"/>
                <w:i w:val="0"/>
                <w:sz w:val="16"/>
              </w:rPr>
              <w:t>Known-conditions exposure</w:t>
            </w:r>
          </w:p>
        </w:tc>
        <w:tc>
          <w:tcPr>
            <w:tcW w:type="dxa" w:w="3600"/>
          </w:tcPr>
          <w:p>
            <w:pPr>
              <w:spacing w:after="20"/>
            </w:pPr>
            <w:r/>
            <w:r>
              <w:rPr>
                <w:b w:val="0"/>
                <w:i w:val="0"/>
                <w:sz w:val="16"/>
              </w:rPr>
              <w:t>Contamination was identified by the 2019 Phase II and the Agreed Order dates from 2021, both before the 2023 inception; the TNA, SSC and Marina claims were filed in 2023-2024</w:t>
            </w:r>
          </w:p>
        </w:tc>
        <w:tc>
          <w:tcPr>
            <w:tcW w:type="dxa" w:w="3168"/>
          </w:tcPr>
          <w:p>
            <w:pPr>
              <w:spacing w:after="20"/>
            </w:pPr>
            <w:r/>
            <w:r>
              <w:rPr>
                <w:b w:val="0"/>
                <w:i w:val="0"/>
                <w:sz w:val="16"/>
              </w:rPr>
              <w:t>Confirm the known-conditions schedule, claims-made vs. occurrence trigger, and whether the Pre-Existing Claims were timely noticed</w:t>
            </w:r>
          </w:p>
        </w:tc>
      </w:tr>
      <w:tr>
        <w:tc>
          <w:tcPr>
            <w:tcW w:type="dxa" w:w="576"/>
          </w:tcPr>
          <w:p>
            <w:pPr>
              <w:spacing w:after="20"/>
            </w:pPr>
            <w:r/>
            <w:r>
              <w:rPr>
                <w:b w:val="0"/>
                <w:i w:val="0"/>
                <w:sz w:val="16"/>
              </w:rPr>
              <w:t>I-8</w:t>
            </w:r>
          </w:p>
        </w:tc>
        <w:tc>
          <w:tcPr>
            <w:tcW w:type="dxa" w:w="2016"/>
          </w:tcPr>
          <w:p>
            <w:pPr>
              <w:spacing w:after="20"/>
            </w:pPr>
            <w:r/>
            <w:r>
              <w:rPr>
                <w:b w:val="0"/>
                <w:i w:val="0"/>
                <w:sz w:val="16"/>
              </w:rPr>
              <w:t>Ripeness delays</w:t>
            </w:r>
          </w:p>
        </w:tc>
        <w:tc>
          <w:tcPr>
            <w:tcW w:type="dxa" w:w="3600"/>
          </w:tcPr>
          <w:p>
            <w:pPr>
              <w:spacing w:after="20"/>
            </w:pPr>
            <w:r/>
            <w:r>
              <w:rPr>
                <w:b w:val="0"/>
                <w:i w:val="0"/>
                <w:sz w:val="16"/>
              </w:rPr>
              <w:t>The requirement to exhaust insurer internal appeals (Exh. D 5(d)(iii)) can delay Northshore's 45-day payment clock (Exh. D 6.2) indefinitely</w:t>
            </w:r>
          </w:p>
        </w:tc>
        <w:tc>
          <w:tcPr>
            <w:tcW w:type="dxa" w:w="3168"/>
          </w:tcPr>
          <w:p>
            <w:pPr>
              <w:spacing w:after="20"/>
            </w:pPr>
            <w:r/>
            <w:r>
              <w:rPr>
                <w:b w:val="0"/>
                <w:i w:val="0"/>
                <w:sz w:val="16"/>
              </w:rPr>
              <w:t>Seek a long-stop (e.g., ripeness 120 days after proof of loss, with later true-up under Exh. D 5(e))</w:t>
            </w:r>
          </w:p>
        </w:tc>
      </w:tr>
      <w:tr>
        <w:tc>
          <w:tcPr>
            <w:tcW w:type="dxa" w:w="576"/>
          </w:tcPr>
          <w:p>
            <w:pPr>
              <w:spacing w:after="20"/>
            </w:pPr>
            <w:r/>
            <w:r>
              <w:rPr>
                <w:b w:val="0"/>
                <w:i w:val="0"/>
                <w:sz w:val="16"/>
              </w:rPr>
              <w:t>I-9</w:t>
            </w:r>
          </w:p>
        </w:tc>
        <w:tc>
          <w:tcPr>
            <w:tcW w:type="dxa" w:w="2016"/>
          </w:tcPr>
          <w:p>
            <w:pPr>
              <w:spacing w:after="20"/>
            </w:pPr>
            <w:r/>
            <w:r>
              <w:rPr>
                <w:b w:val="0"/>
                <w:i w:val="0"/>
                <w:sz w:val="16"/>
              </w:rPr>
              <w:t>Same carrier for bond and PLL</w:t>
            </w:r>
          </w:p>
        </w:tc>
        <w:tc>
          <w:tcPr>
            <w:tcW w:type="dxa" w:w="3600"/>
          </w:tcPr>
          <w:p>
            <w:pPr>
              <w:spacing w:after="20"/>
            </w:pPr>
            <w:r/>
            <w:r>
              <w:rPr>
                <w:b w:val="0"/>
                <w:i w:val="0"/>
                <w:sz w:val="16"/>
              </w:rPr>
              <w:t>Hollcroft issues both the PLL and the $5M Financial Assurance Bond</w:t>
            </w:r>
          </w:p>
        </w:tc>
        <w:tc>
          <w:tcPr>
            <w:tcW w:type="dxa" w:w="3168"/>
          </w:tcPr>
          <w:p>
            <w:pPr>
              <w:spacing w:after="20"/>
            </w:pPr>
            <w:r/>
            <w:r>
              <w:rPr>
                <w:b w:val="0"/>
                <w:i w:val="0"/>
                <w:sz w:val="16"/>
              </w:rPr>
              <w:t>Assess concentration risk and surety indemnity rights; confirm Hollcroft's rating and surplus-lines status</w:t>
            </w:r>
          </w:p>
        </w:tc>
      </w:tr>
      <w:tr>
        <w:tc>
          <w:tcPr>
            <w:tcW w:type="dxa" w:w="576"/>
          </w:tcPr>
          <w:p>
            <w:pPr>
              <w:spacing w:after="20"/>
            </w:pPr>
            <w:r/>
            <w:r>
              <w:rPr>
                <w:b w:val="0"/>
                <w:i w:val="0"/>
                <w:sz w:val="16"/>
              </w:rPr>
              <w:t>I-10</w:t>
            </w:r>
          </w:p>
        </w:tc>
        <w:tc>
          <w:tcPr>
            <w:tcW w:type="dxa" w:w="2016"/>
          </w:tcPr>
          <w:p>
            <w:pPr>
              <w:spacing w:after="20"/>
            </w:pPr>
            <w:r/>
            <w:r>
              <w:rPr>
                <w:b w:val="0"/>
                <w:i w:val="0"/>
                <w:sz w:val="16"/>
              </w:rPr>
              <w:t>Northshore's insurance unknown</w:t>
            </w:r>
          </w:p>
        </w:tc>
        <w:tc>
          <w:tcPr>
            <w:tcW w:type="dxa" w:w="3600"/>
          </w:tcPr>
          <w:p>
            <w:pPr>
              <w:spacing w:after="20"/>
            </w:pPr>
            <w:r/>
            <w:r>
              <w:rPr>
                <w:b w:val="0"/>
                <w:i w:val="0"/>
                <w:sz w:val="16"/>
              </w:rPr>
              <w:t>The insurance-first rule applies to Northshore's policies too, but none are identified</w:t>
            </w:r>
          </w:p>
        </w:tc>
        <w:tc>
          <w:tcPr>
            <w:tcW w:type="dxa" w:w="3168"/>
          </w:tcPr>
          <w:p>
            <w:pPr>
              <w:spacing w:after="20"/>
            </w:pPr>
            <w:r/>
            <w:r>
              <w:rPr>
                <w:b w:val="0"/>
                <w:i w:val="0"/>
                <w:sz w:val="16"/>
              </w:rPr>
              <w:t>Request policy information through Victoria Sandoval (not directly from Kellner Marsh)</w:t>
            </w:r>
          </w:p>
        </w:tc>
      </w:tr>
    </w:tbl>
    <w:p>
      <w:pPr>
        <w:spacing w:after="40"/>
      </w:pPr>
    </w:p>
    <w:p>
      <w:pPr>
        <w:pStyle w:val="Heading1"/>
      </w:pPr>
      <w:r>
        <w:t>VIII. Survival and Tail</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160"/>
            <w:shd w:val="clear" w:color="auto" w:fill="1F3A5F"/>
          </w:tcPr>
          <w:p>
            <w:r/>
            <w:r>
              <w:rPr>
                <w:b/>
                <w:color w:val="FFFFFF"/>
                <w:sz w:val="16"/>
              </w:rPr>
              <w:t>Obligation</w:t>
            </w:r>
          </w:p>
        </w:tc>
        <w:tc>
          <w:tcPr>
            <w:tcW w:type="dxa" w:w="1728"/>
            <w:shd w:val="clear" w:color="auto" w:fill="1F3A5F"/>
          </w:tcPr>
          <w:p>
            <w:r/>
            <w:r>
              <w:rPr>
                <w:b/>
                <w:color w:val="FFFFFF"/>
                <w:sz w:val="16"/>
              </w:rPr>
              <w:t>Survival period</w:t>
            </w:r>
          </w:p>
        </w:tc>
        <w:tc>
          <w:tcPr>
            <w:tcW w:type="dxa" w:w="1296"/>
            <w:shd w:val="clear" w:color="auto" w:fill="1F3A5F"/>
          </w:tcPr>
          <w:p>
            <w:r/>
            <w:r>
              <w:rPr>
                <w:b/>
                <w:color w:val="FFFFFF"/>
                <w:sz w:val="16"/>
              </w:rPr>
              <w:t>Expiry</w:t>
            </w:r>
          </w:p>
        </w:tc>
        <w:tc>
          <w:tcPr>
            <w:tcW w:type="dxa" w:w="1440"/>
            <w:shd w:val="clear" w:color="auto" w:fill="1F3A5F"/>
          </w:tcPr>
          <w:p>
            <w:r/>
            <w:r>
              <w:rPr>
                <w:b/>
                <w:color w:val="FFFFFF"/>
                <w:sz w:val="16"/>
              </w:rPr>
              <w:t>Notice tail?</w:t>
            </w:r>
          </w:p>
        </w:tc>
        <w:tc>
          <w:tcPr>
            <w:tcW w:type="dxa" w:w="2736"/>
            <w:shd w:val="clear" w:color="auto" w:fill="1F3A5F"/>
          </w:tcPr>
          <w:p>
            <w:r/>
            <w:r>
              <w:rPr>
                <w:b/>
                <w:color w:val="FFFFFF"/>
                <w:sz w:val="16"/>
              </w:rPr>
              <w:t>Adequacy assessment</w:t>
            </w:r>
          </w:p>
        </w:tc>
      </w:tr>
      <w:tr>
        <w:tc>
          <w:tcPr>
            <w:tcW w:type="dxa" w:w="2160"/>
          </w:tcPr>
          <w:p>
            <w:pPr>
              <w:spacing w:after="20"/>
            </w:pPr>
            <w:r/>
            <w:r>
              <w:rPr>
                <w:b w:val="0"/>
                <w:i w:val="0"/>
                <w:sz w:val="16"/>
              </w:rPr>
              <w:t>SA 8.1 Cascadia -&gt; Northshore (Remedial Actions)</w:t>
            </w:r>
          </w:p>
        </w:tc>
        <w:tc>
          <w:tcPr>
            <w:tcW w:type="dxa" w:w="1728"/>
          </w:tcPr>
          <w:p>
            <w:pPr>
              <w:spacing w:after="20"/>
            </w:pPr>
            <w:r/>
            <w:r>
              <w:rPr>
                <w:b w:val="0"/>
                <w:i w:val="0"/>
                <w:sz w:val="16"/>
              </w:rPr>
              <w:t>12 years from Effective Date (SA 8.8(a))</w:t>
            </w:r>
          </w:p>
        </w:tc>
        <w:tc>
          <w:tcPr>
            <w:tcW w:type="dxa" w:w="1296"/>
          </w:tcPr>
          <w:p>
            <w:pPr>
              <w:spacing w:after="20"/>
            </w:pPr>
            <w:r/>
            <w:r>
              <w:rPr>
                <w:b w:val="0"/>
                <w:i w:val="0"/>
                <w:sz w:val="16"/>
              </w:rPr>
              <w:t>Feb. 1, 2037</w:t>
            </w:r>
          </w:p>
        </w:tc>
        <w:tc>
          <w:tcPr>
            <w:tcW w:type="dxa" w:w="1440"/>
          </w:tcPr>
          <w:p>
            <w:pPr>
              <w:spacing w:after="20"/>
            </w:pPr>
            <w:r/>
            <w:r>
              <w:rPr>
                <w:b w:val="0"/>
                <w:i w:val="0"/>
                <w:sz w:val="16"/>
              </w:rPr>
              <w:t>Yes: properly noticed claims survive to final resolution</w:t>
            </w:r>
          </w:p>
        </w:tc>
        <w:tc>
          <w:tcPr>
            <w:tcW w:type="dxa" w:w="2736"/>
          </w:tcPr>
          <w:p>
            <w:pPr>
              <w:spacing w:after="20"/>
            </w:pPr>
            <w:r/>
            <w:r>
              <w:rPr>
                <w:b w:val="0"/>
                <w:i w:val="0"/>
                <w:sz w:val="16"/>
              </w:rPr>
              <w:t>Favorable to Cascadia as indemnitor, but expires midway through the 30-year remediation/monitoring program that Cascadia manages</w:t>
            </w:r>
          </w:p>
        </w:tc>
      </w:tr>
      <w:tr>
        <w:tc>
          <w:tcPr>
            <w:tcW w:type="dxa" w:w="2160"/>
          </w:tcPr>
          <w:p>
            <w:pPr>
              <w:spacing w:after="20"/>
            </w:pPr>
            <w:r/>
            <w:r>
              <w:rPr>
                <w:b w:val="0"/>
                <w:i w:val="0"/>
                <w:sz w:val="16"/>
              </w:rPr>
              <w:t>SA 8.2 Northshore -&gt; Cascadia (supply 1978-2003)</w:t>
            </w:r>
          </w:p>
        </w:tc>
        <w:tc>
          <w:tcPr>
            <w:tcW w:type="dxa" w:w="1728"/>
          </w:tcPr>
          <w:p>
            <w:pPr>
              <w:spacing w:after="20"/>
            </w:pPr>
            <w:r/>
            <w:r>
              <w:rPr>
                <w:b w:val="0"/>
                <w:i w:val="0"/>
                <w:sz w:val="16"/>
              </w:rPr>
              <w:t>12 years (SA 8.8(a))</w:t>
            </w:r>
          </w:p>
        </w:tc>
        <w:tc>
          <w:tcPr>
            <w:tcW w:type="dxa" w:w="1296"/>
          </w:tcPr>
          <w:p>
            <w:pPr>
              <w:spacing w:after="20"/>
            </w:pPr>
            <w:r/>
            <w:r>
              <w:rPr>
                <w:b w:val="0"/>
                <w:i w:val="0"/>
                <w:sz w:val="16"/>
              </w:rPr>
              <w:t>Feb. 1, 2037</w:t>
            </w:r>
          </w:p>
        </w:tc>
        <w:tc>
          <w:tcPr>
            <w:tcW w:type="dxa" w:w="1440"/>
          </w:tcPr>
          <w:p>
            <w:pPr>
              <w:spacing w:after="20"/>
            </w:pPr>
            <w:r/>
            <w:r>
              <w:rPr>
                <w:b w:val="0"/>
                <w:i w:val="0"/>
                <w:sz w:val="16"/>
              </w:rPr>
              <w:t>Yes</w:t>
            </w:r>
          </w:p>
        </w:tc>
        <w:tc>
          <w:tcPr>
            <w:tcW w:type="dxa" w:w="2736"/>
          </w:tcPr>
          <w:p>
            <w:pPr>
              <w:spacing w:after="20"/>
            </w:pPr>
            <w:r/>
            <w:r>
              <w:rPr>
                <w:b/>
                <w:i w:val="0"/>
                <w:sz w:val="16"/>
              </w:rPr>
              <w:t>Inadequate for Cascadia.</w:t>
            </w:r>
            <w:r>
              <w:rPr>
                <w:b w:val="0"/>
                <w:i w:val="0"/>
                <w:sz w:val="16"/>
              </w:rPr>
              <w:t xml:space="preserve"> Latent toxic-tort (TCE, Cr(VI), cadmium) and vapor-intrusion claims often arise decades later; long-term monitoring runs to ~2055</w:t>
            </w:r>
          </w:p>
        </w:tc>
      </w:tr>
      <w:tr>
        <w:tc>
          <w:tcPr>
            <w:tcW w:type="dxa" w:w="2160"/>
          </w:tcPr>
          <w:p>
            <w:pPr>
              <w:spacing w:after="20"/>
            </w:pPr>
            <w:r/>
            <w:r>
              <w:rPr>
                <w:b w:val="0"/>
                <w:i w:val="0"/>
                <w:sz w:val="16"/>
              </w:rPr>
              <w:t>SA 8.3 Puget (Undisclosed Pre-Acquisition Conditions) and Cascadia guarantee</w:t>
            </w:r>
          </w:p>
        </w:tc>
        <w:tc>
          <w:tcPr>
            <w:tcW w:type="dxa" w:w="1728"/>
          </w:tcPr>
          <w:p>
            <w:pPr>
              <w:spacing w:after="20"/>
            </w:pPr>
            <w:r/>
            <w:r>
              <w:rPr>
                <w:b w:val="0"/>
                <w:i w:val="0"/>
                <w:sz w:val="16"/>
              </w:rPr>
              <w:t>Indefinite (SA 8.8(c))</w:t>
            </w:r>
          </w:p>
        </w:tc>
        <w:tc>
          <w:tcPr>
            <w:tcW w:type="dxa" w:w="1296"/>
          </w:tcPr>
          <w:p>
            <w:pPr>
              <w:spacing w:after="20"/>
            </w:pPr>
            <w:r/>
            <w:r>
              <w:rPr>
                <w:b w:val="0"/>
                <w:i w:val="0"/>
                <w:sz w:val="16"/>
              </w:rPr>
              <w:t>None</w:t>
            </w:r>
          </w:p>
        </w:tc>
        <w:tc>
          <w:tcPr>
            <w:tcW w:type="dxa" w:w="1440"/>
          </w:tcPr>
          <w:p>
            <w:pPr>
              <w:spacing w:after="20"/>
            </w:pPr>
            <w:r/>
            <w:r>
              <w:rPr>
                <w:b w:val="0"/>
                <w:i w:val="0"/>
                <w:sz w:val="16"/>
              </w:rPr>
              <w:t>n/a</w:t>
            </w:r>
          </w:p>
        </w:tc>
        <w:tc>
          <w:tcPr>
            <w:tcW w:type="dxa" w:w="2736"/>
          </w:tcPr>
          <w:p>
            <w:pPr>
              <w:spacing w:after="20"/>
            </w:pPr>
            <w:r/>
            <w:r>
              <w:rPr>
                <w:b w:val="0"/>
                <w:i w:val="0"/>
                <w:sz w:val="16"/>
              </w:rPr>
              <w:t>Perpetual exposure for Cascadia as guarantor, subject only to statutes of limitation/repose (8.8(d))</w:t>
            </w:r>
          </w:p>
        </w:tc>
      </w:tr>
      <w:tr>
        <w:tc>
          <w:tcPr>
            <w:tcW w:type="dxa" w:w="2160"/>
          </w:tcPr>
          <w:p>
            <w:pPr>
              <w:spacing w:after="20"/>
            </w:pPr>
            <w:r/>
            <w:r>
              <w:rPr>
                <w:b w:val="0"/>
                <w:i w:val="0"/>
                <w:sz w:val="16"/>
              </w:rPr>
              <w:t>SA 8.4 Government Cost Recovery</w:t>
            </w:r>
          </w:p>
        </w:tc>
        <w:tc>
          <w:tcPr>
            <w:tcW w:type="dxa" w:w="1728"/>
          </w:tcPr>
          <w:p>
            <w:pPr>
              <w:spacing w:after="20"/>
            </w:pPr>
            <w:r/>
            <w:r>
              <w:rPr>
                <w:b w:val="0"/>
                <w:i w:val="0"/>
                <w:sz w:val="16"/>
              </w:rPr>
              <w:t>20 years (SA 8.8(b))</w:t>
            </w:r>
          </w:p>
        </w:tc>
        <w:tc>
          <w:tcPr>
            <w:tcW w:type="dxa" w:w="1296"/>
          </w:tcPr>
          <w:p>
            <w:pPr>
              <w:spacing w:after="20"/>
            </w:pPr>
            <w:r/>
            <w:r>
              <w:rPr>
                <w:b w:val="0"/>
                <w:i w:val="0"/>
                <w:sz w:val="16"/>
              </w:rPr>
              <w:t>Feb. 1, 2045</w:t>
            </w:r>
          </w:p>
        </w:tc>
        <w:tc>
          <w:tcPr>
            <w:tcW w:type="dxa" w:w="1440"/>
          </w:tcPr>
          <w:p>
            <w:pPr>
              <w:spacing w:after="20"/>
            </w:pPr>
            <w:r/>
            <w:r>
              <w:rPr>
                <w:b/>
                <w:i w:val="0"/>
                <w:sz w:val="16"/>
              </w:rPr>
              <w:t>No</w:t>
            </w:r>
            <w:r>
              <w:rPr>
                <w:b w:val="0"/>
                <w:i w:val="0"/>
                <w:sz w:val="16"/>
              </w:rPr>
              <w:t xml:space="preserve"> express preservation of noticed claims</w:t>
            </w:r>
          </w:p>
        </w:tc>
        <w:tc>
          <w:tcPr>
            <w:tcW w:type="dxa" w:w="2736"/>
          </w:tcPr>
          <w:p>
            <w:pPr>
              <w:spacing w:after="20"/>
            </w:pPr>
            <w:r/>
            <w:r>
              <w:rPr>
                <w:b w:val="0"/>
                <w:i w:val="0"/>
                <w:sz w:val="16"/>
              </w:rPr>
              <w:t>Gap: a claim noticed in 2044 but unresolved arguably lapses; still shorter than the 30-year monitoring horizon</w:t>
            </w:r>
          </w:p>
        </w:tc>
      </w:tr>
      <w:tr>
        <w:tc>
          <w:tcPr>
            <w:tcW w:type="dxa" w:w="2160"/>
          </w:tcPr>
          <w:p>
            <w:pPr>
              <w:spacing w:after="20"/>
            </w:pPr>
            <w:r/>
            <w:r>
              <w:rPr>
                <w:b w:val="0"/>
                <w:i w:val="0"/>
                <w:sz w:val="16"/>
              </w:rPr>
              <w:t>SA 8.5 NRD</w:t>
            </w:r>
          </w:p>
        </w:tc>
        <w:tc>
          <w:tcPr>
            <w:tcW w:type="dxa" w:w="1728"/>
          </w:tcPr>
          <w:p>
            <w:pPr>
              <w:spacing w:after="20"/>
            </w:pPr>
            <w:r/>
            <w:r>
              <w:rPr>
                <w:b/>
                <w:i w:val="0"/>
                <w:sz w:val="16"/>
              </w:rPr>
              <w:t>Not addressed</w:t>
            </w:r>
          </w:p>
        </w:tc>
        <w:tc>
          <w:tcPr>
            <w:tcW w:type="dxa" w:w="1296"/>
          </w:tcPr>
          <w:p>
            <w:pPr>
              <w:spacing w:after="20"/>
            </w:pPr>
            <w:r/>
            <w:r>
              <w:rPr>
                <w:b w:val="0"/>
                <w:i w:val="0"/>
                <w:sz w:val="16"/>
              </w:rPr>
              <w:t>Unclear</w:t>
            </w:r>
          </w:p>
        </w:tc>
        <w:tc>
          <w:tcPr>
            <w:tcW w:type="dxa" w:w="1440"/>
          </w:tcPr>
          <w:p>
            <w:pPr>
              <w:spacing w:after="20"/>
            </w:pPr>
            <w:r/>
            <w:r>
              <w:rPr>
                <w:b w:val="0"/>
                <w:i w:val="0"/>
                <w:sz w:val="16"/>
              </w:rPr>
              <w:t>No</w:t>
            </w:r>
          </w:p>
        </w:tc>
        <w:tc>
          <w:tcPr>
            <w:tcW w:type="dxa" w:w="2736"/>
          </w:tcPr>
          <w:p>
            <w:pPr>
              <w:spacing w:after="20"/>
            </w:pPr>
            <w:r/>
            <w:r>
              <w:rPr>
                <w:b/>
                <w:i w:val="0"/>
                <w:sz w:val="16"/>
              </w:rPr>
              <w:t>Major gap.</w:t>
            </w:r>
            <w:r>
              <w:rPr>
                <w:b w:val="0"/>
                <w:i w:val="0"/>
                <w:sz w:val="16"/>
              </w:rPr>
              <w:t xml:space="preserve"> Could be read as indefinite or as governed only by the statute of limitations (e.g., Washington's 6-year period for written contracts, RCW 4.16.040, from accrual); NRD claims are frequently asserted late, after remedy completion</w:t>
            </w:r>
          </w:p>
        </w:tc>
      </w:tr>
      <w:tr>
        <w:tc>
          <w:tcPr>
            <w:tcW w:type="dxa" w:w="2160"/>
          </w:tcPr>
          <w:p>
            <w:pPr>
              <w:spacing w:after="20"/>
            </w:pPr>
            <w:r/>
            <w:r>
              <w:rPr>
                <w:b w:val="0"/>
                <w:i w:val="0"/>
                <w:sz w:val="16"/>
              </w:rPr>
              <w:t>SA 5.3 Puget cost-share guarantee</w:t>
            </w:r>
          </w:p>
        </w:tc>
        <w:tc>
          <w:tcPr>
            <w:tcW w:type="dxa" w:w="1728"/>
          </w:tcPr>
          <w:p>
            <w:pPr>
              <w:spacing w:after="20"/>
            </w:pPr>
            <w:r/>
            <w:r>
              <w:rPr>
                <w:b w:val="0"/>
                <w:i w:val="0"/>
                <w:sz w:val="16"/>
              </w:rPr>
              <w:t>Not stated; coextensive with Consent Decree obligations</w:t>
            </w:r>
          </w:p>
        </w:tc>
        <w:tc>
          <w:tcPr>
            <w:tcW w:type="dxa" w:w="1296"/>
          </w:tcPr>
          <w:p>
            <w:pPr>
              <w:spacing w:after="20"/>
            </w:pPr>
            <w:r/>
            <w:r>
              <w:rPr>
                <w:b w:val="0"/>
                <w:i w:val="0"/>
                <w:sz w:val="16"/>
              </w:rPr>
              <w:t>Completion of Remedial Action</w:t>
            </w:r>
          </w:p>
        </w:tc>
        <w:tc>
          <w:tcPr>
            <w:tcW w:type="dxa" w:w="1440"/>
          </w:tcPr>
          <w:p>
            <w:pPr>
              <w:spacing w:after="20"/>
            </w:pPr>
            <w:r/>
            <w:r>
              <w:rPr>
                <w:b w:val="0"/>
                <w:i w:val="0"/>
                <w:sz w:val="16"/>
              </w:rPr>
              <w:t>n/a</w:t>
            </w:r>
          </w:p>
        </w:tc>
        <w:tc>
          <w:tcPr>
            <w:tcW w:type="dxa" w:w="2736"/>
          </w:tcPr>
          <w:p>
            <w:pPr>
              <w:spacing w:after="20"/>
            </w:pPr>
            <w:r/>
            <w:r>
              <w:rPr>
                <w:b w:val="0"/>
                <w:i w:val="0"/>
                <w:sz w:val="16"/>
              </w:rPr>
              <w:t>Runs for the life of the remedy (~30 years)</w:t>
            </w:r>
          </w:p>
        </w:tc>
      </w:tr>
      <w:tr>
        <w:tc>
          <w:tcPr>
            <w:tcW w:type="dxa" w:w="2160"/>
          </w:tcPr>
          <w:p>
            <w:pPr>
              <w:spacing w:after="20"/>
            </w:pPr>
            <w:r/>
            <w:r>
              <w:rPr>
                <w:b w:val="0"/>
                <w:i w:val="0"/>
                <w:sz w:val="16"/>
              </w:rPr>
              <w:t>SL 2(a)-(c) Pre-Existing Claims</w:t>
            </w:r>
          </w:p>
        </w:tc>
        <w:tc>
          <w:tcPr>
            <w:tcW w:type="dxa" w:w="1728"/>
          </w:tcPr>
          <w:p>
            <w:pPr>
              <w:spacing w:after="20"/>
            </w:pPr>
            <w:r/>
            <w:r>
              <w:rPr>
                <w:b w:val="0"/>
                <w:i w:val="0"/>
                <w:sz w:val="16"/>
              </w:rPr>
              <w:t>12 years (SL 5)</w:t>
            </w:r>
          </w:p>
        </w:tc>
        <w:tc>
          <w:tcPr>
            <w:tcW w:type="dxa" w:w="1296"/>
          </w:tcPr>
          <w:p>
            <w:pPr>
              <w:spacing w:after="20"/>
            </w:pPr>
            <w:r/>
            <w:r>
              <w:rPr>
                <w:b w:val="0"/>
                <w:i w:val="0"/>
                <w:sz w:val="16"/>
              </w:rPr>
              <w:t>11:59 p.m. PT, Feb. 1, 2037</w:t>
            </w:r>
          </w:p>
        </w:tc>
        <w:tc>
          <w:tcPr>
            <w:tcW w:type="dxa" w:w="1440"/>
          </w:tcPr>
          <w:p>
            <w:pPr>
              <w:spacing w:after="20"/>
            </w:pPr>
            <w:r/>
            <w:r>
              <w:rPr>
                <w:b w:val="0"/>
                <w:i w:val="0"/>
                <w:sz w:val="16"/>
              </w:rPr>
              <w:t>Yes: through appeals and satisfaction</w:t>
            </w:r>
          </w:p>
        </w:tc>
        <w:tc>
          <w:tcPr>
            <w:tcW w:type="dxa" w:w="2736"/>
          </w:tcPr>
          <w:p>
            <w:pPr>
              <w:spacing w:after="20"/>
            </w:pPr>
            <w:r/>
            <w:r>
              <w:rPr>
                <w:b w:val="0"/>
                <w:i w:val="0"/>
                <w:sz w:val="16"/>
              </w:rPr>
              <w:t>Adequate for pending claims provided Claim Notices are given now</w:t>
            </w:r>
          </w:p>
        </w:tc>
      </w:tr>
      <w:tr>
        <w:tc>
          <w:tcPr>
            <w:tcW w:type="dxa" w:w="2160"/>
          </w:tcPr>
          <w:p>
            <w:pPr>
              <w:spacing w:after="20"/>
            </w:pPr>
            <w:r/>
            <w:r>
              <w:rPr>
                <w:b w:val="0"/>
                <w:i w:val="0"/>
                <w:sz w:val="16"/>
              </w:rPr>
              <w:t>EA 6.1 Escrow Agent indemnity</w:t>
            </w:r>
          </w:p>
        </w:tc>
        <w:tc>
          <w:tcPr>
            <w:tcW w:type="dxa" w:w="1728"/>
          </w:tcPr>
          <w:p>
            <w:pPr>
              <w:spacing w:after="20"/>
            </w:pPr>
            <w:r/>
            <w:r>
              <w:rPr>
                <w:b w:val="0"/>
                <w:i w:val="0"/>
                <w:sz w:val="16"/>
              </w:rPr>
              <w:t>Indefinite (EA 6.3, 7.5)</w:t>
            </w:r>
          </w:p>
        </w:tc>
        <w:tc>
          <w:tcPr>
            <w:tcW w:type="dxa" w:w="1296"/>
          </w:tcPr>
          <w:p>
            <w:pPr>
              <w:spacing w:after="20"/>
            </w:pPr>
            <w:r/>
            <w:r>
              <w:rPr>
                <w:b w:val="0"/>
                <w:i w:val="0"/>
                <w:sz w:val="16"/>
              </w:rPr>
              <w:t>Until all claims resolved</w:t>
            </w:r>
          </w:p>
        </w:tc>
        <w:tc>
          <w:tcPr>
            <w:tcW w:type="dxa" w:w="1440"/>
          </w:tcPr>
          <w:p>
            <w:pPr>
              <w:spacing w:after="20"/>
            </w:pPr>
            <w:r/>
            <w:r>
              <w:rPr>
                <w:b w:val="0"/>
                <w:i w:val="0"/>
                <w:sz w:val="16"/>
              </w:rPr>
              <w:t>n/a</w:t>
            </w:r>
          </w:p>
        </w:tc>
        <w:tc>
          <w:tcPr>
            <w:tcW w:type="dxa" w:w="2736"/>
          </w:tcPr>
          <w:p>
            <w:pPr>
              <w:spacing w:after="20"/>
            </w:pPr>
            <w:r/>
            <w:r>
              <w:rPr>
                <w:b w:val="0"/>
                <w:i w:val="0"/>
                <w:sz w:val="16"/>
              </w:rPr>
              <w:t>Open-ended but low-probability exposure</w:t>
            </w:r>
          </w:p>
        </w:tc>
      </w:tr>
      <w:tr>
        <w:tc>
          <w:tcPr>
            <w:tcW w:type="dxa" w:w="2160"/>
          </w:tcPr>
          <w:p>
            <w:pPr>
              <w:spacing w:after="20"/>
            </w:pPr>
            <w:r/>
            <w:r>
              <w:rPr>
                <w:b w:val="0"/>
                <w:i w:val="0"/>
                <w:sz w:val="16"/>
              </w:rPr>
              <w:t>PLL Policy (insurance, not indemnity)</w:t>
            </w:r>
          </w:p>
        </w:tc>
        <w:tc>
          <w:tcPr>
            <w:tcW w:type="dxa" w:w="1728"/>
          </w:tcPr>
          <w:p>
            <w:pPr>
              <w:spacing w:after="20"/>
            </w:pPr>
            <w:r/>
            <w:r>
              <w:rPr>
                <w:b w:val="0"/>
                <w:i w:val="0"/>
                <w:sz w:val="16"/>
              </w:rPr>
              <w:t>Policy period</w:t>
            </w:r>
          </w:p>
        </w:tc>
        <w:tc>
          <w:tcPr>
            <w:tcW w:type="dxa" w:w="1296"/>
          </w:tcPr>
          <w:p>
            <w:pPr>
              <w:spacing w:after="20"/>
            </w:pPr>
            <w:r/>
            <w:r>
              <w:rPr>
                <w:b w:val="0"/>
                <w:i w:val="0"/>
                <w:sz w:val="16"/>
              </w:rPr>
              <w:t>Jan. 1, 2028</w:t>
            </w:r>
          </w:p>
        </w:tc>
        <w:tc>
          <w:tcPr>
            <w:tcW w:type="dxa" w:w="1440"/>
          </w:tcPr>
          <w:p>
            <w:pPr>
              <w:spacing w:after="20"/>
            </w:pPr>
            <w:r/>
            <w:r>
              <w:rPr>
                <w:b w:val="0"/>
                <w:i w:val="0"/>
                <w:sz w:val="16"/>
              </w:rPr>
              <w:t>Per policy terms</w:t>
            </w:r>
          </w:p>
        </w:tc>
        <w:tc>
          <w:tcPr>
            <w:tcW w:type="dxa" w:w="2736"/>
          </w:tcPr>
          <w:p>
            <w:pPr>
              <w:spacing w:after="20"/>
            </w:pPr>
            <w:r/>
            <w:r>
              <w:rPr>
                <w:b w:val="0"/>
                <w:i w:val="0"/>
                <w:sz w:val="16"/>
              </w:rPr>
              <w:t>Shortest of all periods; mismatched with every indemnity tail</w:t>
            </w:r>
          </w:p>
        </w:tc>
      </w:tr>
      <w:tr>
        <w:tc>
          <w:tcPr>
            <w:tcW w:type="dxa" w:w="2160"/>
          </w:tcPr>
          <w:p>
            <w:pPr>
              <w:spacing w:after="20"/>
            </w:pPr>
            <w:r/>
            <w:r>
              <w:rPr>
                <w:b w:val="0"/>
                <w:i w:val="0"/>
                <w:sz w:val="16"/>
              </w:rPr>
              <w:t>Financial Assurance Bond</w:t>
            </w:r>
          </w:p>
        </w:tc>
        <w:tc>
          <w:tcPr>
            <w:tcW w:type="dxa" w:w="1728"/>
          </w:tcPr>
          <w:p>
            <w:pPr>
              <w:spacing w:after="20"/>
            </w:pPr>
            <w:r/>
            <w:r>
              <w:rPr>
                <w:b w:val="0"/>
                <w:i w:val="0"/>
                <w:sz w:val="16"/>
              </w:rPr>
              <w:t>Throughout Remedial Action (SA 6.6)</w:t>
            </w:r>
          </w:p>
        </w:tc>
        <w:tc>
          <w:tcPr>
            <w:tcW w:type="dxa" w:w="1296"/>
          </w:tcPr>
          <w:p>
            <w:pPr>
              <w:spacing w:after="20"/>
            </w:pPr>
            <w:r/>
            <w:r>
              <w:rPr>
                <w:b w:val="0"/>
                <w:i w:val="0"/>
                <w:sz w:val="16"/>
              </w:rPr>
              <w:t>Remedy completion</w:t>
            </w:r>
          </w:p>
        </w:tc>
        <w:tc>
          <w:tcPr>
            <w:tcW w:type="dxa" w:w="1440"/>
          </w:tcPr>
          <w:p>
            <w:pPr>
              <w:spacing w:after="20"/>
            </w:pPr>
            <w:r/>
            <w:r>
              <w:rPr>
                <w:b w:val="0"/>
                <w:i w:val="0"/>
                <w:sz w:val="16"/>
              </w:rPr>
              <w:t>n/a</w:t>
            </w:r>
          </w:p>
        </w:tc>
        <w:tc>
          <w:tcPr>
            <w:tcW w:type="dxa" w:w="2736"/>
          </w:tcPr>
          <w:p>
            <w:pPr>
              <w:spacing w:after="20"/>
            </w:pPr>
            <w:r/>
            <w:r>
              <w:rPr>
                <w:b w:val="0"/>
                <w:i w:val="0"/>
                <w:sz w:val="16"/>
              </w:rPr>
              <w:t>Must be maintained or replaced for ~30 years</w:t>
            </w:r>
          </w:p>
        </w:tc>
      </w:tr>
    </w:tbl>
    <w:p>
      <w:pPr>
        <w:spacing w:after="40"/>
      </w:pPr>
    </w:p>
    <w:p>
      <w:pPr>
        <w:spacing w:after="80"/>
      </w:pPr>
      <w:r>
        <w:rPr>
          <w:b/>
          <w:i w:val="0"/>
        </w:rPr>
        <w:t>Overall:</w:t>
      </w:r>
      <w:r>
        <w:rPr>
          <w:b w:val="0"/>
          <w:i w:val="0"/>
        </w:rPr>
        <w:t xml:space="preserve"> the survival structure is internally inconsistent and generally too short on the obligations that protect Cascadia (8.2, 8.5), while indefinite on the obligation Cascadia funds (8.3 via guarantee). Statutes of limitation also apply (SA 8.8(d)); an indemnity claim generally accrues when the indemnitee pays or its liability becomes fixed, which can be well after the underlying claim is asserted. Recommended fixes: (i) add an express SA 8.5 survival period (at least coextensive with SA 8.4, preferably until six years after Ecology's certification of completion); (ii) add a notice-preservation clause to SA 8.8(b); (iii) extend SA 8.2 to at least 2045 or completion of long-term monitoring; and (iv) seek a sunset or cap on the 8.3 guarantee.</w:t>
      </w:r>
    </w:p>
    <w:p>
      <w:pPr>
        <w:pStyle w:val="Heading1"/>
      </w:pPr>
      <w:r>
        <w:t>IX. Exhibit D Procedural Requirements and Defects</w:t>
      </w:r>
    </w:p>
    <w:p>
      <w:pPr>
        <w:pStyle w:val="Heading2"/>
      </w:pPr>
      <w:r>
        <w:t>A. Procedural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440"/>
            <w:shd w:val="clear" w:color="auto" w:fill="1F3A5F"/>
          </w:tcPr>
          <w:p>
            <w:r/>
            <w:r>
              <w:rPr>
                <w:b/>
                <w:color w:val="FFFFFF"/>
                <w:sz w:val="15"/>
              </w:rPr>
              <w:t>Step</w:t>
            </w:r>
          </w:p>
        </w:tc>
        <w:tc>
          <w:tcPr>
            <w:tcW w:type="dxa" w:w="3168"/>
            <w:shd w:val="clear" w:color="auto" w:fill="1F3A5F"/>
          </w:tcPr>
          <w:p>
            <w:r/>
            <w:r>
              <w:rPr>
                <w:b/>
                <w:color w:val="FFFFFF"/>
                <w:sz w:val="15"/>
              </w:rPr>
              <w:t>Requirement</w:t>
            </w:r>
          </w:p>
        </w:tc>
        <w:tc>
          <w:tcPr>
            <w:tcW w:type="dxa" w:w="1440"/>
            <w:shd w:val="clear" w:color="auto" w:fill="1F3A5F"/>
          </w:tcPr>
          <w:p>
            <w:r/>
            <w:r>
              <w:rPr>
                <w:b/>
                <w:color w:val="FFFFFF"/>
                <w:sz w:val="15"/>
              </w:rPr>
              <w:t>Deadline</w:t>
            </w:r>
          </w:p>
        </w:tc>
        <w:tc>
          <w:tcPr>
            <w:tcW w:type="dxa" w:w="2304"/>
            <w:shd w:val="clear" w:color="auto" w:fill="1F3A5F"/>
          </w:tcPr>
          <w:p>
            <w:r/>
            <w:r>
              <w:rPr>
                <w:b/>
                <w:color w:val="FFFFFF"/>
                <w:sz w:val="15"/>
              </w:rPr>
              <w:t>Consequence / notes</w:t>
            </w:r>
          </w:p>
        </w:tc>
        <w:tc>
          <w:tcPr>
            <w:tcW w:type="dxa" w:w="1008"/>
            <w:shd w:val="clear" w:color="auto" w:fill="1F3A5F"/>
          </w:tcPr>
          <w:p>
            <w:r/>
            <w:r>
              <w:rPr>
                <w:b/>
                <w:color w:val="FFFFFF"/>
                <w:sz w:val="15"/>
              </w:rPr>
              <w:t>Exh. D</w:t>
            </w:r>
          </w:p>
        </w:tc>
      </w:tr>
      <w:tr>
        <w:tc>
          <w:tcPr>
            <w:tcW w:type="dxa" w:w="1440"/>
          </w:tcPr>
          <w:p>
            <w:pPr>
              <w:spacing w:after="20"/>
            </w:pPr>
            <w:r/>
            <w:r>
              <w:rPr>
                <w:b w:val="0"/>
                <w:i w:val="0"/>
                <w:sz w:val="15"/>
              </w:rPr>
              <w:t>Claim Notice</w:t>
            </w:r>
          </w:p>
        </w:tc>
        <w:tc>
          <w:tcPr>
            <w:tcW w:type="dxa" w:w="3168"/>
          </w:tcPr>
          <w:p>
            <w:pPr>
              <w:spacing w:after="20"/>
            </w:pPr>
            <w:r/>
            <w:r>
              <w:rPr>
                <w:b w:val="0"/>
                <w:i w:val="0"/>
                <w:sz w:val="15"/>
              </w:rPr>
              <w:t>Written notice of each Third-Party Claim to every potentially responsible Indemnifying Party; contents: (a) claim description and claimant; (b) copies of material documents; (c) SA section(s) invoked; (d) good-faith exposure estimate; (e) statement of applicable cap/basket/deductible</w:t>
            </w:r>
          </w:p>
        </w:tc>
        <w:tc>
          <w:tcPr>
            <w:tcW w:type="dxa" w:w="1440"/>
          </w:tcPr>
          <w:p>
            <w:pPr>
              <w:spacing w:after="20"/>
            </w:pPr>
            <w:r/>
            <w:r>
              <w:rPr>
                <w:b w:val="0"/>
                <w:i w:val="0"/>
                <w:sz w:val="15"/>
              </w:rPr>
              <w:t>30 Business Days after actual receipt (service, demand, regulatory notice, order, subpoena)</w:t>
            </w:r>
          </w:p>
        </w:tc>
        <w:tc>
          <w:tcPr>
            <w:tcW w:type="dxa" w:w="2304"/>
          </w:tcPr>
          <w:p>
            <w:pPr>
              <w:spacing w:after="20"/>
            </w:pPr>
            <w:r/>
            <w:r>
              <w:rPr>
                <w:b w:val="0"/>
                <w:i w:val="0"/>
                <w:sz w:val="15"/>
              </w:rPr>
              <w:t>Late or deficient notice does not forfeit rights unless the Indemnifying Party proves material prejudice (burden on indemnitor); deficiencies curable by supplement before prejudice</w:t>
            </w:r>
          </w:p>
        </w:tc>
        <w:tc>
          <w:tcPr>
            <w:tcW w:type="dxa" w:w="1008"/>
          </w:tcPr>
          <w:p>
            <w:pPr>
              <w:spacing w:after="20"/>
            </w:pPr>
            <w:r/>
            <w:r>
              <w:rPr>
                <w:b w:val="0"/>
                <w:i w:val="0"/>
                <w:sz w:val="15"/>
              </w:rPr>
              <w:t>1, 2.1-2.3</w:t>
            </w:r>
          </w:p>
        </w:tc>
      </w:tr>
      <w:tr>
        <w:tc>
          <w:tcPr>
            <w:tcW w:type="dxa" w:w="1440"/>
          </w:tcPr>
          <w:p>
            <w:pPr>
              <w:spacing w:after="20"/>
            </w:pPr>
            <w:r/>
            <w:r>
              <w:rPr>
                <w:b w:val="0"/>
                <w:i w:val="0"/>
                <w:sz w:val="15"/>
              </w:rPr>
              <w:t>Defense Notice</w:t>
            </w:r>
          </w:p>
        </w:tc>
        <w:tc>
          <w:tcPr>
            <w:tcW w:type="dxa" w:w="3168"/>
          </w:tcPr>
          <w:p>
            <w:pPr>
              <w:spacing w:after="20"/>
            </w:pPr>
            <w:r/>
            <w:r>
              <w:rPr>
                <w:b w:val="0"/>
                <w:i w:val="0"/>
                <w:sz w:val="15"/>
              </w:rPr>
              <w:t>Indemnifying Party may assume defense by notice that (a) accepts indemnification responsibility (subject to caps, baskets, deductibles, exclusions) and (b) names counsel reasonably acceptable to Indemnified Party</w:t>
            </w:r>
          </w:p>
        </w:tc>
        <w:tc>
          <w:tcPr>
            <w:tcW w:type="dxa" w:w="1440"/>
          </w:tcPr>
          <w:p>
            <w:pPr>
              <w:spacing w:after="20"/>
            </w:pPr>
            <w:r/>
            <w:r>
              <w:rPr>
                <w:b w:val="0"/>
                <w:i w:val="0"/>
                <w:sz w:val="15"/>
              </w:rPr>
              <w:t>20 Business Days after receipt of Claim Notice</w:t>
            </w:r>
          </w:p>
        </w:tc>
        <w:tc>
          <w:tcPr>
            <w:tcW w:type="dxa" w:w="2304"/>
          </w:tcPr>
          <w:p>
            <w:pPr>
              <w:spacing w:after="20"/>
            </w:pPr>
            <w:r/>
            <w:r>
              <w:rPr>
                <w:b w:val="0"/>
                <w:i w:val="0"/>
                <w:sz w:val="15"/>
              </w:rPr>
              <w:t>If not timely, Indemnified Party defends at Indemnifying Party's reasonable expense, subject to limits</w:t>
            </w:r>
          </w:p>
        </w:tc>
        <w:tc>
          <w:tcPr>
            <w:tcW w:type="dxa" w:w="1008"/>
          </w:tcPr>
          <w:p>
            <w:pPr>
              <w:spacing w:after="20"/>
            </w:pPr>
            <w:r/>
            <w:r>
              <w:rPr>
                <w:b w:val="0"/>
                <w:i w:val="0"/>
                <w:sz w:val="15"/>
              </w:rPr>
              <w:t>3.1</w:t>
            </w:r>
          </w:p>
        </w:tc>
      </w:tr>
      <w:tr>
        <w:tc>
          <w:tcPr>
            <w:tcW w:type="dxa" w:w="1440"/>
          </w:tcPr>
          <w:p>
            <w:pPr>
              <w:spacing w:after="20"/>
            </w:pPr>
            <w:r/>
            <w:r>
              <w:rPr>
                <w:b w:val="0"/>
                <w:i w:val="0"/>
                <w:sz w:val="15"/>
              </w:rPr>
              <w:t>Defense by Indemnifying Party</w:t>
            </w:r>
          </w:p>
        </w:tc>
        <w:tc>
          <w:tcPr>
            <w:tcW w:type="dxa" w:w="3168"/>
          </w:tcPr>
          <w:p>
            <w:pPr>
              <w:spacing w:after="20"/>
            </w:pPr>
            <w:r/>
            <w:r>
              <w:rPr>
                <w:b w:val="0"/>
                <w:i w:val="0"/>
                <w:sz w:val="15"/>
              </w:rPr>
              <w:t>Sole control of defense; must provide copies of material pleadings, correspondence and orders</w:t>
            </w:r>
          </w:p>
        </w:tc>
        <w:tc>
          <w:tcPr>
            <w:tcW w:type="dxa" w:w="1440"/>
          </w:tcPr>
          <w:p>
            <w:pPr>
              <w:spacing w:after="20"/>
            </w:pPr>
            <w:r/>
            <w:r>
              <w:rPr>
                <w:b w:val="0"/>
                <w:i w:val="0"/>
                <w:sz w:val="15"/>
              </w:rPr>
              <w:t>Within 10 Business Days of receipt/filing</w:t>
            </w:r>
          </w:p>
        </w:tc>
        <w:tc>
          <w:tcPr>
            <w:tcW w:type="dxa" w:w="2304"/>
          </w:tcPr>
          <w:p>
            <w:pPr>
              <w:spacing w:after="20"/>
            </w:pPr>
            <w:r/>
            <w:r>
              <w:rPr>
                <w:b w:val="0"/>
                <w:i w:val="0"/>
                <w:sz w:val="15"/>
              </w:rPr>
              <w:t>--</w:t>
            </w:r>
          </w:p>
        </w:tc>
        <w:tc>
          <w:tcPr>
            <w:tcW w:type="dxa" w:w="1008"/>
          </w:tcPr>
          <w:p>
            <w:pPr>
              <w:spacing w:after="20"/>
            </w:pPr>
            <w:r/>
            <w:r>
              <w:rPr>
                <w:b w:val="0"/>
                <w:i w:val="0"/>
                <w:sz w:val="15"/>
              </w:rPr>
              <w:t>3.2(a)-(b)</w:t>
            </w:r>
          </w:p>
        </w:tc>
      </w:tr>
      <w:tr>
        <w:tc>
          <w:tcPr>
            <w:tcW w:type="dxa" w:w="1440"/>
          </w:tcPr>
          <w:p>
            <w:pPr>
              <w:spacing w:after="20"/>
            </w:pPr>
            <w:r/>
            <w:r>
              <w:rPr>
                <w:b w:val="0"/>
                <w:i w:val="0"/>
                <w:sz w:val="15"/>
              </w:rPr>
              <w:t>Settlement consent (Indemnifying Party controls)</w:t>
            </w:r>
          </w:p>
        </w:tc>
        <w:tc>
          <w:tcPr>
            <w:tcW w:type="dxa" w:w="3168"/>
          </w:tcPr>
          <w:p>
            <w:pPr>
              <w:spacing w:after="20"/>
            </w:pPr>
            <w:r/>
            <w:r>
              <w:rPr>
                <w:b w:val="0"/>
                <w:i w:val="0"/>
                <w:sz w:val="15"/>
              </w:rPr>
              <w:t>No judgment/settlement unless: money only, for which Indemnifying Party is solely responsible; no injunctive/equitable relief or consent order; no admission; full unconditional release. Otherwise prior written consent of Indemnified Party (not unreasonably withheld)</w:t>
            </w:r>
          </w:p>
        </w:tc>
        <w:tc>
          <w:tcPr>
            <w:tcW w:type="dxa" w:w="1440"/>
          </w:tcPr>
          <w:p>
            <w:pPr>
              <w:spacing w:after="20"/>
            </w:pPr>
            <w:r/>
            <w:r>
              <w:rPr>
                <w:b w:val="0"/>
                <w:i w:val="0"/>
                <w:sz w:val="15"/>
              </w:rPr>
              <w:t>--</w:t>
            </w:r>
          </w:p>
        </w:tc>
        <w:tc>
          <w:tcPr>
            <w:tcW w:type="dxa" w:w="2304"/>
          </w:tcPr>
          <w:p>
            <w:pPr>
              <w:spacing w:after="20"/>
            </w:pPr>
            <w:r/>
            <w:r>
              <w:rPr>
                <w:b w:val="0"/>
                <w:i w:val="0"/>
                <w:sz w:val="15"/>
              </w:rPr>
              <w:t>"Solely responsible" condition does not fit deductible or proportional claims (PD-9)</w:t>
            </w:r>
          </w:p>
        </w:tc>
        <w:tc>
          <w:tcPr>
            <w:tcW w:type="dxa" w:w="1008"/>
          </w:tcPr>
          <w:p>
            <w:pPr>
              <w:spacing w:after="20"/>
            </w:pPr>
            <w:r/>
            <w:r>
              <w:rPr>
                <w:b w:val="0"/>
                <w:i w:val="0"/>
                <w:sz w:val="15"/>
              </w:rPr>
              <w:t>3.2(c)</w:t>
            </w:r>
          </w:p>
        </w:tc>
      </w:tr>
      <w:tr>
        <w:tc>
          <w:tcPr>
            <w:tcW w:type="dxa" w:w="1440"/>
          </w:tcPr>
          <w:p>
            <w:pPr>
              <w:spacing w:after="20"/>
            </w:pPr>
            <w:r/>
            <w:r>
              <w:rPr>
                <w:b w:val="0"/>
                <w:i w:val="0"/>
                <w:sz w:val="15"/>
              </w:rPr>
              <w:t>Participation</w:t>
            </w:r>
          </w:p>
        </w:tc>
        <w:tc>
          <w:tcPr>
            <w:tcW w:type="dxa" w:w="3168"/>
          </w:tcPr>
          <w:p>
            <w:pPr>
              <w:spacing w:after="20"/>
            </w:pPr>
            <w:r/>
            <w:r>
              <w:rPr>
                <w:b w:val="0"/>
                <w:i w:val="0"/>
                <w:sz w:val="15"/>
              </w:rPr>
              <w:t>Indemnified Party may participate (not control) with own counsel at own cost; may attend proceedings and consult</w:t>
            </w:r>
          </w:p>
        </w:tc>
        <w:tc>
          <w:tcPr>
            <w:tcW w:type="dxa" w:w="1440"/>
          </w:tcPr>
          <w:p>
            <w:pPr>
              <w:spacing w:after="20"/>
            </w:pPr>
            <w:r/>
            <w:r>
              <w:rPr>
                <w:b w:val="0"/>
                <w:i w:val="0"/>
                <w:sz w:val="15"/>
              </w:rPr>
              <w:t>--</w:t>
            </w:r>
          </w:p>
        </w:tc>
        <w:tc>
          <w:tcPr>
            <w:tcW w:type="dxa" w:w="2304"/>
          </w:tcPr>
          <w:p>
            <w:pPr>
              <w:spacing w:after="20"/>
            </w:pPr>
            <w:r/>
            <w:r>
              <w:rPr>
                <w:b w:val="0"/>
                <w:i w:val="0"/>
                <w:sz w:val="15"/>
              </w:rPr>
              <w:t>Separate counsel may not act inconsistently with defense strategy without consent</w:t>
            </w:r>
          </w:p>
        </w:tc>
        <w:tc>
          <w:tcPr>
            <w:tcW w:type="dxa" w:w="1008"/>
          </w:tcPr>
          <w:p>
            <w:pPr>
              <w:spacing w:after="20"/>
            </w:pPr>
            <w:r/>
            <w:r>
              <w:rPr>
                <w:b w:val="0"/>
                <w:i w:val="0"/>
                <w:sz w:val="15"/>
              </w:rPr>
              <w:t>3.3</w:t>
            </w:r>
          </w:p>
        </w:tc>
      </w:tr>
      <w:tr>
        <w:tc>
          <w:tcPr>
            <w:tcW w:type="dxa" w:w="1440"/>
          </w:tcPr>
          <w:p>
            <w:pPr>
              <w:spacing w:after="20"/>
            </w:pPr>
            <w:r/>
            <w:r>
              <w:rPr>
                <w:b w:val="0"/>
                <w:i w:val="0"/>
                <w:sz w:val="15"/>
              </w:rPr>
              <w:t>Defense by Indemnified Party</w:t>
            </w:r>
          </w:p>
        </w:tc>
        <w:tc>
          <w:tcPr>
            <w:tcW w:type="dxa" w:w="3168"/>
          </w:tcPr>
          <w:p>
            <w:pPr>
              <w:spacing w:after="20"/>
            </w:pPr>
            <w:r/>
            <w:r>
              <w:rPr>
                <w:b w:val="0"/>
                <w:i w:val="0"/>
                <w:sz w:val="15"/>
              </w:rPr>
              <w:t xml:space="preserve">Good faith, commercially reasonable, competent counsel; no settlement that increases indemnitor's exposure </w:t>
            </w:r>
            <w:r>
              <w:rPr>
                <w:b/>
                <w:i w:val="0"/>
                <w:sz w:val="15"/>
              </w:rPr>
              <w:t>beyond the applicable cap</w:t>
            </w:r>
            <w:r>
              <w:rPr>
                <w:b w:val="0"/>
                <w:i w:val="0"/>
                <w:sz w:val="15"/>
              </w:rPr>
              <w:t xml:space="preserve"> without consent; keep indemnitor informed; reasonable defense costs recoverable subject to limits</w:t>
            </w:r>
          </w:p>
        </w:tc>
        <w:tc>
          <w:tcPr>
            <w:tcW w:type="dxa" w:w="1440"/>
          </w:tcPr>
          <w:p>
            <w:pPr>
              <w:spacing w:after="20"/>
            </w:pPr>
            <w:r/>
            <w:r>
              <w:rPr>
                <w:b w:val="0"/>
                <w:i w:val="0"/>
                <w:sz w:val="15"/>
              </w:rPr>
              <w:t>Updates within a commercially reasonable time</w:t>
            </w:r>
          </w:p>
        </w:tc>
        <w:tc>
          <w:tcPr>
            <w:tcW w:type="dxa" w:w="2304"/>
          </w:tcPr>
          <w:p>
            <w:pPr>
              <w:spacing w:after="20"/>
            </w:pPr>
            <w:r/>
            <w:r>
              <w:rPr>
                <w:b w:val="0"/>
                <w:i w:val="0"/>
                <w:sz w:val="15"/>
              </w:rPr>
              <w:t>Indemnified Party may settle within the cap without consent</w:t>
            </w:r>
          </w:p>
        </w:tc>
        <w:tc>
          <w:tcPr>
            <w:tcW w:type="dxa" w:w="1008"/>
          </w:tcPr>
          <w:p>
            <w:pPr>
              <w:spacing w:after="20"/>
            </w:pPr>
            <w:r/>
            <w:r>
              <w:rPr>
                <w:b w:val="0"/>
                <w:i w:val="0"/>
                <w:sz w:val="15"/>
              </w:rPr>
              <w:t>3.4</w:t>
            </w:r>
          </w:p>
        </w:tc>
      </w:tr>
      <w:tr>
        <w:tc>
          <w:tcPr>
            <w:tcW w:type="dxa" w:w="1440"/>
          </w:tcPr>
          <w:p>
            <w:pPr>
              <w:spacing w:after="20"/>
            </w:pPr>
            <w:r/>
            <w:r>
              <w:rPr>
                <w:b w:val="0"/>
                <w:i w:val="0"/>
                <w:sz w:val="15"/>
              </w:rPr>
              <w:t>Cooperation</w:t>
            </w:r>
          </w:p>
        </w:tc>
        <w:tc>
          <w:tcPr>
            <w:tcW w:type="dxa" w:w="3168"/>
          </w:tcPr>
          <w:p>
            <w:pPr>
              <w:spacing w:after="20"/>
            </w:pPr>
            <w:r/>
            <w:r>
              <w:rPr>
                <w:b w:val="0"/>
                <w:i w:val="0"/>
                <w:sz w:val="15"/>
              </w:rPr>
              <w:t>Indemnified Party provides documents, personnel for interviews/testimony, powers of attorney and good-faith cooperation</w:t>
            </w:r>
          </w:p>
        </w:tc>
        <w:tc>
          <w:tcPr>
            <w:tcW w:type="dxa" w:w="1440"/>
          </w:tcPr>
          <w:p>
            <w:pPr>
              <w:spacing w:after="20"/>
            </w:pPr>
            <w:r/>
            <w:r>
              <w:rPr>
                <w:b w:val="0"/>
                <w:i w:val="0"/>
                <w:sz w:val="15"/>
              </w:rPr>
              <w:t>Ongoing</w:t>
            </w:r>
          </w:p>
        </w:tc>
        <w:tc>
          <w:tcPr>
            <w:tcW w:type="dxa" w:w="2304"/>
          </w:tcPr>
          <w:p>
            <w:pPr>
              <w:spacing w:after="20"/>
            </w:pPr>
            <w:r/>
            <w:r>
              <w:rPr>
                <w:b w:val="0"/>
                <w:i w:val="0"/>
                <w:sz w:val="15"/>
              </w:rPr>
              <w:t>Out-of-pocket cooperation costs (excluding separate counsel) borne by Indemnifying Party; monthly itemized invoices; reimbursement within 30 days</w:t>
            </w:r>
          </w:p>
        </w:tc>
        <w:tc>
          <w:tcPr>
            <w:tcW w:type="dxa" w:w="1008"/>
          </w:tcPr>
          <w:p>
            <w:pPr>
              <w:spacing w:after="20"/>
            </w:pPr>
            <w:r/>
            <w:r>
              <w:rPr>
                <w:b w:val="0"/>
                <w:i w:val="0"/>
                <w:sz w:val="15"/>
              </w:rPr>
              <w:t>4.1-4.2</w:t>
            </w:r>
          </w:p>
        </w:tc>
      </w:tr>
      <w:tr>
        <w:tc>
          <w:tcPr>
            <w:tcW w:type="dxa" w:w="1440"/>
          </w:tcPr>
          <w:p>
            <w:pPr>
              <w:spacing w:after="20"/>
            </w:pPr>
            <w:r/>
            <w:r>
              <w:rPr>
                <w:b w:val="0"/>
                <w:i w:val="0"/>
                <w:sz w:val="15"/>
              </w:rPr>
              <w:t>Privilege</w:t>
            </w:r>
          </w:p>
        </w:tc>
        <w:tc>
          <w:tcPr>
            <w:tcW w:type="dxa" w:w="3168"/>
          </w:tcPr>
          <w:p>
            <w:pPr>
              <w:spacing w:after="20"/>
            </w:pPr>
            <w:r/>
            <w:r>
              <w:rPr>
                <w:b w:val="0"/>
                <w:i w:val="0"/>
                <w:sz w:val="15"/>
              </w:rPr>
              <w:t>No privilege waiver required; parties to negotiate a joint defense/common interest agreement</w:t>
            </w:r>
          </w:p>
        </w:tc>
        <w:tc>
          <w:tcPr>
            <w:tcW w:type="dxa" w:w="1440"/>
          </w:tcPr>
          <w:p>
            <w:pPr>
              <w:spacing w:after="20"/>
            </w:pPr>
            <w:r/>
            <w:r>
              <w:rPr>
                <w:b w:val="0"/>
                <w:i w:val="0"/>
                <w:sz w:val="15"/>
              </w:rPr>
              <w:t>--</w:t>
            </w:r>
          </w:p>
        </w:tc>
        <w:tc>
          <w:tcPr>
            <w:tcW w:type="dxa" w:w="2304"/>
          </w:tcPr>
          <w:p>
            <w:pPr>
              <w:spacing w:after="20"/>
            </w:pPr>
            <w:r/>
            <w:r>
              <w:rPr>
                <w:b w:val="0"/>
                <w:i w:val="0"/>
                <w:sz w:val="15"/>
              </w:rPr>
              <w:t>Recommend executing one now for TNA/SSC</w:t>
            </w:r>
          </w:p>
        </w:tc>
        <w:tc>
          <w:tcPr>
            <w:tcW w:type="dxa" w:w="1008"/>
          </w:tcPr>
          <w:p>
            <w:pPr>
              <w:spacing w:after="20"/>
            </w:pPr>
            <w:r/>
            <w:r>
              <w:rPr>
                <w:b w:val="0"/>
                <w:i w:val="0"/>
                <w:sz w:val="15"/>
              </w:rPr>
              <w:t>4.3</w:t>
            </w:r>
          </w:p>
        </w:tc>
      </w:tr>
      <w:tr>
        <w:tc>
          <w:tcPr>
            <w:tcW w:type="dxa" w:w="1440"/>
          </w:tcPr>
          <w:p>
            <w:pPr>
              <w:spacing w:after="20"/>
            </w:pPr>
            <w:r/>
            <w:r>
              <w:rPr>
                <w:b w:val="0"/>
                <w:i w:val="0"/>
                <w:sz w:val="15"/>
              </w:rPr>
              <w:t>Insurance</w:t>
            </w:r>
          </w:p>
        </w:tc>
        <w:tc>
          <w:tcPr>
            <w:tcW w:type="dxa" w:w="3168"/>
          </w:tcPr>
          <w:p>
            <w:pPr>
              <w:spacing w:after="20"/>
            </w:pPr>
            <w:r/>
            <w:r>
              <w:rPr>
                <w:b w:val="0"/>
                <w:i w:val="0"/>
                <w:sz w:val="15"/>
              </w:rPr>
              <w:t>Pursue insurance before Exh. D 6 claim; report material developments; dollar-for-dollar offset; minimum steps incl. exhausting insurer internal appeals; remit later proceeds</w:t>
            </w:r>
          </w:p>
        </w:tc>
        <w:tc>
          <w:tcPr>
            <w:tcW w:type="dxa" w:w="1440"/>
          </w:tcPr>
          <w:p>
            <w:pPr>
              <w:spacing w:after="20"/>
            </w:pPr>
            <w:r/>
            <w:r>
              <w:rPr>
                <w:b w:val="0"/>
                <w:i w:val="0"/>
                <w:sz w:val="15"/>
              </w:rPr>
              <w:t>Developments: 15 Business Days; remittance: 15 Business Days</w:t>
            </w:r>
          </w:p>
        </w:tc>
        <w:tc>
          <w:tcPr>
            <w:tcW w:type="dxa" w:w="2304"/>
          </w:tcPr>
          <w:p>
            <w:pPr>
              <w:spacing w:after="20"/>
            </w:pPr>
            <w:r/>
            <w:r>
              <w:rPr>
                <w:b w:val="0"/>
                <w:i w:val="0"/>
                <w:sz w:val="15"/>
              </w:rPr>
              <w:t>Ripeness tied to insurer appeals</w:t>
            </w:r>
          </w:p>
        </w:tc>
        <w:tc>
          <w:tcPr>
            <w:tcW w:type="dxa" w:w="1008"/>
          </w:tcPr>
          <w:p>
            <w:pPr>
              <w:spacing w:after="20"/>
            </w:pPr>
            <w:r/>
            <w:r>
              <w:rPr>
                <w:b w:val="0"/>
                <w:i w:val="0"/>
                <w:sz w:val="15"/>
              </w:rPr>
              <w:t>5(a)-(e)</w:t>
            </w:r>
          </w:p>
        </w:tc>
      </w:tr>
      <w:tr>
        <w:tc>
          <w:tcPr>
            <w:tcW w:type="dxa" w:w="1440"/>
          </w:tcPr>
          <w:p>
            <w:pPr>
              <w:spacing w:after="20"/>
            </w:pPr>
            <w:r/>
            <w:r>
              <w:rPr>
                <w:b w:val="0"/>
                <w:i w:val="0"/>
                <w:sz w:val="15"/>
              </w:rPr>
              <w:t>Indemnification claim</w:t>
            </w:r>
          </w:p>
        </w:tc>
        <w:tc>
          <w:tcPr>
            <w:tcW w:type="dxa" w:w="3168"/>
          </w:tcPr>
          <w:p>
            <w:pPr>
              <w:spacing w:after="20"/>
            </w:pPr>
            <w:r/>
            <w:r>
              <w:rPr>
                <w:b w:val="0"/>
                <w:i w:val="0"/>
                <w:sz w:val="15"/>
              </w:rPr>
              <w:t>After final resolution of Third-Party Claim: resolution document; itemized Losses with support; insurance documentation; calculation applying cap, basket, offset; officer certification that claim is not an Excluded Claim</w:t>
            </w:r>
          </w:p>
        </w:tc>
        <w:tc>
          <w:tcPr>
            <w:tcW w:type="dxa" w:w="1440"/>
          </w:tcPr>
          <w:p>
            <w:pPr>
              <w:spacing w:after="20"/>
            </w:pPr>
            <w:r/>
            <w:r>
              <w:rPr>
                <w:b w:val="0"/>
                <w:i w:val="0"/>
                <w:sz w:val="15"/>
              </w:rPr>
              <w:t>After final judgment, settlement, dismissal or other final disposition</w:t>
            </w:r>
          </w:p>
        </w:tc>
        <w:tc>
          <w:tcPr>
            <w:tcW w:type="dxa" w:w="2304"/>
          </w:tcPr>
          <w:p>
            <w:pPr>
              <w:spacing w:after="20"/>
            </w:pPr>
            <w:r/>
            <w:r>
              <w:rPr>
                <w:b w:val="0"/>
                <w:i w:val="0"/>
                <w:sz w:val="15"/>
              </w:rPr>
              <w:t>No interim reimbursement mechanism for defense costs</w:t>
            </w:r>
          </w:p>
        </w:tc>
        <w:tc>
          <w:tcPr>
            <w:tcW w:type="dxa" w:w="1008"/>
          </w:tcPr>
          <w:p>
            <w:pPr>
              <w:spacing w:after="20"/>
            </w:pPr>
            <w:r/>
            <w:r>
              <w:rPr>
                <w:b w:val="0"/>
                <w:i w:val="0"/>
                <w:sz w:val="15"/>
              </w:rPr>
              <w:t>6.1</w:t>
            </w:r>
          </w:p>
        </w:tc>
      </w:tr>
      <w:tr>
        <w:tc>
          <w:tcPr>
            <w:tcW w:type="dxa" w:w="1440"/>
          </w:tcPr>
          <w:p>
            <w:pPr>
              <w:spacing w:after="20"/>
            </w:pPr>
            <w:r/>
            <w:r>
              <w:rPr>
                <w:b w:val="0"/>
                <w:i w:val="0"/>
                <w:sz w:val="15"/>
              </w:rPr>
              <w:t>Payment</w:t>
            </w:r>
          </w:p>
        </w:tc>
        <w:tc>
          <w:tcPr>
            <w:tcW w:type="dxa" w:w="3168"/>
          </w:tcPr>
          <w:p>
            <w:pPr>
              <w:spacing w:after="20"/>
            </w:pPr>
            <w:r/>
            <w:r>
              <w:rPr>
                <w:b w:val="0"/>
                <w:i w:val="0"/>
                <w:sz w:val="15"/>
              </w:rPr>
              <w:t>Undisputed amounts by wire</w:t>
            </w:r>
          </w:p>
        </w:tc>
        <w:tc>
          <w:tcPr>
            <w:tcW w:type="dxa" w:w="1440"/>
          </w:tcPr>
          <w:p>
            <w:pPr>
              <w:spacing w:after="20"/>
            </w:pPr>
            <w:r/>
            <w:r>
              <w:rPr>
                <w:b w:val="0"/>
                <w:i w:val="0"/>
                <w:sz w:val="15"/>
              </w:rPr>
              <w:t>45 days after complete claim</w:t>
            </w:r>
          </w:p>
        </w:tc>
        <w:tc>
          <w:tcPr>
            <w:tcW w:type="dxa" w:w="2304"/>
          </w:tcPr>
          <w:p>
            <w:pPr>
              <w:spacing w:after="20"/>
            </w:pPr>
            <w:r/>
            <w:r>
              <w:rPr>
                <w:b w:val="0"/>
                <w:i w:val="0"/>
                <w:sz w:val="15"/>
              </w:rPr>
              <w:t>Interest: lesser of 1%/month compounded monthly or lawful maximum</w:t>
            </w:r>
          </w:p>
        </w:tc>
        <w:tc>
          <w:tcPr>
            <w:tcW w:type="dxa" w:w="1008"/>
          </w:tcPr>
          <w:p>
            <w:pPr>
              <w:spacing w:after="20"/>
            </w:pPr>
            <w:r/>
            <w:r>
              <w:rPr>
                <w:b w:val="0"/>
                <w:i w:val="0"/>
                <w:sz w:val="15"/>
              </w:rPr>
              <w:t>6.2</w:t>
            </w:r>
          </w:p>
        </w:tc>
      </w:tr>
      <w:tr>
        <w:tc>
          <w:tcPr>
            <w:tcW w:type="dxa" w:w="1440"/>
          </w:tcPr>
          <w:p>
            <w:pPr>
              <w:spacing w:after="20"/>
            </w:pPr>
            <w:r/>
            <w:r>
              <w:rPr>
                <w:b w:val="0"/>
                <w:i w:val="0"/>
                <w:sz w:val="15"/>
              </w:rPr>
              <w:t>Dispute Notice</w:t>
            </w:r>
          </w:p>
        </w:tc>
        <w:tc>
          <w:tcPr>
            <w:tcW w:type="dxa" w:w="3168"/>
          </w:tcPr>
          <w:p>
            <w:pPr>
              <w:spacing w:after="20"/>
            </w:pPr>
            <w:r/>
            <w:r>
              <w:rPr>
                <w:b w:val="0"/>
                <w:i w:val="0"/>
                <w:sz w:val="15"/>
              </w:rPr>
              <w:t>Itemized disputed amounts with factual/legal basis; pay undisputed portion</w:t>
            </w:r>
          </w:p>
        </w:tc>
        <w:tc>
          <w:tcPr>
            <w:tcW w:type="dxa" w:w="1440"/>
          </w:tcPr>
          <w:p>
            <w:pPr>
              <w:spacing w:after="20"/>
            </w:pPr>
            <w:r/>
            <w:r>
              <w:rPr>
                <w:b w:val="0"/>
                <w:i w:val="0"/>
                <w:sz w:val="15"/>
              </w:rPr>
              <w:t>30 days after receipt of claim</w:t>
            </w:r>
          </w:p>
        </w:tc>
        <w:tc>
          <w:tcPr>
            <w:tcW w:type="dxa" w:w="2304"/>
          </w:tcPr>
          <w:p>
            <w:pPr>
              <w:spacing w:after="20"/>
            </w:pPr>
            <w:r/>
            <w:r>
              <w:rPr>
                <w:b w:val="0"/>
                <w:i w:val="0"/>
                <w:sz w:val="15"/>
              </w:rPr>
              <w:t>Disputes to be resolved "under Article IX" (should be Article XI)</w:t>
            </w:r>
          </w:p>
        </w:tc>
        <w:tc>
          <w:tcPr>
            <w:tcW w:type="dxa" w:w="1008"/>
          </w:tcPr>
          <w:p>
            <w:pPr>
              <w:spacing w:after="20"/>
            </w:pPr>
            <w:r/>
            <w:r>
              <w:rPr>
                <w:b w:val="0"/>
                <w:i w:val="0"/>
                <w:sz w:val="15"/>
              </w:rPr>
              <w:t>6.3</w:t>
            </w:r>
          </w:p>
        </w:tc>
      </w:tr>
      <w:tr>
        <w:tc>
          <w:tcPr>
            <w:tcW w:type="dxa" w:w="1440"/>
          </w:tcPr>
          <w:p>
            <w:pPr>
              <w:spacing w:after="20"/>
            </w:pPr>
            <w:r/>
            <w:r>
              <w:rPr>
                <w:b w:val="0"/>
                <w:i w:val="0"/>
                <w:sz w:val="15"/>
              </w:rPr>
              <w:t>Multiple Indemnifying Parties</w:t>
            </w:r>
          </w:p>
        </w:tc>
        <w:tc>
          <w:tcPr>
            <w:tcW w:type="dxa" w:w="3168"/>
          </w:tcPr>
          <w:p>
            <w:pPr>
              <w:spacing w:after="20"/>
            </w:pPr>
            <w:r/>
            <w:r>
              <w:rPr>
                <w:b w:val="0"/>
                <w:i w:val="0"/>
                <w:sz w:val="15"/>
              </w:rPr>
              <w:t>Notice to each; indemnitors coordinate defense; if no agreement, Indemnified Party designates a lead or defends itself; costs shared per Article VIII proportions (62/28/10 for 8.4; 60/40 for 8.5)</w:t>
            </w:r>
          </w:p>
        </w:tc>
        <w:tc>
          <w:tcPr>
            <w:tcW w:type="dxa" w:w="1440"/>
          </w:tcPr>
          <w:p>
            <w:pPr>
              <w:spacing w:after="20"/>
            </w:pPr>
            <w:r/>
            <w:r>
              <w:rPr>
                <w:b w:val="0"/>
                <w:i w:val="0"/>
                <w:sz w:val="15"/>
              </w:rPr>
              <w:t>20 Business Days</w:t>
            </w:r>
          </w:p>
        </w:tc>
        <w:tc>
          <w:tcPr>
            <w:tcW w:type="dxa" w:w="2304"/>
          </w:tcPr>
          <w:p>
            <w:pPr>
              <w:spacing w:after="20"/>
            </w:pPr>
            <w:r/>
            <w:r>
              <w:rPr>
                <w:b w:val="0"/>
                <w:i w:val="0"/>
                <w:sz w:val="15"/>
              </w:rPr>
              <w:t>--</w:t>
            </w:r>
          </w:p>
        </w:tc>
        <w:tc>
          <w:tcPr>
            <w:tcW w:type="dxa" w:w="1008"/>
          </w:tcPr>
          <w:p>
            <w:pPr>
              <w:spacing w:after="20"/>
            </w:pPr>
            <w:r/>
            <w:r>
              <w:rPr>
                <w:b w:val="0"/>
                <w:i w:val="0"/>
                <w:sz w:val="15"/>
              </w:rPr>
              <w:t>7</w:t>
            </w:r>
          </w:p>
        </w:tc>
      </w:tr>
      <w:tr>
        <w:tc>
          <w:tcPr>
            <w:tcW w:type="dxa" w:w="1440"/>
          </w:tcPr>
          <w:p>
            <w:pPr>
              <w:spacing w:after="20"/>
            </w:pPr>
            <w:r/>
            <w:r>
              <w:rPr>
                <w:b w:val="0"/>
                <w:i w:val="0"/>
                <w:sz w:val="15"/>
              </w:rPr>
              <w:t>Subrogation</w:t>
            </w:r>
          </w:p>
        </w:tc>
        <w:tc>
          <w:tcPr>
            <w:tcW w:type="dxa" w:w="3168"/>
          </w:tcPr>
          <w:p>
            <w:pPr>
              <w:spacing w:after="20"/>
            </w:pPr>
            <w:r/>
            <w:r>
              <w:rPr>
                <w:b w:val="0"/>
                <w:i w:val="0"/>
                <w:sz w:val="15"/>
              </w:rPr>
              <w:t>Indemnifying Party subrogated to Indemnified Party's rights against non-Settling Parties to the extent of payment</w:t>
            </w:r>
          </w:p>
        </w:tc>
        <w:tc>
          <w:tcPr>
            <w:tcW w:type="dxa" w:w="1440"/>
          </w:tcPr>
          <w:p>
            <w:pPr>
              <w:spacing w:after="20"/>
            </w:pPr>
            <w:r/>
            <w:r>
              <w:rPr>
                <w:b w:val="0"/>
                <w:i w:val="0"/>
                <w:sz w:val="15"/>
              </w:rPr>
              <w:t>Upon payment</w:t>
            </w:r>
          </w:p>
        </w:tc>
        <w:tc>
          <w:tcPr>
            <w:tcW w:type="dxa" w:w="2304"/>
          </w:tcPr>
          <w:p>
            <w:pPr>
              <w:spacing w:after="20"/>
            </w:pPr>
            <w:r/>
            <w:r>
              <w:rPr>
                <w:b w:val="0"/>
                <w:i w:val="0"/>
                <w:sz w:val="15"/>
              </w:rPr>
              <w:t>Indemnified Party must not impair subrogation</w:t>
            </w:r>
          </w:p>
        </w:tc>
        <w:tc>
          <w:tcPr>
            <w:tcW w:type="dxa" w:w="1008"/>
          </w:tcPr>
          <w:p>
            <w:pPr>
              <w:spacing w:after="20"/>
            </w:pPr>
            <w:r/>
            <w:r>
              <w:rPr>
                <w:b w:val="0"/>
                <w:i w:val="0"/>
                <w:sz w:val="15"/>
              </w:rPr>
              <w:t>8</w:t>
            </w:r>
          </w:p>
        </w:tc>
      </w:tr>
      <w:tr>
        <w:tc>
          <w:tcPr>
            <w:tcW w:type="dxa" w:w="1440"/>
          </w:tcPr>
          <w:p>
            <w:pPr>
              <w:spacing w:after="20"/>
            </w:pPr>
            <w:r/>
            <w:r>
              <w:rPr>
                <w:b w:val="0"/>
                <w:i w:val="0"/>
                <w:sz w:val="15"/>
              </w:rPr>
              <w:t>Exclusive remedy</w:t>
            </w:r>
          </w:p>
        </w:tc>
        <w:tc>
          <w:tcPr>
            <w:tcW w:type="dxa" w:w="3168"/>
          </w:tcPr>
          <w:p>
            <w:pPr>
              <w:spacing w:after="20"/>
            </w:pPr>
            <w:r/>
            <w:r>
              <w:rPr>
                <w:b w:val="0"/>
                <w:i w:val="0"/>
                <w:sz w:val="15"/>
              </w:rPr>
              <w:t>Article VIII + Exh. D exclusive for covered Third-Party Claims, except decree/Agreed Order remedies, SA 8.4, or applicable law</w:t>
            </w:r>
          </w:p>
        </w:tc>
        <w:tc>
          <w:tcPr>
            <w:tcW w:type="dxa" w:w="1440"/>
          </w:tcPr>
          <w:p>
            <w:pPr>
              <w:spacing w:after="20"/>
            </w:pPr>
            <w:r/>
            <w:r>
              <w:rPr>
                <w:b w:val="0"/>
                <w:i w:val="0"/>
                <w:sz w:val="15"/>
              </w:rPr>
              <w:t>--</w:t>
            </w:r>
          </w:p>
        </w:tc>
        <w:tc>
          <w:tcPr>
            <w:tcW w:type="dxa" w:w="2304"/>
          </w:tcPr>
          <w:p>
            <w:pPr>
              <w:spacing w:after="20"/>
            </w:pPr>
            <w:r/>
            <w:r>
              <w:rPr>
                <w:b w:val="0"/>
                <w:i w:val="0"/>
                <w:sz w:val="15"/>
              </w:rPr>
              <w:t>Ecology's rights unaffected</w:t>
            </w:r>
          </w:p>
        </w:tc>
        <w:tc>
          <w:tcPr>
            <w:tcW w:type="dxa" w:w="1008"/>
          </w:tcPr>
          <w:p>
            <w:pPr>
              <w:spacing w:after="20"/>
            </w:pPr>
            <w:r/>
            <w:r>
              <w:rPr>
                <w:b w:val="0"/>
                <w:i w:val="0"/>
                <w:sz w:val="15"/>
              </w:rPr>
              <w:t>9</w:t>
            </w:r>
          </w:p>
        </w:tc>
      </w:tr>
      <w:tr>
        <w:tc>
          <w:tcPr>
            <w:tcW w:type="dxa" w:w="1440"/>
          </w:tcPr>
          <w:p>
            <w:pPr>
              <w:spacing w:after="20"/>
            </w:pPr>
            <w:r/>
            <w:r>
              <w:rPr>
                <w:b w:val="0"/>
                <w:i w:val="0"/>
                <w:sz w:val="15"/>
              </w:rPr>
              <w:t>Procedural disputes</w:t>
            </w:r>
          </w:p>
        </w:tc>
        <w:tc>
          <w:tcPr>
            <w:tcW w:type="dxa" w:w="3168"/>
          </w:tcPr>
          <w:p>
            <w:pPr>
              <w:spacing w:after="20"/>
            </w:pPr>
            <w:r/>
            <w:r>
              <w:rPr>
                <w:b w:val="0"/>
                <w:i w:val="0"/>
                <w:sz w:val="15"/>
              </w:rPr>
              <w:t>Resolved under "Article IX" (error; should be Article XI)</w:t>
            </w:r>
          </w:p>
        </w:tc>
        <w:tc>
          <w:tcPr>
            <w:tcW w:type="dxa" w:w="1440"/>
          </w:tcPr>
          <w:p>
            <w:pPr>
              <w:spacing w:after="20"/>
            </w:pPr>
            <w:r/>
            <w:r>
              <w:rPr>
                <w:b w:val="0"/>
                <w:i w:val="0"/>
                <w:sz w:val="15"/>
              </w:rPr>
              <w:t>--</w:t>
            </w:r>
          </w:p>
        </w:tc>
        <w:tc>
          <w:tcPr>
            <w:tcW w:type="dxa" w:w="2304"/>
          </w:tcPr>
          <w:p>
            <w:pPr>
              <w:spacing w:after="20"/>
            </w:pPr>
            <w:r/>
            <w:r>
              <w:rPr>
                <w:b w:val="0"/>
                <w:i w:val="0"/>
                <w:sz w:val="15"/>
              </w:rPr>
              <w:t>SA 11.5 controls</w:t>
            </w:r>
          </w:p>
        </w:tc>
        <w:tc>
          <w:tcPr>
            <w:tcW w:type="dxa" w:w="1008"/>
          </w:tcPr>
          <w:p>
            <w:pPr>
              <w:spacing w:after="20"/>
            </w:pPr>
            <w:r/>
            <w:r>
              <w:rPr>
                <w:b w:val="0"/>
                <w:i w:val="0"/>
                <w:sz w:val="15"/>
              </w:rPr>
              <w:t>10</w:t>
            </w:r>
          </w:p>
        </w:tc>
      </w:tr>
      <w:tr>
        <w:tc>
          <w:tcPr>
            <w:tcW w:type="dxa" w:w="1440"/>
          </w:tcPr>
          <w:p>
            <w:pPr>
              <w:spacing w:after="20"/>
            </w:pPr>
            <w:r/>
            <w:r>
              <w:rPr>
                <w:b w:val="0"/>
                <w:i w:val="0"/>
                <w:sz w:val="15"/>
              </w:rPr>
              <w:t>Amendment</w:t>
            </w:r>
          </w:p>
        </w:tc>
        <w:tc>
          <w:tcPr>
            <w:tcW w:type="dxa" w:w="3168"/>
          </w:tcPr>
          <w:p>
            <w:pPr>
              <w:spacing w:after="20"/>
            </w:pPr>
            <w:r/>
            <w:r>
              <w:rPr>
                <w:b w:val="0"/>
                <w:i w:val="0"/>
                <w:sz w:val="15"/>
              </w:rPr>
              <w:t>Written instrument signed by all three Settling Parties</w:t>
            </w:r>
          </w:p>
        </w:tc>
        <w:tc>
          <w:tcPr>
            <w:tcW w:type="dxa" w:w="1440"/>
          </w:tcPr>
          <w:p>
            <w:pPr>
              <w:spacing w:after="20"/>
            </w:pPr>
            <w:r/>
            <w:r>
              <w:rPr>
                <w:b w:val="0"/>
                <w:i w:val="0"/>
                <w:sz w:val="15"/>
              </w:rPr>
              <w:t>--</w:t>
            </w:r>
          </w:p>
        </w:tc>
        <w:tc>
          <w:tcPr>
            <w:tcW w:type="dxa" w:w="2304"/>
          </w:tcPr>
          <w:p>
            <w:pPr>
              <w:spacing w:after="20"/>
            </w:pPr>
            <w:r/>
            <w:r>
              <w:rPr>
                <w:b w:val="0"/>
                <w:i w:val="0"/>
                <w:sz w:val="15"/>
              </w:rPr>
              <w:t>Conflicts with SA 12.2 (all Parties incl. Ecology; Court approval if required)</w:t>
            </w:r>
          </w:p>
        </w:tc>
        <w:tc>
          <w:tcPr>
            <w:tcW w:type="dxa" w:w="1008"/>
          </w:tcPr>
          <w:p>
            <w:pPr>
              <w:spacing w:after="20"/>
            </w:pPr>
            <w:r/>
            <w:r>
              <w:rPr>
                <w:b w:val="0"/>
                <w:i w:val="0"/>
                <w:sz w:val="15"/>
              </w:rPr>
              <w:t>11.1</w:t>
            </w:r>
          </w:p>
        </w:tc>
      </w:tr>
    </w:tbl>
    <w:p>
      <w:pPr>
        <w:spacing w:after="40"/>
      </w:pPr>
    </w:p>
    <w:p>
      <w:pPr>
        <w:pStyle w:val="Heading2"/>
      </w:pPr>
      <w:r>
        <w:t>B. Procedural defects and errors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1F3A5F"/>
          </w:tcPr>
          <w:p>
            <w:r/>
            <w:r>
              <w:rPr>
                <w:b/>
                <w:color w:val="FFFFFF"/>
                <w:sz w:val="15"/>
              </w:rPr>
              <w:t>#</w:t>
            </w:r>
          </w:p>
        </w:tc>
        <w:tc>
          <w:tcPr>
            <w:tcW w:type="dxa" w:w="1728"/>
            <w:shd w:val="clear" w:color="auto" w:fill="1F3A5F"/>
          </w:tcPr>
          <w:p>
            <w:r/>
            <w:r>
              <w:rPr>
                <w:b/>
                <w:color w:val="FFFFFF"/>
                <w:sz w:val="15"/>
              </w:rPr>
              <w:t>Defect</w:t>
            </w:r>
          </w:p>
        </w:tc>
        <w:tc>
          <w:tcPr>
            <w:tcW w:type="dxa" w:w="1296"/>
            <w:shd w:val="clear" w:color="auto" w:fill="1F3A5F"/>
          </w:tcPr>
          <w:p>
            <w:r/>
            <w:r>
              <w:rPr>
                <w:b/>
                <w:color w:val="FFFFFF"/>
                <w:sz w:val="15"/>
              </w:rPr>
              <w:t>Location</w:t>
            </w:r>
          </w:p>
        </w:tc>
        <w:tc>
          <w:tcPr>
            <w:tcW w:type="dxa" w:w="3456"/>
            <w:shd w:val="clear" w:color="auto" w:fill="1F3A5F"/>
          </w:tcPr>
          <w:p>
            <w:r/>
            <w:r>
              <w:rPr>
                <w:b/>
                <w:color w:val="FFFFFF"/>
                <w:sz w:val="15"/>
              </w:rPr>
              <w:t>Correct reference / issue</w:t>
            </w:r>
          </w:p>
        </w:tc>
        <w:tc>
          <w:tcPr>
            <w:tcW w:type="dxa" w:w="2232"/>
            <w:shd w:val="clear" w:color="auto" w:fill="1F3A5F"/>
          </w:tcPr>
          <w:p>
            <w:r/>
            <w:r>
              <w:rPr>
                <w:b/>
                <w:color w:val="FFFFFF"/>
                <w:sz w:val="15"/>
              </w:rPr>
              <w:t>Recommendation</w:t>
            </w:r>
          </w:p>
        </w:tc>
      </w:tr>
      <w:tr>
        <w:tc>
          <w:tcPr>
            <w:tcW w:type="dxa" w:w="648"/>
          </w:tcPr>
          <w:p>
            <w:pPr>
              <w:spacing w:after="20"/>
            </w:pPr>
            <w:r/>
            <w:r>
              <w:rPr>
                <w:b w:val="0"/>
                <w:i w:val="0"/>
                <w:sz w:val="15"/>
              </w:rPr>
              <w:t>PD-1</w:t>
            </w:r>
          </w:p>
        </w:tc>
        <w:tc>
          <w:tcPr>
            <w:tcW w:type="dxa" w:w="1728"/>
          </w:tcPr>
          <w:p>
            <w:pPr>
              <w:spacing w:after="20"/>
            </w:pPr>
            <w:r/>
            <w:r>
              <w:rPr>
                <w:b w:val="0"/>
                <w:i w:val="0"/>
                <w:sz w:val="15"/>
              </w:rPr>
              <w:t>Definitions cross-reference</w:t>
            </w:r>
          </w:p>
        </w:tc>
        <w:tc>
          <w:tcPr>
            <w:tcW w:type="dxa" w:w="1296"/>
          </w:tcPr>
          <w:p>
            <w:pPr>
              <w:spacing w:after="20"/>
            </w:pPr>
            <w:r/>
            <w:r>
              <w:rPr>
                <w:b w:val="0"/>
                <w:i w:val="0"/>
                <w:sz w:val="15"/>
              </w:rPr>
              <w:t>Exh. D preamble</w:t>
            </w:r>
          </w:p>
        </w:tc>
        <w:tc>
          <w:tcPr>
            <w:tcW w:type="dxa" w:w="3456"/>
          </w:tcPr>
          <w:p>
            <w:pPr>
              <w:spacing w:after="20"/>
            </w:pPr>
            <w:r/>
            <w:r>
              <w:rPr>
                <w:b w:val="0"/>
                <w:i w:val="0"/>
                <w:sz w:val="15"/>
              </w:rPr>
              <w:t xml:space="preserve">Refers to definitions in "Article II" of the SA; definitions are in </w:t>
            </w:r>
            <w:r>
              <w:rPr>
                <w:b/>
                <w:i w:val="0"/>
                <w:sz w:val="15"/>
              </w:rPr>
              <w:t>Article I</w:t>
            </w:r>
            <w:r>
              <w:rPr>
                <w:b w:val="0"/>
                <w:i w:val="0"/>
                <w:sz w:val="15"/>
              </w:rPr>
              <w:t xml:space="preserve"> (Article II is Jurisdiction and Venue)</w:t>
            </w:r>
          </w:p>
        </w:tc>
        <w:tc>
          <w:tcPr>
            <w:tcW w:type="dxa" w:w="2232"/>
          </w:tcPr>
          <w:p>
            <w:pPr>
              <w:spacing w:after="20"/>
            </w:pPr>
            <w:r/>
            <w:r>
              <w:rPr>
                <w:b w:val="0"/>
                <w:i w:val="0"/>
                <w:sz w:val="15"/>
              </w:rPr>
              <w:t>Correct to Article I</w:t>
            </w:r>
          </w:p>
        </w:tc>
      </w:tr>
      <w:tr>
        <w:tc>
          <w:tcPr>
            <w:tcW w:type="dxa" w:w="648"/>
          </w:tcPr>
          <w:p>
            <w:pPr>
              <w:spacing w:after="20"/>
            </w:pPr>
            <w:r/>
            <w:r>
              <w:rPr>
                <w:b w:val="0"/>
                <w:i w:val="0"/>
                <w:sz w:val="15"/>
              </w:rPr>
              <w:t>PD-2</w:t>
            </w:r>
          </w:p>
        </w:tc>
        <w:tc>
          <w:tcPr>
            <w:tcW w:type="dxa" w:w="1728"/>
          </w:tcPr>
          <w:p>
            <w:pPr>
              <w:spacing w:after="20"/>
            </w:pPr>
            <w:r/>
            <w:r>
              <w:rPr>
                <w:b w:val="0"/>
                <w:i w:val="0"/>
                <w:sz w:val="15"/>
              </w:rPr>
              <w:t>Notice cross-reference</w:t>
            </w:r>
          </w:p>
        </w:tc>
        <w:tc>
          <w:tcPr>
            <w:tcW w:type="dxa" w:w="1296"/>
          </w:tcPr>
          <w:p>
            <w:pPr>
              <w:spacing w:after="20"/>
            </w:pPr>
            <w:r/>
            <w:r>
              <w:rPr>
                <w:b w:val="0"/>
                <w:i w:val="0"/>
                <w:sz w:val="15"/>
              </w:rPr>
              <w:t>Exh. D 2.1; also SL 10(d)</w:t>
            </w:r>
          </w:p>
        </w:tc>
        <w:tc>
          <w:tcPr>
            <w:tcW w:type="dxa" w:w="3456"/>
          </w:tcPr>
          <w:p>
            <w:pPr>
              <w:spacing w:after="20"/>
            </w:pPr>
            <w:r/>
            <w:r>
              <w:rPr>
                <w:b w:val="0"/>
                <w:i w:val="0"/>
                <w:sz w:val="15"/>
              </w:rPr>
              <w:t xml:space="preserve">Refers to notice provisions in "Section 12.3"; notices are in </w:t>
            </w:r>
            <w:r>
              <w:rPr>
                <w:b/>
                <w:i w:val="0"/>
                <w:sz w:val="15"/>
              </w:rPr>
              <w:t>Section 12.5</w:t>
            </w:r>
            <w:r>
              <w:rPr>
                <w:b w:val="0"/>
                <w:i w:val="0"/>
                <w:sz w:val="15"/>
              </w:rPr>
              <w:t xml:space="preserve"> (12.3 is Severability)</w:t>
            </w:r>
          </w:p>
        </w:tc>
        <w:tc>
          <w:tcPr>
            <w:tcW w:type="dxa" w:w="2232"/>
          </w:tcPr>
          <w:p>
            <w:pPr>
              <w:spacing w:after="20"/>
            </w:pPr>
            <w:r/>
            <w:r>
              <w:rPr>
                <w:b w:val="0"/>
                <w:i w:val="0"/>
                <w:sz w:val="15"/>
              </w:rPr>
              <w:t>Correct to 12.5; meanwhile give notice complying with both SA 12.5 and the Exh. D addresses</w:t>
            </w:r>
          </w:p>
        </w:tc>
      </w:tr>
      <w:tr>
        <w:tc>
          <w:tcPr>
            <w:tcW w:type="dxa" w:w="648"/>
          </w:tcPr>
          <w:p>
            <w:pPr>
              <w:spacing w:after="20"/>
            </w:pPr>
            <w:r/>
            <w:r>
              <w:rPr>
                <w:b w:val="0"/>
                <w:i w:val="0"/>
                <w:sz w:val="15"/>
              </w:rPr>
              <w:t>PD-3</w:t>
            </w:r>
          </w:p>
        </w:tc>
        <w:tc>
          <w:tcPr>
            <w:tcW w:type="dxa" w:w="1728"/>
          </w:tcPr>
          <w:p>
            <w:pPr>
              <w:spacing w:after="20"/>
            </w:pPr>
            <w:r/>
            <w:r>
              <w:rPr>
                <w:b w:val="0"/>
                <w:i w:val="0"/>
                <w:sz w:val="15"/>
              </w:rPr>
              <w:t>Dispute-resolution cross-reference</w:t>
            </w:r>
          </w:p>
        </w:tc>
        <w:tc>
          <w:tcPr>
            <w:tcW w:type="dxa" w:w="1296"/>
          </w:tcPr>
          <w:p>
            <w:pPr>
              <w:spacing w:after="20"/>
            </w:pPr>
            <w:r/>
            <w:r>
              <w:rPr>
                <w:b w:val="0"/>
                <w:i w:val="0"/>
                <w:sz w:val="15"/>
              </w:rPr>
              <w:t>Exh. D 6.3 and 10</w:t>
            </w:r>
          </w:p>
        </w:tc>
        <w:tc>
          <w:tcPr>
            <w:tcW w:type="dxa" w:w="3456"/>
          </w:tcPr>
          <w:p>
            <w:pPr>
              <w:spacing w:after="20"/>
            </w:pPr>
            <w:r/>
            <w:r>
              <w:rPr>
                <w:b w:val="0"/>
                <w:i w:val="0"/>
                <w:sz w:val="15"/>
              </w:rPr>
              <w:t xml:space="preserve">Refers to "Article IX"; dispute resolution is </w:t>
            </w:r>
            <w:r>
              <w:rPr>
                <w:b/>
                <w:i w:val="0"/>
                <w:sz w:val="15"/>
              </w:rPr>
              <w:t>Article XI</w:t>
            </w:r>
            <w:r>
              <w:rPr>
                <w:b w:val="0"/>
                <w:i w:val="0"/>
                <w:sz w:val="15"/>
              </w:rPr>
              <w:t xml:space="preserve"> (Article IX is Remediation Work Standards); SA 11.5 confirms Article XI</w:t>
            </w:r>
          </w:p>
        </w:tc>
        <w:tc>
          <w:tcPr>
            <w:tcW w:type="dxa" w:w="2232"/>
          </w:tcPr>
          <w:p>
            <w:pPr>
              <w:spacing w:after="20"/>
            </w:pPr>
            <w:r/>
            <w:r>
              <w:rPr>
                <w:b w:val="0"/>
                <w:i w:val="0"/>
                <w:sz w:val="15"/>
              </w:rPr>
              <w:t>Correct to Article XI</w:t>
            </w:r>
          </w:p>
        </w:tc>
      </w:tr>
      <w:tr>
        <w:tc>
          <w:tcPr>
            <w:tcW w:type="dxa" w:w="648"/>
          </w:tcPr>
          <w:p>
            <w:pPr>
              <w:spacing w:after="20"/>
            </w:pPr>
            <w:r/>
            <w:r>
              <w:rPr>
                <w:b w:val="0"/>
                <w:i w:val="0"/>
                <w:sz w:val="15"/>
              </w:rPr>
              <w:t>PD-4</w:t>
            </w:r>
          </w:p>
        </w:tc>
        <w:tc>
          <w:tcPr>
            <w:tcW w:type="dxa" w:w="1728"/>
          </w:tcPr>
          <w:p>
            <w:pPr>
              <w:spacing w:after="20"/>
            </w:pPr>
            <w:r/>
            <w:r>
              <w:rPr>
                <w:b w:val="0"/>
                <w:i w:val="0"/>
                <w:sz w:val="15"/>
              </w:rPr>
              <w:t>Governing-law cross-reference</w:t>
            </w:r>
          </w:p>
        </w:tc>
        <w:tc>
          <w:tcPr>
            <w:tcW w:type="dxa" w:w="1296"/>
          </w:tcPr>
          <w:p>
            <w:pPr>
              <w:spacing w:after="20"/>
            </w:pPr>
            <w:r/>
            <w:r>
              <w:rPr>
                <w:b w:val="0"/>
                <w:i w:val="0"/>
                <w:sz w:val="15"/>
              </w:rPr>
              <w:t>Exh. D 11.3</w:t>
            </w:r>
          </w:p>
        </w:tc>
        <w:tc>
          <w:tcPr>
            <w:tcW w:type="dxa" w:w="3456"/>
          </w:tcPr>
          <w:p>
            <w:pPr>
              <w:spacing w:after="20"/>
            </w:pPr>
            <w:r/>
            <w:r>
              <w:rPr>
                <w:b w:val="0"/>
                <w:i w:val="0"/>
                <w:sz w:val="15"/>
              </w:rPr>
              <w:t xml:space="preserve">Cites "Section 12.8" for governing law; governing law is </w:t>
            </w:r>
            <w:r>
              <w:rPr>
                <w:b/>
                <w:i w:val="0"/>
                <w:sz w:val="15"/>
              </w:rPr>
              <w:t>Section 12.4</w:t>
            </w:r>
            <w:r>
              <w:rPr>
                <w:b w:val="0"/>
                <w:i w:val="0"/>
                <w:sz w:val="15"/>
              </w:rPr>
              <w:t xml:space="preserve"> (12.8 is Waiver)</w:t>
            </w:r>
          </w:p>
        </w:tc>
        <w:tc>
          <w:tcPr>
            <w:tcW w:type="dxa" w:w="2232"/>
          </w:tcPr>
          <w:p>
            <w:pPr>
              <w:spacing w:after="20"/>
            </w:pPr>
            <w:r/>
            <w:r>
              <w:rPr>
                <w:b w:val="0"/>
                <w:i w:val="0"/>
                <w:sz w:val="15"/>
              </w:rPr>
              <w:t>Correct to 12.4</w:t>
            </w:r>
          </w:p>
        </w:tc>
      </w:tr>
      <w:tr>
        <w:tc>
          <w:tcPr>
            <w:tcW w:type="dxa" w:w="648"/>
          </w:tcPr>
          <w:p>
            <w:pPr>
              <w:spacing w:after="20"/>
            </w:pPr>
            <w:r/>
            <w:r>
              <w:rPr>
                <w:b w:val="0"/>
                <w:i w:val="0"/>
                <w:sz w:val="15"/>
              </w:rPr>
              <w:t>PD-5</w:t>
            </w:r>
          </w:p>
        </w:tc>
        <w:tc>
          <w:tcPr>
            <w:tcW w:type="dxa" w:w="1728"/>
          </w:tcPr>
          <w:p>
            <w:pPr>
              <w:spacing w:after="20"/>
            </w:pPr>
            <w:r/>
            <w:r>
              <w:rPr>
                <w:b w:val="0"/>
                <w:i w:val="0"/>
                <w:sz w:val="15"/>
              </w:rPr>
              <w:t>Inconsistent "Third-Party Claim" definition</w:t>
            </w:r>
          </w:p>
        </w:tc>
        <w:tc>
          <w:tcPr>
            <w:tcW w:type="dxa" w:w="1296"/>
          </w:tcPr>
          <w:p>
            <w:pPr>
              <w:spacing w:after="20"/>
            </w:pPr>
            <w:r/>
            <w:r>
              <w:rPr>
                <w:b w:val="0"/>
                <w:i w:val="0"/>
                <w:sz w:val="15"/>
              </w:rPr>
              <w:t>Exh. D 1 vs. SA 1.38</w:t>
            </w:r>
          </w:p>
        </w:tc>
        <w:tc>
          <w:tcPr>
            <w:tcW w:type="dxa" w:w="3456"/>
          </w:tcPr>
          <w:p>
            <w:pPr>
              <w:spacing w:after="20"/>
            </w:pPr>
            <w:r/>
            <w:r>
              <w:rPr>
                <w:b w:val="0"/>
                <w:i w:val="0"/>
                <w:sz w:val="15"/>
              </w:rPr>
              <w:t>SA excludes claims by any "Party" (which includes Ecology); Exh. D excludes only "Settling Parties" and adds "investigation, or notice". Under the SA, Ecology claims (e.g., SA 7.3 reopeners feeding 8.4) are not Third-Party Claims, so Exh. D procedures arguably do not reach them</w:t>
            </w:r>
          </w:p>
        </w:tc>
        <w:tc>
          <w:tcPr>
            <w:tcW w:type="dxa" w:w="2232"/>
          </w:tcPr>
          <w:p>
            <w:pPr>
              <w:spacing w:after="20"/>
            </w:pPr>
            <w:r/>
            <w:r>
              <w:rPr>
                <w:b w:val="0"/>
                <w:i w:val="0"/>
                <w:sz w:val="15"/>
              </w:rPr>
              <w:t>Harmonize, expressly bringing Ecology and other government claims within the procedures</w:t>
            </w:r>
          </w:p>
        </w:tc>
      </w:tr>
      <w:tr>
        <w:tc>
          <w:tcPr>
            <w:tcW w:type="dxa" w:w="648"/>
          </w:tcPr>
          <w:p>
            <w:pPr>
              <w:spacing w:after="20"/>
            </w:pPr>
            <w:r/>
            <w:r>
              <w:rPr>
                <w:b w:val="0"/>
                <w:i w:val="0"/>
                <w:sz w:val="15"/>
              </w:rPr>
              <w:t>PD-6</w:t>
            </w:r>
          </w:p>
        </w:tc>
        <w:tc>
          <w:tcPr>
            <w:tcW w:type="dxa" w:w="1728"/>
          </w:tcPr>
          <w:p>
            <w:pPr>
              <w:spacing w:after="20"/>
            </w:pPr>
            <w:r/>
            <w:r>
              <w:rPr>
                <w:b w:val="0"/>
                <w:i w:val="0"/>
                <w:sz w:val="15"/>
              </w:rPr>
              <w:t>Excluded Claims overstated</w:t>
            </w:r>
          </w:p>
        </w:tc>
        <w:tc>
          <w:tcPr>
            <w:tcW w:type="dxa" w:w="1296"/>
          </w:tcPr>
          <w:p>
            <w:pPr>
              <w:spacing w:after="20"/>
            </w:pPr>
            <w:r/>
            <w:r>
              <w:rPr>
                <w:b w:val="0"/>
                <w:i w:val="0"/>
                <w:sz w:val="15"/>
              </w:rPr>
              <w:t>Exh. D 1 (last para.)</w:t>
            </w:r>
          </w:p>
        </w:tc>
        <w:tc>
          <w:tcPr>
            <w:tcW w:type="dxa" w:w="3456"/>
          </w:tcPr>
          <w:p>
            <w:pPr>
              <w:spacing w:after="20"/>
            </w:pPr>
            <w:r/>
            <w:r>
              <w:rPr>
                <w:b w:val="0"/>
                <w:i w:val="0"/>
                <w:sz w:val="15"/>
              </w:rPr>
              <w:t>States Excluded Claims are ineligible "under Article VIII generally"; SA 8.6 (final para.) limits exclusions to 8.1 and 8.2. The SA controls (Exh. D 11.4), but the statement invites dispute</w:t>
            </w:r>
          </w:p>
        </w:tc>
        <w:tc>
          <w:tcPr>
            <w:tcW w:type="dxa" w:w="2232"/>
          </w:tcPr>
          <w:p>
            <w:pPr>
              <w:spacing w:after="20"/>
            </w:pPr>
            <w:r/>
            <w:r>
              <w:rPr>
                <w:b w:val="0"/>
                <w:i w:val="0"/>
                <w:sz w:val="15"/>
              </w:rPr>
              <w:t>Conform to SA 8.6</w:t>
            </w:r>
          </w:p>
        </w:tc>
      </w:tr>
      <w:tr>
        <w:tc>
          <w:tcPr>
            <w:tcW w:type="dxa" w:w="648"/>
          </w:tcPr>
          <w:p>
            <w:pPr>
              <w:spacing w:after="20"/>
            </w:pPr>
            <w:r/>
            <w:r>
              <w:rPr>
                <w:b w:val="0"/>
                <w:i w:val="0"/>
                <w:sz w:val="15"/>
              </w:rPr>
              <w:t>PD-7</w:t>
            </w:r>
          </w:p>
        </w:tc>
        <w:tc>
          <w:tcPr>
            <w:tcW w:type="dxa" w:w="1728"/>
          </w:tcPr>
          <w:p>
            <w:pPr>
              <w:spacing w:after="20"/>
            </w:pPr>
            <w:r/>
            <w:r>
              <w:rPr>
                <w:b w:val="0"/>
                <w:i w:val="0"/>
                <w:sz w:val="15"/>
              </w:rPr>
              <w:t>No procedure for direct claims</w:t>
            </w:r>
          </w:p>
        </w:tc>
        <w:tc>
          <w:tcPr>
            <w:tcW w:type="dxa" w:w="1296"/>
          </w:tcPr>
          <w:p>
            <w:pPr>
              <w:spacing w:after="20"/>
            </w:pPr>
            <w:r/>
            <w:r>
              <w:rPr>
                <w:b w:val="0"/>
                <w:i w:val="0"/>
                <w:sz w:val="15"/>
              </w:rPr>
              <w:t>Exh. D 2, 6</w:t>
            </w:r>
          </w:p>
        </w:tc>
        <w:tc>
          <w:tcPr>
            <w:tcW w:type="dxa" w:w="3456"/>
          </w:tcPr>
          <w:p>
            <w:pPr>
              <w:spacing w:after="20"/>
            </w:pPr>
            <w:r/>
            <w:r>
              <w:rPr>
                <w:b w:val="0"/>
                <w:i w:val="0"/>
                <w:sz w:val="15"/>
              </w:rPr>
              <w:t>Procedures are keyed exclusively to Third-Party Claims and their "final resolution"; no mechanism for direct Losses (e.g., remediation of undisclosed conditions under 8.3, costs incurred under 8.4)</w:t>
            </w:r>
          </w:p>
        </w:tc>
        <w:tc>
          <w:tcPr>
            <w:tcW w:type="dxa" w:w="2232"/>
          </w:tcPr>
          <w:p>
            <w:pPr>
              <w:spacing w:after="20"/>
            </w:pPr>
            <w:r/>
            <w:r>
              <w:rPr>
                <w:b w:val="0"/>
                <w:i w:val="0"/>
                <w:sz w:val="15"/>
              </w:rPr>
              <w:t>Add a direct-claim procedure (notice, 30-day response, dispute)</w:t>
            </w:r>
          </w:p>
        </w:tc>
      </w:tr>
      <w:tr>
        <w:tc>
          <w:tcPr>
            <w:tcW w:type="dxa" w:w="648"/>
          </w:tcPr>
          <w:p>
            <w:pPr>
              <w:spacing w:after="20"/>
            </w:pPr>
            <w:r/>
            <w:r>
              <w:rPr>
                <w:b w:val="0"/>
                <w:i w:val="0"/>
                <w:sz w:val="15"/>
              </w:rPr>
              <w:t>PD-8</w:t>
            </w:r>
          </w:p>
        </w:tc>
        <w:tc>
          <w:tcPr>
            <w:tcW w:type="dxa" w:w="1728"/>
          </w:tcPr>
          <w:p>
            <w:pPr>
              <w:spacing w:after="20"/>
            </w:pPr>
            <w:r/>
            <w:r>
              <w:rPr>
                <w:b w:val="0"/>
                <w:i w:val="0"/>
                <w:sz w:val="15"/>
              </w:rPr>
              <w:t>Defense Notice requires unreserved acceptance</w:t>
            </w:r>
          </w:p>
        </w:tc>
        <w:tc>
          <w:tcPr>
            <w:tcW w:type="dxa" w:w="1296"/>
          </w:tcPr>
          <w:p>
            <w:pPr>
              <w:spacing w:after="20"/>
            </w:pPr>
            <w:r/>
            <w:r>
              <w:rPr>
                <w:b w:val="0"/>
                <w:i w:val="0"/>
                <w:sz w:val="15"/>
              </w:rPr>
              <w:t>Exh. D 3.1</w:t>
            </w:r>
          </w:p>
        </w:tc>
        <w:tc>
          <w:tcPr>
            <w:tcW w:type="dxa" w:w="3456"/>
          </w:tcPr>
          <w:p>
            <w:pPr>
              <w:spacing w:after="20"/>
            </w:pPr>
            <w:r/>
            <w:r>
              <w:rPr>
                <w:b w:val="0"/>
                <w:i w:val="0"/>
                <w:sz w:val="15"/>
              </w:rPr>
              <w:t>No reservation-of-rights option; indemnitors are incentivized not to assume the defense, shifting cost and cash flow to the Indemnified Party until final resolution</w:t>
            </w:r>
          </w:p>
        </w:tc>
        <w:tc>
          <w:tcPr>
            <w:tcW w:type="dxa" w:w="2232"/>
          </w:tcPr>
          <w:p>
            <w:pPr>
              <w:spacing w:after="20"/>
            </w:pPr>
            <w:r/>
            <w:r>
              <w:rPr>
                <w:b w:val="0"/>
                <w:i w:val="0"/>
                <w:sz w:val="15"/>
              </w:rPr>
              <w:t>Permit assumption under reservation of rights; add interim (e.g., quarterly) reimbursement of defense costs</w:t>
            </w:r>
          </w:p>
        </w:tc>
      </w:tr>
      <w:tr>
        <w:tc>
          <w:tcPr>
            <w:tcW w:type="dxa" w:w="648"/>
          </w:tcPr>
          <w:p>
            <w:pPr>
              <w:spacing w:after="20"/>
            </w:pPr>
            <w:r/>
            <w:r>
              <w:rPr>
                <w:b w:val="0"/>
                <w:i w:val="0"/>
                <w:sz w:val="15"/>
              </w:rPr>
              <w:t>PD-9</w:t>
            </w:r>
          </w:p>
        </w:tc>
        <w:tc>
          <w:tcPr>
            <w:tcW w:type="dxa" w:w="1728"/>
          </w:tcPr>
          <w:p>
            <w:pPr>
              <w:spacing w:after="20"/>
            </w:pPr>
            <w:r/>
            <w:r>
              <w:rPr>
                <w:b w:val="0"/>
                <w:i w:val="0"/>
                <w:sz w:val="15"/>
              </w:rPr>
              <w:t>"Solely responsible" settlement condition</w:t>
            </w:r>
          </w:p>
        </w:tc>
        <w:tc>
          <w:tcPr>
            <w:tcW w:type="dxa" w:w="1296"/>
          </w:tcPr>
          <w:p>
            <w:pPr>
              <w:spacing w:after="20"/>
            </w:pPr>
            <w:r/>
            <w:r>
              <w:rPr>
                <w:b w:val="0"/>
                <w:i w:val="0"/>
                <w:sz w:val="15"/>
              </w:rPr>
              <w:t>Exh. D 3.2(c)(i)</w:t>
            </w:r>
          </w:p>
        </w:tc>
        <w:tc>
          <w:tcPr>
            <w:tcW w:type="dxa" w:w="3456"/>
          </w:tcPr>
          <w:p>
            <w:pPr>
              <w:spacing w:after="20"/>
            </w:pPr>
            <w:r/>
            <w:r>
              <w:rPr>
                <w:b w:val="0"/>
                <w:i w:val="0"/>
                <w:sz w:val="15"/>
              </w:rPr>
              <w:t>For deductible (8.1), proportional (8.4, 8.5, SL) or capped claims no indemnitor is "solely responsible", so every settlement arguably needs consent</w:t>
            </w:r>
          </w:p>
        </w:tc>
        <w:tc>
          <w:tcPr>
            <w:tcW w:type="dxa" w:w="2232"/>
          </w:tcPr>
          <w:p>
            <w:pPr>
              <w:spacing w:after="20"/>
            </w:pPr>
            <w:r/>
            <w:r>
              <w:rPr>
                <w:b w:val="0"/>
                <w:i w:val="0"/>
                <w:sz w:val="15"/>
              </w:rPr>
              <w:t>Clarify settlement authority for shared-liability claims</w:t>
            </w:r>
          </w:p>
        </w:tc>
      </w:tr>
      <w:tr>
        <w:tc>
          <w:tcPr>
            <w:tcW w:type="dxa" w:w="648"/>
          </w:tcPr>
          <w:p>
            <w:pPr>
              <w:spacing w:after="20"/>
            </w:pPr>
            <w:r/>
            <w:r>
              <w:rPr>
                <w:b w:val="0"/>
                <w:i w:val="0"/>
                <w:sz w:val="15"/>
              </w:rPr>
              <w:t>PD-10</w:t>
            </w:r>
          </w:p>
        </w:tc>
        <w:tc>
          <w:tcPr>
            <w:tcW w:type="dxa" w:w="1728"/>
          </w:tcPr>
          <w:p>
            <w:pPr>
              <w:spacing w:after="20"/>
            </w:pPr>
            <w:r/>
            <w:r>
              <w:rPr>
                <w:b w:val="0"/>
                <w:i w:val="0"/>
                <w:sz w:val="15"/>
              </w:rPr>
              <w:t>Indemnified Party may settle up to cap without consent</w:t>
            </w:r>
          </w:p>
        </w:tc>
        <w:tc>
          <w:tcPr>
            <w:tcW w:type="dxa" w:w="1296"/>
          </w:tcPr>
          <w:p>
            <w:pPr>
              <w:spacing w:after="20"/>
            </w:pPr>
            <w:r/>
            <w:r>
              <w:rPr>
                <w:b w:val="0"/>
                <w:i w:val="0"/>
                <w:sz w:val="15"/>
              </w:rPr>
              <w:t>Exh. D 3.4(b)</w:t>
            </w:r>
          </w:p>
        </w:tc>
        <w:tc>
          <w:tcPr>
            <w:tcW w:type="dxa" w:w="3456"/>
          </w:tcPr>
          <w:p>
            <w:pPr>
              <w:spacing w:after="20"/>
            </w:pPr>
            <w:r/>
            <w:r>
              <w:rPr>
                <w:b w:val="0"/>
                <w:i w:val="0"/>
                <w:sz w:val="15"/>
              </w:rPr>
              <w:t>Where Cascadia is indemnitor under 8.1 and has not assumed the defense, Northshore could settle up to the $10M cap without Cascadia's consent</w:t>
            </w:r>
          </w:p>
        </w:tc>
        <w:tc>
          <w:tcPr>
            <w:tcW w:type="dxa" w:w="2232"/>
          </w:tcPr>
          <w:p>
            <w:pPr>
              <w:spacing w:after="20"/>
            </w:pPr>
            <w:r/>
            <w:r>
              <w:rPr>
                <w:b w:val="0"/>
                <w:i w:val="0"/>
                <w:sz w:val="15"/>
              </w:rPr>
              <w:t>Require consent for any settlement (not unreasonably withheld); calendar each 20-Business-Day defense election</w:t>
            </w:r>
          </w:p>
        </w:tc>
      </w:tr>
      <w:tr>
        <w:tc>
          <w:tcPr>
            <w:tcW w:type="dxa" w:w="648"/>
          </w:tcPr>
          <w:p>
            <w:pPr>
              <w:spacing w:after="20"/>
            </w:pPr>
            <w:r/>
            <w:r>
              <w:rPr>
                <w:b w:val="0"/>
                <w:i w:val="0"/>
                <w:sz w:val="15"/>
              </w:rPr>
              <w:t>PD-11</w:t>
            </w:r>
          </w:p>
        </w:tc>
        <w:tc>
          <w:tcPr>
            <w:tcW w:type="dxa" w:w="1728"/>
          </w:tcPr>
          <w:p>
            <w:pPr>
              <w:spacing w:after="20"/>
            </w:pPr>
            <w:r/>
            <w:r>
              <w:rPr>
                <w:b w:val="0"/>
                <w:i w:val="0"/>
                <w:sz w:val="15"/>
              </w:rPr>
              <w:t>Inconsistent notice trigger</w:t>
            </w:r>
          </w:p>
        </w:tc>
        <w:tc>
          <w:tcPr>
            <w:tcW w:type="dxa" w:w="1296"/>
          </w:tcPr>
          <w:p>
            <w:pPr>
              <w:spacing w:after="20"/>
            </w:pPr>
            <w:r/>
            <w:r>
              <w:rPr>
                <w:b w:val="0"/>
                <w:i w:val="0"/>
                <w:sz w:val="15"/>
              </w:rPr>
              <w:t>SL 6(i) vs. Exh. D 2.1</w:t>
            </w:r>
          </w:p>
        </w:tc>
        <w:tc>
          <w:tcPr>
            <w:tcW w:type="dxa" w:w="3456"/>
          </w:tcPr>
          <w:p>
            <w:pPr>
              <w:spacing w:after="20"/>
            </w:pPr>
            <w:r/>
            <w:r>
              <w:rPr>
                <w:b w:val="0"/>
                <w:i w:val="0"/>
                <w:sz w:val="15"/>
              </w:rPr>
              <w:t>SL describes the deadline as 30 business days after "becoming aware"; Exh. D runs from "actual receipt"</w:t>
            </w:r>
          </w:p>
        </w:tc>
        <w:tc>
          <w:tcPr>
            <w:tcW w:type="dxa" w:w="2232"/>
          </w:tcPr>
          <w:p>
            <w:pPr>
              <w:spacing w:after="20"/>
            </w:pPr>
            <w:r/>
            <w:r>
              <w:rPr>
                <w:b w:val="0"/>
                <w:i w:val="0"/>
                <w:sz w:val="15"/>
              </w:rPr>
              <w:t>Comply with the earlier trigger; conform documents</w:t>
            </w:r>
          </w:p>
        </w:tc>
      </w:tr>
      <w:tr>
        <w:tc>
          <w:tcPr>
            <w:tcW w:type="dxa" w:w="648"/>
          </w:tcPr>
          <w:p>
            <w:pPr>
              <w:spacing w:after="20"/>
            </w:pPr>
            <w:r/>
            <w:r>
              <w:rPr>
                <w:b w:val="0"/>
                <w:i w:val="0"/>
                <w:sz w:val="15"/>
              </w:rPr>
              <w:t>PD-12</w:t>
            </w:r>
          </w:p>
        </w:tc>
        <w:tc>
          <w:tcPr>
            <w:tcW w:type="dxa" w:w="1728"/>
          </w:tcPr>
          <w:p>
            <w:pPr>
              <w:spacing w:after="20"/>
            </w:pPr>
            <w:r/>
            <w:r>
              <w:rPr>
                <w:b w:val="0"/>
                <w:i w:val="0"/>
                <w:sz w:val="15"/>
              </w:rPr>
              <w:t>Notice address discrepancies</w:t>
            </w:r>
          </w:p>
        </w:tc>
        <w:tc>
          <w:tcPr>
            <w:tcW w:type="dxa" w:w="1296"/>
          </w:tcPr>
          <w:p>
            <w:pPr>
              <w:spacing w:after="20"/>
            </w:pPr>
            <w:r/>
            <w:r>
              <w:rPr>
                <w:b w:val="0"/>
                <w:i w:val="0"/>
                <w:sz w:val="15"/>
              </w:rPr>
              <w:t>Exh. D 2.1; SA 12.5; SL 10(d); EA 8.1</w:t>
            </w:r>
          </w:p>
        </w:tc>
        <w:tc>
          <w:tcPr>
            <w:tcW w:type="dxa" w:w="3456"/>
          </w:tcPr>
          <w:p>
            <w:pPr>
              <w:spacing w:after="20"/>
            </w:pPr>
            <w:r/>
            <w:r>
              <w:rPr>
                <w:b w:val="0"/>
                <w:i w:val="0"/>
                <w:sz w:val="15"/>
              </w:rPr>
              <w:t>Exh. D lists Kellner Marsh only as "Seattle, WA" (no street address); SL names James R. Kellner while EA names Jonathan Pritchard; EA does not permit email notice while SA 12.5 does; Puget notices go c/o Cascadia</w:t>
            </w:r>
          </w:p>
        </w:tc>
        <w:tc>
          <w:tcPr>
            <w:tcW w:type="dxa" w:w="2232"/>
          </w:tcPr>
          <w:p>
            <w:pPr>
              <w:spacing w:after="20"/>
            </w:pPr>
            <w:r/>
            <w:r>
              <w:rPr>
                <w:b w:val="0"/>
                <w:i w:val="0"/>
                <w:sz w:val="15"/>
              </w:rPr>
              <w:t>Conform notice blocks; send all notices by courier and email to every listed address</w:t>
            </w:r>
          </w:p>
        </w:tc>
      </w:tr>
      <w:tr>
        <w:tc>
          <w:tcPr>
            <w:tcW w:type="dxa" w:w="648"/>
          </w:tcPr>
          <w:p>
            <w:pPr>
              <w:spacing w:after="20"/>
            </w:pPr>
            <w:r/>
            <w:r>
              <w:rPr>
                <w:b w:val="0"/>
                <w:i w:val="0"/>
                <w:sz w:val="15"/>
              </w:rPr>
              <w:t>PD-13</w:t>
            </w:r>
          </w:p>
        </w:tc>
        <w:tc>
          <w:tcPr>
            <w:tcW w:type="dxa" w:w="1728"/>
          </w:tcPr>
          <w:p>
            <w:pPr>
              <w:spacing w:after="20"/>
            </w:pPr>
            <w:r/>
            <w:r>
              <w:rPr>
                <w:b w:val="0"/>
                <w:i w:val="0"/>
                <w:sz w:val="15"/>
              </w:rPr>
              <w:t>NRD allocation treated as mutual</w:t>
            </w:r>
          </w:p>
        </w:tc>
        <w:tc>
          <w:tcPr>
            <w:tcW w:type="dxa" w:w="1296"/>
          </w:tcPr>
          <w:p>
            <w:pPr>
              <w:spacing w:after="20"/>
            </w:pPr>
            <w:r/>
            <w:r>
              <w:rPr>
                <w:b w:val="0"/>
                <w:i w:val="0"/>
                <w:sz w:val="15"/>
              </w:rPr>
              <w:t>Exh. D 7(d) vs. SA 8.5</w:t>
            </w:r>
          </w:p>
        </w:tc>
        <w:tc>
          <w:tcPr>
            <w:tcW w:type="dxa" w:w="3456"/>
          </w:tcPr>
          <w:p>
            <w:pPr>
              <w:spacing w:after="20"/>
            </w:pPr>
            <w:r/>
            <w:r>
              <w:rPr>
                <w:b w:val="0"/>
                <w:i w:val="0"/>
                <w:sz w:val="15"/>
              </w:rPr>
              <w:t>Exh. D refers to a "60%/40% allocation"; SA 8.5 is a one-way Northshore indemnity with Cascadia "bearing" 60%. Northshore may argue Cascadia owes it 60% of NRD asserted against Northshore</w:t>
            </w:r>
          </w:p>
        </w:tc>
        <w:tc>
          <w:tcPr>
            <w:tcW w:type="dxa" w:w="2232"/>
          </w:tcPr>
          <w:p>
            <w:pPr>
              <w:spacing w:after="20"/>
            </w:pPr>
            <w:r/>
            <w:r>
              <w:rPr>
                <w:b w:val="0"/>
                <w:i w:val="0"/>
                <w:sz w:val="15"/>
              </w:rPr>
              <w:t>Clarify by amendment; the Cascadia-favorable reading is one-way</w:t>
            </w:r>
          </w:p>
        </w:tc>
      </w:tr>
      <w:tr>
        <w:tc>
          <w:tcPr>
            <w:tcW w:type="dxa" w:w="648"/>
          </w:tcPr>
          <w:p>
            <w:pPr>
              <w:spacing w:after="20"/>
            </w:pPr>
            <w:r/>
            <w:r>
              <w:rPr>
                <w:b w:val="0"/>
                <w:i w:val="0"/>
                <w:sz w:val="15"/>
              </w:rPr>
              <w:t>PD-14</w:t>
            </w:r>
          </w:p>
        </w:tc>
        <w:tc>
          <w:tcPr>
            <w:tcW w:type="dxa" w:w="1728"/>
          </w:tcPr>
          <w:p>
            <w:pPr>
              <w:spacing w:after="20"/>
            </w:pPr>
            <w:r/>
            <w:r>
              <w:rPr>
                <w:b w:val="0"/>
                <w:i w:val="0"/>
                <w:sz w:val="15"/>
              </w:rPr>
              <w:t>Amendment and execution formalities</w:t>
            </w:r>
          </w:p>
        </w:tc>
        <w:tc>
          <w:tcPr>
            <w:tcW w:type="dxa" w:w="1296"/>
          </w:tcPr>
          <w:p>
            <w:pPr>
              <w:spacing w:after="20"/>
            </w:pPr>
            <w:r/>
            <w:r>
              <w:rPr>
                <w:b w:val="0"/>
                <w:i w:val="0"/>
                <w:sz w:val="15"/>
              </w:rPr>
              <w:t>Exh. D 11.1; acknowledgment block</w:t>
            </w:r>
          </w:p>
        </w:tc>
        <w:tc>
          <w:tcPr>
            <w:tcW w:type="dxa" w:w="3456"/>
          </w:tcPr>
          <w:p>
            <w:pPr>
              <w:spacing w:after="20"/>
            </w:pPr>
            <w:r/>
            <w:r>
              <w:rPr>
                <w:b w:val="0"/>
                <w:i w:val="0"/>
                <w:sz w:val="15"/>
              </w:rPr>
              <w:t>Exh. D is part of a court-entered decree but may be amended by the Settling Parties alone (inconsistent with SA 12.2); signature dates are blank; Ecology is not a signatory</w:t>
            </w:r>
          </w:p>
        </w:tc>
        <w:tc>
          <w:tcPr>
            <w:tcW w:type="dxa" w:w="2232"/>
          </w:tcPr>
          <w:p>
            <w:pPr>
              <w:spacing w:after="20"/>
            </w:pPr>
            <w:r/>
            <w:r>
              <w:rPr>
                <w:b w:val="0"/>
                <w:i w:val="0"/>
                <w:sz w:val="15"/>
              </w:rPr>
              <w:t>Confirm a fully executed, dated version is on file; route corrections through the SA 12.2 process</w:t>
            </w:r>
          </w:p>
        </w:tc>
      </w:tr>
      <w:tr>
        <w:tc>
          <w:tcPr>
            <w:tcW w:type="dxa" w:w="648"/>
          </w:tcPr>
          <w:p>
            <w:pPr>
              <w:spacing w:after="20"/>
            </w:pPr>
            <w:r/>
            <w:r>
              <w:rPr>
                <w:b w:val="0"/>
                <w:i w:val="0"/>
                <w:sz w:val="15"/>
              </w:rPr>
              <w:t>PD-15</w:t>
            </w:r>
          </w:p>
        </w:tc>
        <w:tc>
          <w:tcPr>
            <w:tcW w:type="dxa" w:w="1728"/>
          </w:tcPr>
          <w:p>
            <w:pPr>
              <w:spacing w:after="20"/>
            </w:pPr>
            <w:r/>
            <w:r>
              <w:rPr>
                <w:b w:val="0"/>
                <w:i w:val="0"/>
                <w:sz w:val="15"/>
              </w:rPr>
              <w:t>Mixed day-count conventions</w:t>
            </w:r>
          </w:p>
        </w:tc>
        <w:tc>
          <w:tcPr>
            <w:tcW w:type="dxa" w:w="1296"/>
          </w:tcPr>
          <w:p>
            <w:pPr>
              <w:spacing w:after="20"/>
            </w:pPr>
            <w:r/>
            <w:r>
              <w:rPr>
                <w:b w:val="0"/>
                <w:i w:val="0"/>
                <w:sz w:val="15"/>
              </w:rPr>
              <w:t>Exh. D 2-6</w:t>
            </w:r>
          </w:p>
        </w:tc>
        <w:tc>
          <w:tcPr>
            <w:tcW w:type="dxa" w:w="3456"/>
          </w:tcPr>
          <w:p>
            <w:pPr>
              <w:spacing w:after="20"/>
            </w:pPr>
            <w:r/>
            <w:r>
              <w:rPr>
                <w:b w:val="0"/>
                <w:i w:val="0"/>
                <w:sz w:val="15"/>
              </w:rPr>
              <w:t>Business Days (notice, defense, insurance reporting) and calendar days (cooperation reimbursement, payment, dispute notice) are mixed; "Business Day" in Exh. D (Portland/Seattle banks) differs from EA (Tacoma banks)</w:t>
            </w:r>
          </w:p>
        </w:tc>
        <w:tc>
          <w:tcPr>
            <w:tcW w:type="dxa" w:w="2232"/>
          </w:tcPr>
          <w:p>
            <w:pPr>
              <w:spacing w:after="20"/>
            </w:pPr>
            <w:r/>
            <w:r>
              <w:rPr>
                <w:b w:val="0"/>
                <w:i w:val="0"/>
                <w:sz w:val="15"/>
              </w:rPr>
              <w:t>Docket each deadline conservatively</w:t>
            </w:r>
          </w:p>
        </w:tc>
      </w:tr>
    </w:tbl>
    <w:p>
      <w:pPr>
        <w:spacing w:after="40"/>
      </w:pPr>
    </w:p>
    <w:p>
      <w:pPr>
        <w:pStyle w:val="Heading1"/>
      </w:pPr>
      <w:r>
        <w:t>X. Risk Register and Recommendations</w:t>
      </w:r>
    </w:p>
    <w:p>
      <w:pPr>
        <w:spacing w:after="80"/>
      </w:pPr>
      <w:r>
        <w:rPr>
          <w:b w:val="0"/>
          <w:i w:val="0"/>
        </w:rPr>
        <w:t xml:space="preserve">Severity: </w:t>
      </w:r>
      <w:r>
        <w:rPr>
          <w:b/>
          <w:i w:val="0"/>
        </w:rPr>
        <w:t>High</w:t>
      </w:r>
      <w:r>
        <w:rPr>
          <w:b w:val="0"/>
          <w:i w:val="0"/>
        </w:rPr>
        <w:t xml:space="preserve"> = material uncapped or multi-million-dollar exposure, or likely dispute; </w:t>
      </w:r>
      <w:r>
        <w:rPr>
          <w:b/>
          <w:i w:val="0"/>
        </w:rPr>
        <w:t>Medium</w:t>
      </w:r>
      <w:r>
        <w:rPr>
          <w:b w:val="0"/>
          <w:i w:val="0"/>
        </w:rPr>
        <w:t xml:space="preserve"> = meaningful exposure or likely friction; </w:t>
      </w:r>
      <w:r>
        <w:rPr>
          <w:b/>
          <w:i w:val="0"/>
        </w:rPr>
        <w:t>Low</w:t>
      </w:r>
      <w:r>
        <w:rPr>
          <w:b w:val="0"/>
          <w:i w:val="0"/>
        </w:rPr>
        <w:t xml:space="preserve"> = drafting/administrative.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648"/>
            <w:shd w:val="clear" w:color="auto" w:fill="1F3A5F"/>
          </w:tcPr>
          <w:p>
            <w:r/>
            <w:r>
              <w:rPr>
                <w:b/>
                <w:color w:val="FFFFFF"/>
                <w:sz w:val="15"/>
              </w:rPr>
              <w:t>#</w:t>
            </w:r>
          </w:p>
        </w:tc>
        <w:tc>
          <w:tcPr>
            <w:tcW w:type="dxa" w:w="2880"/>
            <w:shd w:val="clear" w:color="auto" w:fill="1F3A5F"/>
          </w:tcPr>
          <w:p>
            <w:r/>
            <w:r>
              <w:rPr>
                <w:b/>
                <w:color w:val="FFFFFF"/>
                <w:sz w:val="15"/>
              </w:rPr>
              <w:t>Issue</w:t>
            </w:r>
          </w:p>
        </w:tc>
        <w:tc>
          <w:tcPr>
            <w:tcW w:type="dxa" w:w="1440"/>
            <w:shd w:val="clear" w:color="auto" w:fill="1F3A5F"/>
          </w:tcPr>
          <w:p>
            <w:r/>
            <w:r>
              <w:rPr>
                <w:b/>
                <w:color w:val="FFFFFF"/>
                <w:sz w:val="15"/>
              </w:rPr>
              <w:t>Source</w:t>
            </w:r>
          </w:p>
        </w:tc>
        <w:tc>
          <w:tcPr>
            <w:tcW w:type="dxa" w:w="864"/>
            <w:shd w:val="clear" w:color="auto" w:fill="1F3A5F"/>
          </w:tcPr>
          <w:p>
            <w:r/>
            <w:r>
              <w:rPr>
                <w:b/>
                <w:color w:val="FFFFFF"/>
                <w:sz w:val="15"/>
              </w:rPr>
              <w:t>Severity</w:t>
            </w:r>
          </w:p>
        </w:tc>
        <w:tc>
          <w:tcPr>
            <w:tcW w:type="dxa" w:w="3528"/>
            <w:shd w:val="clear" w:color="auto" w:fill="1F3A5F"/>
          </w:tcPr>
          <w:p>
            <w:r/>
            <w:r>
              <w:rPr>
                <w:b/>
                <w:color w:val="FFFFFF"/>
                <w:sz w:val="15"/>
              </w:rPr>
              <w:t>Recommendation / next step</w:t>
            </w:r>
          </w:p>
        </w:tc>
      </w:tr>
      <w:tr>
        <w:tc>
          <w:tcPr>
            <w:tcW w:type="dxa" w:w="648"/>
          </w:tcPr>
          <w:p>
            <w:pPr>
              <w:spacing w:after="20"/>
            </w:pPr>
            <w:r/>
            <w:r>
              <w:rPr>
                <w:b w:val="0"/>
                <w:i w:val="0"/>
                <w:sz w:val="15"/>
              </w:rPr>
              <w:t>R-1</w:t>
            </w:r>
          </w:p>
        </w:tc>
        <w:tc>
          <w:tcPr>
            <w:tcW w:type="dxa" w:w="2880"/>
          </w:tcPr>
          <w:p>
            <w:pPr>
              <w:spacing w:after="20"/>
            </w:pPr>
            <w:r/>
            <w:r>
              <w:rPr>
                <w:b w:val="0"/>
                <w:i w:val="0"/>
                <w:sz w:val="15"/>
              </w:rPr>
              <w:t>Effective cost share is 72% ($20.448M), not 62%; Cascadia also bears 72% of uncapped overruns</w:t>
            </w:r>
          </w:p>
        </w:tc>
        <w:tc>
          <w:tcPr>
            <w:tcW w:type="dxa" w:w="1440"/>
          </w:tcPr>
          <w:p>
            <w:pPr>
              <w:spacing w:after="20"/>
            </w:pPr>
            <w:r/>
            <w:r>
              <w:rPr>
                <w:b w:val="0"/>
                <w:i w:val="0"/>
                <w:sz w:val="15"/>
              </w:rPr>
              <w:t>SA 3.4, 5.2, 5.3, 5.6</w:t>
            </w:r>
          </w:p>
        </w:tc>
        <w:tc>
          <w:tcPr>
            <w:tcW w:type="dxa" w:w="864"/>
          </w:tcPr>
          <w:p>
            <w:pPr>
              <w:spacing w:after="20"/>
            </w:pPr>
            <w:r/>
            <w:r>
              <w:rPr>
                <w:b w:val="0"/>
                <w:i w:val="0"/>
                <w:sz w:val="15"/>
              </w:rPr>
              <w:t>High</w:t>
            </w:r>
          </w:p>
        </w:tc>
        <w:tc>
          <w:tcPr>
            <w:tcW w:type="dxa" w:w="3528"/>
          </w:tcPr>
          <w:p>
            <w:pPr>
              <w:spacing w:after="20"/>
            </w:pPr>
            <w:r/>
            <w:r>
              <w:rPr>
                <w:b w:val="0"/>
                <w:i w:val="0"/>
                <w:sz w:val="15"/>
              </w:rPr>
              <w:t>Reflect in audit-committee briefing and reserves; track contingency drawdown; consider whether Puget should be capitalized or merged</w:t>
            </w:r>
          </w:p>
        </w:tc>
      </w:tr>
      <w:tr>
        <w:tc>
          <w:tcPr>
            <w:tcW w:type="dxa" w:w="648"/>
          </w:tcPr>
          <w:p>
            <w:pPr>
              <w:spacing w:after="20"/>
            </w:pPr>
            <w:r/>
            <w:r>
              <w:rPr>
                <w:b w:val="0"/>
                <w:i w:val="0"/>
                <w:sz w:val="15"/>
              </w:rPr>
              <w:t>R-2</w:t>
            </w:r>
          </w:p>
        </w:tc>
        <w:tc>
          <w:tcPr>
            <w:tcW w:type="dxa" w:w="2880"/>
          </w:tcPr>
          <w:p>
            <w:pPr>
              <w:spacing w:after="20"/>
            </w:pPr>
            <w:r/>
            <w:r>
              <w:rPr>
                <w:b w:val="0"/>
                <w:i w:val="0"/>
                <w:sz w:val="15"/>
              </w:rPr>
              <w:t>Uncapped, perpetual, first-dollar guarantee of Puget 8.3 indemnity to Northshore; illusory protection for Cascadia</w:t>
            </w:r>
          </w:p>
        </w:tc>
        <w:tc>
          <w:tcPr>
            <w:tcW w:type="dxa" w:w="1440"/>
          </w:tcPr>
          <w:p>
            <w:pPr>
              <w:spacing w:after="20"/>
            </w:pPr>
            <w:r/>
            <w:r>
              <w:rPr>
                <w:b w:val="0"/>
                <w:i w:val="0"/>
                <w:sz w:val="15"/>
              </w:rPr>
              <w:t>SA 8.3, 8.6, 8.8(c)</w:t>
            </w:r>
          </w:p>
        </w:tc>
        <w:tc>
          <w:tcPr>
            <w:tcW w:type="dxa" w:w="864"/>
          </w:tcPr>
          <w:p>
            <w:pPr>
              <w:spacing w:after="20"/>
            </w:pPr>
            <w:r/>
            <w:r>
              <w:rPr>
                <w:b w:val="0"/>
                <w:i w:val="0"/>
                <w:sz w:val="15"/>
              </w:rPr>
              <w:t>High</w:t>
            </w:r>
          </w:p>
        </w:tc>
        <w:tc>
          <w:tcPr>
            <w:tcW w:type="dxa" w:w="3528"/>
          </w:tcPr>
          <w:p>
            <w:pPr>
              <w:spacing w:after="20"/>
            </w:pPr>
            <w:r/>
            <w:r>
              <w:rPr>
                <w:b w:val="0"/>
                <w:i w:val="0"/>
                <w:sz w:val="15"/>
              </w:rPr>
              <w:t>Review 2016 acquisition agreement for seller recourse and deadlines; assemble the 2016 disclosure record; seek amendment adding cap, exclusions and sunset to the guarantee</w:t>
            </w:r>
          </w:p>
        </w:tc>
      </w:tr>
      <w:tr>
        <w:tc>
          <w:tcPr>
            <w:tcW w:type="dxa" w:w="648"/>
          </w:tcPr>
          <w:p>
            <w:pPr>
              <w:spacing w:after="20"/>
            </w:pPr>
            <w:r/>
            <w:r>
              <w:rPr>
                <w:b w:val="0"/>
                <w:i w:val="0"/>
                <w:sz w:val="15"/>
              </w:rPr>
              <w:t>R-3</w:t>
            </w:r>
          </w:p>
        </w:tc>
        <w:tc>
          <w:tcPr>
            <w:tcW w:type="dxa" w:w="2880"/>
          </w:tcPr>
          <w:p>
            <w:pPr>
              <w:spacing w:after="20"/>
            </w:pPr>
            <w:r/>
            <w:r>
              <w:rPr>
                <w:b w:val="0"/>
                <w:i w:val="0"/>
                <w:sz w:val="15"/>
              </w:rPr>
              <w:t>No survival period for NRD indemnity</w:t>
            </w:r>
          </w:p>
        </w:tc>
        <w:tc>
          <w:tcPr>
            <w:tcW w:type="dxa" w:w="1440"/>
          </w:tcPr>
          <w:p>
            <w:pPr>
              <w:spacing w:after="20"/>
            </w:pPr>
            <w:r/>
            <w:r>
              <w:rPr>
                <w:b w:val="0"/>
                <w:i w:val="0"/>
                <w:sz w:val="15"/>
              </w:rPr>
              <w:t>SA 8.5, 8.8</w:t>
            </w:r>
          </w:p>
        </w:tc>
        <w:tc>
          <w:tcPr>
            <w:tcW w:type="dxa" w:w="864"/>
          </w:tcPr>
          <w:p>
            <w:pPr>
              <w:spacing w:after="20"/>
            </w:pPr>
            <w:r/>
            <w:r>
              <w:rPr>
                <w:b w:val="0"/>
                <w:i w:val="0"/>
                <w:sz w:val="15"/>
              </w:rPr>
              <w:t>High</w:t>
            </w:r>
          </w:p>
        </w:tc>
        <w:tc>
          <w:tcPr>
            <w:tcW w:type="dxa" w:w="3528"/>
          </w:tcPr>
          <w:p>
            <w:pPr>
              <w:spacing w:after="20"/>
            </w:pPr>
            <w:r/>
            <w:r>
              <w:rPr>
                <w:b w:val="0"/>
                <w:i w:val="0"/>
                <w:sz w:val="15"/>
              </w:rPr>
              <w:t>Amend 8.8 to cover 8.5 with a notice tail; meanwhile give protective notice to Northshore of potential Commencement Bay NRD claims</w:t>
            </w:r>
          </w:p>
        </w:tc>
      </w:tr>
      <w:tr>
        <w:tc>
          <w:tcPr>
            <w:tcW w:type="dxa" w:w="648"/>
          </w:tcPr>
          <w:p>
            <w:pPr>
              <w:spacing w:after="20"/>
            </w:pPr>
            <w:r/>
            <w:r>
              <w:rPr>
                <w:b w:val="0"/>
                <w:i w:val="0"/>
                <w:sz w:val="15"/>
              </w:rPr>
              <w:t>R-4</w:t>
            </w:r>
          </w:p>
        </w:tc>
        <w:tc>
          <w:tcPr>
            <w:tcW w:type="dxa" w:w="2880"/>
          </w:tcPr>
          <w:p>
            <w:pPr>
              <w:spacing w:after="20"/>
            </w:pPr>
            <w:r/>
            <w:r>
              <w:rPr>
                <w:b w:val="0"/>
                <w:i w:val="0"/>
                <w:sz w:val="15"/>
              </w:rPr>
              <w:t>Third-party tort and private cost-recovery claims from Puget's historical operations not covered by any indemnity</w:t>
            </w:r>
          </w:p>
        </w:tc>
        <w:tc>
          <w:tcPr>
            <w:tcW w:type="dxa" w:w="1440"/>
          </w:tcPr>
          <w:p>
            <w:pPr>
              <w:spacing w:after="20"/>
            </w:pPr>
            <w:r/>
            <w:r>
              <w:rPr>
                <w:b w:val="0"/>
                <w:i w:val="0"/>
                <w:sz w:val="15"/>
              </w:rPr>
              <w:t>SA 8.1-8.3</w:t>
            </w:r>
          </w:p>
        </w:tc>
        <w:tc>
          <w:tcPr>
            <w:tcW w:type="dxa" w:w="864"/>
          </w:tcPr>
          <w:p>
            <w:pPr>
              <w:spacing w:after="20"/>
            </w:pPr>
            <w:r/>
            <w:r>
              <w:rPr>
                <w:b w:val="0"/>
                <w:i w:val="0"/>
                <w:sz w:val="15"/>
              </w:rPr>
              <w:t>High</w:t>
            </w:r>
          </w:p>
        </w:tc>
        <w:tc>
          <w:tcPr>
            <w:tcW w:type="dxa" w:w="3528"/>
          </w:tcPr>
          <w:p>
            <w:pPr>
              <w:spacing w:after="20"/>
            </w:pPr>
            <w:r/>
            <w:r>
              <w:rPr>
                <w:b w:val="0"/>
                <w:i w:val="0"/>
                <w:sz w:val="15"/>
              </w:rPr>
              <w:t>Quantify exposure (vapor intrusion, off-site property owners, Bay users); evaluate PLL coverage; propose a default 62/28/10 sharing rule for claims of mixed or indeterminate causation</w:t>
            </w:r>
          </w:p>
        </w:tc>
      </w:tr>
      <w:tr>
        <w:tc>
          <w:tcPr>
            <w:tcW w:type="dxa" w:w="648"/>
          </w:tcPr>
          <w:p>
            <w:pPr>
              <w:spacing w:after="20"/>
            </w:pPr>
            <w:r/>
            <w:r>
              <w:rPr>
                <w:b w:val="0"/>
                <w:i w:val="0"/>
                <w:sz w:val="15"/>
              </w:rPr>
              <w:t>R-5</w:t>
            </w:r>
          </w:p>
        </w:tc>
        <w:tc>
          <w:tcPr>
            <w:tcW w:type="dxa" w:w="2880"/>
          </w:tcPr>
          <w:p>
            <w:pPr>
              <w:spacing w:after="20"/>
            </w:pPr>
            <w:r/>
            <w:r>
              <w:rPr>
                <w:b w:val="0"/>
                <w:i w:val="0"/>
                <w:sz w:val="15"/>
              </w:rPr>
              <w:t>Insurance-first rule and dollar-for-dollar offset erode Cascadia's PLL for Northshore's benefit</w:t>
            </w:r>
          </w:p>
        </w:tc>
        <w:tc>
          <w:tcPr>
            <w:tcW w:type="dxa" w:w="1440"/>
          </w:tcPr>
          <w:p>
            <w:pPr>
              <w:spacing w:after="20"/>
            </w:pPr>
            <w:r/>
            <w:r>
              <w:rPr>
                <w:b w:val="0"/>
                <w:i w:val="0"/>
                <w:sz w:val="15"/>
              </w:rPr>
              <w:t>SA 8.7; Exh. D 5; SL 8</w:t>
            </w:r>
          </w:p>
        </w:tc>
        <w:tc>
          <w:tcPr>
            <w:tcW w:type="dxa" w:w="864"/>
          </w:tcPr>
          <w:p>
            <w:pPr>
              <w:spacing w:after="20"/>
            </w:pPr>
            <w:r/>
            <w:r>
              <w:rPr>
                <w:b w:val="0"/>
                <w:i w:val="0"/>
                <w:sz w:val="15"/>
              </w:rPr>
              <w:t>High</w:t>
            </w:r>
          </w:p>
        </w:tc>
        <w:tc>
          <w:tcPr>
            <w:tcW w:type="dxa" w:w="3528"/>
          </w:tcPr>
          <w:p>
            <w:pPr>
              <w:spacing w:after="20"/>
            </w:pPr>
            <w:r/>
            <w:r>
              <w:rPr>
                <w:b w:val="0"/>
                <w:i w:val="0"/>
                <w:sz w:val="15"/>
              </w:rPr>
              <w:t>Negotiate allocation of proceeds to Cascadia's retained share first; obtain the policy for coverage counsel review</w:t>
            </w:r>
          </w:p>
        </w:tc>
      </w:tr>
      <w:tr>
        <w:tc>
          <w:tcPr>
            <w:tcW w:type="dxa" w:w="648"/>
          </w:tcPr>
          <w:p>
            <w:pPr>
              <w:spacing w:after="20"/>
            </w:pPr>
            <w:r/>
            <w:r>
              <w:rPr>
                <w:b w:val="0"/>
                <w:i w:val="0"/>
                <w:sz w:val="15"/>
              </w:rPr>
              <w:t>R-6</w:t>
            </w:r>
          </w:p>
        </w:tc>
        <w:tc>
          <w:tcPr>
            <w:tcW w:type="dxa" w:w="2880"/>
          </w:tcPr>
          <w:p>
            <w:pPr>
              <w:spacing w:after="20"/>
            </w:pPr>
            <w:r/>
            <w:r>
              <w:rPr>
                <w:b w:val="0"/>
                <w:i w:val="0"/>
                <w:sz w:val="15"/>
              </w:rPr>
              <w:t>Puget's 10% under SA 8.4 not clearly within Cascadia's guarantee (5.3 covers "Cost Share obligations"; 8.3(d) covers only 8.3)</w:t>
            </w:r>
          </w:p>
        </w:tc>
        <w:tc>
          <w:tcPr>
            <w:tcW w:type="dxa" w:w="1440"/>
          </w:tcPr>
          <w:p>
            <w:pPr>
              <w:spacing w:after="20"/>
            </w:pPr>
            <w:r/>
            <w:r>
              <w:rPr>
                <w:b w:val="0"/>
                <w:i w:val="0"/>
                <w:sz w:val="15"/>
              </w:rPr>
              <w:t>SA 5.3, 8.3(d), 8.4</w:t>
            </w:r>
          </w:p>
        </w:tc>
        <w:tc>
          <w:tcPr>
            <w:tcW w:type="dxa" w:w="864"/>
          </w:tcPr>
          <w:p>
            <w:pPr>
              <w:spacing w:after="20"/>
            </w:pPr>
            <w:r/>
            <w:r>
              <w:rPr>
                <w:b w:val="0"/>
                <w:i w:val="0"/>
                <w:sz w:val="15"/>
              </w:rPr>
              <w:t>Medium</w:t>
            </w:r>
          </w:p>
        </w:tc>
        <w:tc>
          <w:tcPr>
            <w:tcW w:type="dxa" w:w="3528"/>
          </w:tcPr>
          <w:p>
            <w:pPr>
              <w:spacing w:after="20"/>
            </w:pPr>
            <w:r/>
            <w:r>
              <w:rPr>
                <w:b w:val="0"/>
                <w:i w:val="0"/>
                <w:sz w:val="15"/>
              </w:rPr>
              <w:t>Expect Northshore to demand 72% from Cascadia; the narrow reading favors Cascadia legally, but Puget's 10% is uncollectible either way when Cascadia is the claimant</w:t>
            </w:r>
          </w:p>
        </w:tc>
      </w:tr>
      <w:tr>
        <w:tc>
          <w:tcPr>
            <w:tcW w:type="dxa" w:w="648"/>
          </w:tcPr>
          <w:p>
            <w:pPr>
              <w:spacing w:after="20"/>
            </w:pPr>
            <w:r/>
            <w:r>
              <w:rPr>
                <w:b w:val="0"/>
                <w:i w:val="0"/>
                <w:sz w:val="15"/>
              </w:rPr>
              <w:t>R-7</w:t>
            </w:r>
          </w:p>
        </w:tc>
        <w:tc>
          <w:tcPr>
            <w:tcW w:type="dxa" w:w="2880"/>
          </w:tcPr>
          <w:p>
            <w:pPr>
              <w:spacing w:after="20"/>
            </w:pPr>
            <w:r/>
            <w:r>
              <w:rPr>
                <w:b w:val="0"/>
                <w:i w:val="0"/>
                <w:sz w:val="15"/>
              </w:rPr>
              <w:t>Marina Claim indemnity is uncapped (incl. increases), and Puget is excluded from the SL so Cascadia cannot pass any share through</w:t>
            </w:r>
          </w:p>
        </w:tc>
        <w:tc>
          <w:tcPr>
            <w:tcW w:type="dxa" w:w="1440"/>
          </w:tcPr>
          <w:p>
            <w:pPr>
              <w:spacing w:after="20"/>
            </w:pPr>
            <w:r/>
            <w:r>
              <w:rPr>
                <w:b w:val="0"/>
                <w:i w:val="0"/>
                <w:sz w:val="15"/>
              </w:rPr>
              <w:t>SL 1(c), 2(c), 7</w:t>
            </w:r>
          </w:p>
        </w:tc>
        <w:tc>
          <w:tcPr>
            <w:tcW w:type="dxa" w:w="864"/>
          </w:tcPr>
          <w:p>
            <w:pPr>
              <w:spacing w:after="20"/>
            </w:pPr>
            <w:r/>
            <w:r>
              <w:rPr>
                <w:b w:val="0"/>
                <w:i w:val="0"/>
                <w:sz w:val="15"/>
              </w:rPr>
              <w:t>High</w:t>
            </w:r>
          </w:p>
        </w:tc>
        <w:tc>
          <w:tcPr>
            <w:tcW w:type="dxa" w:w="3528"/>
          </w:tcPr>
          <w:p>
            <w:pPr>
              <w:spacing w:after="20"/>
            </w:pPr>
            <w:r/>
            <w:r>
              <w:rPr>
                <w:b w:val="0"/>
                <w:i w:val="0"/>
                <w:sz w:val="15"/>
              </w:rPr>
              <w:t>Cascadia controls the defense: assert contribution protection (SA 7.4), causation and allocation defenses; tender to PLL; consider early resolution</w:t>
            </w:r>
          </w:p>
        </w:tc>
      </w:tr>
      <w:tr>
        <w:tc>
          <w:tcPr>
            <w:tcW w:type="dxa" w:w="648"/>
          </w:tcPr>
          <w:p>
            <w:pPr>
              <w:spacing w:after="20"/>
            </w:pPr>
            <w:r/>
            <w:r>
              <w:rPr>
                <w:b w:val="0"/>
                <w:i w:val="0"/>
                <w:sz w:val="15"/>
              </w:rPr>
              <w:t>R-8</w:t>
            </w:r>
          </w:p>
        </w:tc>
        <w:tc>
          <w:tcPr>
            <w:tcW w:type="dxa" w:w="2880"/>
          </w:tcPr>
          <w:p>
            <w:pPr>
              <w:spacing w:after="20"/>
            </w:pPr>
            <w:r/>
            <w:r>
              <w:rPr>
                <w:b w:val="0"/>
                <w:i w:val="0"/>
                <w:sz w:val="15"/>
              </w:rPr>
              <w:t>Northshore SL caps are absolute even if TNA/SSC judgments exceed claimed amounts; the excess falls 100% on Cascadia</w:t>
            </w:r>
          </w:p>
        </w:tc>
        <w:tc>
          <w:tcPr>
            <w:tcW w:type="dxa" w:w="1440"/>
          </w:tcPr>
          <w:p>
            <w:pPr>
              <w:spacing w:after="20"/>
            </w:pPr>
            <w:r/>
            <w:r>
              <w:rPr>
                <w:b w:val="0"/>
                <w:i w:val="0"/>
                <w:sz w:val="15"/>
              </w:rPr>
              <w:t>SL 2(a)-(b)</w:t>
            </w:r>
          </w:p>
        </w:tc>
        <w:tc>
          <w:tcPr>
            <w:tcW w:type="dxa" w:w="864"/>
          </w:tcPr>
          <w:p>
            <w:pPr>
              <w:spacing w:after="20"/>
            </w:pPr>
            <w:r/>
            <w:r>
              <w:rPr>
                <w:b w:val="0"/>
                <w:i w:val="0"/>
                <w:sz w:val="15"/>
              </w:rPr>
              <w:t>Medium</w:t>
            </w:r>
          </w:p>
        </w:tc>
        <w:tc>
          <w:tcPr>
            <w:tcW w:type="dxa" w:w="3528"/>
          </w:tcPr>
          <w:p>
            <w:pPr>
              <w:spacing w:after="20"/>
            </w:pPr>
            <w:r/>
            <w:r>
              <w:rPr>
                <w:b w:val="0"/>
                <w:i w:val="0"/>
                <w:sz w:val="15"/>
              </w:rPr>
              <w:t>Coordinate joint defense (SL 7) to contain judgments; evaluate whether SA 8.2 is available for excess (SL 4 "in addition to"); Northshore will argue the SL controls exclusively</w:t>
            </w:r>
          </w:p>
        </w:tc>
      </w:tr>
      <w:tr>
        <w:tc>
          <w:tcPr>
            <w:tcW w:type="dxa" w:w="648"/>
          </w:tcPr>
          <w:p>
            <w:pPr>
              <w:spacing w:after="20"/>
            </w:pPr>
            <w:r/>
            <w:r>
              <w:rPr>
                <w:b w:val="0"/>
                <w:i w:val="0"/>
                <w:sz w:val="15"/>
              </w:rPr>
              <w:t>R-9</w:t>
            </w:r>
          </w:p>
        </w:tc>
        <w:tc>
          <w:tcPr>
            <w:tcW w:type="dxa" w:w="2880"/>
          </w:tcPr>
          <w:p>
            <w:pPr>
              <w:spacing w:after="20"/>
            </w:pPr>
            <w:r/>
            <w:r>
              <w:rPr>
                <w:b w:val="0"/>
                <w:i w:val="0"/>
                <w:sz w:val="15"/>
              </w:rPr>
              <w:t>Relationship between SL and SA 8.1/8.2 ambiguous ("independent and in addition" vs. SL governs conflicts)</w:t>
            </w:r>
          </w:p>
        </w:tc>
        <w:tc>
          <w:tcPr>
            <w:tcW w:type="dxa" w:w="1440"/>
          </w:tcPr>
          <w:p>
            <w:pPr>
              <w:spacing w:after="20"/>
            </w:pPr>
            <w:r/>
            <w:r>
              <w:rPr>
                <w:b w:val="0"/>
                <w:i w:val="0"/>
                <w:sz w:val="15"/>
              </w:rPr>
              <w:t>SL 4</w:t>
            </w:r>
          </w:p>
        </w:tc>
        <w:tc>
          <w:tcPr>
            <w:tcW w:type="dxa" w:w="864"/>
          </w:tcPr>
          <w:p>
            <w:pPr>
              <w:spacing w:after="20"/>
            </w:pPr>
            <w:r/>
            <w:r>
              <w:rPr>
                <w:b w:val="0"/>
                <w:i w:val="0"/>
                <w:sz w:val="15"/>
              </w:rPr>
              <w:t>Medium</w:t>
            </w:r>
          </w:p>
        </w:tc>
        <w:tc>
          <w:tcPr>
            <w:tcW w:type="dxa" w:w="3528"/>
          </w:tcPr>
          <w:p>
            <w:pPr>
              <w:spacing w:after="20"/>
            </w:pPr>
            <w:r/>
            <w:r>
              <w:rPr>
                <w:b w:val="0"/>
                <w:i w:val="0"/>
                <w:sz w:val="15"/>
              </w:rPr>
              <w:t>Clarify; preserve position by noticing Pre-Existing Claims under both SL 2 and SA 8.2</w:t>
            </w:r>
          </w:p>
        </w:tc>
      </w:tr>
      <w:tr>
        <w:tc>
          <w:tcPr>
            <w:tcW w:type="dxa" w:w="648"/>
          </w:tcPr>
          <w:p>
            <w:pPr>
              <w:spacing w:after="20"/>
            </w:pPr>
            <w:r/>
            <w:r>
              <w:rPr>
                <w:b w:val="0"/>
                <w:i w:val="0"/>
                <w:sz w:val="15"/>
              </w:rPr>
              <w:t>R-10</w:t>
            </w:r>
          </w:p>
        </w:tc>
        <w:tc>
          <w:tcPr>
            <w:tcW w:type="dxa" w:w="2880"/>
          </w:tcPr>
          <w:p>
            <w:pPr>
              <w:spacing w:after="20"/>
            </w:pPr>
            <w:r/>
            <w:r>
              <w:rPr>
                <w:b w:val="0"/>
                <w:i w:val="0"/>
                <w:sz w:val="15"/>
              </w:rPr>
              <w:t>8.2 cap "equal to" Northshore's Cost Share: risk Northshore argues cost-share payments erode the cap</w:t>
            </w:r>
          </w:p>
        </w:tc>
        <w:tc>
          <w:tcPr>
            <w:tcW w:type="dxa" w:w="1440"/>
          </w:tcPr>
          <w:p>
            <w:pPr>
              <w:spacing w:after="20"/>
            </w:pPr>
            <w:r/>
            <w:r>
              <w:rPr>
                <w:b w:val="0"/>
                <w:i w:val="0"/>
                <w:sz w:val="15"/>
              </w:rPr>
              <w:t>SA 8.2(b)</w:t>
            </w:r>
          </w:p>
        </w:tc>
        <w:tc>
          <w:tcPr>
            <w:tcW w:type="dxa" w:w="864"/>
          </w:tcPr>
          <w:p>
            <w:pPr>
              <w:spacing w:after="20"/>
            </w:pPr>
            <w:r/>
            <w:r>
              <w:rPr>
                <w:b w:val="0"/>
                <w:i w:val="0"/>
                <w:sz w:val="15"/>
              </w:rPr>
              <w:t>Medium</w:t>
            </w:r>
          </w:p>
        </w:tc>
        <w:tc>
          <w:tcPr>
            <w:tcW w:type="dxa" w:w="3528"/>
          </w:tcPr>
          <w:p>
            <w:pPr>
              <w:spacing w:after="20"/>
            </w:pPr>
            <w:r/>
            <w:r>
              <w:rPr>
                <w:b w:val="0"/>
                <w:i w:val="0"/>
                <w:sz w:val="15"/>
              </w:rPr>
              <w:t>Clarify that cost-share payments do not reduce the indemnity cap</w:t>
            </w:r>
          </w:p>
        </w:tc>
      </w:tr>
      <w:tr>
        <w:tc>
          <w:tcPr>
            <w:tcW w:type="dxa" w:w="648"/>
          </w:tcPr>
          <w:p>
            <w:pPr>
              <w:spacing w:after="20"/>
            </w:pPr>
            <w:r/>
            <w:r>
              <w:rPr>
                <w:b w:val="0"/>
                <w:i w:val="0"/>
                <w:sz w:val="15"/>
              </w:rPr>
              <w:t>R-11</w:t>
            </w:r>
          </w:p>
        </w:tc>
        <w:tc>
          <w:tcPr>
            <w:tcW w:type="dxa" w:w="2880"/>
          </w:tcPr>
          <w:p>
            <w:pPr>
              <w:spacing w:after="20"/>
            </w:pPr>
            <w:r/>
            <w:r>
              <w:rPr>
                <w:b w:val="0"/>
                <w:i w:val="0"/>
                <w:sz w:val="15"/>
              </w:rPr>
              <w:t>Cap asymmetry: $10M (Cascadia) vs. $7.952M (Northshore)</w:t>
            </w:r>
          </w:p>
        </w:tc>
        <w:tc>
          <w:tcPr>
            <w:tcW w:type="dxa" w:w="1440"/>
          </w:tcPr>
          <w:p>
            <w:pPr>
              <w:spacing w:after="20"/>
            </w:pPr>
            <w:r/>
            <w:r>
              <w:rPr>
                <w:b w:val="0"/>
                <w:i w:val="0"/>
                <w:sz w:val="15"/>
              </w:rPr>
              <w:t>SA 8.1(b), 8.2(b)</w:t>
            </w:r>
          </w:p>
        </w:tc>
        <w:tc>
          <w:tcPr>
            <w:tcW w:type="dxa" w:w="864"/>
          </w:tcPr>
          <w:p>
            <w:pPr>
              <w:spacing w:after="20"/>
            </w:pPr>
            <w:r/>
            <w:r>
              <w:rPr>
                <w:b w:val="0"/>
                <w:i w:val="0"/>
                <w:sz w:val="15"/>
              </w:rPr>
              <w:t>Medium</w:t>
            </w:r>
          </w:p>
        </w:tc>
        <w:tc>
          <w:tcPr>
            <w:tcW w:type="dxa" w:w="3528"/>
          </w:tcPr>
          <w:p>
            <w:pPr>
              <w:spacing w:after="20"/>
            </w:pPr>
            <w:r/>
            <w:r>
              <w:rPr>
                <w:b w:val="0"/>
                <w:i w:val="0"/>
                <w:sz w:val="15"/>
              </w:rPr>
              <w:t>Compare to term sheet; if not agreed, seek parity</w:t>
            </w:r>
          </w:p>
        </w:tc>
      </w:tr>
      <w:tr>
        <w:tc>
          <w:tcPr>
            <w:tcW w:type="dxa" w:w="648"/>
          </w:tcPr>
          <w:p>
            <w:pPr>
              <w:spacing w:after="20"/>
            </w:pPr>
            <w:r/>
            <w:r>
              <w:rPr>
                <w:b w:val="0"/>
                <w:i w:val="0"/>
                <w:sz w:val="15"/>
              </w:rPr>
              <w:t>R-12</w:t>
            </w:r>
          </w:p>
        </w:tc>
        <w:tc>
          <w:tcPr>
            <w:tcW w:type="dxa" w:w="2880"/>
          </w:tcPr>
          <w:p>
            <w:pPr>
              <w:spacing w:after="20"/>
            </w:pPr>
            <w:r/>
            <w:r>
              <w:rPr>
                <w:b w:val="0"/>
                <w:i w:val="0"/>
                <w:sz w:val="15"/>
              </w:rPr>
              <w:t>SA 8.4 "exceeds the scope" undefined; excludes penalties and oversight costs; no notice tail after 2045</w:t>
            </w:r>
          </w:p>
        </w:tc>
        <w:tc>
          <w:tcPr>
            <w:tcW w:type="dxa" w:w="1440"/>
          </w:tcPr>
          <w:p>
            <w:pPr>
              <w:spacing w:after="20"/>
            </w:pPr>
            <w:r/>
            <w:r>
              <w:rPr>
                <w:b w:val="0"/>
                <w:i w:val="0"/>
                <w:sz w:val="15"/>
              </w:rPr>
              <w:t>SA 8.4, 8.8(b)</w:t>
            </w:r>
          </w:p>
        </w:tc>
        <w:tc>
          <w:tcPr>
            <w:tcW w:type="dxa" w:w="864"/>
          </w:tcPr>
          <w:p>
            <w:pPr>
              <w:spacing w:after="20"/>
            </w:pPr>
            <w:r/>
            <w:r>
              <w:rPr>
                <w:b w:val="0"/>
                <w:i w:val="0"/>
                <w:sz w:val="15"/>
              </w:rPr>
              <w:t>Medium</w:t>
            </w:r>
          </w:p>
        </w:tc>
        <w:tc>
          <w:tcPr>
            <w:tcW w:type="dxa" w:w="3528"/>
          </w:tcPr>
          <w:p>
            <w:pPr>
              <w:spacing w:after="20"/>
            </w:pPr>
            <w:r/>
            <w:r>
              <w:rPr>
                <w:b w:val="0"/>
                <w:i w:val="0"/>
                <w:sz w:val="15"/>
              </w:rPr>
              <w:t>Define scope by reference to Exhibit B and SA 7.3 reopeners; add penalties/oversight costs and a notice tail</w:t>
            </w:r>
          </w:p>
        </w:tc>
      </w:tr>
      <w:tr>
        <w:tc>
          <w:tcPr>
            <w:tcW w:type="dxa" w:w="648"/>
          </w:tcPr>
          <w:p>
            <w:pPr>
              <w:spacing w:after="20"/>
            </w:pPr>
            <w:r/>
            <w:r>
              <w:rPr>
                <w:b w:val="0"/>
                <w:i w:val="0"/>
                <w:sz w:val="15"/>
              </w:rPr>
              <w:t>R-13</w:t>
            </w:r>
          </w:p>
        </w:tc>
        <w:tc>
          <w:tcPr>
            <w:tcW w:type="dxa" w:w="2880"/>
          </w:tcPr>
          <w:p>
            <w:pPr>
              <w:spacing w:after="20"/>
            </w:pPr>
            <w:r/>
            <w:r>
              <w:rPr>
                <w:b w:val="0"/>
                <w:i w:val="0"/>
                <w:sz w:val="15"/>
              </w:rPr>
              <w:t>SA 8.6(d) inter-party exclusion could be read to bar direct-loss indemnity claims; Exh. D lacks direct-claim procedures</w:t>
            </w:r>
          </w:p>
        </w:tc>
        <w:tc>
          <w:tcPr>
            <w:tcW w:type="dxa" w:w="1440"/>
          </w:tcPr>
          <w:p>
            <w:pPr>
              <w:spacing w:after="20"/>
            </w:pPr>
            <w:r/>
            <w:r>
              <w:rPr>
                <w:b w:val="0"/>
                <w:i w:val="0"/>
                <w:sz w:val="15"/>
              </w:rPr>
              <w:t>SA 8.6(d); Exh. D 1, 6</w:t>
            </w:r>
          </w:p>
        </w:tc>
        <w:tc>
          <w:tcPr>
            <w:tcW w:type="dxa" w:w="864"/>
          </w:tcPr>
          <w:p>
            <w:pPr>
              <w:spacing w:after="20"/>
            </w:pPr>
            <w:r/>
            <w:r>
              <w:rPr>
                <w:b w:val="0"/>
                <w:i w:val="0"/>
                <w:sz w:val="15"/>
              </w:rPr>
              <w:t>Medium</w:t>
            </w:r>
          </w:p>
        </w:tc>
        <w:tc>
          <w:tcPr>
            <w:tcW w:type="dxa" w:w="3528"/>
          </w:tcPr>
          <w:p>
            <w:pPr>
              <w:spacing w:after="20"/>
            </w:pPr>
            <w:r/>
            <w:r>
              <w:rPr>
                <w:b w:val="0"/>
                <w:i w:val="0"/>
                <w:sz w:val="15"/>
              </w:rPr>
              <w:t>Clarify that 8.6(d) excludes only independent inter-party disputes, not claims for indemnifiable Losses</w:t>
            </w:r>
          </w:p>
        </w:tc>
      </w:tr>
      <w:tr>
        <w:tc>
          <w:tcPr>
            <w:tcW w:type="dxa" w:w="648"/>
          </w:tcPr>
          <w:p>
            <w:pPr>
              <w:spacing w:after="20"/>
            </w:pPr>
            <w:r/>
            <w:r>
              <w:rPr>
                <w:b w:val="0"/>
                <w:i w:val="0"/>
                <w:sz w:val="15"/>
              </w:rPr>
              <w:t>R-14</w:t>
            </w:r>
          </w:p>
        </w:tc>
        <w:tc>
          <w:tcPr>
            <w:tcW w:type="dxa" w:w="2880"/>
          </w:tcPr>
          <w:p>
            <w:pPr>
              <w:spacing w:after="20"/>
            </w:pPr>
            <w:r/>
            <w:r>
              <w:rPr>
                <w:b w:val="0"/>
                <w:i w:val="0"/>
                <w:sz w:val="15"/>
              </w:rPr>
              <w:t>Off-site exclusion (8.6(b)) may be argued to exclude plume-migration and Bay sediment areas</w:t>
            </w:r>
          </w:p>
        </w:tc>
        <w:tc>
          <w:tcPr>
            <w:tcW w:type="dxa" w:w="1440"/>
          </w:tcPr>
          <w:p>
            <w:pPr>
              <w:spacing w:after="20"/>
            </w:pPr>
            <w:r/>
            <w:r>
              <w:rPr>
                <w:b w:val="0"/>
                <w:i w:val="0"/>
                <w:sz w:val="15"/>
              </w:rPr>
              <w:t>SA 8.6(b)</w:t>
            </w:r>
          </w:p>
        </w:tc>
        <w:tc>
          <w:tcPr>
            <w:tcW w:type="dxa" w:w="864"/>
          </w:tcPr>
          <w:p>
            <w:pPr>
              <w:spacing w:after="20"/>
            </w:pPr>
            <w:r/>
            <w:r>
              <w:rPr>
                <w:b w:val="0"/>
                <w:i w:val="0"/>
                <w:sz w:val="15"/>
              </w:rPr>
              <w:t>Medium</w:t>
            </w:r>
          </w:p>
        </w:tc>
        <w:tc>
          <w:tcPr>
            <w:tcW w:type="dxa" w:w="3528"/>
          </w:tcPr>
          <w:p>
            <w:pPr>
              <w:spacing w:after="20"/>
            </w:pPr>
            <w:r/>
            <w:r>
              <w:rPr>
                <w:b w:val="0"/>
                <w:i w:val="0"/>
                <w:sz w:val="15"/>
              </w:rPr>
              <w:t>Clarify that "Site" includes areas where Hazardous Substances from the Site have come to be located</w:t>
            </w:r>
          </w:p>
        </w:tc>
      </w:tr>
      <w:tr>
        <w:tc>
          <w:tcPr>
            <w:tcW w:type="dxa" w:w="648"/>
          </w:tcPr>
          <w:p>
            <w:pPr>
              <w:spacing w:after="20"/>
            </w:pPr>
            <w:r/>
            <w:r>
              <w:rPr>
                <w:b w:val="0"/>
                <w:i w:val="0"/>
                <w:sz w:val="15"/>
              </w:rPr>
              <w:t>R-15</w:t>
            </w:r>
          </w:p>
        </w:tc>
        <w:tc>
          <w:tcPr>
            <w:tcW w:type="dxa" w:w="2880"/>
          </w:tcPr>
          <w:p>
            <w:pPr>
              <w:spacing w:after="20"/>
            </w:pPr>
            <w:r/>
            <w:r>
              <w:rPr>
                <w:b w:val="0"/>
                <w:i w:val="0"/>
                <w:sz w:val="15"/>
              </w:rPr>
              <w:t>Exclusions do not apply to 8.3/8.4/8.5 (punitive damages, indemnitee gross negligence)</w:t>
            </w:r>
          </w:p>
        </w:tc>
        <w:tc>
          <w:tcPr>
            <w:tcW w:type="dxa" w:w="1440"/>
          </w:tcPr>
          <w:p>
            <w:pPr>
              <w:spacing w:after="20"/>
            </w:pPr>
            <w:r/>
            <w:r>
              <w:rPr>
                <w:b w:val="0"/>
                <w:i w:val="0"/>
                <w:sz w:val="15"/>
              </w:rPr>
              <w:t>SA 8.6 final para.</w:t>
            </w:r>
          </w:p>
        </w:tc>
        <w:tc>
          <w:tcPr>
            <w:tcW w:type="dxa" w:w="864"/>
          </w:tcPr>
          <w:p>
            <w:pPr>
              <w:spacing w:after="20"/>
            </w:pPr>
            <w:r/>
            <w:r>
              <w:rPr>
                <w:b w:val="0"/>
                <w:i w:val="0"/>
                <w:sz w:val="15"/>
              </w:rPr>
              <w:t>Medium</w:t>
            </w:r>
          </w:p>
        </w:tc>
        <w:tc>
          <w:tcPr>
            <w:tcW w:type="dxa" w:w="3528"/>
          </w:tcPr>
          <w:p>
            <w:pPr>
              <w:spacing w:after="20"/>
            </w:pPr>
            <w:r/>
            <w:r>
              <w:rPr>
                <w:b w:val="0"/>
                <w:i w:val="0"/>
                <w:sz w:val="15"/>
              </w:rPr>
              <w:t>Seek extension of the 8.6(a) and (c) exclusions to all indemnities</w:t>
            </w:r>
          </w:p>
        </w:tc>
      </w:tr>
      <w:tr>
        <w:tc>
          <w:tcPr>
            <w:tcW w:type="dxa" w:w="648"/>
          </w:tcPr>
          <w:p>
            <w:pPr>
              <w:spacing w:after="20"/>
            </w:pPr>
            <w:r/>
            <w:r>
              <w:rPr>
                <w:b w:val="0"/>
                <w:i w:val="0"/>
                <w:sz w:val="15"/>
              </w:rPr>
              <w:t>R-16</w:t>
            </w:r>
          </w:p>
        </w:tc>
        <w:tc>
          <w:tcPr>
            <w:tcW w:type="dxa" w:w="2880"/>
          </w:tcPr>
          <w:p>
            <w:pPr>
              <w:spacing w:after="20"/>
            </w:pPr>
            <w:r/>
            <w:r>
              <w:rPr>
                <w:b w:val="0"/>
                <w:i w:val="0"/>
                <w:sz w:val="15"/>
              </w:rPr>
              <w:t>Northshore indemnities unsecured; escrow limited to remediation disbursements and requires joint signature</w:t>
            </w:r>
          </w:p>
        </w:tc>
        <w:tc>
          <w:tcPr>
            <w:tcW w:type="dxa" w:w="1440"/>
          </w:tcPr>
          <w:p>
            <w:pPr>
              <w:spacing w:after="20"/>
            </w:pPr>
            <w:r/>
            <w:r>
              <w:rPr>
                <w:b w:val="0"/>
                <w:i w:val="0"/>
                <w:sz w:val="15"/>
              </w:rPr>
              <w:t>SA 5.4; EA 3.1-3.3</w:t>
            </w:r>
          </w:p>
        </w:tc>
        <w:tc>
          <w:tcPr>
            <w:tcW w:type="dxa" w:w="864"/>
          </w:tcPr>
          <w:p>
            <w:pPr>
              <w:spacing w:after="20"/>
            </w:pPr>
            <w:r/>
            <w:r>
              <w:rPr>
                <w:b w:val="0"/>
                <w:i w:val="0"/>
                <w:sz w:val="15"/>
              </w:rPr>
              <w:t>Medium</w:t>
            </w:r>
          </w:p>
        </w:tc>
        <w:tc>
          <w:tcPr>
            <w:tcW w:type="dxa" w:w="3528"/>
          </w:tcPr>
          <w:p>
            <w:pPr>
              <w:spacing w:after="20"/>
            </w:pPr>
            <w:r/>
            <w:r>
              <w:rPr>
                <w:b w:val="0"/>
                <w:i w:val="0"/>
                <w:sz w:val="15"/>
              </w:rPr>
              <w:t>Seek a trust/parent guaranty, insurance, or a supplemental indemnity escrow or letter of credit; monitor Northshore's financial condition</w:t>
            </w:r>
          </w:p>
        </w:tc>
      </w:tr>
      <w:tr>
        <w:tc>
          <w:tcPr>
            <w:tcW w:type="dxa" w:w="648"/>
          </w:tcPr>
          <w:p>
            <w:pPr>
              <w:spacing w:after="20"/>
            </w:pPr>
            <w:r/>
            <w:r>
              <w:rPr>
                <w:b w:val="0"/>
                <w:i w:val="0"/>
                <w:sz w:val="15"/>
              </w:rPr>
              <w:t>R-17</w:t>
            </w:r>
          </w:p>
        </w:tc>
        <w:tc>
          <w:tcPr>
            <w:tcW w:type="dxa" w:w="2880"/>
          </w:tcPr>
          <w:p>
            <w:pPr>
              <w:spacing w:after="20"/>
            </w:pPr>
            <w:r/>
            <w:r>
              <w:rPr>
                <w:b w:val="0"/>
                <w:i w:val="0"/>
                <w:sz w:val="15"/>
              </w:rPr>
              <w:t>Cascadia described as "successor to Puget Metalworks"</w:t>
            </w:r>
          </w:p>
        </w:tc>
        <w:tc>
          <w:tcPr>
            <w:tcW w:type="dxa" w:w="1440"/>
          </w:tcPr>
          <w:p>
            <w:pPr>
              <w:spacing w:after="20"/>
            </w:pPr>
            <w:r/>
            <w:r>
              <w:rPr>
                <w:b w:val="0"/>
                <w:i w:val="0"/>
                <w:sz w:val="15"/>
              </w:rPr>
              <w:t>SA 5.2(a)</w:t>
            </w:r>
          </w:p>
        </w:tc>
        <w:tc>
          <w:tcPr>
            <w:tcW w:type="dxa" w:w="864"/>
          </w:tcPr>
          <w:p>
            <w:pPr>
              <w:spacing w:after="20"/>
            </w:pPr>
            <w:r/>
            <w:r>
              <w:rPr>
                <w:b w:val="0"/>
                <w:i w:val="0"/>
                <w:sz w:val="15"/>
              </w:rPr>
              <w:t>Medium</w:t>
            </w:r>
          </w:p>
        </w:tc>
        <w:tc>
          <w:tcPr>
            <w:tcW w:type="dxa" w:w="3528"/>
          </w:tcPr>
          <w:p>
            <w:pPr>
              <w:spacing w:after="20"/>
            </w:pPr>
            <w:r/>
            <w:r>
              <w:rPr>
                <w:b w:val="0"/>
                <w:i w:val="0"/>
                <w:sz w:val="15"/>
              </w:rPr>
              <w:t>Correct to "parent and sole member" to avoid any implication of successor or veil-piercing liability</w:t>
            </w:r>
          </w:p>
        </w:tc>
      </w:tr>
      <w:tr>
        <w:tc>
          <w:tcPr>
            <w:tcW w:type="dxa" w:w="648"/>
          </w:tcPr>
          <w:p>
            <w:pPr>
              <w:spacing w:after="20"/>
            </w:pPr>
            <w:r/>
            <w:r>
              <w:rPr>
                <w:b w:val="0"/>
                <w:i w:val="0"/>
                <w:sz w:val="15"/>
              </w:rPr>
              <w:t>R-18</w:t>
            </w:r>
          </w:p>
        </w:tc>
        <w:tc>
          <w:tcPr>
            <w:tcW w:type="dxa" w:w="2880"/>
          </w:tcPr>
          <w:p>
            <w:pPr>
              <w:spacing w:after="20"/>
            </w:pPr>
            <w:r/>
            <w:r>
              <w:rPr>
                <w:b w:val="0"/>
                <w:i w:val="0"/>
                <w:sz w:val="15"/>
              </w:rPr>
              <w:t>Escrow agent indemnity joint and several, uncapped, with no Cascadia-Northshore contribution; agent liability capped at fees; Depository Bank insolvency risk on $7.952M balance</w:t>
            </w:r>
          </w:p>
        </w:tc>
        <w:tc>
          <w:tcPr>
            <w:tcW w:type="dxa" w:w="1440"/>
          </w:tcPr>
          <w:p>
            <w:pPr>
              <w:spacing w:after="20"/>
            </w:pPr>
            <w:r/>
            <w:r>
              <w:rPr>
                <w:b w:val="0"/>
                <w:i w:val="0"/>
                <w:sz w:val="15"/>
              </w:rPr>
              <w:t>EA 4.3(c), 6.1-6.2</w:t>
            </w:r>
          </w:p>
        </w:tc>
        <w:tc>
          <w:tcPr>
            <w:tcW w:type="dxa" w:w="864"/>
          </w:tcPr>
          <w:p>
            <w:pPr>
              <w:spacing w:after="20"/>
            </w:pPr>
            <w:r/>
            <w:r>
              <w:rPr>
                <w:b w:val="0"/>
                <w:i w:val="0"/>
                <w:sz w:val="15"/>
              </w:rPr>
              <w:t>Medium</w:t>
            </w:r>
          </w:p>
        </w:tc>
        <w:tc>
          <w:tcPr>
            <w:tcW w:type="dxa" w:w="3528"/>
          </w:tcPr>
          <w:p>
            <w:pPr>
              <w:spacing w:after="20"/>
            </w:pPr>
            <w:r/>
            <w:r>
              <w:rPr>
                <w:b w:val="0"/>
                <w:i w:val="0"/>
                <w:sz w:val="15"/>
              </w:rPr>
              <w:t>Side agreement for 50/50 contribution (fault-based where one party causes the dispute); direct investment into short-term Treasuries under EA 2.3(a) by Joint Written Authorization</w:t>
            </w:r>
          </w:p>
        </w:tc>
      </w:tr>
      <w:tr>
        <w:tc>
          <w:tcPr>
            <w:tcW w:type="dxa" w:w="648"/>
          </w:tcPr>
          <w:p>
            <w:pPr>
              <w:spacing w:after="20"/>
            </w:pPr>
            <w:r/>
            <w:r>
              <w:rPr>
                <w:b w:val="0"/>
                <w:i w:val="0"/>
                <w:sz w:val="15"/>
              </w:rPr>
              <w:t>R-19</w:t>
            </w:r>
          </w:p>
        </w:tc>
        <w:tc>
          <w:tcPr>
            <w:tcW w:type="dxa" w:w="2880"/>
          </w:tcPr>
          <w:p>
            <w:pPr>
              <w:spacing w:after="20"/>
            </w:pPr>
            <w:r/>
            <w:r>
              <w:rPr>
                <w:b w:val="0"/>
                <w:i w:val="0"/>
                <w:sz w:val="15"/>
              </w:rPr>
              <w:t>Venue conflict: EA requires Pierce County or W.D. Wash. exclusively, while the SA uses Thurston County; EA 3.2 also allows Thurston County orders</w:t>
            </w:r>
          </w:p>
        </w:tc>
        <w:tc>
          <w:tcPr>
            <w:tcW w:type="dxa" w:w="1440"/>
          </w:tcPr>
          <w:p>
            <w:pPr>
              <w:spacing w:after="20"/>
            </w:pPr>
            <w:r/>
            <w:r>
              <w:rPr>
                <w:b w:val="0"/>
                <w:i w:val="0"/>
                <w:sz w:val="15"/>
              </w:rPr>
              <w:t>EA 3.2, 9.2; SA 2.3-2.4, 11.3</w:t>
            </w:r>
          </w:p>
        </w:tc>
        <w:tc>
          <w:tcPr>
            <w:tcW w:type="dxa" w:w="864"/>
          </w:tcPr>
          <w:p>
            <w:pPr>
              <w:spacing w:after="20"/>
            </w:pPr>
            <w:r/>
            <w:r>
              <w:rPr>
                <w:b w:val="0"/>
                <w:i w:val="0"/>
                <w:sz w:val="15"/>
              </w:rPr>
              <w:t>Low</w:t>
            </w:r>
          </w:p>
        </w:tc>
        <w:tc>
          <w:tcPr>
            <w:tcW w:type="dxa" w:w="3528"/>
          </w:tcPr>
          <w:p>
            <w:pPr>
              <w:spacing w:after="20"/>
            </w:pPr>
            <w:r/>
            <w:r>
              <w:rPr>
                <w:b w:val="0"/>
                <w:i w:val="0"/>
                <w:sz w:val="15"/>
              </w:rPr>
              <w:t>Conform venue; seek disbursement orders from the Consent Decree court</w:t>
            </w:r>
          </w:p>
        </w:tc>
      </w:tr>
      <w:tr>
        <w:tc>
          <w:tcPr>
            <w:tcW w:type="dxa" w:w="648"/>
          </w:tcPr>
          <w:p>
            <w:pPr>
              <w:spacing w:after="20"/>
            </w:pPr>
            <w:r/>
            <w:r>
              <w:rPr>
                <w:b w:val="0"/>
                <w:i w:val="0"/>
                <w:sz w:val="15"/>
              </w:rPr>
              <w:t>R-20</w:t>
            </w:r>
          </w:p>
        </w:tc>
        <w:tc>
          <w:tcPr>
            <w:tcW w:type="dxa" w:w="2880"/>
          </w:tcPr>
          <w:p>
            <w:pPr>
              <w:spacing w:after="20"/>
            </w:pPr>
            <w:r/>
            <w:r>
              <w:rPr>
                <w:b w:val="0"/>
                <w:i w:val="0"/>
                <w:sz w:val="15"/>
              </w:rPr>
              <w:t>Escrow fee date conflict: SA 5.5 (anniversary of Feb. 1 Effective Date) vs. EA 5.1 (Jan. 15, commencing Jan. 15, 2025)</w:t>
            </w:r>
          </w:p>
        </w:tc>
        <w:tc>
          <w:tcPr>
            <w:tcW w:type="dxa" w:w="1440"/>
          </w:tcPr>
          <w:p>
            <w:pPr>
              <w:spacing w:after="20"/>
            </w:pPr>
            <w:r/>
            <w:r>
              <w:rPr>
                <w:b w:val="0"/>
                <w:i w:val="0"/>
                <w:sz w:val="15"/>
              </w:rPr>
              <w:t>SA 5.5; EA 5.1</w:t>
            </w:r>
          </w:p>
        </w:tc>
        <w:tc>
          <w:tcPr>
            <w:tcW w:type="dxa" w:w="864"/>
          </w:tcPr>
          <w:p>
            <w:pPr>
              <w:spacing w:after="20"/>
            </w:pPr>
            <w:r/>
            <w:r>
              <w:rPr>
                <w:b w:val="0"/>
                <w:i w:val="0"/>
                <w:sz w:val="15"/>
              </w:rPr>
              <w:t>Low</w:t>
            </w:r>
          </w:p>
        </w:tc>
        <w:tc>
          <w:tcPr>
            <w:tcW w:type="dxa" w:w="3528"/>
          </w:tcPr>
          <w:p>
            <w:pPr>
              <w:spacing w:after="20"/>
            </w:pPr>
            <w:r/>
            <w:r>
              <w:rPr>
                <w:b w:val="0"/>
                <w:i w:val="0"/>
                <w:sz w:val="15"/>
              </w:rPr>
              <w:t>Pay by Jan. 15 to avoid an EA 5.3 deduction from escrow; conform</w:t>
            </w:r>
          </w:p>
        </w:tc>
      </w:tr>
      <w:tr>
        <w:tc>
          <w:tcPr>
            <w:tcW w:type="dxa" w:w="648"/>
          </w:tcPr>
          <w:p>
            <w:pPr>
              <w:spacing w:after="20"/>
            </w:pPr>
            <w:r/>
            <w:r>
              <w:rPr>
                <w:b w:val="0"/>
                <w:i w:val="0"/>
                <w:sz w:val="15"/>
              </w:rPr>
              <w:t>R-21</w:t>
            </w:r>
          </w:p>
        </w:tc>
        <w:tc>
          <w:tcPr>
            <w:tcW w:type="dxa" w:w="2880"/>
          </w:tcPr>
          <w:p>
            <w:pPr>
              <w:spacing w:after="20"/>
            </w:pPr>
            <w:r/>
            <w:r>
              <w:rPr>
                <w:b w:val="0"/>
                <w:i w:val="0"/>
                <w:sz w:val="15"/>
              </w:rPr>
              <w:t>EA recital cites SA "Section 5.3" for the deposit (should be 5.4); recital says escrow secures Northshore's "obligations" broadly, but EA 3.3 limits uses</w:t>
            </w:r>
          </w:p>
        </w:tc>
        <w:tc>
          <w:tcPr>
            <w:tcW w:type="dxa" w:w="1440"/>
          </w:tcPr>
          <w:p>
            <w:pPr>
              <w:spacing w:after="20"/>
            </w:pPr>
            <w:r/>
            <w:r>
              <w:rPr>
                <w:b w:val="0"/>
                <w:i w:val="0"/>
                <w:sz w:val="15"/>
              </w:rPr>
              <w:t>EA Recitals; SA 5.4</w:t>
            </w:r>
          </w:p>
        </w:tc>
        <w:tc>
          <w:tcPr>
            <w:tcW w:type="dxa" w:w="864"/>
          </w:tcPr>
          <w:p>
            <w:pPr>
              <w:spacing w:after="20"/>
            </w:pPr>
            <w:r/>
            <w:r>
              <w:rPr>
                <w:b w:val="0"/>
                <w:i w:val="0"/>
                <w:sz w:val="15"/>
              </w:rPr>
              <w:t>Low</w:t>
            </w:r>
          </w:p>
        </w:tc>
        <w:tc>
          <w:tcPr>
            <w:tcW w:type="dxa" w:w="3528"/>
          </w:tcPr>
          <w:p>
            <w:pPr>
              <w:spacing w:after="20"/>
            </w:pPr>
            <w:r/>
            <w:r>
              <w:rPr>
                <w:b w:val="0"/>
                <w:i w:val="0"/>
                <w:sz w:val="15"/>
              </w:rPr>
              <w:t>Correct citation; clarify permitted uses (consider adding indemnity payments)</w:t>
            </w:r>
          </w:p>
        </w:tc>
      </w:tr>
      <w:tr>
        <w:tc>
          <w:tcPr>
            <w:tcW w:type="dxa" w:w="648"/>
          </w:tcPr>
          <w:p>
            <w:pPr>
              <w:spacing w:after="20"/>
            </w:pPr>
            <w:r/>
            <w:r>
              <w:rPr>
                <w:b w:val="0"/>
                <w:i w:val="0"/>
                <w:sz w:val="15"/>
              </w:rPr>
              <w:t>R-22</w:t>
            </w:r>
          </w:p>
        </w:tc>
        <w:tc>
          <w:tcPr>
            <w:tcW w:type="dxa" w:w="2880"/>
          </w:tcPr>
          <w:p>
            <w:pPr>
              <w:spacing w:after="20"/>
            </w:pPr>
            <w:r/>
            <w:r>
              <w:rPr>
                <w:b w:val="0"/>
                <w:i w:val="0"/>
                <w:sz w:val="15"/>
              </w:rPr>
              <w:t>Side Letter states the Consent Decree was filed in Pierce County; it was entered in Thurston County</w:t>
            </w:r>
          </w:p>
        </w:tc>
        <w:tc>
          <w:tcPr>
            <w:tcW w:type="dxa" w:w="1440"/>
          </w:tcPr>
          <w:p>
            <w:pPr>
              <w:spacing w:after="20"/>
            </w:pPr>
            <w:r/>
            <w:r>
              <w:rPr>
                <w:b w:val="0"/>
                <w:i w:val="0"/>
                <w:sz w:val="15"/>
              </w:rPr>
              <w:t>SL preamble; SA 2.2</w:t>
            </w:r>
          </w:p>
        </w:tc>
        <w:tc>
          <w:tcPr>
            <w:tcW w:type="dxa" w:w="864"/>
          </w:tcPr>
          <w:p>
            <w:pPr>
              <w:spacing w:after="20"/>
            </w:pPr>
            <w:r/>
            <w:r>
              <w:rPr>
                <w:b w:val="0"/>
                <w:i w:val="0"/>
                <w:sz w:val="15"/>
              </w:rPr>
              <w:t>Low</w:t>
            </w:r>
          </w:p>
        </w:tc>
        <w:tc>
          <w:tcPr>
            <w:tcW w:type="dxa" w:w="3528"/>
          </w:tcPr>
          <w:p>
            <w:pPr>
              <w:spacing w:after="20"/>
            </w:pPr>
            <w:r/>
            <w:r>
              <w:rPr>
                <w:b w:val="0"/>
                <w:i w:val="0"/>
                <w:sz w:val="15"/>
              </w:rPr>
              <w:t>Correct by letter amendment (SL 10(c))</w:t>
            </w:r>
          </w:p>
        </w:tc>
      </w:tr>
      <w:tr>
        <w:tc>
          <w:tcPr>
            <w:tcW w:type="dxa" w:w="648"/>
          </w:tcPr>
          <w:p>
            <w:pPr>
              <w:spacing w:after="20"/>
            </w:pPr>
            <w:r/>
            <w:r>
              <w:rPr>
                <w:b w:val="0"/>
                <w:i w:val="0"/>
                <w:sz w:val="15"/>
              </w:rPr>
              <w:t>R-23</w:t>
            </w:r>
          </w:p>
        </w:tc>
        <w:tc>
          <w:tcPr>
            <w:tcW w:type="dxa" w:w="2880"/>
          </w:tcPr>
          <w:p>
            <w:pPr>
              <w:spacing w:after="20"/>
            </w:pPr>
            <w:r/>
            <w:r>
              <w:rPr>
                <w:b w:val="0"/>
                <w:i w:val="0"/>
                <w:sz w:val="15"/>
              </w:rPr>
              <w:t>Exhibit D cross-reference errors (Art. II, 12.3, Art. IX, 12.8) and Third-Party Claim inconsistency</w:t>
            </w:r>
          </w:p>
        </w:tc>
        <w:tc>
          <w:tcPr>
            <w:tcW w:type="dxa" w:w="1440"/>
          </w:tcPr>
          <w:p>
            <w:pPr>
              <w:spacing w:after="20"/>
            </w:pPr>
            <w:r/>
            <w:r>
              <w:rPr>
                <w:b w:val="0"/>
                <w:i w:val="0"/>
                <w:sz w:val="15"/>
              </w:rPr>
              <w:t>Exh. D; SL 10(d)</w:t>
            </w:r>
          </w:p>
        </w:tc>
        <w:tc>
          <w:tcPr>
            <w:tcW w:type="dxa" w:w="864"/>
          </w:tcPr>
          <w:p>
            <w:pPr>
              <w:spacing w:after="20"/>
            </w:pPr>
            <w:r/>
            <w:r>
              <w:rPr>
                <w:b w:val="0"/>
                <w:i w:val="0"/>
                <w:sz w:val="15"/>
              </w:rPr>
              <w:t>Medium</w:t>
            </w:r>
          </w:p>
        </w:tc>
        <w:tc>
          <w:tcPr>
            <w:tcW w:type="dxa" w:w="3528"/>
          </w:tcPr>
          <w:p>
            <w:pPr>
              <w:spacing w:after="20"/>
            </w:pPr>
            <w:r/>
            <w:r>
              <w:rPr>
                <w:b w:val="0"/>
                <w:i w:val="0"/>
                <w:sz w:val="15"/>
              </w:rPr>
              <w:t>Technical-corrections amendment observing SA 12.2 and Exh. D 11.1 formalities</w:t>
            </w:r>
          </w:p>
        </w:tc>
      </w:tr>
      <w:tr>
        <w:tc>
          <w:tcPr>
            <w:tcW w:type="dxa" w:w="648"/>
          </w:tcPr>
          <w:p>
            <w:pPr>
              <w:spacing w:after="20"/>
            </w:pPr>
            <w:r/>
            <w:r>
              <w:rPr>
                <w:b w:val="0"/>
                <w:i w:val="0"/>
                <w:sz w:val="15"/>
              </w:rPr>
              <w:t>R-24</w:t>
            </w:r>
          </w:p>
        </w:tc>
        <w:tc>
          <w:tcPr>
            <w:tcW w:type="dxa" w:w="2880"/>
          </w:tcPr>
          <w:p>
            <w:pPr>
              <w:spacing w:after="20"/>
            </w:pPr>
            <w:r/>
            <w:r>
              <w:rPr>
                <w:b w:val="0"/>
                <w:i w:val="0"/>
                <w:sz w:val="15"/>
              </w:rPr>
              <w:t>Assignment clause internally inconsistent (8.9(b) permits assignment of rights only but requires assignee to assume all obligations); no change-of-control trigger</w:t>
            </w:r>
          </w:p>
        </w:tc>
        <w:tc>
          <w:tcPr>
            <w:tcW w:type="dxa" w:w="1440"/>
          </w:tcPr>
          <w:p>
            <w:pPr>
              <w:spacing w:after="20"/>
            </w:pPr>
            <w:r/>
            <w:r>
              <w:rPr>
                <w:b w:val="0"/>
                <w:i w:val="0"/>
                <w:sz w:val="15"/>
              </w:rPr>
              <w:t>SA 8.9</w:t>
            </w:r>
          </w:p>
        </w:tc>
        <w:tc>
          <w:tcPr>
            <w:tcW w:type="dxa" w:w="864"/>
          </w:tcPr>
          <w:p>
            <w:pPr>
              <w:spacing w:after="20"/>
            </w:pPr>
            <w:r/>
            <w:r>
              <w:rPr>
                <w:b w:val="0"/>
                <w:i w:val="0"/>
                <w:sz w:val="15"/>
              </w:rPr>
              <w:t>Low</w:t>
            </w:r>
          </w:p>
        </w:tc>
        <w:tc>
          <w:tcPr>
            <w:tcW w:type="dxa" w:w="3528"/>
          </w:tcPr>
          <w:p>
            <w:pPr>
              <w:spacing w:after="20"/>
            </w:pPr>
            <w:r/>
            <w:r>
              <w:rPr>
                <w:b w:val="0"/>
                <w:i w:val="0"/>
                <w:sz w:val="15"/>
              </w:rPr>
              <w:t>Clarify; add change-of-control and successor-assumption requirements, particularly for Northshore</w:t>
            </w:r>
          </w:p>
        </w:tc>
      </w:tr>
      <w:tr>
        <w:tc>
          <w:tcPr>
            <w:tcW w:type="dxa" w:w="648"/>
          </w:tcPr>
          <w:p>
            <w:pPr>
              <w:spacing w:after="20"/>
            </w:pPr>
            <w:r/>
            <w:r>
              <w:rPr>
                <w:b w:val="0"/>
                <w:i w:val="0"/>
                <w:sz w:val="15"/>
              </w:rPr>
              <w:t>R-25</w:t>
            </w:r>
          </w:p>
        </w:tc>
        <w:tc>
          <w:tcPr>
            <w:tcW w:type="dxa" w:w="2880"/>
          </w:tcPr>
          <w:p>
            <w:pPr>
              <w:spacing w:after="20"/>
            </w:pPr>
            <w:r/>
            <w:r>
              <w:rPr>
                <w:b w:val="0"/>
                <w:i w:val="0"/>
                <w:sz w:val="15"/>
              </w:rPr>
              <w:t>Basket definition (SA 1.2) does not distinguish deductible from tipping threshold</w:t>
            </w:r>
          </w:p>
        </w:tc>
        <w:tc>
          <w:tcPr>
            <w:tcW w:type="dxa" w:w="1440"/>
          </w:tcPr>
          <w:p>
            <w:pPr>
              <w:spacing w:after="20"/>
            </w:pPr>
            <w:r/>
            <w:r>
              <w:rPr>
                <w:b w:val="0"/>
                <w:i w:val="0"/>
                <w:sz w:val="15"/>
              </w:rPr>
              <w:t>SA 1.2, 8.1(c), 8.2(c)</w:t>
            </w:r>
          </w:p>
        </w:tc>
        <w:tc>
          <w:tcPr>
            <w:tcW w:type="dxa" w:w="864"/>
          </w:tcPr>
          <w:p>
            <w:pPr>
              <w:spacing w:after="20"/>
            </w:pPr>
            <w:r/>
            <w:r>
              <w:rPr>
                <w:b w:val="0"/>
                <w:i w:val="0"/>
                <w:sz w:val="15"/>
              </w:rPr>
              <w:t>Low</w:t>
            </w:r>
          </w:p>
        </w:tc>
        <w:tc>
          <w:tcPr>
            <w:tcW w:type="dxa" w:w="3528"/>
          </w:tcPr>
          <w:p>
            <w:pPr>
              <w:spacing w:after="20"/>
            </w:pPr>
            <w:r/>
            <w:r>
              <w:rPr>
                <w:b w:val="0"/>
                <w:i w:val="0"/>
                <w:sz w:val="15"/>
              </w:rPr>
              <w:t>Conform definition; low dispute risk because the sections are explicit</w:t>
            </w:r>
          </w:p>
        </w:tc>
      </w:tr>
      <w:tr>
        <w:tc>
          <w:tcPr>
            <w:tcW w:type="dxa" w:w="648"/>
          </w:tcPr>
          <w:p>
            <w:pPr>
              <w:spacing w:after="20"/>
            </w:pPr>
            <w:r/>
            <w:r>
              <w:rPr>
                <w:b w:val="0"/>
                <w:i w:val="0"/>
                <w:sz w:val="15"/>
              </w:rPr>
              <w:t>R-26</w:t>
            </w:r>
          </w:p>
        </w:tc>
        <w:tc>
          <w:tcPr>
            <w:tcW w:type="dxa" w:w="2880"/>
          </w:tcPr>
          <w:p>
            <w:pPr>
              <w:spacing w:after="20"/>
            </w:pPr>
            <w:r/>
            <w:r>
              <w:rPr>
                <w:b w:val="0"/>
                <w:i w:val="0"/>
                <w:sz w:val="15"/>
              </w:rPr>
              <w:t>Survival of 8.2 (2037) short relative to the 30-year remedy and latent claims</w:t>
            </w:r>
          </w:p>
        </w:tc>
        <w:tc>
          <w:tcPr>
            <w:tcW w:type="dxa" w:w="1440"/>
          </w:tcPr>
          <w:p>
            <w:pPr>
              <w:spacing w:after="20"/>
            </w:pPr>
            <w:r/>
            <w:r>
              <w:rPr>
                <w:b w:val="0"/>
                <w:i w:val="0"/>
                <w:sz w:val="15"/>
              </w:rPr>
              <w:t>SA 8.8(a)</w:t>
            </w:r>
          </w:p>
        </w:tc>
        <w:tc>
          <w:tcPr>
            <w:tcW w:type="dxa" w:w="864"/>
          </w:tcPr>
          <w:p>
            <w:pPr>
              <w:spacing w:after="20"/>
            </w:pPr>
            <w:r/>
            <w:r>
              <w:rPr>
                <w:b w:val="0"/>
                <w:i w:val="0"/>
                <w:sz w:val="15"/>
              </w:rPr>
              <w:t>High</w:t>
            </w:r>
          </w:p>
        </w:tc>
        <w:tc>
          <w:tcPr>
            <w:tcW w:type="dxa" w:w="3528"/>
          </w:tcPr>
          <w:p>
            <w:pPr>
              <w:spacing w:after="20"/>
            </w:pPr>
            <w:r/>
            <w:r>
              <w:rPr>
                <w:b w:val="0"/>
                <w:i w:val="0"/>
                <w:sz w:val="15"/>
              </w:rPr>
              <w:t>Seek extension to at least 2045 or completion of long-term monitoring</w:t>
            </w:r>
          </w:p>
        </w:tc>
      </w:tr>
      <w:tr>
        <w:tc>
          <w:tcPr>
            <w:tcW w:type="dxa" w:w="648"/>
          </w:tcPr>
          <w:p>
            <w:pPr>
              <w:spacing w:after="20"/>
            </w:pPr>
            <w:r/>
            <w:r>
              <w:rPr>
                <w:b w:val="0"/>
                <w:i w:val="0"/>
                <w:sz w:val="15"/>
              </w:rPr>
              <w:t>R-27</w:t>
            </w:r>
          </w:p>
        </w:tc>
        <w:tc>
          <w:tcPr>
            <w:tcW w:type="dxa" w:w="2880"/>
          </w:tcPr>
          <w:p>
            <w:pPr>
              <w:spacing w:after="20"/>
            </w:pPr>
            <w:r/>
            <w:r>
              <w:rPr>
                <w:b w:val="0"/>
                <w:i w:val="0"/>
                <w:sz w:val="15"/>
              </w:rPr>
              <w:t>Defense costs funded by the Indemnified Party until final resolution</w:t>
            </w:r>
          </w:p>
        </w:tc>
        <w:tc>
          <w:tcPr>
            <w:tcW w:type="dxa" w:w="1440"/>
          </w:tcPr>
          <w:p>
            <w:pPr>
              <w:spacing w:after="20"/>
            </w:pPr>
            <w:r/>
            <w:r>
              <w:rPr>
                <w:b w:val="0"/>
                <w:i w:val="0"/>
                <w:sz w:val="15"/>
              </w:rPr>
              <w:t>Exh. D 3.4(d), 6.1</w:t>
            </w:r>
          </w:p>
        </w:tc>
        <w:tc>
          <w:tcPr>
            <w:tcW w:type="dxa" w:w="864"/>
          </w:tcPr>
          <w:p>
            <w:pPr>
              <w:spacing w:after="20"/>
            </w:pPr>
            <w:r/>
            <w:r>
              <w:rPr>
                <w:b w:val="0"/>
                <w:i w:val="0"/>
                <w:sz w:val="15"/>
              </w:rPr>
              <w:t>Medium</w:t>
            </w:r>
          </w:p>
        </w:tc>
        <w:tc>
          <w:tcPr>
            <w:tcW w:type="dxa" w:w="3528"/>
          </w:tcPr>
          <w:p>
            <w:pPr>
              <w:spacing w:after="20"/>
            </w:pPr>
            <w:r/>
            <w:r>
              <w:rPr>
                <w:b w:val="0"/>
                <w:i w:val="0"/>
                <w:sz w:val="15"/>
              </w:rPr>
              <w:t>Add interim reimbursement; budget defense costs for the Pre-Existing Claims</w:t>
            </w:r>
          </w:p>
        </w:tc>
      </w:tr>
      <w:tr>
        <w:tc>
          <w:tcPr>
            <w:tcW w:type="dxa" w:w="648"/>
          </w:tcPr>
          <w:p>
            <w:pPr>
              <w:spacing w:after="20"/>
            </w:pPr>
            <w:r/>
            <w:r>
              <w:rPr>
                <w:b w:val="0"/>
                <w:i w:val="0"/>
                <w:sz w:val="15"/>
              </w:rPr>
              <w:t>R-28</w:t>
            </w:r>
          </w:p>
        </w:tc>
        <w:tc>
          <w:tcPr>
            <w:tcW w:type="dxa" w:w="2880"/>
          </w:tcPr>
          <w:p>
            <w:pPr>
              <w:spacing w:after="20"/>
            </w:pPr>
            <w:r/>
            <w:r>
              <w:rPr>
                <w:b w:val="0"/>
                <w:i w:val="0"/>
                <w:sz w:val="15"/>
              </w:rPr>
              <w:t>Ecology covenant conditioned on each Settling Party's performance; a Northshore or Puget default could jeopardize Cascadia's protection</w:t>
            </w:r>
          </w:p>
        </w:tc>
        <w:tc>
          <w:tcPr>
            <w:tcW w:type="dxa" w:w="1440"/>
          </w:tcPr>
          <w:p>
            <w:pPr>
              <w:spacing w:after="20"/>
            </w:pPr>
            <w:r/>
            <w:r>
              <w:rPr>
                <w:b w:val="0"/>
                <w:i w:val="0"/>
                <w:sz w:val="15"/>
              </w:rPr>
              <w:t>SA 7.1, 7.3(c)</w:t>
            </w:r>
          </w:p>
        </w:tc>
        <w:tc>
          <w:tcPr>
            <w:tcW w:type="dxa" w:w="864"/>
          </w:tcPr>
          <w:p>
            <w:pPr>
              <w:spacing w:after="20"/>
            </w:pPr>
            <w:r/>
            <w:r>
              <w:rPr>
                <w:b w:val="0"/>
                <w:i w:val="0"/>
                <w:sz w:val="15"/>
              </w:rPr>
              <w:t>Medium</w:t>
            </w:r>
          </w:p>
        </w:tc>
        <w:tc>
          <w:tcPr>
            <w:tcW w:type="dxa" w:w="3528"/>
          </w:tcPr>
          <w:p>
            <w:pPr>
              <w:spacing w:after="20"/>
            </w:pPr>
            <w:r/>
            <w:r>
              <w:rPr>
                <w:b w:val="0"/>
                <w:i w:val="0"/>
                <w:sz w:val="15"/>
              </w:rPr>
              <w:t>Monitor co-party compliance; cure Puget defaults promptly under SA 5.3</w:t>
            </w:r>
          </w:p>
        </w:tc>
      </w:tr>
    </w:tbl>
    <w:p>
      <w:pPr>
        <w:spacing w:after="40"/>
      </w:pPr>
    </w:p>
    <w:p>
      <w:pPr>
        <w:pStyle w:val="Heading1"/>
      </w:pPr>
      <w:r>
        <w:t>XI. Recommended Next Steps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864"/>
            <w:shd w:val="clear" w:color="auto" w:fill="1F3A5F"/>
          </w:tcPr>
          <w:p>
            <w:r/>
            <w:r>
              <w:rPr>
                <w:b/>
                <w:color w:val="FFFFFF"/>
                <w:sz w:val="17"/>
              </w:rPr>
              <w:t>Priority</w:t>
            </w:r>
          </w:p>
        </w:tc>
        <w:tc>
          <w:tcPr>
            <w:tcW w:type="dxa" w:w="6192"/>
            <w:shd w:val="clear" w:color="auto" w:fill="1F3A5F"/>
          </w:tcPr>
          <w:p>
            <w:r/>
            <w:r>
              <w:rPr>
                <w:b/>
                <w:color w:val="FFFFFF"/>
                <w:sz w:val="17"/>
              </w:rPr>
              <w:t>Action</w:t>
            </w:r>
          </w:p>
        </w:tc>
        <w:tc>
          <w:tcPr>
            <w:tcW w:type="dxa" w:w="2304"/>
            <w:shd w:val="clear" w:color="auto" w:fill="1F3A5F"/>
          </w:tcPr>
          <w:p>
            <w:r/>
            <w:r>
              <w:rPr>
                <w:b/>
                <w:color w:val="FFFFFF"/>
                <w:sz w:val="17"/>
              </w:rPr>
              <w:t>Timing</w:t>
            </w:r>
          </w:p>
        </w:tc>
      </w:tr>
      <w:tr>
        <w:tc>
          <w:tcPr>
            <w:tcW w:type="dxa" w:w="864"/>
          </w:tcPr>
          <w:p>
            <w:pPr>
              <w:spacing w:after="20"/>
            </w:pPr>
            <w:r/>
            <w:r>
              <w:rPr>
                <w:b w:val="0"/>
                <w:i w:val="0"/>
                <w:sz w:val="17"/>
              </w:rPr>
              <w:t>1</w:t>
            </w:r>
          </w:p>
        </w:tc>
        <w:tc>
          <w:tcPr>
            <w:tcW w:type="dxa" w:w="6192"/>
          </w:tcPr>
          <w:p>
            <w:pPr>
              <w:spacing w:after="20"/>
            </w:pPr>
            <w:r/>
            <w:r>
              <w:rPr>
                <w:b w:val="0"/>
                <w:i w:val="0"/>
                <w:sz w:val="17"/>
              </w:rPr>
              <w:t>Brief the audit committee on the 72% effective share, the uncapped guarantee exposure and the coverage gaps (Parts I, IV, V)</w:t>
            </w:r>
          </w:p>
        </w:tc>
        <w:tc>
          <w:tcPr>
            <w:tcW w:type="dxa" w:w="2304"/>
          </w:tcPr>
          <w:p>
            <w:pPr>
              <w:spacing w:after="20"/>
            </w:pPr>
            <w:r/>
            <w:r>
              <w:rPr>
                <w:b w:val="0"/>
                <w:i w:val="0"/>
                <w:sz w:val="17"/>
              </w:rPr>
              <w:t>Before the board meeting the week of Feb. 24, 2025</w:t>
            </w:r>
          </w:p>
        </w:tc>
      </w:tr>
      <w:tr>
        <w:tc>
          <w:tcPr>
            <w:tcW w:type="dxa" w:w="864"/>
          </w:tcPr>
          <w:p>
            <w:pPr>
              <w:spacing w:after="20"/>
            </w:pPr>
            <w:r/>
            <w:r>
              <w:rPr>
                <w:b w:val="0"/>
                <w:i w:val="0"/>
                <w:sz w:val="17"/>
              </w:rPr>
              <w:t>2</w:t>
            </w:r>
          </w:p>
        </w:tc>
        <w:tc>
          <w:tcPr>
            <w:tcW w:type="dxa" w:w="6192"/>
          </w:tcPr>
          <w:p>
            <w:pPr>
              <w:spacing w:after="20"/>
            </w:pPr>
            <w:r/>
            <w:r>
              <w:rPr>
                <w:b w:val="0"/>
                <w:i w:val="0"/>
                <w:sz w:val="17"/>
              </w:rPr>
              <w:t>Deliver (or confirm delivery of) Claim Notices for the TNA, SSC and Marina Claims under SL 6 / Exh. D 2 to Northshore, by courier and email to all notice parties</w:t>
            </w:r>
          </w:p>
        </w:tc>
        <w:tc>
          <w:tcPr>
            <w:tcW w:type="dxa" w:w="2304"/>
          </w:tcPr>
          <w:p>
            <w:pPr>
              <w:spacing w:after="20"/>
            </w:pPr>
            <w:r/>
            <w:r>
              <w:rPr>
                <w:b w:val="0"/>
                <w:i w:val="0"/>
                <w:sz w:val="17"/>
              </w:rPr>
              <w:t>Immediately (30-Business-Day window)</w:t>
            </w:r>
          </w:p>
        </w:tc>
      </w:tr>
      <w:tr>
        <w:tc>
          <w:tcPr>
            <w:tcW w:type="dxa" w:w="864"/>
          </w:tcPr>
          <w:p>
            <w:pPr>
              <w:spacing w:after="20"/>
            </w:pPr>
            <w:r/>
            <w:r>
              <w:rPr>
                <w:b w:val="0"/>
                <w:i w:val="0"/>
                <w:sz w:val="17"/>
              </w:rPr>
              <w:t>3</w:t>
            </w:r>
          </w:p>
        </w:tc>
        <w:tc>
          <w:tcPr>
            <w:tcW w:type="dxa" w:w="6192"/>
          </w:tcPr>
          <w:p>
            <w:pPr>
              <w:spacing w:after="20"/>
            </w:pPr>
            <w:r/>
            <w:r>
              <w:rPr>
                <w:b w:val="0"/>
                <w:i w:val="0"/>
                <w:sz w:val="17"/>
              </w:rPr>
              <w:t>Obtain and review the PLL Policy, any bond indemnity agreement and loss runs; notify Hollcroft of the Consent Decree, SL allocations and all pending claims; open renewal/extension discussions</w:t>
            </w:r>
          </w:p>
        </w:tc>
        <w:tc>
          <w:tcPr>
            <w:tcW w:type="dxa" w:w="2304"/>
          </w:tcPr>
          <w:p>
            <w:pPr>
              <w:spacing w:after="20"/>
            </w:pPr>
            <w:r/>
            <w:r>
              <w:rPr>
                <w:b w:val="0"/>
                <w:i w:val="0"/>
                <w:sz w:val="17"/>
              </w:rPr>
              <w:t>Within 2 weeks</w:t>
            </w:r>
          </w:p>
        </w:tc>
      </w:tr>
      <w:tr>
        <w:tc>
          <w:tcPr>
            <w:tcW w:type="dxa" w:w="864"/>
          </w:tcPr>
          <w:p>
            <w:pPr>
              <w:spacing w:after="20"/>
            </w:pPr>
            <w:r/>
            <w:r>
              <w:rPr>
                <w:b w:val="0"/>
                <w:i w:val="0"/>
                <w:sz w:val="17"/>
              </w:rPr>
              <w:t>4</w:t>
            </w:r>
          </w:p>
        </w:tc>
        <w:tc>
          <w:tcPr>
            <w:tcW w:type="dxa" w:w="6192"/>
          </w:tcPr>
          <w:p>
            <w:pPr>
              <w:spacing w:after="20"/>
            </w:pPr>
            <w:r/>
            <w:r>
              <w:rPr>
                <w:b w:val="0"/>
                <w:i w:val="0"/>
                <w:sz w:val="17"/>
              </w:rPr>
              <w:t>Retrieve the 2016 Puget acquisition agreement and disclosure materials; assess seller recourse for Undisclosed Pre-Acquisition Conditions</w:t>
            </w:r>
          </w:p>
        </w:tc>
        <w:tc>
          <w:tcPr>
            <w:tcW w:type="dxa" w:w="2304"/>
          </w:tcPr>
          <w:p>
            <w:pPr>
              <w:spacing w:after="20"/>
            </w:pPr>
            <w:r/>
            <w:r>
              <w:rPr>
                <w:b w:val="0"/>
                <w:i w:val="0"/>
                <w:sz w:val="17"/>
              </w:rPr>
              <w:t>Within 2 weeks</w:t>
            </w:r>
          </w:p>
        </w:tc>
      </w:tr>
      <w:tr>
        <w:tc>
          <w:tcPr>
            <w:tcW w:type="dxa" w:w="864"/>
          </w:tcPr>
          <w:p>
            <w:pPr>
              <w:spacing w:after="20"/>
            </w:pPr>
            <w:r/>
            <w:r>
              <w:rPr>
                <w:b w:val="0"/>
                <w:i w:val="0"/>
                <w:sz w:val="17"/>
              </w:rPr>
              <w:t>5</w:t>
            </w:r>
          </w:p>
        </w:tc>
        <w:tc>
          <w:tcPr>
            <w:tcW w:type="dxa" w:w="6192"/>
          </w:tcPr>
          <w:p>
            <w:pPr>
              <w:spacing w:after="20"/>
            </w:pPr>
            <w:r/>
            <w:r>
              <w:rPr>
                <w:b w:val="0"/>
                <w:i w:val="0"/>
                <w:sz w:val="17"/>
              </w:rPr>
              <w:t>Prepare a conforming amendment package: SA 8.5 survival; 8.8(b) notice tail; 8.6(b)/(d) clarifications; 8.2 cap clarification; 5.2(a) "successor" correction; Exh. D cross-references and Third-Party Claim definition; SL Pierce County and 12.3 corrections; EA recital, fee date and venue</w:t>
            </w:r>
          </w:p>
        </w:tc>
        <w:tc>
          <w:tcPr>
            <w:tcW w:type="dxa" w:w="2304"/>
          </w:tcPr>
          <w:p>
            <w:pPr>
              <w:spacing w:after="20"/>
            </w:pPr>
            <w:r/>
            <w:r>
              <w:rPr>
                <w:b w:val="0"/>
                <w:i w:val="0"/>
                <w:sz w:val="17"/>
              </w:rPr>
              <w:t>Draft within 30 days; coordinate with Northshore through Victoria Sandoval; Ecology/Court as required by SA 12.2</w:t>
            </w:r>
          </w:p>
        </w:tc>
      </w:tr>
      <w:tr>
        <w:tc>
          <w:tcPr>
            <w:tcW w:type="dxa" w:w="864"/>
          </w:tcPr>
          <w:p>
            <w:pPr>
              <w:spacing w:after="20"/>
            </w:pPr>
            <w:r/>
            <w:r>
              <w:rPr>
                <w:b w:val="0"/>
                <w:i w:val="0"/>
                <w:sz w:val="17"/>
              </w:rPr>
              <w:t>6</w:t>
            </w:r>
          </w:p>
        </w:tc>
        <w:tc>
          <w:tcPr>
            <w:tcW w:type="dxa" w:w="6192"/>
          </w:tcPr>
          <w:p>
            <w:pPr>
              <w:spacing w:after="20"/>
            </w:pPr>
            <w:r/>
            <w:r>
              <w:rPr>
                <w:b w:val="0"/>
                <w:i w:val="0"/>
                <w:sz w:val="17"/>
              </w:rPr>
              <w:t>Propose an insurance-proceeds allocation agreement and a Cascadia-Northshore contribution agreement for EA 6.1</w:t>
            </w:r>
          </w:p>
        </w:tc>
        <w:tc>
          <w:tcPr>
            <w:tcW w:type="dxa" w:w="2304"/>
          </w:tcPr>
          <w:p>
            <w:pPr>
              <w:spacing w:after="20"/>
            </w:pPr>
            <w:r/>
            <w:r>
              <w:rPr>
                <w:b w:val="0"/>
                <w:i w:val="0"/>
                <w:sz w:val="17"/>
              </w:rPr>
              <w:t>With amendment package</w:t>
            </w:r>
          </w:p>
        </w:tc>
      </w:tr>
      <w:tr>
        <w:tc>
          <w:tcPr>
            <w:tcW w:type="dxa" w:w="864"/>
          </w:tcPr>
          <w:p>
            <w:pPr>
              <w:spacing w:after="20"/>
            </w:pPr>
            <w:r/>
            <w:r>
              <w:rPr>
                <w:b w:val="0"/>
                <w:i w:val="0"/>
                <w:sz w:val="17"/>
              </w:rPr>
              <w:t>7</w:t>
            </w:r>
          </w:p>
        </w:tc>
        <w:tc>
          <w:tcPr>
            <w:tcW w:type="dxa" w:w="6192"/>
          </w:tcPr>
          <w:p>
            <w:pPr>
              <w:spacing w:after="20"/>
            </w:pPr>
            <w:r/>
            <w:r>
              <w:rPr>
                <w:b w:val="0"/>
                <w:i w:val="0"/>
                <w:sz w:val="17"/>
              </w:rPr>
              <w:t>Negotiate a joint defense/common interest agreement (Exh. D 4.3; SL 7) for TNA/SSC and a defense plan for the Marina Claim asserting SA 7.4 contribution protection</w:t>
            </w:r>
          </w:p>
        </w:tc>
        <w:tc>
          <w:tcPr>
            <w:tcW w:type="dxa" w:w="2304"/>
          </w:tcPr>
          <w:p>
            <w:pPr>
              <w:spacing w:after="20"/>
            </w:pPr>
            <w:r/>
            <w:r>
              <w:rPr>
                <w:b w:val="0"/>
                <w:i w:val="0"/>
                <w:sz w:val="17"/>
              </w:rPr>
              <w:t>Within 30 days</w:t>
            </w:r>
          </w:p>
        </w:tc>
      </w:tr>
      <w:tr>
        <w:tc>
          <w:tcPr>
            <w:tcW w:type="dxa" w:w="864"/>
          </w:tcPr>
          <w:p>
            <w:pPr>
              <w:spacing w:after="20"/>
            </w:pPr>
            <w:r/>
            <w:r>
              <w:rPr>
                <w:b w:val="0"/>
                <w:i w:val="0"/>
                <w:sz w:val="17"/>
              </w:rPr>
              <w:t>8</w:t>
            </w:r>
          </w:p>
        </w:tc>
        <w:tc>
          <w:tcPr>
            <w:tcW w:type="dxa" w:w="6192"/>
          </w:tcPr>
          <w:p>
            <w:pPr>
              <w:spacing w:after="20"/>
            </w:pPr>
            <w:r/>
            <w:r>
              <w:rPr>
                <w:b w:val="0"/>
                <w:i w:val="0"/>
                <w:sz w:val="17"/>
              </w:rPr>
              <w:t>Calendar all deadlines (Appendix B) and establish a claims-tracking protocol (Claim Notice, Defense Notice, insurance reporting, payment and dispute clocks)</w:t>
            </w:r>
          </w:p>
        </w:tc>
        <w:tc>
          <w:tcPr>
            <w:tcW w:type="dxa" w:w="2304"/>
          </w:tcPr>
          <w:p>
            <w:pPr>
              <w:spacing w:after="20"/>
            </w:pPr>
            <w:r/>
            <w:r>
              <w:rPr>
                <w:b w:val="0"/>
                <w:i w:val="0"/>
                <w:sz w:val="17"/>
              </w:rPr>
              <w:t>Immediately</w:t>
            </w:r>
          </w:p>
        </w:tc>
      </w:tr>
      <w:tr>
        <w:tc>
          <w:tcPr>
            <w:tcW w:type="dxa" w:w="864"/>
          </w:tcPr>
          <w:p>
            <w:pPr>
              <w:spacing w:after="20"/>
            </w:pPr>
            <w:r/>
            <w:r>
              <w:rPr>
                <w:b w:val="0"/>
                <w:i w:val="0"/>
                <w:sz w:val="17"/>
              </w:rPr>
              <w:t>9</w:t>
            </w:r>
          </w:p>
        </w:tc>
        <w:tc>
          <w:tcPr>
            <w:tcW w:type="dxa" w:w="6192"/>
          </w:tcPr>
          <w:p>
            <w:pPr>
              <w:spacing w:after="20"/>
            </w:pPr>
            <w:r/>
            <w:r>
              <w:rPr>
                <w:b w:val="0"/>
                <w:i w:val="0"/>
                <w:sz w:val="17"/>
              </w:rPr>
              <w:t>Obtain the term sheet and compare it against the Part VI deviations</w:t>
            </w:r>
          </w:p>
        </w:tc>
        <w:tc>
          <w:tcPr>
            <w:tcW w:type="dxa" w:w="2304"/>
          </w:tcPr>
          <w:p>
            <w:pPr>
              <w:spacing w:after="20"/>
            </w:pPr>
            <w:r/>
            <w:r>
              <w:rPr>
                <w:b w:val="0"/>
                <w:i w:val="0"/>
                <w:sz w:val="17"/>
              </w:rPr>
              <w:t>When available</w:t>
            </w:r>
          </w:p>
        </w:tc>
      </w:tr>
    </w:tbl>
    <w:p>
      <w:pPr>
        <w:spacing w:after="40"/>
      </w:pPr>
    </w:p>
    <w:p>
      <w:pPr>
        <w:spacing w:after="80"/>
      </w:pPr>
      <w:r>
        <w:rPr>
          <w:b w:val="0"/>
          <w:i/>
        </w:rPr>
        <w:t>Per instructions, any factual confirmations regarding the escrow or Side Letter will be routed through Victoria Sandoval rather than directly to Northshore's counsel, Kellner Marsh &amp; Associates LLP.</w:t>
      </w:r>
    </w:p>
    <w:p>
      <w:pPr>
        <w:pStyle w:val="Heading1"/>
      </w:pPr>
      <w:r>
        <w:t>Appendix A -- Cross-Reference and Conforming Errata</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160"/>
            <w:shd w:val="clear" w:color="auto" w:fill="1F3A5F"/>
          </w:tcPr>
          <w:p>
            <w:r/>
            <w:r>
              <w:rPr>
                <w:b/>
                <w:color w:val="FFFFFF"/>
                <w:sz w:val="17"/>
              </w:rPr>
              <w:t>Document / section</w:t>
            </w:r>
          </w:p>
        </w:tc>
        <w:tc>
          <w:tcPr>
            <w:tcW w:type="dxa" w:w="3600"/>
            <w:shd w:val="clear" w:color="auto" w:fill="1F3A5F"/>
          </w:tcPr>
          <w:p>
            <w:r/>
            <w:r>
              <w:rPr>
                <w:b/>
                <w:color w:val="FFFFFF"/>
                <w:sz w:val="17"/>
              </w:rPr>
              <w:t>Text as drafted</w:t>
            </w:r>
          </w:p>
        </w:tc>
        <w:tc>
          <w:tcPr>
            <w:tcW w:type="dxa" w:w="3600"/>
            <w:shd w:val="clear" w:color="auto" w:fill="1F3A5F"/>
          </w:tcPr>
          <w:p>
            <w:r/>
            <w:r>
              <w:rPr>
                <w:b/>
                <w:color w:val="FFFFFF"/>
                <w:sz w:val="17"/>
              </w:rPr>
              <w:t>Should read / conflict</w:t>
            </w:r>
          </w:p>
        </w:tc>
      </w:tr>
      <w:tr>
        <w:tc>
          <w:tcPr>
            <w:tcW w:type="dxa" w:w="2160"/>
          </w:tcPr>
          <w:p>
            <w:pPr>
              <w:spacing w:after="20"/>
            </w:pPr>
            <w:r/>
            <w:r>
              <w:rPr>
                <w:b w:val="0"/>
                <w:i w:val="0"/>
                <w:sz w:val="17"/>
              </w:rPr>
              <w:t>Exh. D preamble</w:t>
            </w:r>
          </w:p>
        </w:tc>
        <w:tc>
          <w:tcPr>
            <w:tcW w:type="dxa" w:w="3600"/>
          </w:tcPr>
          <w:p>
            <w:pPr>
              <w:spacing w:after="20"/>
            </w:pPr>
            <w:r/>
            <w:r>
              <w:rPr>
                <w:b w:val="0"/>
                <w:i w:val="0"/>
                <w:sz w:val="17"/>
              </w:rPr>
              <w:t>Definitions in "Article II" of the SA</w:t>
            </w:r>
          </w:p>
        </w:tc>
        <w:tc>
          <w:tcPr>
            <w:tcW w:type="dxa" w:w="3600"/>
          </w:tcPr>
          <w:p>
            <w:pPr>
              <w:spacing w:after="20"/>
            </w:pPr>
            <w:r/>
            <w:r>
              <w:rPr>
                <w:b w:val="0"/>
                <w:i w:val="0"/>
                <w:sz w:val="17"/>
              </w:rPr>
              <w:t>Article I (Definitions)</w:t>
            </w:r>
          </w:p>
        </w:tc>
      </w:tr>
      <w:tr>
        <w:tc>
          <w:tcPr>
            <w:tcW w:type="dxa" w:w="2160"/>
          </w:tcPr>
          <w:p>
            <w:pPr>
              <w:spacing w:after="20"/>
            </w:pPr>
            <w:r/>
            <w:r>
              <w:rPr>
                <w:b w:val="0"/>
                <w:i w:val="0"/>
                <w:sz w:val="17"/>
              </w:rPr>
              <w:t>Exh. D 2.1</w:t>
            </w:r>
          </w:p>
        </w:tc>
        <w:tc>
          <w:tcPr>
            <w:tcW w:type="dxa" w:w="3600"/>
          </w:tcPr>
          <w:p>
            <w:pPr>
              <w:spacing w:after="20"/>
            </w:pPr>
            <w:r/>
            <w:r>
              <w:rPr>
                <w:b w:val="0"/>
                <w:i w:val="0"/>
                <w:sz w:val="17"/>
              </w:rPr>
              <w:t>Notices per "Section 12.3"</w:t>
            </w:r>
          </w:p>
        </w:tc>
        <w:tc>
          <w:tcPr>
            <w:tcW w:type="dxa" w:w="3600"/>
          </w:tcPr>
          <w:p>
            <w:pPr>
              <w:spacing w:after="20"/>
            </w:pPr>
            <w:r/>
            <w:r>
              <w:rPr>
                <w:b w:val="0"/>
                <w:i w:val="0"/>
                <w:sz w:val="17"/>
              </w:rPr>
              <w:t>Section 12.5 (Notices); 12.3 is Severability</w:t>
            </w:r>
          </w:p>
        </w:tc>
      </w:tr>
      <w:tr>
        <w:tc>
          <w:tcPr>
            <w:tcW w:type="dxa" w:w="2160"/>
          </w:tcPr>
          <w:p>
            <w:pPr>
              <w:spacing w:after="20"/>
            </w:pPr>
            <w:r/>
            <w:r>
              <w:rPr>
                <w:b w:val="0"/>
                <w:i w:val="0"/>
                <w:sz w:val="17"/>
              </w:rPr>
              <w:t>Exh. D 6.3, 10</w:t>
            </w:r>
          </w:p>
        </w:tc>
        <w:tc>
          <w:tcPr>
            <w:tcW w:type="dxa" w:w="3600"/>
          </w:tcPr>
          <w:p>
            <w:pPr>
              <w:spacing w:after="20"/>
            </w:pPr>
            <w:r/>
            <w:r>
              <w:rPr>
                <w:b w:val="0"/>
                <w:i w:val="0"/>
                <w:sz w:val="17"/>
              </w:rPr>
              <w:t>Disputes under "Article IX"</w:t>
            </w:r>
          </w:p>
        </w:tc>
        <w:tc>
          <w:tcPr>
            <w:tcW w:type="dxa" w:w="3600"/>
          </w:tcPr>
          <w:p>
            <w:pPr>
              <w:spacing w:after="20"/>
            </w:pPr>
            <w:r/>
            <w:r>
              <w:rPr>
                <w:b w:val="0"/>
                <w:i w:val="0"/>
                <w:sz w:val="17"/>
              </w:rPr>
              <w:t>Article XI (Dispute Resolution); IX is Remediation Work Standards; see SA 11.5</w:t>
            </w:r>
          </w:p>
        </w:tc>
      </w:tr>
      <w:tr>
        <w:tc>
          <w:tcPr>
            <w:tcW w:type="dxa" w:w="2160"/>
          </w:tcPr>
          <w:p>
            <w:pPr>
              <w:spacing w:after="20"/>
            </w:pPr>
            <w:r/>
            <w:r>
              <w:rPr>
                <w:b w:val="0"/>
                <w:i w:val="0"/>
                <w:sz w:val="17"/>
              </w:rPr>
              <w:t>Exh. D 11.3</w:t>
            </w:r>
          </w:p>
        </w:tc>
        <w:tc>
          <w:tcPr>
            <w:tcW w:type="dxa" w:w="3600"/>
          </w:tcPr>
          <w:p>
            <w:pPr>
              <w:spacing w:after="20"/>
            </w:pPr>
            <w:r/>
            <w:r>
              <w:rPr>
                <w:b w:val="0"/>
                <w:i w:val="0"/>
                <w:sz w:val="17"/>
              </w:rPr>
              <w:t>Governing law "consistent with Section 12.8"</w:t>
            </w:r>
          </w:p>
        </w:tc>
        <w:tc>
          <w:tcPr>
            <w:tcW w:type="dxa" w:w="3600"/>
          </w:tcPr>
          <w:p>
            <w:pPr>
              <w:spacing w:after="20"/>
            </w:pPr>
            <w:r/>
            <w:r>
              <w:rPr>
                <w:b w:val="0"/>
                <w:i w:val="0"/>
                <w:sz w:val="17"/>
              </w:rPr>
              <w:t>Section 12.4 (Governing Law); 12.8 is Waiver</w:t>
            </w:r>
          </w:p>
        </w:tc>
      </w:tr>
      <w:tr>
        <w:tc>
          <w:tcPr>
            <w:tcW w:type="dxa" w:w="2160"/>
          </w:tcPr>
          <w:p>
            <w:pPr>
              <w:spacing w:after="20"/>
            </w:pPr>
            <w:r/>
            <w:r>
              <w:rPr>
                <w:b w:val="0"/>
                <w:i w:val="0"/>
                <w:sz w:val="17"/>
              </w:rPr>
              <w:t>Exh. D 1</w:t>
            </w:r>
          </w:p>
        </w:tc>
        <w:tc>
          <w:tcPr>
            <w:tcW w:type="dxa" w:w="3600"/>
          </w:tcPr>
          <w:p>
            <w:pPr>
              <w:spacing w:after="20"/>
            </w:pPr>
            <w:r/>
            <w:r>
              <w:rPr>
                <w:b w:val="0"/>
                <w:i w:val="0"/>
                <w:sz w:val="17"/>
              </w:rPr>
              <w:t>Third-Party Claim excludes only Settling Parties</w:t>
            </w:r>
          </w:p>
        </w:tc>
        <w:tc>
          <w:tcPr>
            <w:tcW w:type="dxa" w:w="3600"/>
          </w:tcPr>
          <w:p>
            <w:pPr>
              <w:spacing w:after="20"/>
            </w:pPr>
            <w:r/>
            <w:r>
              <w:rPr>
                <w:b w:val="0"/>
                <w:i w:val="0"/>
                <w:sz w:val="17"/>
              </w:rPr>
              <w:t>SA 1.38 excludes all Parties, including Ecology</w:t>
            </w:r>
          </w:p>
        </w:tc>
      </w:tr>
      <w:tr>
        <w:tc>
          <w:tcPr>
            <w:tcW w:type="dxa" w:w="2160"/>
          </w:tcPr>
          <w:p>
            <w:pPr>
              <w:spacing w:after="20"/>
            </w:pPr>
            <w:r/>
            <w:r>
              <w:rPr>
                <w:b w:val="0"/>
                <w:i w:val="0"/>
                <w:sz w:val="17"/>
              </w:rPr>
              <w:t>Exh. D 1</w:t>
            </w:r>
          </w:p>
        </w:tc>
        <w:tc>
          <w:tcPr>
            <w:tcW w:type="dxa" w:w="3600"/>
          </w:tcPr>
          <w:p>
            <w:pPr>
              <w:spacing w:after="20"/>
            </w:pPr>
            <w:r/>
            <w:r>
              <w:rPr>
                <w:b w:val="0"/>
                <w:i w:val="0"/>
                <w:sz w:val="17"/>
              </w:rPr>
              <w:t>Excluded Claims ineligible "under Article VIII generally"</w:t>
            </w:r>
          </w:p>
        </w:tc>
        <w:tc>
          <w:tcPr>
            <w:tcW w:type="dxa" w:w="3600"/>
          </w:tcPr>
          <w:p>
            <w:pPr>
              <w:spacing w:after="20"/>
            </w:pPr>
            <w:r/>
            <w:r>
              <w:rPr>
                <w:b w:val="0"/>
                <w:i w:val="0"/>
                <w:sz w:val="17"/>
              </w:rPr>
              <w:t>SA 8.6 limits exclusions to 8.1 and 8.2</w:t>
            </w:r>
          </w:p>
        </w:tc>
      </w:tr>
      <w:tr>
        <w:tc>
          <w:tcPr>
            <w:tcW w:type="dxa" w:w="2160"/>
          </w:tcPr>
          <w:p>
            <w:pPr>
              <w:spacing w:after="20"/>
            </w:pPr>
            <w:r/>
            <w:r>
              <w:rPr>
                <w:b w:val="0"/>
                <w:i w:val="0"/>
                <w:sz w:val="17"/>
              </w:rPr>
              <w:t>Exh. D 11.1</w:t>
            </w:r>
          </w:p>
        </w:tc>
        <w:tc>
          <w:tcPr>
            <w:tcW w:type="dxa" w:w="3600"/>
          </w:tcPr>
          <w:p>
            <w:pPr>
              <w:spacing w:after="20"/>
            </w:pPr>
            <w:r/>
            <w:r>
              <w:rPr>
                <w:b w:val="0"/>
                <w:i w:val="0"/>
                <w:sz w:val="17"/>
              </w:rPr>
              <w:t>Amendment by the three Settling Parties</w:t>
            </w:r>
          </w:p>
        </w:tc>
        <w:tc>
          <w:tcPr>
            <w:tcW w:type="dxa" w:w="3600"/>
          </w:tcPr>
          <w:p>
            <w:pPr>
              <w:spacing w:after="20"/>
            </w:pPr>
            <w:r/>
            <w:r>
              <w:rPr>
                <w:b w:val="0"/>
                <w:i w:val="0"/>
                <w:sz w:val="17"/>
              </w:rPr>
              <w:t>SA 12.2 requires all Parties and Court approval if required</w:t>
            </w:r>
          </w:p>
        </w:tc>
      </w:tr>
      <w:tr>
        <w:tc>
          <w:tcPr>
            <w:tcW w:type="dxa" w:w="2160"/>
          </w:tcPr>
          <w:p>
            <w:pPr>
              <w:spacing w:after="20"/>
            </w:pPr>
            <w:r/>
            <w:r>
              <w:rPr>
                <w:b w:val="0"/>
                <w:i w:val="0"/>
                <w:sz w:val="17"/>
              </w:rPr>
              <w:t>SL preamble</w:t>
            </w:r>
          </w:p>
        </w:tc>
        <w:tc>
          <w:tcPr>
            <w:tcW w:type="dxa" w:w="3600"/>
          </w:tcPr>
          <w:p>
            <w:pPr>
              <w:spacing w:after="20"/>
            </w:pPr>
            <w:r/>
            <w:r>
              <w:rPr>
                <w:b w:val="0"/>
                <w:i w:val="0"/>
                <w:sz w:val="17"/>
              </w:rPr>
              <w:t>Consent Decree filed in Superior Court "for Pierce County"</w:t>
            </w:r>
          </w:p>
        </w:tc>
        <w:tc>
          <w:tcPr>
            <w:tcW w:type="dxa" w:w="3600"/>
          </w:tcPr>
          <w:p>
            <w:pPr>
              <w:spacing w:after="20"/>
            </w:pPr>
            <w:r/>
            <w:r>
              <w:rPr>
                <w:b w:val="0"/>
                <w:i w:val="0"/>
                <w:sz w:val="17"/>
              </w:rPr>
              <w:t>Thurston County Superior Court (SA 2.2; caption)</w:t>
            </w:r>
          </w:p>
        </w:tc>
      </w:tr>
      <w:tr>
        <w:tc>
          <w:tcPr>
            <w:tcW w:type="dxa" w:w="2160"/>
          </w:tcPr>
          <w:p>
            <w:pPr>
              <w:spacing w:after="20"/>
            </w:pPr>
            <w:r/>
            <w:r>
              <w:rPr>
                <w:b w:val="0"/>
                <w:i w:val="0"/>
                <w:sz w:val="17"/>
              </w:rPr>
              <w:t>SL 10(d)</w:t>
            </w:r>
          </w:p>
        </w:tc>
        <w:tc>
          <w:tcPr>
            <w:tcW w:type="dxa" w:w="3600"/>
          </w:tcPr>
          <w:p>
            <w:pPr>
              <w:spacing w:after="20"/>
            </w:pPr>
            <w:r/>
            <w:r>
              <w:rPr>
                <w:b w:val="0"/>
                <w:i w:val="0"/>
                <w:sz w:val="17"/>
              </w:rPr>
              <w:t>Notices per "Section 12.3"</w:t>
            </w:r>
          </w:p>
        </w:tc>
        <w:tc>
          <w:tcPr>
            <w:tcW w:type="dxa" w:w="3600"/>
          </w:tcPr>
          <w:p>
            <w:pPr>
              <w:spacing w:after="20"/>
            </w:pPr>
            <w:r/>
            <w:r>
              <w:rPr>
                <w:b w:val="0"/>
                <w:i w:val="0"/>
                <w:sz w:val="17"/>
              </w:rPr>
              <w:t>Section 12.5</w:t>
            </w:r>
          </w:p>
        </w:tc>
      </w:tr>
      <w:tr>
        <w:tc>
          <w:tcPr>
            <w:tcW w:type="dxa" w:w="2160"/>
          </w:tcPr>
          <w:p>
            <w:pPr>
              <w:spacing w:after="20"/>
            </w:pPr>
            <w:r/>
            <w:r>
              <w:rPr>
                <w:b w:val="0"/>
                <w:i w:val="0"/>
                <w:sz w:val="17"/>
              </w:rPr>
              <w:t>SL 6(i)</w:t>
            </w:r>
          </w:p>
        </w:tc>
        <w:tc>
          <w:tcPr>
            <w:tcW w:type="dxa" w:w="3600"/>
          </w:tcPr>
          <w:p>
            <w:pPr>
              <w:spacing w:after="20"/>
            </w:pPr>
            <w:r/>
            <w:r>
              <w:rPr>
                <w:b w:val="0"/>
                <w:i w:val="0"/>
                <w:sz w:val="17"/>
              </w:rPr>
              <w:t>Notice within 30 business days of "becoming aware"</w:t>
            </w:r>
          </w:p>
        </w:tc>
        <w:tc>
          <w:tcPr>
            <w:tcW w:type="dxa" w:w="3600"/>
          </w:tcPr>
          <w:p>
            <w:pPr>
              <w:spacing w:after="20"/>
            </w:pPr>
            <w:r/>
            <w:r>
              <w:rPr>
                <w:b w:val="0"/>
                <w:i w:val="0"/>
                <w:sz w:val="17"/>
              </w:rPr>
              <w:t>Exh. D 2.1: 30 Business Days after "actual receipt"</w:t>
            </w:r>
          </w:p>
        </w:tc>
      </w:tr>
      <w:tr>
        <w:tc>
          <w:tcPr>
            <w:tcW w:type="dxa" w:w="2160"/>
          </w:tcPr>
          <w:p>
            <w:pPr>
              <w:spacing w:after="20"/>
            </w:pPr>
            <w:r/>
            <w:r>
              <w:rPr>
                <w:b w:val="0"/>
                <w:i w:val="0"/>
                <w:sz w:val="17"/>
              </w:rPr>
              <w:t>SL 10(d) / EA 8.1</w:t>
            </w:r>
          </w:p>
        </w:tc>
        <w:tc>
          <w:tcPr>
            <w:tcW w:type="dxa" w:w="3600"/>
          </w:tcPr>
          <w:p>
            <w:pPr>
              <w:spacing w:after="20"/>
            </w:pPr>
            <w:r/>
            <w:r>
              <w:rPr>
                <w:b w:val="0"/>
                <w:i w:val="0"/>
                <w:sz w:val="17"/>
              </w:rPr>
              <w:t>Kellner Marsh attention: James R. Kellner (SL) vs. Jonathan Pritchard (EA)</w:t>
            </w:r>
          </w:p>
        </w:tc>
        <w:tc>
          <w:tcPr>
            <w:tcW w:type="dxa" w:w="3600"/>
          </w:tcPr>
          <w:p>
            <w:pPr>
              <w:spacing w:after="20"/>
            </w:pPr>
            <w:r/>
            <w:r>
              <w:rPr>
                <w:b w:val="0"/>
                <w:i w:val="0"/>
                <w:sz w:val="17"/>
              </w:rPr>
              <w:t>Confirm correct notice recipient</w:t>
            </w:r>
          </w:p>
        </w:tc>
      </w:tr>
      <w:tr>
        <w:tc>
          <w:tcPr>
            <w:tcW w:type="dxa" w:w="2160"/>
          </w:tcPr>
          <w:p>
            <w:pPr>
              <w:spacing w:after="20"/>
            </w:pPr>
            <w:r/>
            <w:r>
              <w:rPr>
                <w:b w:val="0"/>
                <w:i w:val="0"/>
                <w:sz w:val="17"/>
              </w:rPr>
              <w:t>EA Recitals</w:t>
            </w:r>
          </w:p>
        </w:tc>
        <w:tc>
          <w:tcPr>
            <w:tcW w:type="dxa" w:w="3600"/>
          </w:tcPr>
          <w:p>
            <w:pPr>
              <w:spacing w:after="20"/>
            </w:pPr>
            <w:r/>
            <w:r>
              <w:rPr>
                <w:b w:val="0"/>
                <w:i w:val="0"/>
                <w:sz w:val="17"/>
              </w:rPr>
              <w:t>Deposit required by SA "Section 5.3"</w:t>
            </w:r>
          </w:p>
        </w:tc>
        <w:tc>
          <w:tcPr>
            <w:tcW w:type="dxa" w:w="3600"/>
          </w:tcPr>
          <w:p>
            <w:pPr>
              <w:spacing w:after="20"/>
            </w:pPr>
            <w:r/>
            <w:r>
              <w:rPr>
                <w:b w:val="0"/>
                <w:i w:val="0"/>
                <w:sz w:val="17"/>
              </w:rPr>
              <w:t>SA 5.4 (5.3 is the Puget guarantee)</w:t>
            </w:r>
          </w:p>
        </w:tc>
      </w:tr>
      <w:tr>
        <w:tc>
          <w:tcPr>
            <w:tcW w:type="dxa" w:w="2160"/>
          </w:tcPr>
          <w:p>
            <w:pPr>
              <w:spacing w:after="20"/>
            </w:pPr>
            <w:r/>
            <w:r>
              <w:rPr>
                <w:b w:val="0"/>
                <w:i w:val="0"/>
                <w:sz w:val="17"/>
              </w:rPr>
              <w:t>EA 5.1 vs. SA 5.5</w:t>
            </w:r>
          </w:p>
        </w:tc>
        <w:tc>
          <w:tcPr>
            <w:tcW w:type="dxa" w:w="3600"/>
          </w:tcPr>
          <w:p>
            <w:pPr>
              <w:spacing w:after="20"/>
            </w:pPr>
            <w:r/>
            <w:r>
              <w:rPr>
                <w:b w:val="0"/>
                <w:i w:val="0"/>
                <w:sz w:val="17"/>
              </w:rPr>
              <w:t>Fee due Jan. 15 annually, commencing Jan. 15, 2025</w:t>
            </w:r>
          </w:p>
        </w:tc>
        <w:tc>
          <w:tcPr>
            <w:tcW w:type="dxa" w:w="3600"/>
          </w:tcPr>
          <w:p>
            <w:pPr>
              <w:spacing w:after="20"/>
            </w:pPr>
            <w:r/>
            <w:r>
              <w:rPr>
                <w:b w:val="0"/>
                <w:i w:val="0"/>
                <w:sz w:val="17"/>
              </w:rPr>
              <w:t>SA: anniversary of the Effective Date (Feb. 1)</w:t>
            </w:r>
          </w:p>
        </w:tc>
      </w:tr>
      <w:tr>
        <w:tc>
          <w:tcPr>
            <w:tcW w:type="dxa" w:w="2160"/>
          </w:tcPr>
          <w:p>
            <w:pPr>
              <w:spacing w:after="20"/>
            </w:pPr>
            <w:r/>
            <w:r>
              <w:rPr>
                <w:b w:val="0"/>
                <w:i w:val="0"/>
                <w:sz w:val="17"/>
              </w:rPr>
              <w:t>EA 9.2 vs. SA 2.3-2.4, 11.3</w:t>
            </w:r>
          </w:p>
        </w:tc>
        <w:tc>
          <w:tcPr>
            <w:tcW w:type="dxa" w:w="3600"/>
          </w:tcPr>
          <w:p>
            <w:pPr>
              <w:spacing w:after="20"/>
            </w:pPr>
            <w:r/>
            <w:r>
              <w:rPr>
                <w:b w:val="0"/>
                <w:i w:val="0"/>
                <w:sz w:val="17"/>
              </w:rPr>
              <w:t>Exclusive venue Pierce County / W.D. Wash.</w:t>
            </w:r>
          </w:p>
        </w:tc>
        <w:tc>
          <w:tcPr>
            <w:tcW w:type="dxa" w:w="3600"/>
          </w:tcPr>
          <w:p>
            <w:pPr>
              <w:spacing w:after="20"/>
            </w:pPr>
            <w:r/>
            <w:r>
              <w:rPr>
                <w:b w:val="0"/>
                <w:i w:val="0"/>
                <w:sz w:val="17"/>
              </w:rPr>
              <w:t>SA: Thurston County Superior Court</w:t>
            </w:r>
          </w:p>
        </w:tc>
      </w:tr>
      <w:tr>
        <w:tc>
          <w:tcPr>
            <w:tcW w:type="dxa" w:w="2160"/>
          </w:tcPr>
          <w:p>
            <w:pPr>
              <w:spacing w:after="20"/>
            </w:pPr>
            <w:r/>
            <w:r>
              <w:rPr>
                <w:b w:val="0"/>
                <w:i w:val="0"/>
                <w:sz w:val="17"/>
              </w:rPr>
              <w:t>EA 8.1 vs. SA 12.5</w:t>
            </w:r>
          </w:p>
        </w:tc>
        <w:tc>
          <w:tcPr>
            <w:tcW w:type="dxa" w:w="3600"/>
          </w:tcPr>
          <w:p>
            <w:pPr>
              <w:spacing w:after="20"/>
            </w:pPr>
            <w:r/>
            <w:r>
              <w:rPr>
                <w:b w:val="0"/>
                <w:i w:val="0"/>
                <w:sz w:val="17"/>
              </w:rPr>
              <w:t>No email notice</w:t>
            </w:r>
          </w:p>
        </w:tc>
        <w:tc>
          <w:tcPr>
            <w:tcW w:type="dxa" w:w="3600"/>
          </w:tcPr>
          <w:p>
            <w:pPr>
              <w:spacing w:after="20"/>
            </w:pPr>
            <w:r/>
            <w:r>
              <w:rPr>
                <w:b w:val="0"/>
                <w:i w:val="0"/>
                <w:sz w:val="17"/>
              </w:rPr>
              <w:t>SA permits email with confirmation of receipt</w:t>
            </w:r>
          </w:p>
        </w:tc>
      </w:tr>
      <w:tr>
        <w:tc>
          <w:tcPr>
            <w:tcW w:type="dxa" w:w="2160"/>
          </w:tcPr>
          <w:p>
            <w:pPr>
              <w:spacing w:after="20"/>
            </w:pPr>
            <w:r/>
            <w:r>
              <w:rPr>
                <w:b w:val="0"/>
                <w:i w:val="0"/>
                <w:sz w:val="17"/>
              </w:rPr>
              <w:t>SA 5.2(a)</w:t>
            </w:r>
          </w:p>
        </w:tc>
        <w:tc>
          <w:tcPr>
            <w:tcW w:type="dxa" w:w="3600"/>
          </w:tcPr>
          <w:p>
            <w:pPr>
              <w:spacing w:after="20"/>
            </w:pPr>
            <w:r/>
            <w:r>
              <w:rPr>
                <w:b w:val="0"/>
                <w:i w:val="0"/>
                <w:sz w:val="17"/>
              </w:rPr>
              <w:t>Cascadia "as successor to Puget Metalworks"</w:t>
            </w:r>
          </w:p>
        </w:tc>
        <w:tc>
          <w:tcPr>
            <w:tcW w:type="dxa" w:w="3600"/>
          </w:tcPr>
          <w:p>
            <w:pPr>
              <w:spacing w:after="20"/>
            </w:pPr>
            <w:r/>
            <w:r>
              <w:rPr>
                <w:b w:val="0"/>
                <w:i w:val="0"/>
                <w:sz w:val="17"/>
              </w:rPr>
              <w:t>Cascadia is parent/sole member, not successor (SA 3.1(a), 3.4)</w:t>
            </w:r>
          </w:p>
        </w:tc>
      </w:tr>
      <w:tr>
        <w:tc>
          <w:tcPr>
            <w:tcW w:type="dxa" w:w="2160"/>
          </w:tcPr>
          <w:p>
            <w:pPr>
              <w:spacing w:after="20"/>
            </w:pPr>
            <w:r/>
            <w:r>
              <w:rPr>
                <w:b w:val="0"/>
                <w:i w:val="0"/>
                <w:sz w:val="17"/>
              </w:rPr>
              <w:t>SA 8.8</w:t>
            </w:r>
          </w:p>
        </w:tc>
        <w:tc>
          <w:tcPr>
            <w:tcW w:type="dxa" w:w="3600"/>
          </w:tcPr>
          <w:p>
            <w:pPr>
              <w:spacing w:after="20"/>
            </w:pPr>
            <w:r/>
            <w:r>
              <w:rPr>
                <w:b w:val="0"/>
                <w:i w:val="0"/>
                <w:sz w:val="17"/>
              </w:rPr>
              <w:t>Silent on SA 8.5</w:t>
            </w:r>
          </w:p>
        </w:tc>
        <w:tc>
          <w:tcPr>
            <w:tcW w:type="dxa" w:w="3600"/>
          </w:tcPr>
          <w:p>
            <w:pPr>
              <w:spacing w:after="20"/>
            </w:pPr>
            <w:r/>
            <w:r>
              <w:rPr>
                <w:b w:val="0"/>
                <w:i w:val="0"/>
                <w:sz w:val="17"/>
              </w:rPr>
              <w:t>Add NRD survival</w:t>
            </w:r>
          </w:p>
        </w:tc>
      </w:tr>
    </w:tbl>
    <w:p>
      <w:pPr>
        <w:spacing w:after="40"/>
      </w:pPr>
    </w:p>
    <w:p>
      <w:pPr>
        <w:pStyle w:val="Heading1"/>
      </w:pPr>
      <w:r>
        <w:t>Appendix B -- Key Dates and Deadlines Calendar</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304"/>
            <w:shd w:val="clear" w:color="auto" w:fill="1F3A5F"/>
          </w:tcPr>
          <w:p>
            <w:r/>
            <w:r>
              <w:rPr>
                <w:b/>
                <w:color w:val="FFFFFF"/>
                <w:sz w:val="17"/>
              </w:rPr>
              <w:t>Date</w:t>
            </w:r>
          </w:p>
        </w:tc>
        <w:tc>
          <w:tcPr>
            <w:tcW w:type="dxa" w:w="5184"/>
            <w:shd w:val="clear" w:color="auto" w:fill="1F3A5F"/>
          </w:tcPr>
          <w:p>
            <w:r/>
            <w:r>
              <w:rPr>
                <w:b/>
                <w:color w:val="FFFFFF"/>
                <w:sz w:val="17"/>
              </w:rPr>
              <w:t>Event</w:t>
            </w:r>
          </w:p>
        </w:tc>
        <w:tc>
          <w:tcPr>
            <w:tcW w:type="dxa" w:w="1872"/>
            <w:shd w:val="clear" w:color="auto" w:fill="1F3A5F"/>
          </w:tcPr>
          <w:p>
            <w:r/>
            <w:r>
              <w:rPr>
                <w:b/>
                <w:color w:val="FFFFFF"/>
                <w:sz w:val="17"/>
              </w:rPr>
              <w:t>Source</w:t>
            </w:r>
          </w:p>
        </w:tc>
      </w:tr>
      <w:tr>
        <w:tc>
          <w:tcPr>
            <w:tcW w:type="dxa" w:w="2304"/>
          </w:tcPr>
          <w:p>
            <w:pPr>
              <w:spacing w:after="20"/>
            </w:pPr>
            <w:r/>
            <w:r>
              <w:rPr>
                <w:b w:val="0"/>
                <w:i w:val="0"/>
                <w:sz w:val="17"/>
              </w:rPr>
              <w:t>Jan. 12, 2025</w:t>
            </w:r>
          </w:p>
        </w:tc>
        <w:tc>
          <w:tcPr>
            <w:tcW w:type="dxa" w:w="5184"/>
          </w:tcPr>
          <w:p>
            <w:pPr>
              <w:spacing w:after="20"/>
            </w:pPr>
            <w:r/>
            <w:r>
              <w:rPr>
                <w:b w:val="0"/>
                <w:i w:val="0"/>
                <w:sz w:val="17"/>
              </w:rPr>
              <w:t>SA, SL and EA executed</w:t>
            </w:r>
          </w:p>
        </w:tc>
        <w:tc>
          <w:tcPr>
            <w:tcW w:type="dxa" w:w="1872"/>
          </w:tcPr>
          <w:p>
            <w:pPr>
              <w:spacing w:after="20"/>
            </w:pPr>
            <w:r/>
            <w:r>
              <w:rPr>
                <w:b w:val="0"/>
                <w:i w:val="0"/>
                <w:sz w:val="17"/>
              </w:rPr>
              <w:t>SA 12.9; SL; EA</w:t>
            </w:r>
          </w:p>
        </w:tc>
      </w:tr>
      <w:tr>
        <w:tc>
          <w:tcPr>
            <w:tcW w:type="dxa" w:w="2304"/>
          </w:tcPr>
          <w:p>
            <w:pPr>
              <w:spacing w:after="20"/>
            </w:pPr>
            <w:r/>
            <w:r>
              <w:rPr>
                <w:b w:val="0"/>
                <w:i w:val="0"/>
                <w:sz w:val="17"/>
              </w:rPr>
              <w:t>Jan. 15, 2025</w:t>
            </w:r>
          </w:p>
        </w:tc>
        <w:tc>
          <w:tcPr>
            <w:tcW w:type="dxa" w:w="5184"/>
          </w:tcPr>
          <w:p>
            <w:pPr>
              <w:spacing w:after="20"/>
            </w:pPr>
            <w:r/>
            <w:r>
              <w:rPr>
                <w:b w:val="0"/>
                <w:i w:val="0"/>
                <w:sz w:val="17"/>
              </w:rPr>
              <w:t>Northshore escrow deposit ($7,952,000); first EA fee date</w:t>
            </w:r>
          </w:p>
        </w:tc>
        <w:tc>
          <w:tcPr>
            <w:tcW w:type="dxa" w:w="1872"/>
          </w:tcPr>
          <w:p>
            <w:pPr>
              <w:spacing w:after="20"/>
            </w:pPr>
            <w:r/>
            <w:r>
              <w:rPr>
                <w:b w:val="0"/>
                <w:i w:val="0"/>
                <w:sz w:val="17"/>
              </w:rPr>
              <w:t>SA 5.4; EA 2.2, 5.1</w:t>
            </w:r>
          </w:p>
        </w:tc>
      </w:tr>
      <w:tr>
        <w:tc>
          <w:tcPr>
            <w:tcW w:type="dxa" w:w="2304"/>
          </w:tcPr>
          <w:p>
            <w:pPr>
              <w:spacing w:after="20"/>
            </w:pPr>
            <w:r/>
            <w:r>
              <w:rPr>
                <w:b w:val="0"/>
                <w:i w:val="0"/>
                <w:sz w:val="17"/>
              </w:rPr>
              <w:t>Feb. 1, 2025</w:t>
            </w:r>
          </w:p>
        </w:tc>
        <w:tc>
          <w:tcPr>
            <w:tcW w:type="dxa" w:w="5184"/>
          </w:tcPr>
          <w:p>
            <w:pPr>
              <w:spacing w:after="20"/>
            </w:pPr>
            <w:r/>
            <w:r>
              <w:rPr>
                <w:b w:val="0"/>
                <w:i w:val="0"/>
                <w:sz w:val="17"/>
              </w:rPr>
              <w:t>Effective Date; Financial Assurance Bond effective; survival clocks start</w:t>
            </w:r>
          </w:p>
        </w:tc>
        <w:tc>
          <w:tcPr>
            <w:tcW w:type="dxa" w:w="1872"/>
          </w:tcPr>
          <w:p>
            <w:pPr>
              <w:spacing w:after="20"/>
            </w:pPr>
            <w:r/>
            <w:r>
              <w:rPr>
                <w:b w:val="0"/>
                <w:i w:val="0"/>
                <w:sz w:val="17"/>
              </w:rPr>
              <w:t>SA 1.12, 6.6, 8.8</w:t>
            </w:r>
          </w:p>
        </w:tc>
      </w:tr>
      <w:tr>
        <w:tc>
          <w:tcPr>
            <w:tcW w:type="dxa" w:w="2304"/>
          </w:tcPr>
          <w:p>
            <w:pPr>
              <w:spacing w:after="20"/>
            </w:pPr>
            <w:r/>
            <w:r>
              <w:rPr>
                <w:b w:val="0"/>
                <w:i w:val="0"/>
                <w:sz w:val="17"/>
              </w:rPr>
              <w:t>Feb. 14, 2025</w:t>
            </w:r>
          </w:p>
        </w:tc>
        <w:tc>
          <w:tcPr>
            <w:tcW w:type="dxa" w:w="5184"/>
          </w:tcPr>
          <w:p>
            <w:pPr>
              <w:spacing w:after="20"/>
            </w:pPr>
            <w:r/>
            <w:r>
              <w:rPr>
                <w:b w:val="0"/>
                <w:i w:val="0"/>
                <w:sz w:val="17"/>
              </w:rPr>
              <w:t>Consent Decree entered</w:t>
            </w:r>
          </w:p>
        </w:tc>
        <w:tc>
          <w:tcPr>
            <w:tcW w:type="dxa" w:w="1872"/>
          </w:tcPr>
          <w:p>
            <w:pPr>
              <w:spacing w:after="20"/>
            </w:pPr>
            <w:r/>
            <w:r>
              <w:rPr>
                <w:b w:val="0"/>
                <w:i w:val="0"/>
                <w:sz w:val="17"/>
              </w:rPr>
              <w:t>SA signature page</w:t>
            </w:r>
          </w:p>
        </w:tc>
      </w:tr>
      <w:tr>
        <w:tc>
          <w:tcPr>
            <w:tcW w:type="dxa" w:w="2304"/>
          </w:tcPr>
          <w:p>
            <w:pPr>
              <w:spacing w:after="20"/>
            </w:pPr>
            <w:r/>
            <w:r>
              <w:rPr>
                <w:b w:val="0"/>
                <w:i w:val="0"/>
                <w:sz w:val="17"/>
              </w:rPr>
              <w:t>Quarterly (15th day after quarter-end)</w:t>
            </w:r>
          </w:p>
        </w:tc>
        <w:tc>
          <w:tcPr>
            <w:tcW w:type="dxa" w:w="5184"/>
          </w:tcPr>
          <w:p>
            <w:pPr>
              <w:spacing w:after="20"/>
            </w:pPr>
            <w:r/>
            <w:r>
              <w:rPr>
                <w:b w:val="0"/>
                <w:i w:val="0"/>
                <w:sz w:val="17"/>
              </w:rPr>
              <w:t>Cascadia progress reports to Ecology and Settling Parties</w:t>
            </w:r>
          </w:p>
        </w:tc>
        <w:tc>
          <w:tcPr>
            <w:tcW w:type="dxa" w:w="1872"/>
          </w:tcPr>
          <w:p>
            <w:pPr>
              <w:spacing w:after="20"/>
            </w:pPr>
            <w:r/>
            <w:r>
              <w:rPr>
                <w:b w:val="0"/>
                <w:i w:val="0"/>
                <w:sz w:val="17"/>
              </w:rPr>
              <w:t>SA 6.5</w:t>
            </w:r>
          </w:p>
        </w:tc>
      </w:tr>
      <w:tr>
        <w:tc>
          <w:tcPr>
            <w:tcW w:type="dxa" w:w="2304"/>
          </w:tcPr>
          <w:p>
            <w:pPr>
              <w:spacing w:after="20"/>
            </w:pPr>
            <w:r/>
            <w:r>
              <w:rPr>
                <w:b w:val="0"/>
                <w:i w:val="0"/>
                <w:sz w:val="17"/>
              </w:rPr>
              <w:t>Each Jan. 15 (EA) / Feb. 1 (SA)</w:t>
            </w:r>
          </w:p>
        </w:tc>
        <w:tc>
          <w:tcPr>
            <w:tcW w:type="dxa" w:w="5184"/>
          </w:tcPr>
          <w:p>
            <w:pPr>
              <w:spacing w:after="20"/>
            </w:pPr>
            <w:r/>
            <w:r>
              <w:rPr>
                <w:b w:val="0"/>
                <w:i w:val="0"/>
                <w:sz w:val="17"/>
              </w:rPr>
              <w:t>Annual escrow fee ($9,250 each party); resolve conflict</w:t>
            </w:r>
          </w:p>
        </w:tc>
        <w:tc>
          <w:tcPr>
            <w:tcW w:type="dxa" w:w="1872"/>
          </w:tcPr>
          <w:p>
            <w:pPr>
              <w:spacing w:after="20"/>
            </w:pPr>
            <w:r/>
            <w:r>
              <w:rPr>
                <w:b w:val="0"/>
                <w:i w:val="0"/>
                <w:sz w:val="17"/>
              </w:rPr>
              <w:t>EA 5.1; SA 5.5</w:t>
            </w:r>
          </w:p>
        </w:tc>
      </w:tr>
      <w:tr>
        <w:tc>
          <w:tcPr>
            <w:tcW w:type="dxa" w:w="2304"/>
          </w:tcPr>
          <w:p>
            <w:pPr>
              <w:spacing w:after="20"/>
            </w:pPr>
            <w:r/>
            <w:r>
              <w:rPr>
                <w:b w:val="0"/>
                <w:i w:val="0"/>
                <w:sz w:val="17"/>
              </w:rPr>
              <w:t>Jan. 1, 2028</w:t>
            </w:r>
          </w:p>
        </w:tc>
        <w:tc>
          <w:tcPr>
            <w:tcW w:type="dxa" w:w="5184"/>
          </w:tcPr>
          <w:p>
            <w:pPr>
              <w:spacing w:after="20"/>
            </w:pPr>
            <w:r/>
            <w:r>
              <w:rPr>
                <w:b w:val="0"/>
                <w:i w:val="0"/>
                <w:sz w:val="17"/>
              </w:rPr>
              <w:t>PLL Policy expires</w:t>
            </w:r>
          </w:p>
        </w:tc>
        <w:tc>
          <w:tcPr>
            <w:tcW w:type="dxa" w:w="1872"/>
          </w:tcPr>
          <w:p>
            <w:pPr>
              <w:spacing w:after="20"/>
            </w:pPr>
            <w:r/>
            <w:r>
              <w:rPr>
                <w:b w:val="0"/>
                <w:i w:val="0"/>
                <w:sz w:val="17"/>
              </w:rPr>
              <w:t>SA 1.22</w:t>
            </w:r>
          </w:p>
        </w:tc>
      </w:tr>
      <w:tr>
        <w:tc>
          <w:tcPr>
            <w:tcW w:type="dxa" w:w="2304"/>
          </w:tcPr>
          <w:p>
            <w:pPr>
              <w:spacing w:after="20"/>
            </w:pPr>
            <w:r/>
            <w:r>
              <w:rPr>
                <w:b w:val="0"/>
                <w:i w:val="0"/>
                <w:sz w:val="17"/>
              </w:rPr>
              <w:t>Feb. 1, 2037 (11:59 p.m. PT for SL)</w:t>
            </w:r>
          </w:p>
        </w:tc>
        <w:tc>
          <w:tcPr>
            <w:tcW w:type="dxa" w:w="5184"/>
          </w:tcPr>
          <w:p>
            <w:pPr>
              <w:spacing w:after="20"/>
            </w:pPr>
            <w:r/>
            <w:r>
              <w:rPr>
                <w:b w:val="0"/>
                <w:i w:val="0"/>
                <w:sz w:val="17"/>
              </w:rPr>
              <w:t>Survival expires: SA 8.1, 8.2 and Side Letter (claims must be noticed on or before)</w:t>
            </w:r>
          </w:p>
        </w:tc>
        <w:tc>
          <w:tcPr>
            <w:tcW w:type="dxa" w:w="1872"/>
          </w:tcPr>
          <w:p>
            <w:pPr>
              <w:spacing w:after="20"/>
            </w:pPr>
            <w:r/>
            <w:r>
              <w:rPr>
                <w:b w:val="0"/>
                <w:i w:val="0"/>
                <w:sz w:val="17"/>
              </w:rPr>
              <w:t>SA 8.8(a); SL 5</w:t>
            </w:r>
          </w:p>
        </w:tc>
      </w:tr>
      <w:tr>
        <w:tc>
          <w:tcPr>
            <w:tcW w:type="dxa" w:w="2304"/>
          </w:tcPr>
          <w:p>
            <w:pPr>
              <w:spacing w:after="20"/>
            </w:pPr>
            <w:r/>
            <w:r>
              <w:rPr>
                <w:b w:val="0"/>
                <w:i w:val="0"/>
                <w:sz w:val="17"/>
              </w:rPr>
              <w:t>Feb. 1, 2045</w:t>
            </w:r>
          </w:p>
        </w:tc>
        <w:tc>
          <w:tcPr>
            <w:tcW w:type="dxa" w:w="5184"/>
          </w:tcPr>
          <w:p>
            <w:pPr>
              <w:spacing w:after="20"/>
            </w:pPr>
            <w:r/>
            <w:r>
              <w:rPr>
                <w:b w:val="0"/>
                <w:i w:val="0"/>
                <w:sz w:val="17"/>
              </w:rPr>
              <w:t>Survival expires: SA 8.4 (no notice tail)</w:t>
            </w:r>
          </w:p>
        </w:tc>
        <w:tc>
          <w:tcPr>
            <w:tcW w:type="dxa" w:w="1872"/>
          </w:tcPr>
          <w:p>
            <w:pPr>
              <w:spacing w:after="20"/>
            </w:pPr>
            <w:r/>
            <w:r>
              <w:rPr>
                <w:b w:val="0"/>
                <w:i w:val="0"/>
                <w:sz w:val="17"/>
              </w:rPr>
              <w:t>SA 8.8(b)</w:t>
            </w:r>
          </w:p>
        </w:tc>
      </w:tr>
      <w:tr>
        <w:tc>
          <w:tcPr>
            <w:tcW w:type="dxa" w:w="2304"/>
          </w:tcPr>
          <w:p>
            <w:pPr>
              <w:spacing w:after="20"/>
            </w:pPr>
            <w:r/>
            <w:r>
              <w:rPr>
                <w:b w:val="0"/>
                <w:i w:val="0"/>
                <w:sz w:val="17"/>
              </w:rPr>
              <w:t>~2055</w:t>
            </w:r>
          </w:p>
        </w:tc>
        <w:tc>
          <w:tcPr>
            <w:tcW w:type="dxa" w:w="5184"/>
          </w:tcPr>
          <w:p>
            <w:pPr>
              <w:spacing w:after="20"/>
            </w:pPr>
            <w:r/>
            <w:r>
              <w:rPr>
                <w:b w:val="0"/>
                <w:i w:val="0"/>
                <w:sz w:val="17"/>
              </w:rPr>
              <w:t>End of 30-year long-term monitoring estimate</w:t>
            </w:r>
          </w:p>
        </w:tc>
        <w:tc>
          <w:tcPr>
            <w:tcW w:type="dxa" w:w="1872"/>
          </w:tcPr>
          <w:p>
            <w:pPr>
              <w:spacing w:after="20"/>
            </w:pPr>
            <w:r/>
            <w:r>
              <w:rPr>
                <w:b w:val="0"/>
                <w:i w:val="0"/>
                <w:sz w:val="17"/>
              </w:rPr>
              <w:t>SA 5.1(c)</w:t>
            </w:r>
          </w:p>
        </w:tc>
      </w:tr>
      <w:tr>
        <w:tc>
          <w:tcPr>
            <w:tcW w:type="dxa" w:w="2304"/>
          </w:tcPr>
          <w:p>
            <w:pPr>
              <w:spacing w:after="20"/>
            </w:pPr>
            <w:r/>
            <w:r>
              <w:rPr>
                <w:b w:val="0"/>
                <w:i w:val="0"/>
                <w:sz w:val="17"/>
              </w:rPr>
              <w:t>No fixed date</w:t>
            </w:r>
          </w:p>
        </w:tc>
        <w:tc>
          <w:tcPr>
            <w:tcW w:type="dxa" w:w="5184"/>
          </w:tcPr>
          <w:p>
            <w:pPr>
              <w:spacing w:after="20"/>
            </w:pPr>
            <w:r/>
            <w:r>
              <w:rPr>
                <w:b w:val="0"/>
                <w:i w:val="0"/>
                <w:sz w:val="17"/>
              </w:rPr>
              <w:t>SA 8.3 (indefinite); SA 8.5 (unspecified); EA 6 (until claims resolved)</w:t>
            </w:r>
          </w:p>
        </w:tc>
        <w:tc>
          <w:tcPr>
            <w:tcW w:type="dxa" w:w="1872"/>
          </w:tcPr>
          <w:p>
            <w:pPr>
              <w:spacing w:after="20"/>
            </w:pPr>
            <w:r/>
            <w:r>
              <w:rPr>
                <w:b w:val="0"/>
                <w:i w:val="0"/>
                <w:sz w:val="17"/>
              </w:rPr>
              <w:t>SA 8.8(c); EA 6.3</w:t>
            </w:r>
          </w:p>
        </w:tc>
      </w:tr>
      <w:tr>
        <w:tc>
          <w:tcPr>
            <w:tcW w:type="dxa" w:w="2304"/>
          </w:tcPr>
          <w:p>
            <w:pPr>
              <w:spacing w:after="20"/>
            </w:pPr>
            <w:r/>
            <w:r>
              <w:rPr>
                <w:b w:val="0"/>
                <w:i w:val="0"/>
                <w:sz w:val="17"/>
              </w:rPr>
              <w:t>Per claim</w:t>
            </w:r>
          </w:p>
        </w:tc>
        <w:tc>
          <w:tcPr>
            <w:tcW w:type="dxa" w:w="5184"/>
          </w:tcPr>
          <w:p>
            <w:pPr>
              <w:spacing w:after="20"/>
            </w:pPr>
            <w:r/>
            <w:r>
              <w:rPr>
                <w:b w:val="0"/>
                <w:i w:val="0"/>
                <w:sz w:val="17"/>
              </w:rPr>
              <w:t>Claim Notice: 30 Business Days; Defense Notice: 20 Business Days; status copies: 10 Business Days; insurance developments/remittance: 15 Business Days; payment: 45 days; Dispute Notice: 30 days; cooperation reimbursement: 30 days</w:t>
            </w:r>
          </w:p>
        </w:tc>
        <w:tc>
          <w:tcPr>
            <w:tcW w:type="dxa" w:w="1872"/>
          </w:tcPr>
          <w:p>
            <w:pPr>
              <w:spacing w:after="20"/>
            </w:pPr>
            <w:r/>
            <w:r>
              <w:rPr>
                <w:b w:val="0"/>
                <w:i w:val="0"/>
                <w:sz w:val="17"/>
              </w:rPr>
              <w:t>Exh. D 2-6</w:t>
            </w:r>
          </w:p>
        </w:tc>
      </w:tr>
    </w:tbl>
    <w:p>
      <w:pPr>
        <w:spacing w:after="40"/>
      </w:pPr>
    </w:p>
    <w:p>
      <w:pPr>
        <w:spacing w:after="80"/>
      </w:pPr>
    </w:p>
    <w:p>
      <w:pPr>
        <w:spacing w:after="80"/>
      </w:pPr>
      <w:r>
        <w:rPr>
          <w:b w:val="0"/>
          <w:i/>
          <w:sz w:val="18"/>
        </w:rPr>
        <w:t>This memorandum is a first draft based solely on the documents identified above. It does not reach insurance-coverage, tax or accounting conclusions that require review of the underlying policies and financial statements. We would be glad to prepare the amendment package or a shorter audit-committee summary.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Attorney-Client Communication -- Draft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