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i/>
          <w:sz w:val="18"/>
        </w:rPr>
        <w:t>PRIVILEGED AND CONFIDENTIAL — ATTORNEY-CLIENT COMMUNICATION / ATTORNEY WORK PRODUCT</w:t>
      </w:r>
    </w:p>
    <w:p>
      <w:pPr>
        <w:jc w:val="center"/>
      </w:pPr>
      <w:r>
        <w:rPr>
          <w:b/>
          <w:sz w:val="32"/>
        </w:rPr>
        <w:t>MEMORANDUM</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016"/>
            <w:shd w:val="clear" w:color="auto" w:fill="1F3A5F"/>
          </w:tcPr>
          <w:p>
            <w:r/>
            <w:r>
              <w:rPr>
                <w:b/>
                <w:color w:val="FFFFFF"/>
                <w:sz w:val="19"/>
              </w:rPr>
            </w:r>
          </w:p>
        </w:tc>
        <w:tc>
          <w:tcPr>
            <w:tcW w:type="dxa" w:w="7344"/>
            <w:shd w:val="clear" w:color="auto" w:fill="1F3A5F"/>
          </w:tcPr>
          <w:p>
            <w:r/>
            <w:r>
              <w:rPr>
                <w:b/>
                <w:color w:val="FFFFFF"/>
                <w:sz w:val="19"/>
              </w:rPr>
            </w:r>
          </w:p>
        </w:tc>
      </w:tr>
      <w:tr>
        <w:tc>
          <w:tcPr>
            <w:tcW w:type="dxa" w:w="2016"/>
          </w:tcPr>
          <w:p>
            <w:r>
              <w:rPr>
                <w:sz w:val="19"/>
              </w:rPr>
            </w:r>
            <w:r>
              <w:rPr>
                <w:sz w:val="19"/>
              </w:rPr>
              <w:t>TO:</w:t>
            </w:r>
          </w:p>
        </w:tc>
        <w:tc>
          <w:tcPr>
            <w:tcW w:type="dxa" w:w="7344"/>
          </w:tcPr>
          <w:p>
            <w:r>
              <w:rPr>
                <w:sz w:val="19"/>
              </w:rPr>
            </w:r>
            <w:r>
              <w:rPr>
                <w:sz w:val="19"/>
              </w:rPr>
              <w:t>Helen Grayson, Partner, Thornbury &amp; Marsh LLP</w:t>
            </w:r>
          </w:p>
        </w:tc>
      </w:tr>
      <w:tr>
        <w:tc>
          <w:tcPr>
            <w:tcW w:type="dxa" w:w="2016"/>
          </w:tcPr>
          <w:p>
            <w:r>
              <w:rPr>
                <w:sz w:val="19"/>
              </w:rPr>
            </w:r>
            <w:r>
              <w:rPr>
                <w:sz w:val="19"/>
              </w:rPr>
              <w:t>FROM:</w:t>
            </w:r>
          </w:p>
        </w:tc>
        <w:tc>
          <w:tcPr>
            <w:tcW w:type="dxa" w:w="7344"/>
          </w:tcPr>
          <w:p>
            <w:r>
              <w:rPr>
                <w:sz w:val="19"/>
              </w:rPr>
            </w:r>
            <w:r>
              <w:rPr>
                <w:sz w:val="19"/>
              </w:rPr>
              <w:t>[Associate], Environmental / Real Estate Transactions</w:t>
            </w:r>
          </w:p>
        </w:tc>
      </w:tr>
      <w:tr>
        <w:tc>
          <w:tcPr>
            <w:tcW w:type="dxa" w:w="2016"/>
          </w:tcPr>
          <w:p>
            <w:r>
              <w:rPr>
                <w:sz w:val="19"/>
              </w:rPr>
            </w:r>
            <w:r>
              <w:rPr>
                <w:sz w:val="19"/>
              </w:rPr>
              <w:t>CLIENT / MATTER:</w:t>
            </w:r>
          </w:p>
        </w:tc>
        <w:tc>
          <w:tcPr>
            <w:tcW w:type="dxa" w:w="7344"/>
          </w:tcPr>
          <w:p>
            <w:r>
              <w:rPr>
                <w:sz w:val="19"/>
              </w:rPr>
            </w:r>
            <w:r>
              <w:rPr>
                <w:sz w:val="19"/>
              </w:rPr>
              <w:t>Greenfield Capital Partners LLC — Proposed acquisition of 200 Commerce Drive, Calverley, Somerset County, NJ (Block 412, Lots 7, 8 and 9) from Ridgeline Industrial Holdings, Inc.; NJDEP Case No. SRP-098742</w:t>
            </w:r>
          </w:p>
        </w:tc>
      </w:tr>
      <w:tr>
        <w:tc>
          <w:tcPr>
            <w:tcW w:type="dxa" w:w="2016"/>
          </w:tcPr>
          <w:p>
            <w:r>
              <w:rPr>
                <w:sz w:val="19"/>
              </w:rPr>
            </w:r>
            <w:r>
              <w:rPr>
                <w:sz w:val="19"/>
              </w:rPr>
              <w:t>DATE:</w:t>
            </w:r>
          </w:p>
        </w:tc>
        <w:tc>
          <w:tcPr>
            <w:tcW w:type="dxa" w:w="7344"/>
          </w:tcPr>
          <w:p>
            <w:r>
              <w:rPr>
                <w:sz w:val="19"/>
              </w:rPr>
            </w:r>
            <w:r>
              <w:rPr>
                <w:sz w:val="19"/>
              </w:rPr>
              <w:t>[●] (timing references assume the draft PSA timetable: Effective Date September 20, 2024; Due Diligence Period expires 5:00 p.m. ET November 19, 2024; Closing Date January 15, 2025)</w:t>
            </w:r>
          </w:p>
        </w:tc>
      </w:tr>
      <w:tr>
        <w:tc>
          <w:tcPr>
            <w:tcW w:type="dxa" w:w="2016"/>
          </w:tcPr>
          <w:p>
            <w:r>
              <w:rPr>
                <w:sz w:val="19"/>
              </w:rPr>
            </w:r>
            <w:r>
              <w:rPr>
                <w:sz w:val="19"/>
              </w:rPr>
              <w:t>RE:</w:t>
            </w:r>
          </w:p>
        </w:tc>
        <w:tc>
          <w:tcPr>
            <w:tcW w:type="dxa" w:w="7344"/>
          </w:tcPr>
          <w:p>
            <w:r>
              <w:rPr>
                <w:sz w:val="19"/>
              </w:rPr>
            </w:r>
            <w:r>
              <w:rPr>
                <w:sz w:val="19"/>
              </w:rPr>
              <w:t>Environmental Issues Memorandum — Supplemental Preliminary Assessment (Sept. 5, 2024), Phase I ESA (Aug. 12, 2024), Seller Environmental Disclosure Questionnaire (July 28, 2024), Seller draft PSA Article IX (Sept. 20, 2024) and Greenfield Underwriting Memo (Sept. 25, 2024)</w:t>
            </w:r>
          </w:p>
        </w:tc>
      </w:tr>
    </w:tbl>
    <w:p>
      <w:pPr>
        <w:spacing w:after="40"/>
      </w:pPr>
    </w:p>
    <w:p>
      <w:pPr>
        <w:pStyle w:val="Heading1"/>
      </w:pPr>
      <w:r>
        <w:t>1. Executive Summary</w:t>
      </w:r>
    </w:p>
    <w:p>
      <w:pPr>
        <w:spacing w:after="120"/>
      </w:pPr>
      <w:r>
        <w:rPr>
          <w:b/>
        </w:rPr>
        <w:t>Bottom line.</w:t>
      </w:r>
      <w:r>
        <w:t xml:space="preserve"> The record does not support closing on the Seller’s draft terms. The Property is an open, unclosed NJDEP remediation case (Case No. SRP-098742, status “Active – Pending” since 1984) with residual soil contamination above the standards the consultant itself applies, a chlorinated-solvent groundwater plume that is undelineated at the downgradient property line and in bedrock, an uninvestigated vapor intrusion (“VI”) pathway beneath occupied buildings, an undocumented 1,000-gallon diesel UST, and apparent lapses in SRRA compliance (no biennial certification since April 15, 2021 and no groundwater data since October 2020). The Supplemental Preliminary Assessment (“PA”) understates several of these conditions, contains internal errors, and defers rather than resolves the key data gaps. At the same time, the Seller’s draft Article IX treats everything described in our own consultant’s reports as “known to Buyer,” excludes it from the indemnity and the termination right, and requires Greenfield to assume it — leaving Greenfield with a $2,000,000 cap (about 5.2% of the $38.5 million price), a 24-month survival period, and a broad as-is release against a long-tail liability profile.</w:t>
      </w:r>
    </w:p>
    <w:p>
      <w:pPr>
        <w:spacing w:after="120"/>
      </w:pPr>
      <w:r>
        <w:rPr>
          <w:b/>
        </w:rPr>
        <w:t>Most significant issues</w:t>
      </w:r>
      <w:r>
        <w:t xml:space="preserve"> (detail in Sections 4–6):</w:t>
      </w:r>
    </w:p>
    <w:p>
      <w:pPr>
        <w:pStyle w:val="ListBullet"/>
        <w:spacing w:after="40"/>
      </w:pPr>
      <w:r>
        <w:rPr>
          <w:b/>
        </w:rPr>
        <w:t>PA technical errors and gaps (Critical/High).</w:t>
      </w:r>
      <w:r>
        <w:t xml:space="preserve"> The PA concludes AOC-3 soils “meet” Non-Residential Direct Contact standards even though its own Table 3 shows TCE at 4.1 mg/kg against the 3 mg/kg standard it cites (AOC3-S4) and PCE exactly at the standard (AOC3-S2); it never evaluates the impact-to-groundwater pathway; AOC-1 closure sampling omitted the south and west sidewalls and the floor; AOC-5 was characterized by three 2-foot samples with a narrow analyte list; and bedrock, off-site migration, ecological receptors and emerging contaminants are not addressed.</w:t>
      </w:r>
    </w:p>
    <w:p>
      <w:pPr>
        <w:pStyle w:val="ListBullet"/>
        <w:spacing w:after="40"/>
      </w:pPr>
      <w:r>
        <w:rPr>
          <w:b/>
        </w:rPr>
        <w:t>Regulatory standing of the case (Critical).</w:t>
      </w:r>
      <w:r>
        <w:t xml:space="preserve"> Biennial certification was due on or about April 15, 2023 and nothing is on file; there has been no monitoring since October 2020; no Response Action Outcome (“RAO”) has been issued; the identity of the LSRP of record is disputed (the Seller says Dr. Laura Chen of Crestline; NJDEP told Crestline it is Whitman Geosciences, LLC). The Seller nonetheless represents the case has “received regulatory closure” and certifications were “timely filed.”</w:t>
      </w:r>
    </w:p>
    <w:p>
      <w:pPr>
        <w:pStyle w:val="ListBullet"/>
        <w:spacing w:after="40"/>
      </w:pPr>
      <w:r>
        <w:rPr>
          <w:b/>
        </w:rPr>
        <w:t>Potential consultant conflict (Critical).</w:t>
      </w:r>
      <w:r>
        <w:t xml:space="preserve"> If the Seller is right that Dr. Chen is the LSRP of record for the Seller’s case, Greenfield’s diligence consultant is simultaneously the Seller’s certifying professional. That must be resolved before we rely on either report.</w:t>
      </w:r>
    </w:p>
    <w:p>
      <w:pPr>
        <w:pStyle w:val="ListBullet"/>
        <w:spacing w:after="40"/>
      </w:pPr>
      <w:r>
        <w:rPr>
          <w:b/>
        </w:rPr>
        <w:t>Groundwater plume and off-site migration (Critical).</w:t>
      </w:r>
      <w:r>
        <w:t xml:space="preserve"> PCE at the southeastern property-boundary sentinel well MW-14 is above the GWQS and rising (1.8 → 2.1 → 2.4 µg/L, 2014–2020); vinyl chloride at MW-12 has exceeded the GWQS in each reported recent event; the plume is reported to 45 ft bgs while the Phase I places bedrock at 20–30 ft bgs, with no bedrock wells; the CEA stops at the property line; benzene groundwater contamination at AOC-1 appears to sit outside the chlorinated-solvent CEA; and no ecological evaluation of the downgradient wetland/Green Brook tributary has been done.</w:t>
      </w:r>
    </w:p>
    <w:p>
      <w:pPr>
        <w:pStyle w:val="ListBullet"/>
        <w:spacing w:after="40"/>
      </w:pPr>
      <w:r>
        <w:rPr>
          <w:b/>
        </w:rPr>
        <w:t>Vapor intrusion in occupied buildings (Critical).</w:t>
      </w:r>
      <w:r>
        <w:t xml:space="preserve"> TCE and PCE in groundwater beneath slab-on-grade, tenant-occupied Buildings C and D; no sub-slab or indoor-air data; Buildings A, B and E unevaluated. Draft PSA §9.7(a)(iii) makes VI investigation and mitigation Greenfield’s cost in any building, and Greenfield becomes the landlord on the Closing Date.</w:t>
      </w:r>
    </w:p>
    <w:p>
      <w:pPr>
        <w:pStyle w:val="ListBullet"/>
        <w:spacing w:after="40"/>
      </w:pPr>
      <w:r>
        <w:rPr>
          <w:b/>
        </w:rPr>
        <w:t>Draft PSA Article IX (Critical).</w:t>
      </w:r>
      <w:r>
        <w:t xml:space="preserve"> The “known to Buyer” carve-out (§9.3(a)(ii)), the listing of the Phase I and PA on Seller’s Schedule 9.1, the Buyer assumption clause (§9.7), the actual-knowledge-of-one-person Knowledge definition, the illusory Material Environmental Condition (“MEC”) termination right (§9.4), and an unworkable ISRA condition (§9.5, which requires an NJDEP “NFA” letter that NJDEP no longer issues in LSRP-led cases) together shift substantially all known and unknown risk to Greenfield.</w:t>
      </w:r>
    </w:p>
    <w:p>
      <w:pPr>
        <w:pStyle w:val="ListBullet"/>
        <w:spacing w:after="40"/>
      </w:pPr>
      <w:r>
        <w:rPr>
          <w:b/>
        </w:rPr>
        <w:t>Underwriting budget (High).</w:t>
      </w:r>
      <w:r>
        <w:t xml:space="preserve"> The $750,000 budget leaves out the diesel UST, plume delineation (off-site and bedrock), ecological evaluation, soil handling for a $145 million redevelopment inside deed notice areas, remediation funding source and NJDEP fees, curing the lapsed compliance, VI work beyond Buildings C and D, and MNA beyond five years. It also misreads the MEC threshold: known conditions are excluded, so a $750,000 budget for known conditions does not trigger the termination right.</w:t>
      </w:r>
    </w:p>
    <w:p>
      <w:pPr>
        <w:spacing w:after="120"/>
      </w:pPr>
      <w:r>
        <w:rPr>
          <w:b/>
        </w:rPr>
        <w:t>Priority recommendations.</w:t>
      </w:r>
    </w:p>
    <w:p>
      <w:pPr>
        <w:pStyle w:val="ListNumber"/>
        <w:spacing w:after="40"/>
      </w:pPr>
      <w:r>
        <w:t>Get a Due Diligence Period extension now (we suggest at least 60–90 additional days, or until a fixed period after receipt of the Phase II, VI and groundwater data). The current deadline of November 19, 2024 cannot accommodate heating-season VI sampling, a full groundwater round, a GPR survey, laboratory turnaround and an independent LSRP verification under the MEC definition.</w:t>
      </w:r>
    </w:p>
    <w:p>
      <w:pPr>
        <w:pStyle w:val="ListNumber"/>
        <w:spacing w:after="40"/>
      </w:pPr>
      <w:r>
        <w:t>Resolve the LSRP-of-record question in writing with NJDEP and get a written conflict disclosure from Crestline. If Crestline is conflicted, retain an independent LSRP/consultant to peer-review the Phase I and PA and to run the Phase II.</w:t>
      </w:r>
    </w:p>
    <w:p>
      <w:pPr>
        <w:pStyle w:val="ListNumber"/>
        <w:spacing w:after="40"/>
      </w:pPr>
      <w:r>
        <w:t>Commission an expanded Phase II: a full groundwater round (all surviving wells, with 1,4-dioxane and PFAS added); bedrock and downgradient/off-site delineation at MW-14 and MW-12; VI sampling in all five buildings (Buildings C and D first); a GPR/magnetometer survey and borings at the diesel UST; AOC-1 south and west sidewall and floor borings; AOC-3 and AOC-5 resampling, including impact-to-groundwater analysis; and a survey-based overlay of the deed notice exhibits.</w:t>
      </w:r>
    </w:p>
    <w:p>
      <w:pPr>
        <w:pStyle w:val="ListNumber"/>
        <w:spacing w:after="40"/>
      </w:pPr>
      <w:r>
        <w:t>Send Seller a markup of Article IX on the lines of Section 7: Seller keeps the pre-Closing contamination it caused or owns (including known conditions); a meaningful cap and long survival for general reps; flat reps on regulatory status; a sole-discretion diligence termination right; a corrected ISRA mechanism; pre-Closing cure of the SRRA lapses; and an escrow or holdback plus a buyer-side PLL policy with Seller contributing to the premium.</w:t>
      </w:r>
    </w:p>
    <w:p>
      <w:pPr>
        <w:pStyle w:val="ListNumber"/>
        <w:spacing w:after="40"/>
      </w:pPr>
      <w:r>
        <w:t>Revise the Investment Committee budget (Section 8) and order a Phase I update. The Phase I’s government-records review (July 15, 2024) passes 180 days on January 11, 2025, which is before the January 15, 2025 Closing Date.</w:t>
      </w:r>
    </w:p>
    <w:p>
      <w:pPr>
        <w:pStyle w:val="Heading1"/>
      </w:pPr>
      <w:r>
        <w:t>2. Scope, Documents Reviewed and Severity Scale</w:t>
      </w:r>
    </w:p>
    <w:p>
      <w:pPr>
        <w:spacing w:after="120"/>
      </w:pPr>
      <w:r>
        <w:t>We reviewed: (1) Crestline Supplemental Preliminary Assessment Report dated September 5, 2024 (“PA”); (2) Crestline Phase I ESA dated August 12, 2024 (ASTM E1527-21) (“Phase I”); (3) Seller’s Environmental Disclosure Questionnaire dated July 28, 2024 (“Questionnaire”); (4) Seller-draft PSA excerpt (Article I selected definitions, Article IX and Schedule 9.1) dated September 20, 2024 (“PSA”); and (5) Greenfield internal memorandum to the Investment Committee dated September 25, 2024 (“UW Memo”). We have not reviewed the underlying appendices (laboratory reports, deed notice text and exhibits, CEA documentation, RAW approval, 2021 biennial certification), the full PSA, the leases or title. Several conclusions below depend on those documents and are flagged as such. Technical observations are made from a legal-diligence perspective and should be confirmed by a qualified environmental professional. Regulatory values quoted by the consultant (e.g., soil standards, GWQS, VI screening levels) should be verified against the current versions of N.J.A.C. 7:26D, N.J.A.C. 7:9C and NJDEP VI guidance.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440"/>
            <w:shd w:val="clear" w:color="auto" w:fill="1F3A5F"/>
          </w:tcPr>
          <w:p>
            <w:r/>
            <w:r>
              <w:rPr>
                <w:b/>
                <w:color w:val="FFFFFF"/>
                <w:sz w:val="18"/>
              </w:rPr>
              <w:t>Rating</w:t>
            </w:r>
          </w:p>
        </w:tc>
        <w:tc>
          <w:tcPr>
            <w:tcW w:type="dxa" w:w="7920"/>
            <w:shd w:val="clear" w:color="auto" w:fill="1F3A5F"/>
          </w:tcPr>
          <w:p>
            <w:r/>
            <w:r>
              <w:rPr>
                <w:b/>
                <w:color w:val="FFFFFF"/>
                <w:sz w:val="18"/>
              </w:rPr>
              <w:t>Meaning</w:t>
            </w:r>
          </w:p>
        </w:tc>
      </w:tr>
      <w:tr>
        <w:tc>
          <w:tcPr>
            <w:tcW w:type="dxa" w:w="1440"/>
            <w:shd w:val="clear" w:color="auto" w:fill="C00000"/>
          </w:tcPr>
          <w:p>
            <w:r>
              <w:rPr>
                <w:b/>
                <w:color w:val="FFFFFF"/>
                <w:sz w:val="18"/>
              </w:rPr>
            </w:r>
            <w:r>
              <w:rPr>
                <w:b/>
                <w:color w:val="FFFFFF"/>
                <w:sz w:val="18"/>
              </w:rPr>
              <w:t>Critical</w:t>
            </w:r>
          </w:p>
        </w:tc>
        <w:tc>
          <w:tcPr>
            <w:tcW w:type="dxa" w:w="7920"/>
          </w:tcPr>
          <w:p>
            <w:r>
              <w:rPr>
                <w:sz w:val="18"/>
              </w:rPr>
            </w:r>
            <w:r>
              <w:rPr>
                <w:sz w:val="18"/>
              </w:rPr>
              <w:t>Could on its own change the go/no-go decision, price or deal structure; potential uncapped or long-tail liability, or a present health risk to occupants. Must be resolved, or protected against by contract, before the Due Diligence Period expires.</w:t>
            </w:r>
          </w:p>
        </w:tc>
      </w:tr>
      <w:tr>
        <w:tc>
          <w:tcPr>
            <w:tcW w:type="dxa" w:w="1440"/>
            <w:shd w:val="clear" w:color="auto" w:fill="E36C09"/>
          </w:tcPr>
          <w:p>
            <w:r>
              <w:rPr>
                <w:b/>
                <w:color w:val="FFFFFF"/>
                <w:sz w:val="18"/>
              </w:rPr>
            </w:r>
            <w:r>
              <w:rPr>
                <w:b/>
                <w:color w:val="FFFFFF"/>
                <w:sz w:val="18"/>
              </w:rPr>
              <w:t>High</w:t>
            </w:r>
          </w:p>
        </w:tc>
        <w:tc>
          <w:tcPr>
            <w:tcW w:type="dxa" w:w="7920"/>
          </w:tcPr>
          <w:p>
            <w:r>
              <w:rPr>
                <w:sz w:val="18"/>
              </w:rPr>
            </w:r>
            <w:r>
              <w:rPr>
                <w:sz w:val="18"/>
              </w:rPr>
              <w:t>Material cost, liability or schedule impact. Must be addressed through the Phase II, PSA drafting or price before Closing.</w:t>
            </w:r>
          </w:p>
        </w:tc>
      </w:tr>
      <w:tr>
        <w:tc>
          <w:tcPr>
            <w:tcW w:type="dxa" w:w="1440"/>
            <w:shd w:val="clear" w:color="auto" w:fill="BF9000"/>
          </w:tcPr>
          <w:p>
            <w:r>
              <w:rPr>
                <w:b/>
                <w:color w:val="FFFFFF"/>
                <w:sz w:val="18"/>
              </w:rPr>
            </w:r>
            <w:r>
              <w:rPr>
                <w:b/>
                <w:color w:val="FFFFFF"/>
                <w:sz w:val="18"/>
              </w:rPr>
              <w:t>Medium</w:t>
            </w:r>
          </w:p>
        </w:tc>
        <w:tc>
          <w:tcPr>
            <w:tcW w:type="dxa" w:w="7920"/>
          </w:tcPr>
          <w:p>
            <w:r>
              <w:rPr>
                <w:sz w:val="18"/>
              </w:rPr>
            </w:r>
            <w:r>
              <w:rPr>
                <w:sz w:val="18"/>
              </w:rPr>
              <w:t>Significant but manageable through diligence follow-up, drafting or insurance.</w:t>
            </w:r>
          </w:p>
        </w:tc>
      </w:tr>
      <w:tr>
        <w:tc>
          <w:tcPr>
            <w:tcW w:type="dxa" w:w="1440"/>
            <w:shd w:val="clear" w:color="auto" w:fill="4F81BD"/>
          </w:tcPr>
          <w:p>
            <w:r>
              <w:rPr>
                <w:b/>
                <w:color w:val="FFFFFF"/>
                <w:sz w:val="18"/>
              </w:rPr>
            </w:r>
            <w:r>
              <w:rPr>
                <w:b/>
                <w:color w:val="FFFFFF"/>
                <w:sz w:val="18"/>
              </w:rPr>
              <w:t>Low</w:t>
            </w:r>
          </w:p>
        </w:tc>
        <w:tc>
          <w:tcPr>
            <w:tcW w:type="dxa" w:w="7920"/>
          </w:tcPr>
          <w:p>
            <w:r>
              <w:rPr>
                <w:sz w:val="18"/>
              </w:rPr>
            </w:r>
            <w:r>
              <w:rPr>
                <w:sz w:val="18"/>
              </w:rPr>
              <w:t>Housekeeping, redevelopment-planning or cost items with limited liability exposure.</w:t>
            </w:r>
          </w:p>
        </w:tc>
      </w:tr>
    </w:tbl>
    <w:p>
      <w:pPr>
        <w:spacing w:after="40"/>
      </w:pPr>
    </w:p>
    <w:p>
      <w:pPr>
        <w:pStyle w:val="Heading1"/>
      </w:pPr>
      <w:r>
        <w:t>3. Issues Matrix (Summary)</w:t>
      </w:r>
    </w:p>
    <w:p>
      <w:pPr>
        <w:spacing w:after="120"/>
      </w:pPr>
      <w:r>
        <w:t>Issues are listed in order of severity. Section references are to the source documents.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3A5F"/>
          </w:tcPr>
          <w:p>
            <w:r/>
            <w:r>
              <w:rPr>
                <w:b/>
                <w:color w:val="FFFFFF"/>
                <w:sz w:val="16"/>
              </w:rPr>
              <w:t>#</w:t>
            </w:r>
          </w:p>
        </w:tc>
        <w:tc>
          <w:tcPr>
            <w:tcW w:type="dxa" w:w="3312"/>
            <w:shd w:val="clear" w:color="auto" w:fill="1F3A5F"/>
          </w:tcPr>
          <w:p>
            <w:r/>
            <w:r>
              <w:rPr>
                <w:b/>
                <w:color w:val="FFFFFF"/>
                <w:sz w:val="16"/>
              </w:rPr>
              <w:t>Issue</w:t>
            </w:r>
          </w:p>
        </w:tc>
        <w:tc>
          <w:tcPr>
            <w:tcW w:type="dxa" w:w="1080"/>
            <w:shd w:val="clear" w:color="auto" w:fill="1F3A5F"/>
          </w:tcPr>
          <w:p>
            <w:r/>
            <w:r>
              <w:rPr>
                <w:b/>
                <w:color w:val="FFFFFF"/>
                <w:sz w:val="16"/>
              </w:rPr>
              <w:t>Severity</w:t>
            </w:r>
          </w:p>
        </w:tc>
        <w:tc>
          <w:tcPr>
            <w:tcW w:type="dxa" w:w="2088"/>
            <w:shd w:val="clear" w:color="auto" w:fill="1F3A5F"/>
          </w:tcPr>
          <w:p>
            <w:r/>
            <w:r>
              <w:rPr>
                <w:b/>
                <w:color w:val="FFFFFF"/>
                <w:sz w:val="16"/>
              </w:rPr>
              <w:t>Principal sources</w:t>
            </w:r>
          </w:p>
        </w:tc>
        <w:tc>
          <w:tcPr>
            <w:tcW w:type="dxa" w:w="2736"/>
            <w:shd w:val="clear" w:color="auto" w:fill="1F3A5F"/>
          </w:tcPr>
          <w:p>
            <w:r/>
            <w:r>
              <w:rPr>
                <w:b/>
                <w:color w:val="FFFFFF"/>
                <w:sz w:val="16"/>
              </w:rPr>
              <w:t>Core recommendation</w:t>
            </w:r>
          </w:p>
        </w:tc>
      </w:tr>
      <w:tr>
        <w:tc>
          <w:tcPr>
            <w:tcW w:type="dxa" w:w="432"/>
          </w:tcPr>
          <w:p>
            <w:r>
              <w:rPr>
                <w:sz w:val="16"/>
              </w:rPr>
            </w:r>
            <w:r>
              <w:rPr>
                <w:sz w:val="16"/>
              </w:rPr>
              <w:t>1</w:t>
            </w:r>
          </w:p>
        </w:tc>
        <w:tc>
          <w:tcPr>
            <w:tcW w:type="dxa" w:w="3312"/>
          </w:tcPr>
          <w:p>
            <w:r>
              <w:rPr>
                <w:sz w:val="16"/>
              </w:rPr>
            </w:r>
            <w:r>
              <w:rPr>
                <w:sz w:val="16"/>
              </w:rPr>
              <w:t>Draft Article IX shifts substantially all known and unknown environmental risk to Buyer (known-to-Buyer exclusion; Phase I/PA scheduled as Seller disclosures; Buyer assumption; $2M cap / 24 months; as-is release)</w:t>
            </w:r>
          </w:p>
        </w:tc>
        <w:tc>
          <w:tcPr>
            <w:tcW w:type="dxa" w:w="1080"/>
            <w:shd w:val="clear" w:color="auto" w:fill="C00000"/>
          </w:tcPr>
          <w:p>
            <w:r>
              <w:rPr>
                <w:b/>
                <w:color w:val="FFFFFF"/>
                <w:sz w:val="16"/>
              </w:rPr>
            </w:r>
            <w:r>
              <w:rPr>
                <w:b/>
                <w:color w:val="FFFFFF"/>
                <w:sz w:val="16"/>
              </w:rPr>
              <w:t>Critical</w:t>
            </w:r>
          </w:p>
        </w:tc>
        <w:tc>
          <w:tcPr>
            <w:tcW w:type="dxa" w:w="2088"/>
          </w:tcPr>
          <w:p>
            <w:r>
              <w:rPr>
                <w:sz w:val="16"/>
              </w:rPr>
            </w:r>
            <w:r>
              <w:rPr>
                <w:sz w:val="16"/>
              </w:rPr>
              <w:t>PSA §§1.1, 9.2, 9.3, 9.7, Sch. 9.1</w:t>
            </w:r>
          </w:p>
        </w:tc>
        <w:tc>
          <w:tcPr>
            <w:tcW w:type="dxa" w:w="2736"/>
          </w:tcPr>
          <w:p>
            <w:r>
              <w:rPr>
                <w:sz w:val="16"/>
              </w:rPr>
            </w:r>
            <w:r>
              <w:rPr>
                <w:sz w:val="16"/>
              </w:rPr>
              <w:t>Restructure: Seller keeps Retained Environmental Liabilities; delete knowledge exclusion; remove reports from Sch. 9.1; raise cap and extend survival; escrow plus PLL</w:t>
            </w:r>
          </w:p>
        </w:tc>
      </w:tr>
      <w:tr>
        <w:tc>
          <w:tcPr>
            <w:tcW w:type="dxa" w:w="432"/>
          </w:tcPr>
          <w:p>
            <w:r>
              <w:rPr>
                <w:sz w:val="16"/>
              </w:rPr>
            </w:r>
            <w:r>
              <w:rPr>
                <w:sz w:val="16"/>
              </w:rPr>
              <w:t>2</w:t>
            </w:r>
          </w:p>
        </w:tc>
        <w:tc>
          <w:tcPr>
            <w:tcW w:type="dxa" w:w="3312"/>
          </w:tcPr>
          <w:p>
            <w:r>
              <w:rPr>
                <w:sz w:val="16"/>
              </w:rPr>
            </w:r>
            <w:r>
              <w:rPr>
                <w:sz w:val="16"/>
              </w:rPr>
              <w:t>SRRA compliance lapses and unverified case status: biennial certification overdue since about April 2023; no monitoring since October 2020; no RAO; possible mandatory-timeframe and direct-oversight exposure; Seller statements contrary to the record</w:t>
            </w:r>
          </w:p>
        </w:tc>
        <w:tc>
          <w:tcPr>
            <w:tcW w:type="dxa" w:w="1080"/>
            <w:shd w:val="clear" w:color="auto" w:fill="C00000"/>
          </w:tcPr>
          <w:p>
            <w:r>
              <w:rPr>
                <w:b/>
                <w:color w:val="FFFFFF"/>
                <w:sz w:val="16"/>
              </w:rPr>
            </w:r>
            <w:r>
              <w:rPr>
                <w:b/>
                <w:color w:val="FFFFFF"/>
                <w:sz w:val="16"/>
              </w:rPr>
              <w:t>Critical</w:t>
            </w:r>
          </w:p>
        </w:tc>
        <w:tc>
          <w:tcPr>
            <w:tcW w:type="dxa" w:w="2088"/>
          </w:tcPr>
          <w:p>
            <w:r>
              <w:rPr>
                <w:sz w:val="16"/>
              </w:rPr>
            </w:r>
            <w:r>
              <w:rPr>
                <w:sz w:val="16"/>
              </w:rPr>
              <w:t>PA §§3.3, 9.2–9.3; Phase I §§5.1.2, 7.4; Questionnaire A4.1, A4.3; UW Memo §3.2</w:t>
            </w:r>
          </w:p>
        </w:tc>
        <w:tc>
          <w:tcPr>
            <w:tcW w:type="dxa" w:w="2736"/>
          </w:tcPr>
          <w:p>
            <w:r>
              <w:rPr>
                <w:sz w:val="16"/>
              </w:rPr>
            </w:r>
            <w:r>
              <w:rPr>
                <w:sz w:val="16"/>
              </w:rPr>
              <w:t>NJDEP file review and written status confirmation; Seller to cure before Closing; flat reps; specific indemnity</w:t>
            </w:r>
          </w:p>
        </w:tc>
      </w:tr>
      <w:tr>
        <w:tc>
          <w:tcPr>
            <w:tcW w:type="dxa" w:w="432"/>
          </w:tcPr>
          <w:p>
            <w:r>
              <w:rPr>
                <w:sz w:val="16"/>
              </w:rPr>
            </w:r>
            <w:r>
              <w:rPr>
                <w:sz w:val="16"/>
              </w:rPr>
              <w:t>3</w:t>
            </w:r>
          </w:p>
        </w:tc>
        <w:tc>
          <w:tcPr>
            <w:tcW w:type="dxa" w:w="3312"/>
          </w:tcPr>
          <w:p>
            <w:r>
              <w:rPr>
                <w:sz w:val="16"/>
              </w:rPr>
            </w:r>
            <w:r>
              <w:rPr>
                <w:sz w:val="16"/>
              </w:rPr>
              <w:t>LSRP of record disputed (Seller: Dr. Chen of Crestline; NJDEP: Whitman Geosciences). Possible Crestline conflict</w:t>
            </w:r>
          </w:p>
        </w:tc>
        <w:tc>
          <w:tcPr>
            <w:tcW w:type="dxa" w:w="1080"/>
            <w:shd w:val="clear" w:color="auto" w:fill="C00000"/>
          </w:tcPr>
          <w:p>
            <w:r>
              <w:rPr>
                <w:b/>
                <w:color w:val="FFFFFF"/>
                <w:sz w:val="16"/>
              </w:rPr>
            </w:r>
            <w:r>
              <w:rPr>
                <w:b/>
                <w:color w:val="FFFFFF"/>
                <w:sz w:val="16"/>
              </w:rPr>
              <w:t>Critical</w:t>
            </w:r>
          </w:p>
        </w:tc>
        <w:tc>
          <w:tcPr>
            <w:tcW w:type="dxa" w:w="2088"/>
          </w:tcPr>
          <w:p>
            <w:r>
              <w:rPr>
                <w:sz w:val="16"/>
              </w:rPr>
            </w:r>
            <w:r>
              <w:rPr>
                <w:sz w:val="16"/>
              </w:rPr>
              <w:t>Questionnaire A4.5; Phase I §7.4; PSA §9.7(c)</w:t>
            </w:r>
          </w:p>
        </w:tc>
        <w:tc>
          <w:tcPr>
            <w:tcW w:type="dxa" w:w="2736"/>
          </w:tcPr>
          <w:p>
            <w:r>
              <w:rPr>
                <w:sz w:val="16"/>
              </w:rPr>
            </w:r>
            <w:r>
              <w:rPr>
                <w:sz w:val="16"/>
              </w:rPr>
              <w:t>Written confirmation from NJDEP and Crestline; peer review or independent LSRP if conflicted</w:t>
            </w:r>
          </w:p>
        </w:tc>
      </w:tr>
      <w:tr>
        <w:tc>
          <w:tcPr>
            <w:tcW w:type="dxa" w:w="432"/>
          </w:tcPr>
          <w:p>
            <w:r>
              <w:rPr>
                <w:sz w:val="16"/>
              </w:rPr>
            </w:r>
            <w:r>
              <w:rPr>
                <w:sz w:val="16"/>
              </w:rPr>
              <w:t>4</w:t>
            </w:r>
          </w:p>
        </w:tc>
        <w:tc>
          <w:tcPr>
            <w:tcW w:type="dxa" w:w="3312"/>
          </w:tcPr>
          <w:p>
            <w:r>
              <w:rPr>
                <w:sz w:val="16"/>
              </w:rPr>
            </w:r>
            <w:r>
              <w:rPr>
                <w:sz w:val="16"/>
              </w:rPr>
              <w:t>Groundwater plume not delineated: rising PCE at the boundary well (MW-14); vinyl chloride at MW-12; bedrock unassessed; CEA stops at property line; AOC-1 benzene outside CEA; no ecological evaluation; data four years old</w:t>
            </w:r>
          </w:p>
        </w:tc>
        <w:tc>
          <w:tcPr>
            <w:tcW w:type="dxa" w:w="1080"/>
            <w:shd w:val="clear" w:color="auto" w:fill="C00000"/>
          </w:tcPr>
          <w:p>
            <w:r>
              <w:rPr>
                <w:b/>
                <w:color w:val="FFFFFF"/>
                <w:sz w:val="16"/>
              </w:rPr>
            </w:r>
            <w:r>
              <w:rPr>
                <w:b/>
                <w:color w:val="FFFFFF"/>
                <w:sz w:val="16"/>
              </w:rPr>
              <w:t>Critical</w:t>
            </w:r>
          </w:p>
        </w:tc>
        <w:tc>
          <w:tcPr>
            <w:tcW w:type="dxa" w:w="2088"/>
          </w:tcPr>
          <w:p>
            <w:r>
              <w:rPr>
                <w:sz w:val="16"/>
              </w:rPr>
            </w:r>
            <w:r>
              <w:rPr>
                <w:sz w:val="16"/>
              </w:rPr>
              <w:t>PA §§6.1–6.3, 8.1, Table 5; Phase I §§3.2, 8.4; Questionnaire A4.2(b)</w:t>
            </w:r>
          </w:p>
        </w:tc>
        <w:tc>
          <w:tcPr>
            <w:tcW w:type="dxa" w:w="2736"/>
          </w:tcPr>
          <w:p>
            <w:r>
              <w:rPr>
                <w:sz w:val="16"/>
              </w:rPr>
            </w:r>
            <w:r>
              <w:rPr>
                <w:sz w:val="16"/>
              </w:rPr>
              <w:t>Phase II delineation (off-site and bedrock), ecological evaluation, CEA review; Seller retains off-site and NRD liability</w:t>
            </w:r>
          </w:p>
        </w:tc>
      </w:tr>
      <w:tr>
        <w:tc>
          <w:tcPr>
            <w:tcW w:type="dxa" w:w="432"/>
          </w:tcPr>
          <w:p>
            <w:r>
              <w:rPr>
                <w:sz w:val="16"/>
              </w:rPr>
            </w:r>
            <w:r>
              <w:rPr>
                <w:sz w:val="16"/>
              </w:rPr>
              <w:t>5</w:t>
            </w:r>
          </w:p>
        </w:tc>
        <w:tc>
          <w:tcPr>
            <w:tcW w:type="dxa" w:w="3312"/>
          </w:tcPr>
          <w:p>
            <w:r>
              <w:rPr>
                <w:sz w:val="16"/>
              </w:rPr>
            </w:r>
            <w:r>
              <w:rPr>
                <w:sz w:val="16"/>
              </w:rPr>
              <w:t>Vapor intrusion: occupied slab-on-grade Buildings C and D over TCE/PCE plume; no data; A, B, E not evaluated; PSA puts VI on Buyer</w:t>
            </w:r>
          </w:p>
        </w:tc>
        <w:tc>
          <w:tcPr>
            <w:tcW w:type="dxa" w:w="1080"/>
            <w:shd w:val="clear" w:color="auto" w:fill="C00000"/>
          </w:tcPr>
          <w:p>
            <w:r>
              <w:rPr>
                <w:b/>
                <w:color w:val="FFFFFF"/>
                <w:sz w:val="16"/>
              </w:rPr>
            </w:r>
            <w:r>
              <w:rPr>
                <w:b/>
                <w:color w:val="FFFFFF"/>
                <w:sz w:val="16"/>
              </w:rPr>
              <w:t>Critical</w:t>
            </w:r>
          </w:p>
        </w:tc>
        <w:tc>
          <w:tcPr>
            <w:tcW w:type="dxa" w:w="2088"/>
          </w:tcPr>
          <w:p>
            <w:r>
              <w:rPr>
                <w:sz w:val="16"/>
              </w:rPr>
            </w:r>
            <w:r>
              <w:rPr>
                <w:sz w:val="16"/>
              </w:rPr>
              <w:t>PA §7; Phase I REC-2; PSA §9.7(a)(iii); UW Memo §3.3</w:t>
            </w:r>
          </w:p>
        </w:tc>
        <w:tc>
          <w:tcPr>
            <w:tcW w:type="dxa" w:w="2736"/>
          </w:tcPr>
          <w:p>
            <w:r>
              <w:rPr>
                <w:sz w:val="16"/>
              </w:rPr>
            </w:r>
            <w:r>
              <w:rPr>
                <w:sz w:val="16"/>
              </w:rPr>
              <w:t>VI sampling of all five buildings before DD expiry; Seller funds mitigation; tenant-claim indemnity</w:t>
            </w:r>
          </w:p>
        </w:tc>
      </w:tr>
      <w:tr>
        <w:tc>
          <w:tcPr>
            <w:tcW w:type="dxa" w:w="432"/>
          </w:tcPr>
          <w:p>
            <w:r>
              <w:rPr>
                <w:sz w:val="16"/>
              </w:rPr>
            </w:r>
            <w:r>
              <w:rPr>
                <w:sz w:val="16"/>
              </w:rPr>
              <w:t>6</w:t>
            </w:r>
          </w:p>
        </w:tc>
        <w:tc>
          <w:tcPr>
            <w:tcW w:type="dxa" w:w="3312"/>
          </w:tcPr>
          <w:p>
            <w:r>
              <w:rPr>
                <w:sz w:val="16"/>
              </w:rPr>
            </w:r>
            <w:r>
              <w:rPr>
                <w:sz w:val="16"/>
              </w:rPr>
              <w:t>PA soil conclusions wrong or incomplete (AOC-3 TCE exceedance mischaracterized; AOC-1 sampling gaps and BTEX-only analysis of waste-solvent UST area; AOC-5 under-characterized; no impact-to-groundwater analysis)</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PA §§1.0, 5.1–5.3, 10.1, Tables 1, 3, 4</w:t>
            </w:r>
          </w:p>
        </w:tc>
        <w:tc>
          <w:tcPr>
            <w:tcW w:type="dxa" w:w="2736"/>
          </w:tcPr>
          <w:p>
            <w:r>
              <w:rPr>
                <w:sz w:val="16"/>
              </w:rPr>
            </w:r>
            <w:r>
              <w:rPr>
                <w:sz w:val="16"/>
              </w:rPr>
              <w:t>Require PA revision; targeted Phase II sampling; verify standards</w:t>
            </w:r>
          </w:p>
        </w:tc>
      </w:tr>
      <w:tr>
        <w:tc>
          <w:tcPr>
            <w:tcW w:type="dxa" w:w="432"/>
          </w:tcPr>
          <w:p>
            <w:r>
              <w:rPr>
                <w:sz w:val="16"/>
              </w:rPr>
            </w:r>
            <w:r>
              <w:rPr>
                <w:sz w:val="16"/>
              </w:rPr>
              <w:t>7</w:t>
            </w:r>
          </w:p>
        </w:tc>
        <w:tc>
          <w:tcPr>
            <w:tcW w:type="dxa" w:w="3312"/>
          </w:tcPr>
          <w:p>
            <w:r>
              <w:rPr>
                <w:sz w:val="16"/>
              </w:rPr>
            </w:r>
            <w:r>
              <w:rPr>
                <w:sz w:val="16"/>
              </w:rPr>
              <w:t>Engineering-control integrity and deed notice uncertainty (AOC-3 described as buildings in PA but turf green space in Phase I; Seller says no engineering controls exist)</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PA §§5.2, 9.1; Phase I §§6.4, 8.2; Questionnaire A4.2</w:t>
            </w:r>
          </w:p>
        </w:tc>
        <w:tc>
          <w:tcPr>
            <w:tcW w:type="dxa" w:w="2736"/>
          </w:tcPr>
          <w:p>
            <w:r>
              <w:rPr>
                <w:sz w:val="16"/>
              </w:rPr>
            </w:r>
            <w:r>
              <w:rPr>
                <w:sz w:val="16"/>
              </w:rPr>
              <w:t>Obtain deed notice, exhibits and survey; field-verify caps; Seller rep and cure</w:t>
            </w:r>
          </w:p>
        </w:tc>
      </w:tr>
      <w:tr>
        <w:tc>
          <w:tcPr>
            <w:tcW w:type="dxa" w:w="432"/>
          </w:tcPr>
          <w:p>
            <w:r>
              <w:rPr>
                <w:sz w:val="16"/>
              </w:rPr>
            </w:r>
            <w:r>
              <w:rPr>
                <w:sz w:val="16"/>
              </w:rPr>
              <w:t>8</w:t>
            </w:r>
          </w:p>
        </w:tc>
        <w:tc>
          <w:tcPr>
            <w:tcW w:type="dxa" w:w="3312"/>
          </w:tcPr>
          <w:p>
            <w:r>
              <w:rPr>
                <w:sz w:val="16"/>
              </w:rPr>
            </w:r>
            <w:r>
              <w:rPr>
                <w:sz w:val="16"/>
              </w:rPr>
              <w:t>Undocumented 1,000-gallon diesel UST near Building B — PA defers it; Seller rep inaccurate and knowledge-qualified; PSA excludes it as known</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PA §§4.2, 10.2; Phase I REC-3, §8.5; Questionnaire A2.1; PSA §9.1(c)</w:t>
            </w:r>
          </w:p>
        </w:tc>
        <w:tc>
          <w:tcPr>
            <w:tcW w:type="dxa" w:w="2736"/>
          </w:tcPr>
          <w:p>
            <w:r>
              <w:rPr>
                <w:sz w:val="16"/>
              </w:rPr>
            </w:r>
            <w:r>
              <w:rPr>
                <w:sz w:val="16"/>
              </w:rPr>
              <w:t>GPR and borings now; Seller to remove/close before Closing or specific uncapped indemnity plus escrow</w:t>
            </w:r>
          </w:p>
        </w:tc>
      </w:tr>
      <w:tr>
        <w:tc>
          <w:tcPr>
            <w:tcW w:type="dxa" w:w="432"/>
          </w:tcPr>
          <w:p>
            <w:r>
              <w:rPr>
                <w:sz w:val="16"/>
              </w:rPr>
            </w:r>
            <w:r>
              <w:rPr>
                <w:sz w:val="16"/>
              </w:rPr>
              <w:t>9</w:t>
            </w:r>
          </w:p>
        </w:tc>
        <w:tc>
          <w:tcPr>
            <w:tcW w:type="dxa" w:w="3312"/>
          </w:tcPr>
          <w:p>
            <w:r>
              <w:rPr>
                <w:sz w:val="16"/>
              </w:rPr>
            </w:r>
            <w:r>
              <w:rPr>
                <w:sz w:val="16"/>
              </w:rPr>
              <w:t>Site description inconsistent across documents (AOC and building locations, adjoining uses, number of wells, hydrogeology, utilities); PSA §9.10 AOC definitions wrong</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PA §3.1; Phase I §§3.2–3.4, 6.2; PSA §9.10; UW Memo §3.1</w:t>
            </w:r>
          </w:p>
        </w:tc>
        <w:tc>
          <w:tcPr>
            <w:tcW w:type="dxa" w:w="2736"/>
          </w:tcPr>
          <w:p>
            <w:r>
              <w:rPr>
                <w:sz w:val="16"/>
              </w:rPr>
            </w:r>
            <w:r>
              <w:rPr>
                <w:sz w:val="16"/>
              </w:rPr>
              <w:t>Survey-based figure reconciled to deed notice exhibits; correct PSA definitions</w:t>
            </w:r>
          </w:p>
        </w:tc>
      </w:tr>
      <w:tr>
        <w:tc>
          <w:tcPr>
            <w:tcW w:type="dxa" w:w="432"/>
          </w:tcPr>
          <w:p>
            <w:r>
              <w:rPr>
                <w:sz w:val="16"/>
              </w:rPr>
            </w:r>
            <w:r>
              <w:rPr>
                <w:sz w:val="16"/>
              </w:rPr>
              <w:t>10</w:t>
            </w:r>
          </w:p>
        </w:tc>
        <w:tc>
          <w:tcPr>
            <w:tcW w:type="dxa" w:w="3312"/>
          </w:tcPr>
          <w:p>
            <w:r>
              <w:rPr>
                <w:sz w:val="16"/>
              </w:rPr>
            </w:r>
            <w:r>
              <w:rPr>
                <w:sz w:val="16"/>
              </w:rPr>
              <w:t>ISRA analysis flawed in all documents; PSA §9.5 condition unworkable (NFA letter) and internally inconsistent with §9.7(b)</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PSA §9.5; Questionnaire A6.4; Phase I §§2.5, 10.0; UW Memo §4</w:t>
            </w:r>
          </w:p>
        </w:tc>
        <w:tc>
          <w:tcPr>
            <w:tcW w:type="dxa" w:w="2736"/>
          </w:tcPr>
          <w:p>
            <w:r>
              <w:rPr>
                <w:sz w:val="16"/>
              </w:rPr>
            </w:r>
            <w:r>
              <w:rPr>
                <w:sz w:val="16"/>
              </w:rPr>
              <w:t>LNA or RAO/remediation-certification route with Seller RFS; obtain historical ISRA file; reconcile clauses</w:t>
            </w:r>
          </w:p>
        </w:tc>
      </w:tr>
      <w:tr>
        <w:tc>
          <w:tcPr>
            <w:tcW w:type="dxa" w:w="432"/>
          </w:tcPr>
          <w:p>
            <w:r>
              <w:rPr>
                <w:sz w:val="16"/>
              </w:rPr>
            </w:r>
            <w:r>
              <w:rPr>
                <w:sz w:val="16"/>
              </w:rPr>
              <w:t>11</w:t>
            </w:r>
          </w:p>
        </w:tc>
        <w:tc>
          <w:tcPr>
            <w:tcW w:type="dxa" w:w="3312"/>
          </w:tcPr>
          <w:p>
            <w:r>
              <w:rPr>
                <w:sz w:val="16"/>
              </w:rPr>
            </w:r>
            <w:r>
              <w:rPr>
                <w:sz w:val="16"/>
              </w:rPr>
              <w:t>MEC termination right illusory; Due Diligence Period too short; invasive-testing consent and notice provisions inconsistent</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PSA §§1.1, 9.4, 9.6(a); UW Memo §4</w:t>
            </w:r>
          </w:p>
        </w:tc>
        <w:tc>
          <w:tcPr>
            <w:tcW w:type="dxa" w:w="2736"/>
          </w:tcPr>
          <w:p>
            <w:r>
              <w:rPr>
                <w:sz w:val="16"/>
              </w:rPr>
            </w:r>
            <w:r>
              <w:rPr>
                <w:sz w:val="16"/>
              </w:rPr>
              <w:t>Sole-discretion termination; extend DD; deemed consent to approved scope</w:t>
            </w:r>
          </w:p>
        </w:tc>
      </w:tr>
      <w:tr>
        <w:tc>
          <w:tcPr>
            <w:tcW w:type="dxa" w:w="432"/>
          </w:tcPr>
          <w:p>
            <w:r>
              <w:rPr>
                <w:sz w:val="16"/>
              </w:rPr>
            </w:r>
            <w:r>
              <w:rPr>
                <w:sz w:val="16"/>
              </w:rPr>
              <w:t>12</w:t>
            </w:r>
          </w:p>
        </w:tc>
        <w:tc>
          <w:tcPr>
            <w:tcW w:type="dxa" w:w="3312"/>
          </w:tcPr>
          <w:p>
            <w:r>
              <w:rPr>
                <w:sz w:val="16"/>
              </w:rPr>
            </w:r>
            <w:r>
              <w:rPr>
                <w:sz w:val="16"/>
              </w:rPr>
              <w:t>Underwriting budget ($750,000) materially understated and misreads PSA</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UW Memo §§3–5</w:t>
            </w:r>
          </w:p>
        </w:tc>
        <w:tc>
          <w:tcPr>
            <w:tcW w:type="dxa" w:w="2736"/>
          </w:tcPr>
          <w:p>
            <w:r>
              <w:rPr>
                <w:sz w:val="16"/>
              </w:rPr>
            </w:r>
            <w:r>
              <w:rPr>
                <w:sz w:val="16"/>
              </w:rPr>
              <w:t>Re-base budget; add omitted line items; IC to approve a range, not a point estimate</w:t>
            </w:r>
          </w:p>
        </w:tc>
      </w:tr>
      <w:tr>
        <w:tc>
          <w:tcPr>
            <w:tcW w:type="dxa" w:w="432"/>
          </w:tcPr>
          <w:p>
            <w:r>
              <w:rPr>
                <w:sz w:val="16"/>
              </w:rPr>
            </w:r>
            <w:r>
              <w:rPr>
                <w:sz w:val="16"/>
              </w:rPr>
              <w:t>13</w:t>
            </w:r>
          </w:p>
        </w:tc>
        <w:tc>
          <w:tcPr>
            <w:tcW w:type="dxa" w:w="3312"/>
          </w:tcPr>
          <w:p>
            <w:r>
              <w:rPr>
                <w:sz w:val="16"/>
              </w:rPr>
            </w:r>
            <w:r>
              <w:rPr>
                <w:sz w:val="16"/>
              </w:rPr>
              <w:t>Seller Questionnaire inaccurate in multiple respects; PSA Knowledge definition removes inquiry; PLL limits inconsistent</w:t>
            </w:r>
          </w:p>
        </w:tc>
        <w:tc>
          <w:tcPr>
            <w:tcW w:type="dxa" w:w="1080"/>
            <w:shd w:val="clear" w:color="auto" w:fill="E36C09"/>
          </w:tcPr>
          <w:p>
            <w:r>
              <w:rPr>
                <w:b/>
                <w:color w:val="FFFFFF"/>
                <w:sz w:val="16"/>
              </w:rPr>
            </w:r>
            <w:r>
              <w:rPr>
                <w:b/>
                <w:color w:val="FFFFFF"/>
                <w:sz w:val="16"/>
              </w:rPr>
              <w:t>High</w:t>
            </w:r>
          </w:p>
        </w:tc>
        <w:tc>
          <w:tcPr>
            <w:tcW w:type="dxa" w:w="2088"/>
          </w:tcPr>
          <w:p>
            <w:r>
              <w:rPr>
                <w:sz w:val="16"/>
              </w:rPr>
            </w:r>
            <w:r>
              <w:rPr>
                <w:sz w:val="16"/>
              </w:rPr>
              <w:t>Questionnaire passim; PSA §§1.1, 9.1(f), 9.1(g)</w:t>
            </w:r>
          </w:p>
        </w:tc>
        <w:tc>
          <w:tcPr>
            <w:tcW w:type="dxa" w:w="2736"/>
          </w:tcPr>
          <w:p>
            <w:r>
              <w:rPr>
                <w:sz w:val="16"/>
              </w:rPr>
            </w:r>
            <w:r>
              <w:rPr>
                <w:sz w:val="16"/>
              </w:rPr>
              <w:t>Corrected, executed and notarized Questionnaire; broaden Knowledge; flat reps</w:t>
            </w:r>
          </w:p>
        </w:tc>
      </w:tr>
      <w:tr>
        <w:tc>
          <w:tcPr>
            <w:tcW w:type="dxa" w:w="432"/>
          </w:tcPr>
          <w:p>
            <w:r>
              <w:rPr>
                <w:sz w:val="16"/>
              </w:rPr>
            </w:r>
            <w:r>
              <w:rPr>
                <w:sz w:val="16"/>
              </w:rPr>
              <w:t>14</w:t>
            </w:r>
          </w:p>
        </w:tc>
        <w:tc>
          <w:tcPr>
            <w:tcW w:type="dxa" w:w="3312"/>
          </w:tcPr>
          <w:p>
            <w:r>
              <w:rPr>
                <w:sz w:val="16"/>
              </w:rPr>
            </w:r>
            <w:r>
              <w:rPr>
                <w:sz w:val="16"/>
              </w:rPr>
              <w:t>CERCLA/AAI and Spill Act position: Phase I components expire before Closing; lien search not done by EP; no Spill Act defense for knowing purchaser; Phase I misreads upgradient dry cleaner</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Phase I §§2.4, 4.1, 5.1.1; 40 C.F.R. Part 312</w:t>
            </w:r>
          </w:p>
        </w:tc>
        <w:tc>
          <w:tcPr>
            <w:tcW w:type="dxa" w:w="2736"/>
          </w:tcPr>
          <w:p>
            <w:r>
              <w:rPr>
                <w:sz w:val="16"/>
              </w:rPr>
            </w:r>
            <w:r>
              <w:rPr>
                <w:sz w:val="16"/>
              </w:rPr>
              <w:t>Phase I update before Closing; lien/AUL search; BFPP continuing-obligations plan; evaluate dry cleaner</w:t>
            </w:r>
          </w:p>
        </w:tc>
      </w:tr>
      <w:tr>
        <w:tc>
          <w:tcPr>
            <w:tcW w:type="dxa" w:w="432"/>
          </w:tcPr>
          <w:p>
            <w:r>
              <w:rPr>
                <w:sz w:val="16"/>
              </w:rPr>
            </w:r>
            <w:r>
              <w:rPr>
                <w:sz w:val="16"/>
              </w:rPr>
              <w:t>15</w:t>
            </w:r>
          </w:p>
        </w:tc>
        <w:tc>
          <w:tcPr>
            <w:tcW w:type="dxa" w:w="3312"/>
          </w:tcPr>
          <w:p>
            <w:r>
              <w:rPr>
                <w:sz w:val="16"/>
              </w:rPr>
            </w:r>
            <w:r>
              <w:rPr>
                <w:sz w:val="16"/>
              </w:rPr>
              <w:t>Wetlands and flood hazard: “exceptional resource value” designation implies 150-ft (not 50-ft) transition area; 2002 LOI expired; FEMA Zone AE conflict with Seller</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PA §8.1; Phase I §§3.2, 5.3; Questionnaire A7.1</w:t>
            </w:r>
          </w:p>
        </w:tc>
        <w:tc>
          <w:tcPr>
            <w:tcW w:type="dxa" w:w="2736"/>
          </w:tcPr>
          <w:p>
            <w:r>
              <w:rPr>
                <w:sz w:val="16"/>
              </w:rPr>
            </w:r>
            <w:r>
              <w:rPr>
                <w:sz w:val="16"/>
              </w:rPr>
              <w:t>New LOI; FHA/riparian review for redevelopment; ecological evaluation</w:t>
            </w:r>
          </w:p>
        </w:tc>
      </w:tr>
      <w:tr>
        <w:tc>
          <w:tcPr>
            <w:tcW w:type="dxa" w:w="432"/>
          </w:tcPr>
          <w:p>
            <w:r>
              <w:rPr>
                <w:sz w:val="16"/>
              </w:rPr>
            </w:r>
            <w:r>
              <w:rPr>
                <w:sz w:val="16"/>
              </w:rPr>
              <w:t>16</w:t>
            </w:r>
          </w:p>
        </w:tc>
        <w:tc>
          <w:tcPr>
            <w:tcW w:type="dxa" w:w="3312"/>
          </w:tcPr>
          <w:p>
            <w:r>
              <w:rPr>
                <w:sz w:val="16"/>
              </w:rPr>
            </w:r>
            <w:r>
              <w:rPr>
                <w:sz w:val="16"/>
              </w:rPr>
              <w:t>Emerging and unanalyzed contaminants (1,4-dioxane, PFAS, metals, PCBs, SVOCs, acetone/methanol, historic pesticides)</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PA §§3.2, 5; Phase I §8.3; Questionnaire A3.1</w:t>
            </w:r>
          </w:p>
        </w:tc>
        <w:tc>
          <w:tcPr>
            <w:tcW w:type="dxa" w:w="2736"/>
          </w:tcPr>
          <w:p>
            <w:r>
              <w:rPr>
                <w:sz w:val="16"/>
              </w:rPr>
            </w:r>
            <w:r>
              <w:rPr>
                <w:sz w:val="16"/>
              </w:rPr>
              <w:t>Add to Phase II analyte list; definitional coverage in PSA</w:t>
            </w:r>
          </w:p>
        </w:tc>
      </w:tr>
      <w:tr>
        <w:tc>
          <w:tcPr>
            <w:tcW w:type="dxa" w:w="432"/>
          </w:tcPr>
          <w:p>
            <w:r>
              <w:rPr>
                <w:sz w:val="16"/>
              </w:rPr>
            </w:r>
            <w:r>
              <w:rPr>
                <w:sz w:val="16"/>
              </w:rPr>
              <w:t>17</w:t>
            </w:r>
          </w:p>
        </w:tc>
        <w:tc>
          <w:tcPr>
            <w:tcW w:type="dxa" w:w="3312"/>
          </w:tcPr>
          <w:p>
            <w:r>
              <w:rPr>
                <w:sz w:val="16"/>
              </w:rPr>
            </w:r>
            <w:r>
              <w:rPr>
                <w:sz w:val="16"/>
              </w:rPr>
              <w:t>Insurance: no current coverage; expired PLL limits conflict ($10M vs $5M); historic Consolidated CGL not explored</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Questionnaire A5.1; PSA §§9.1(f), 9.9; UW Memo §4</w:t>
            </w:r>
          </w:p>
        </w:tc>
        <w:tc>
          <w:tcPr>
            <w:tcW w:type="dxa" w:w="2736"/>
          </w:tcPr>
          <w:p>
            <w:r>
              <w:rPr>
                <w:sz w:val="16"/>
              </w:rPr>
            </w:r>
            <w:r>
              <w:rPr>
                <w:sz w:val="16"/>
              </w:rPr>
              <w:t>Buyer PLL (and cost-cap evaluation) with Seller premium share; insurance archaeology; assignment of rights</w:t>
            </w:r>
          </w:p>
        </w:tc>
      </w:tr>
      <w:tr>
        <w:tc>
          <w:tcPr>
            <w:tcW w:type="dxa" w:w="432"/>
          </w:tcPr>
          <w:p>
            <w:r>
              <w:rPr>
                <w:sz w:val="16"/>
              </w:rPr>
            </w:r>
            <w:r>
              <w:rPr>
                <w:sz w:val="16"/>
              </w:rPr>
              <w:t>18</w:t>
            </w:r>
          </w:p>
        </w:tc>
        <w:tc>
          <w:tcPr>
            <w:tcW w:type="dxa" w:w="3312"/>
          </w:tcPr>
          <w:p>
            <w:r>
              <w:rPr>
                <w:sz w:val="16"/>
              </w:rPr>
            </w:r>
            <w:r>
              <w:rPr>
                <w:sz w:val="16"/>
              </w:rPr>
              <w:t>Report quality and reliance (unsigned reports; inconsistent project/license numbers; desktop-only PA; reliance limited to Greenfield and T&amp;M; guidance-version and screening-level questions; missing data points; AOC-2/AOC-4 NFA documents not reviewed)</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PA cover, §§4.3, 7.1, 11.0; Phase I cover, §12</w:t>
            </w:r>
          </w:p>
        </w:tc>
        <w:tc>
          <w:tcPr>
            <w:tcW w:type="dxa" w:w="2736"/>
          </w:tcPr>
          <w:p>
            <w:r>
              <w:rPr>
                <w:sz w:val="16"/>
              </w:rPr>
            </w:r>
            <w:r>
              <w:rPr>
                <w:sz w:val="16"/>
              </w:rPr>
              <w:t>Signed, corrected reports; reliance letters (lender, affiliates); QA review</w:t>
            </w:r>
          </w:p>
        </w:tc>
      </w:tr>
      <w:tr>
        <w:tc>
          <w:tcPr>
            <w:tcW w:type="dxa" w:w="432"/>
          </w:tcPr>
          <w:p>
            <w:r>
              <w:rPr>
                <w:sz w:val="16"/>
              </w:rPr>
            </w:r>
            <w:r>
              <w:rPr>
                <w:sz w:val="16"/>
              </w:rPr>
              <w:t>19</w:t>
            </w:r>
          </w:p>
        </w:tc>
        <w:tc>
          <w:tcPr>
            <w:tcW w:type="dxa" w:w="3312"/>
          </w:tcPr>
          <w:p>
            <w:r>
              <w:rPr>
                <w:sz w:val="16"/>
              </w:rPr>
            </w:r>
            <w:r>
              <w:rPr>
                <w:sz w:val="16"/>
              </w:rPr>
              <w:t>PSA access, report-sharing and investigation-indemnity terms (privilege, reporting triggers, business-hours limit)</w:t>
            </w:r>
          </w:p>
        </w:tc>
        <w:tc>
          <w:tcPr>
            <w:tcW w:type="dxa" w:w="1080"/>
            <w:shd w:val="clear" w:color="auto" w:fill="BF9000"/>
          </w:tcPr>
          <w:p>
            <w:r>
              <w:rPr>
                <w:b/>
                <w:color w:val="FFFFFF"/>
                <w:sz w:val="16"/>
              </w:rPr>
            </w:r>
            <w:r>
              <w:rPr>
                <w:b/>
                <w:color w:val="FFFFFF"/>
                <w:sz w:val="16"/>
              </w:rPr>
              <w:t>Medium</w:t>
            </w:r>
          </w:p>
        </w:tc>
        <w:tc>
          <w:tcPr>
            <w:tcW w:type="dxa" w:w="2088"/>
          </w:tcPr>
          <w:p>
            <w:r>
              <w:rPr>
                <w:sz w:val="16"/>
              </w:rPr>
            </w:r>
            <w:r>
              <w:rPr>
                <w:sz w:val="16"/>
              </w:rPr>
              <w:t>PSA §§9.4(a), 9.6</w:t>
            </w:r>
          </w:p>
        </w:tc>
        <w:tc>
          <w:tcPr>
            <w:tcW w:type="dxa" w:w="2736"/>
          </w:tcPr>
          <w:p>
            <w:r>
              <w:rPr>
                <w:sz w:val="16"/>
              </w:rPr>
            </w:r>
            <w:r>
              <w:rPr>
                <w:sz w:val="16"/>
              </w:rPr>
              <w:t>Narrow report sharing; ‘mere discovery’ carve-out; 24-hour access for VI</w:t>
            </w:r>
          </w:p>
        </w:tc>
      </w:tr>
      <w:tr>
        <w:tc>
          <w:tcPr>
            <w:tcW w:type="dxa" w:w="432"/>
          </w:tcPr>
          <w:p>
            <w:r>
              <w:rPr>
                <w:sz w:val="16"/>
              </w:rPr>
            </w:r>
            <w:r>
              <w:rPr>
                <w:sz w:val="16"/>
              </w:rPr>
              <w:t>20</w:t>
            </w:r>
          </w:p>
        </w:tc>
        <w:tc>
          <w:tcPr>
            <w:tcW w:type="dxa" w:w="3312"/>
          </w:tcPr>
          <w:p>
            <w:r>
              <w:rPr>
                <w:sz w:val="16"/>
              </w:rPr>
            </w:r>
            <w:r>
              <w:rPr>
                <w:sz w:val="16"/>
              </w:rPr>
              <w:t>ACM, LBP and radon (Zone 1) — redevelopment cost and worker/occupant protection</w:t>
            </w:r>
          </w:p>
        </w:tc>
        <w:tc>
          <w:tcPr>
            <w:tcW w:type="dxa" w:w="1080"/>
            <w:shd w:val="clear" w:color="auto" w:fill="4F81BD"/>
          </w:tcPr>
          <w:p>
            <w:r>
              <w:rPr>
                <w:b/>
                <w:color w:val="FFFFFF"/>
                <w:sz w:val="16"/>
              </w:rPr>
            </w:r>
            <w:r>
              <w:rPr>
                <w:b/>
                <w:color w:val="FFFFFF"/>
                <w:sz w:val="16"/>
              </w:rPr>
              <w:t>Low</w:t>
            </w:r>
          </w:p>
        </w:tc>
        <w:tc>
          <w:tcPr>
            <w:tcW w:type="dxa" w:w="2088"/>
          </w:tcPr>
          <w:p>
            <w:r>
              <w:rPr>
                <w:sz w:val="16"/>
              </w:rPr>
            </w:r>
            <w:r>
              <w:rPr>
                <w:sz w:val="16"/>
              </w:rPr>
              <w:t>Phase I BER-1, BER-2, §9.4; PA §§8.2–8.3</w:t>
            </w:r>
          </w:p>
        </w:tc>
        <w:tc>
          <w:tcPr>
            <w:tcW w:type="dxa" w:w="2736"/>
          </w:tcPr>
          <w:p>
            <w:r>
              <w:rPr>
                <w:sz w:val="16"/>
              </w:rPr>
            </w:r>
            <w:r>
              <w:rPr>
                <w:sz w:val="16"/>
              </w:rPr>
              <w:t>Pre-demolition surveys; radon testing; budget</w:t>
            </w:r>
          </w:p>
        </w:tc>
      </w:tr>
      <w:tr>
        <w:tc>
          <w:tcPr>
            <w:tcW w:type="dxa" w:w="432"/>
          </w:tcPr>
          <w:p>
            <w:r>
              <w:rPr>
                <w:sz w:val="16"/>
              </w:rPr>
            </w:r>
            <w:r>
              <w:rPr>
                <w:sz w:val="16"/>
              </w:rPr>
              <w:t>21</w:t>
            </w:r>
          </w:p>
        </w:tc>
        <w:tc>
          <w:tcPr>
            <w:tcW w:type="dxa" w:w="3312"/>
          </w:tcPr>
          <w:p>
            <w:r>
              <w:rPr>
                <w:sz w:val="16"/>
              </w:rPr>
            </w:r>
            <w:r>
              <w:rPr>
                <w:sz w:val="16"/>
              </w:rPr>
              <w:t>Other drafting points: mitigation clause requiring pursuit of the Consolidated estate; consequential-damages waiver; NJPDES stormwater permit transfer</w:t>
            </w:r>
          </w:p>
        </w:tc>
        <w:tc>
          <w:tcPr>
            <w:tcW w:type="dxa" w:w="1080"/>
            <w:shd w:val="clear" w:color="auto" w:fill="4F81BD"/>
          </w:tcPr>
          <w:p>
            <w:r>
              <w:rPr>
                <w:b/>
                <w:color w:val="FFFFFF"/>
                <w:sz w:val="16"/>
              </w:rPr>
            </w:r>
            <w:r>
              <w:rPr>
                <w:b/>
                <w:color w:val="FFFFFF"/>
                <w:sz w:val="16"/>
              </w:rPr>
              <w:t>Low</w:t>
            </w:r>
          </w:p>
        </w:tc>
        <w:tc>
          <w:tcPr>
            <w:tcW w:type="dxa" w:w="2088"/>
          </w:tcPr>
          <w:p>
            <w:r>
              <w:rPr>
                <w:sz w:val="16"/>
              </w:rPr>
            </w:r>
            <w:r>
              <w:rPr>
                <w:sz w:val="16"/>
              </w:rPr>
              <w:t>PSA §§9.3(e)–(f); Phase I §3.2</w:t>
            </w:r>
          </w:p>
        </w:tc>
        <w:tc>
          <w:tcPr>
            <w:tcW w:type="dxa" w:w="2736"/>
          </w:tcPr>
          <w:p>
            <w:r>
              <w:rPr>
                <w:sz w:val="16"/>
              </w:rPr>
            </w:r>
            <w:r>
              <w:rPr>
                <w:sz w:val="16"/>
              </w:rPr>
              <w:t>Revise as noted in Section 7</w:t>
            </w:r>
          </w:p>
        </w:tc>
      </w:tr>
    </w:tbl>
    <w:p>
      <w:pPr>
        <w:spacing w:after="40"/>
      </w:pPr>
    </w:p>
    <w:p>
      <w:pPr>
        <w:pStyle w:val="Heading1"/>
      </w:pPr>
      <w:r>
        <w:t>4. Issues Identified in the Supplemental Preliminary Assessment</w:t>
      </w:r>
    </w:p>
    <w:p>
      <w:pPr>
        <w:spacing w:after="120"/>
      </w:pPr>
      <w:r>
        <w:t>The PA is the most detailed technical document in the file. It is also the document Seller has put on Schedule 9.1 so that its contents count as disclosed. Its errors and omissions therefore matter both technically and contractually: anything it understates may be argued to be “known” and excluded. The issues below should go to Crestline in writing with a request for a revised, signed PA. Sections 4.1–4.3 correspond to Matrix Issue 6, Section 4.4 to Issue 4, Section 4.5 to Issue 5 and Section 4.6 to Issue 8.</w:t>
      </w:r>
    </w:p>
    <w:p>
      <w:pPr>
        <w:pStyle w:val="Heading3"/>
      </w:pPr>
      <w:r>
        <w:t>4.1  AOC-3 soil conclusion contradicts the PA’s own data</w:t>
      </w:r>
    </w:p>
    <w:p>
      <w:pPr>
        <w:spacing w:after="60"/>
      </w:pPr>
      <w:r>
        <w:rPr>
          <w:b/>
        </w:rPr>
        <w:t xml:space="preserve">Severity: </w:t>
      </w:r>
      <w:r>
        <w:rPr>
          <w:b/>
          <w:color w:val="E36C09"/>
        </w:rPr>
        <w:t>High</w:t>
      </w:r>
      <w:r>
        <w:rPr>
          <w:b/>
        </w:rPr>
        <w:t xml:space="preserve">     Sources: </w:t>
      </w:r>
      <w:r>
        <w:t>PA §5.2 and Table 3; §1.0; §10.1</w:t>
      </w:r>
    </w:p>
    <w:p>
      <w:pPr>
        <w:spacing w:after="40"/>
      </w:pPr>
      <w:r>
        <w:rPr>
          <w:b/>
          <w:i/>
        </w:rPr>
        <w:t>Finding.</w:t>
      </w:r>
    </w:p>
    <w:p>
      <w:pPr>
        <w:pStyle w:val="ListBullet"/>
        <w:spacing w:after="40"/>
      </w:pPr>
      <w:r>
        <w:t xml:space="preserve">Table 3 reports TCE at </w:t>
      </w:r>
      <w:r>
        <w:rPr>
          <w:b/>
        </w:rPr>
        <w:t>4.1 mg/kg</w:t>
      </w:r>
      <w:r>
        <w:t xml:space="preserve"> in AOC3-S4 (8 ft bgs) against a Non-Residential DCSS of </w:t>
      </w:r>
      <w:r>
        <w:rPr>
          <w:b/>
        </w:rPr>
        <w:t>3 mg/kg</w:t>
      </w:r>
      <w:r>
        <w:t xml:space="preserve">, which is an exceedance. PCE in AOC3-S2 is </w:t>
      </w:r>
      <w:r>
        <w:rPr>
          <w:b/>
        </w:rPr>
        <w:t>12 mg/kg, equal to</w:t>
      </w:r>
      <w:r>
        <w:t xml:space="preserve"> the 12 mg/kg standard. Even so, the PA states that “soil at AOC-3 meets applicable NJDEP Non-Residential Direct Contact Soil Remediation Standards” (§5.2), and §10.1 repeats that conclusion.</w:t>
      </w:r>
    </w:p>
    <w:p>
      <w:pPr>
        <w:pStyle w:val="ListBullet"/>
        <w:spacing w:after="40"/>
      </w:pPr>
      <w:r>
        <w:t>Table 3, unlike Tables 1 and 2, has no exceedance column, so the exceedance is not visible at a glance.</w:t>
      </w:r>
    </w:p>
    <w:p>
      <w:pPr>
        <w:pStyle w:val="ListBullet"/>
        <w:spacing w:after="40"/>
      </w:pPr>
      <w:r>
        <w:t xml:space="preserve">The data set is six samples collected in </w:t>
      </w:r>
      <w:r>
        <w:rPr>
          <w:b/>
        </w:rPr>
        <w:t>1997</w:t>
      </w:r>
      <w:r>
        <w:t xml:space="preserve"> from the center, east and west of the former Building 3 footprint. There are no north or south locations, no samples below 8 ft, and no post-1997 data, despite this being the plume source area.</w:t>
      </w:r>
    </w:p>
    <w:p>
      <w:pPr>
        <w:pStyle w:val="ListBullet"/>
        <w:spacing w:after="40"/>
      </w:pPr>
      <w:r>
        <w:t>Only the direct-contact pathway is evaluated. The PA does not assess impact-to-groundwater (soil leachate) criteria. For a continuing source of a PCE/TCE plume, that pathway is likely the controlling one. Nor does it assess soil gas as a VI source.</w:t>
      </w:r>
    </w:p>
    <w:p>
      <w:pPr>
        <w:spacing w:after="40"/>
      </w:pPr>
      <w:r>
        <w:rPr>
          <w:b/>
          <w:i/>
        </w:rPr>
        <w:t>Why it matters.</w:t>
      </w:r>
    </w:p>
    <w:p>
      <w:pPr>
        <w:pStyle w:val="ListBullet"/>
        <w:spacing w:after="40"/>
      </w:pPr>
      <w:r>
        <w:t>AOC-3 is the plume source. Residual source-zone mass that exceeds the impact-to-groundwater criteria undercuts the premise of the 2001 MNA remedy and may require active source treatment. That is a cost the PSA would place on Greenfield.</w:t>
      </w:r>
    </w:p>
    <w:p>
      <w:pPr>
        <w:pStyle w:val="ListBullet"/>
        <w:spacing w:after="40"/>
      </w:pPr>
      <w:r>
        <w:t>Because the PA is listed on Schedule 9.1, the Seller will argue that any AOC-3 soil condition is “disclosed” and “known,” even though the PA’s own narrative describes it as compliant.</w:t>
      </w:r>
    </w:p>
    <w:p>
      <w:pPr>
        <w:spacing w:after="40"/>
      </w:pPr>
      <w:r>
        <w:rPr>
          <w:b/>
          <w:i/>
        </w:rPr>
        <w:t>Recommendation.</w:t>
      </w:r>
    </w:p>
    <w:p>
      <w:pPr>
        <w:pStyle w:val="ListBullet"/>
        <w:spacing w:after="40"/>
      </w:pPr>
      <w:r>
        <w:t>Ask Crestline to correct §§1.0, 5.2 and 10.1 and to add an exceedance column and an impact-to-groundwater evaluation.</w:t>
      </w:r>
    </w:p>
    <w:p>
      <w:pPr>
        <w:pStyle w:val="ListBullet"/>
        <w:spacing w:after="40"/>
      </w:pPr>
      <w:r>
        <w:t>Phase II: soil borings across the full former Building 3 footprint, including north and south, to the water table, analyzed for the full VOC list and compared with current N.J.A.C. 7:26D values for all pathways.</w:t>
      </w:r>
    </w:p>
    <w:p>
      <w:pPr>
        <w:pStyle w:val="ListBullet"/>
        <w:spacing w:after="40"/>
      </w:pPr>
      <w:r>
        <w:t>Confirm the standards the PA applied (e.g., PCE 12 mg/kg, TCE 3 mg/kg, benzene 3 mg/kg, xylenes 100 mg/kg) against the current rule. The 1997 and 2001 data predate the current Soil Remediation Standards.</w:t>
      </w:r>
    </w:p>
    <w:p>
      <w:pPr>
        <w:pStyle w:val="Heading3"/>
      </w:pPr>
      <w:r>
        <w:t>4.2  AOC-1 (former UST farm): incomplete closure sampling, narrow analyte list, groundwater outside the CEA</w:t>
      </w:r>
    </w:p>
    <w:p>
      <w:pPr>
        <w:spacing w:after="60"/>
      </w:pPr>
      <w:r>
        <w:rPr>
          <w:b/>
        </w:rPr>
        <w:t xml:space="preserve">Severity: </w:t>
      </w:r>
      <w:r>
        <w:rPr>
          <w:b/>
          <w:color w:val="E36C09"/>
        </w:rPr>
        <w:t>High</w:t>
      </w:r>
      <w:r>
        <w:rPr>
          <w:b/>
        </w:rPr>
        <w:t xml:space="preserve">     Sources: </w:t>
      </w:r>
      <w:r>
        <w:t>PA §5.1, Tables 1–2; §10.1; Questionnaire A2.3</w:t>
      </w:r>
    </w:p>
    <w:p>
      <w:pPr>
        <w:spacing w:after="40"/>
      </w:pPr>
      <w:r>
        <w:rPr>
          <w:b/>
          <w:i/>
        </w:rPr>
        <w:t>Finding.</w:t>
      </w:r>
    </w:p>
    <w:p>
      <w:pPr>
        <w:pStyle w:val="ListBullet"/>
        <w:spacing w:after="40"/>
      </w:pPr>
      <w:r>
        <w:t>Post-excavation samples were collected only from the north and east sidewalls (four samples). The south and west sidewalls “were not sampled,” and the PA reports no excavation-floor samples. The Questionnaire (A2.3), by contrast, says samples were taken from “the walls and floor.”</w:t>
      </w:r>
    </w:p>
    <w:p>
      <w:pPr>
        <w:pStyle w:val="ListBullet"/>
        <w:spacing w:after="40"/>
      </w:pPr>
      <w:r>
        <w:t xml:space="preserve">Benzene is </w:t>
      </w:r>
      <w:r>
        <w:rPr>
          <w:b/>
        </w:rPr>
        <w:t>5.2 mg/kg</w:t>
      </w:r>
      <w:r>
        <w:t xml:space="preserve"> at AOC1-S3 (east wall, 8 ft), above the 3 mg/kg standard. Groundwater benzene at MW-2 is </w:t>
      </w:r>
      <w:r>
        <w:rPr>
          <w:b/>
        </w:rPr>
        <w:t>3.8 µg/L</w:t>
      </w:r>
      <w:r>
        <w:t xml:space="preserve"> against a GWQS of 1 µg/L (October 2020).</w:t>
      </w:r>
    </w:p>
    <w:p>
      <w:pPr>
        <w:pStyle w:val="ListBullet"/>
        <w:spacing w:after="40"/>
      </w:pPr>
      <w:r>
        <w:t xml:space="preserve">One of the three tanks held </w:t>
      </w:r>
      <w:r>
        <w:rPr>
          <w:b/>
        </w:rPr>
        <w:t>waste solvents</w:t>
      </w:r>
      <w:r>
        <w:t>, yet Table 1 reports only benzene, toluene and ethylbenzene. There is no chlorinated-VOC soil data for the waste-solvent tank area.</w:t>
      </w:r>
    </w:p>
    <w:p>
      <w:pPr>
        <w:pStyle w:val="ListBullet"/>
        <w:spacing w:after="40"/>
      </w:pPr>
      <w:r>
        <w:t>The Executive Summary says soil data “generally meets” standards, which is inconsistent with the AOC-1 exceedance reported in §5.1 and §10.1.</w:t>
      </w:r>
    </w:p>
    <w:p>
      <w:pPr>
        <w:pStyle w:val="ListBullet"/>
        <w:spacing w:after="40"/>
      </w:pPr>
      <w:r>
        <w:t>The CEA is described as covering the chlorinated-solvent plume from AOC-3 south-southeast, between MW-6 and MW-10 (PA §6.1). AOC-1 lies in the north of the site. The PA does not say whether the AOC-1 benzene groundwater exceedance is within any CEA.</w:t>
      </w:r>
    </w:p>
    <w:p>
      <w:pPr>
        <w:spacing w:after="40"/>
      </w:pPr>
      <w:r>
        <w:rPr>
          <w:b/>
          <w:i/>
        </w:rPr>
        <w:t>Why it matters.</w:t>
      </w:r>
    </w:p>
    <w:p>
      <w:pPr>
        <w:pStyle w:val="ListBullet"/>
        <w:spacing w:after="40"/>
      </w:pPr>
      <w:r>
        <w:t>Unsampled sidewalls and floor mean the extent of residual petroleum and solvent impacts beneath Building A and its parking area is unknown. Building A is the anchor tenant’s premises (Apex, lease to December 31, 2026) and a likely redevelopment footprint.</w:t>
      </w:r>
    </w:p>
    <w:p>
      <w:pPr>
        <w:pStyle w:val="ListBullet"/>
        <w:spacing w:after="40"/>
      </w:pPr>
      <w:r>
        <w:t>A groundwater exceedance without a CEA is an unaddressed groundwater area of concern. That bears on the accuracy of the 2021 biennial certification and on any future RAO.</w:t>
      </w:r>
    </w:p>
    <w:p>
      <w:pPr>
        <w:spacing w:after="40"/>
      </w:pPr>
      <w:r>
        <w:rPr>
          <w:b/>
          <w:i/>
        </w:rPr>
        <w:t>Recommendation.</w:t>
      </w:r>
    </w:p>
    <w:p>
      <w:pPr>
        <w:pStyle w:val="ListBullet"/>
        <w:spacing w:after="40"/>
      </w:pPr>
      <w:r>
        <w:t>Phase II: borings along the south and west sidewalls and beneath the former tank floor, with a full VOC analysis (including chlorinated VOCs) and petroleum fractions; resample MW-2.</w:t>
      </w:r>
    </w:p>
    <w:p>
      <w:pPr>
        <w:pStyle w:val="ListBullet"/>
        <w:spacing w:after="40"/>
      </w:pPr>
      <w:r>
        <w:t>Obtain the 1998 UST Closure Report and NJDEP’s closure approval. Confirm the CEA boundary and the constituents it covers from the CEA documentation (PA App. C).</w:t>
      </w:r>
    </w:p>
    <w:p>
      <w:pPr>
        <w:pStyle w:val="ListBullet"/>
        <w:spacing w:after="40"/>
      </w:pPr>
      <w:r>
        <w:t>PSA: Seller rep that each groundwater exceedance at the Property is within an NJDEP-established CEA, or Seller covenant to establish or modify the CEA at its cost.</w:t>
      </w:r>
    </w:p>
    <w:p>
      <w:pPr>
        <w:pStyle w:val="Heading3"/>
      </w:pPr>
      <w:r>
        <w:t>4.3  AOC-5 (former drum storage and reconditioning yard) is under-characterized</w:t>
      </w:r>
    </w:p>
    <w:p>
      <w:pPr>
        <w:spacing w:after="60"/>
      </w:pPr>
      <w:r>
        <w:rPr>
          <w:b/>
        </w:rPr>
        <w:t xml:space="preserve">Severity: </w:t>
      </w:r>
      <w:r>
        <w:rPr>
          <w:b/>
          <w:color w:val="E36C09"/>
        </w:rPr>
        <w:t>High</w:t>
      </w:r>
      <w:r>
        <w:rPr>
          <w:b/>
        </w:rPr>
        <w:t xml:space="preserve">     Sources: </w:t>
      </w:r>
      <w:r>
        <w:t>PA §5.3, Table 4; Phase I §§5.2.2 (1986 aerial), 8.3</w:t>
      </w:r>
    </w:p>
    <w:p>
      <w:pPr>
        <w:spacing w:after="40"/>
      </w:pPr>
      <w:r>
        <w:rPr>
          <w:b/>
          <w:i/>
        </w:rPr>
        <w:t>Finding.</w:t>
      </w:r>
    </w:p>
    <w:p>
      <w:pPr>
        <w:pStyle w:val="ListBullet"/>
        <w:spacing w:after="40"/>
      </w:pPr>
      <w:r>
        <w:t xml:space="preserve">The 0.75-acre unpaved yard was used for 34 years of drum storage and </w:t>
      </w:r>
      <w:r>
        <w:rPr>
          <w:b/>
        </w:rPr>
        <w:t>reconditioning</w:t>
      </w:r>
      <w:r>
        <w:t xml:space="preserve">, with documented visual staining. It is characterized by </w:t>
      </w:r>
      <w:r>
        <w:rPr>
          <w:b/>
        </w:rPr>
        <w:t>three</w:t>
      </w:r>
      <w:r>
        <w:t xml:space="preserve"> samples, all at </w:t>
      </w:r>
      <w:r>
        <w:rPr>
          <w:b/>
        </w:rPr>
        <w:t>2 ft bgs</w:t>
      </w:r>
      <w:r>
        <w:t>, from a 2001 event.</w:t>
      </w:r>
    </w:p>
    <w:p>
      <w:pPr>
        <w:pStyle w:val="ListBullet"/>
        <w:spacing w:after="40"/>
      </w:pPr>
      <w:r>
        <w:t xml:space="preserve">Only total xylenes, MEK and toluene are reported. There is no PCE/TCE, even though drums held chlorinated solvents, and no SVOCs, metals or PCBs, which are typical drum-reconditioning residues. The Phase I (§8.3) says the 2001 sampling found “elevated concentrations of volatile organic compounds </w:t>
      </w:r>
      <w:r>
        <w:rPr>
          <w:b/>
        </w:rPr>
        <w:t>and semi-volatile organic compounds</w:t>
      </w:r>
      <w:r>
        <w:t>.” The PA reports no SVOC data.</w:t>
      </w:r>
    </w:p>
    <w:p>
      <w:pPr>
        <w:pStyle w:val="ListBullet"/>
        <w:spacing w:after="40"/>
      </w:pPr>
      <w:r>
        <w:t>Xylenes at 87 mg/kg are close to the 100 mg/kg standard the PA applies, from a single shallow sample.</w:t>
      </w:r>
    </w:p>
    <w:p>
      <w:pPr>
        <w:pStyle w:val="ListBullet"/>
        <w:spacing w:after="40"/>
      </w:pPr>
      <w:r>
        <w:t>The 1986 aerial shows “possible areas of soil disturbance” near AOC-5 (Phase I §5.2.2). That raises the possibility of burial, which the PA does not address.</w:t>
      </w:r>
    </w:p>
    <w:p>
      <w:pPr>
        <w:pStyle w:val="ListBullet"/>
        <w:spacing w:after="40"/>
      </w:pPr>
      <w:r>
        <w:t>The PA describes AOC-5 as covered by the deed notice only “as a precautionary measure,” which implies no exceedances. On this data set, that conclusion is not supportable.</w:t>
      </w:r>
    </w:p>
    <w:p>
      <w:pPr>
        <w:spacing w:after="40"/>
      </w:pPr>
      <w:r>
        <w:rPr>
          <w:b/>
          <w:i/>
        </w:rPr>
        <w:t>Why it matters.</w:t>
      </w:r>
    </w:p>
    <w:p>
      <w:pPr>
        <w:pStyle w:val="ListBullet"/>
        <w:spacing w:after="40"/>
      </w:pPr>
      <w:r>
        <w:t>A drum-reconditioning yard is a classic source of metals, PCB, SVOC and chlorinated-solvent contamination. Under-characterization goes straight to future excavation and disposal costs for the redevelopment, and to whether AOC-5 is a second groundwater source near the downgradient wetland.</w:t>
      </w:r>
    </w:p>
    <w:p>
      <w:pPr>
        <w:spacing w:after="40"/>
      </w:pPr>
      <w:r>
        <w:rPr>
          <w:b/>
          <w:i/>
        </w:rPr>
        <w:t>Recommendation.</w:t>
      </w:r>
    </w:p>
    <w:p>
      <w:pPr>
        <w:pStyle w:val="ListBullet"/>
        <w:spacing w:after="40"/>
      </w:pPr>
      <w:r>
        <w:t>Phase II: grid borings to the water table across the AOC-5 footprint (located by survey; see Issue 9) with a full analytical suite (VOCs including chlorinated VOCs, SVOCs, TAL metals, PCBs, and PFAS screening). Consider a geophysical survey for buried drums. Install or sample a groundwater well immediately downgradient.</w:t>
      </w:r>
    </w:p>
    <w:p>
      <w:pPr>
        <w:pStyle w:val="Heading3"/>
      </w:pPr>
      <w:r>
        <w:t>4.4  Groundwater evaluation: stale data, rising boundary concentrations, bedrock and off-site gaps</w:t>
      </w:r>
    </w:p>
    <w:p>
      <w:pPr>
        <w:spacing w:after="60"/>
      </w:pPr>
      <w:r>
        <w:rPr>
          <w:b/>
        </w:rPr>
        <w:t xml:space="preserve">Severity: </w:t>
      </w:r>
      <w:r>
        <w:rPr>
          <w:b/>
          <w:color w:val="C00000"/>
        </w:rPr>
        <w:t>Critical</w:t>
      </w:r>
      <w:r>
        <w:rPr>
          <w:b/>
        </w:rPr>
        <w:t xml:space="preserve">     Sources: </w:t>
      </w:r>
      <w:r>
        <w:t>PA §§6.1–6.3, Table 5, §10.2(3); Phase I §§3.2, 8.4; Questionnaire A4.2(b), A4.4(e)</w:t>
      </w:r>
    </w:p>
    <w:p>
      <w:pPr>
        <w:spacing w:after="40"/>
      </w:pPr>
      <w:r>
        <w:rPr>
          <w:b/>
          <w:i/>
        </w:rPr>
        <w:t>Finding.</w:t>
      </w:r>
    </w:p>
    <w:p>
      <w:pPr>
        <w:pStyle w:val="ListBullet"/>
        <w:spacing w:after="40"/>
      </w:pPr>
      <w:r>
        <w:t xml:space="preserve">The latest data are from </w:t>
      </w:r>
      <w:r>
        <w:rPr>
          <w:b/>
        </w:rPr>
        <w:t>October 2020</w:t>
      </w:r>
      <w:r>
        <w:t>. The historical monitoring interval (2005, 2008, 2011, 2014, 2017, 2020) points to a missed 2023 event. The PA recommends only that updated monitoring “be considered.”</w:t>
      </w:r>
    </w:p>
    <w:p>
      <w:pPr>
        <w:pStyle w:val="ListBullet"/>
        <w:spacing w:after="40"/>
      </w:pPr>
      <w:r>
        <w:rPr>
          <w:b/>
        </w:rPr>
        <w:t>MW-14 (southeastern property boundary):</w:t>
      </w:r>
      <w:r>
        <w:t xml:space="preserve"> PCE 1.8 → 2.1 → 2.4 µg/L (2014, 2017, 2020). That is above the GWQS and trending upward at the sentinel well in the direction of flow. </w:t>
      </w:r>
      <w:r>
        <w:rPr>
          <w:b/>
        </w:rPr>
        <w:t>MW-12:</w:t>
      </w:r>
      <w:r>
        <w:t xml:space="preserve"> vinyl chloride 1.8 (2005), 4.2 (2011), 2.8 (2017), 3.1 (2020) µg/L. The PA says it exceeded “at the three most recent sampling events” but reports no 2014 value; the 2008 and 2014 data should be produced. </w:t>
      </w:r>
      <w:r>
        <w:rPr>
          <w:b/>
        </w:rPr>
        <w:t>MW-9:</w:t>
      </w:r>
      <w:r>
        <w:t xml:space="preserve"> PCE fluctuating between 4 and 9 µg/L with no declining trend. Even so, the PA calls the plume “generally stable.”</w:t>
      </w:r>
    </w:p>
    <w:p>
      <w:pPr>
        <w:pStyle w:val="ListBullet"/>
        <w:spacing w:after="40"/>
      </w:pPr>
      <w:r>
        <w:rPr>
          <w:b/>
        </w:rPr>
        <w:t>Bedrock:</w:t>
      </w:r>
      <w:r>
        <w:t xml:space="preserve"> the PA says the plume extends to about 45 ft bgs, “consistent with the base of the unconsolidated deposits.” The Phase I says the unconsolidated deposits are 10–25 ft thick, bedrock (fractured Brunswick Formation shale/mudstone) is at 20–30 ft bgs, and </w:t>
      </w:r>
      <w:r>
        <w:rPr>
          <w:b/>
        </w:rPr>
        <w:t>no bedrock wells exist</w:t>
      </w:r>
      <w:r>
        <w:t>. If the Phase I is right, contamination is in fractured bedrock and has not been characterized.</w:t>
      </w:r>
    </w:p>
    <w:p>
      <w:pPr>
        <w:pStyle w:val="ListBullet"/>
        <w:spacing w:after="40"/>
      </w:pPr>
      <w:r>
        <w:rPr>
          <w:b/>
        </w:rPr>
        <w:t>Migration rate:</w:t>
      </w:r>
      <w:r>
        <w:t xml:space="preserve"> using the PA’s own hydraulic parameters (K = 20–50 ft/day; i = 0.008) and an assumed effective porosity of about 0.25, the unretarded seepage velocity is roughly 0.6–1.6 ft/day (about 230–580 ft/year). The plume has had decades to reach the southeastern boundary. Rising PCE at MW-14 is consistent with ongoing off-site migration toward the tributary and wetland.</w:t>
      </w:r>
    </w:p>
    <w:p>
      <w:pPr>
        <w:pStyle w:val="ListBullet"/>
        <w:spacing w:after="40"/>
      </w:pPr>
      <w:r>
        <w:rPr>
          <w:b/>
        </w:rPr>
        <w:t>CEA boundary:</w:t>
      </w:r>
      <w:r>
        <w:t xml:space="preserve"> the CEA runs only “from the source area (AOC-3) southward to the southeastern property boundary” (PA §6.1). The Seller describes the CEA as covering the plume “beneath </w:t>
      </w:r>
      <w:r>
        <w:rPr>
          <w:b/>
        </w:rPr>
        <w:t>and downgradient of</w:t>
      </w:r>
      <w:r>
        <w:t xml:space="preserve"> the Property” (A4.2(b)) and says monitoring wells are located “on and downgradient of the Property” (A4.4(e)). Off-site wells are not identified anywhere in the PA.</w:t>
      </w:r>
    </w:p>
    <w:p>
      <w:pPr>
        <w:pStyle w:val="ListBullet"/>
        <w:spacing w:after="40"/>
      </w:pPr>
      <w:r>
        <w:rPr>
          <w:b/>
        </w:rPr>
        <w:t>Receptors:</w:t>
      </w:r>
      <w:r>
        <w:t xml:space="preserve"> the PA states that “no evaluation of potential impacts from site contamination to the wetland was conducted” (§8.1). No ecological evaluation and no surface-water or sediment sampling of the Green Brook tributary is reported.</w:t>
      </w:r>
    </w:p>
    <w:p>
      <w:pPr>
        <w:spacing w:after="40"/>
      </w:pPr>
      <w:r>
        <w:rPr>
          <w:b/>
          <w:i/>
        </w:rPr>
        <w:t>Why it matters.</w:t>
      </w:r>
    </w:p>
    <w:p>
      <w:pPr>
        <w:pStyle w:val="ListBullet"/>
        <w:spacing w:after="40"/>
      </w:pPr>
      <w:r>
        <w:t>Off-site migration brings third-party property damage and toxic-tort exposure, Natural Resource Damages exposure under the Spill Act, and a likely need to expand the CEA (with notice to off-site owners) or adopt an active remedy. These are long-tail liabilities measured in years or decades, which a 24-month survival period and a $2M cap cannot absorb.</w:t>
      </w:r>
    </w:p>
    <w:p>
      <w:pPr>
        <w:pStyle w:val="ListBullet"/>
        <w:spacing w:after="40"/>
      </w:pPr>
      <w:r>
        <w:t>If MNA is not performing about 23 years after RAW approval, NJDEP or the LSRP may conclude that the remedy is not protective. That bears on future biennial certifications and on the cost assumptions in the UW Memo.</w:t>
      </w:r>
    </w:p>
    <w:p>
      <w:pPr>
        <w:spacing w:after="40"/>
      </w:pPr>
      <w:r>
        <w:rPr>
          <w:b/>
          <w:i/>
        </w:rPr>
        <w:t>Recommendation.</w:t>
      </w:r>
    </w:p>
    <w:p>
      <w:pPr>
        <w:pStyle w:val="ListBullet"/>
        <w:spacing w:after="40"/>
      </w:pPr>
      <w:r>
        <w:t>Before DD expiry: a full synoptic groundwater round from every surviving well (the inventory must be reconciled; see Issue 9), with 1,4-dioxane and PFAS added. Install at least one bedrock well near MW-7 and one at the southeastern boundary, plus temporary points beyond MW-14 if access allows. Run a surface-water and sediment screen of the tributary and an ecological evaluation.</w:t>
      </w:r>
    </w:p>
    <w:p>
      <w:pPr>
        <w:pStyle w:val="ListBullet"/>
        <w:spacing w:after="40"/>
      </w:pPr>
      <w:r>
        <w:t>Get the CEA documentation, the calculated CEA duration, and all monitoring reports, including 2008, 2014 and any post-2020 data.</w:t>
      </w:r>
    </w:p>
    <w:p>
      <w:pPr>
        <w:pStyle w:val="ListBullet"/>
        <w:spacing w:after="40"/>
      </w:pPr>
      <w:r>
        <w:t>PSA: Seller to retain liability, uncapped and without time limit, for off-site migration, NRD and third-party claims arising from pre-Closing releases.</w:t>
      </w:r>
    </w:p>
    <w:p>
      <w:pPr>
        <w:pStyle w:val="Heading3"/>
      </w:pPr>
      <w:r>
        <w:t>4.5  Vapor intrusion: the PA confirms the pathway is potentially complete but limits scope to two buildings</w:t>
      </w:r>
    </w:p>
    <w:p>
      <w:pPr>
        <w:spacing w:after="60"/>
      </w:pPr>
      <w:r>
        <w:rPr>
          <w:b/>
        </w:rPr>
        <w:t xml:space="preserve">Severity: </w:t>
      </w:r>
      <w:r>
        <w:rPr>
          <w:b/>
          <w:color w:val="C00000"/>
        </w:rPr>
        <w:t>Critical</w:t>
      </w:r>
      <w:r>
        <w:rPr>
          <w:b/>
        </w:rPr>
        <w:t xml:space="preserve">     Sources: </w:t>
      </w:r>
      <w:r>
        <w:t>PA §7; Phase I §8.6; PSA §9.7(a)(iii); UW Memo §3.3</w:t>
      </w:r>
    </w:p>
    <w:p>
      <w:pPr>
        <w:spacing w:after="40"/>
      </w:pPr>
      <w:r>
        <w:rPr>
          <w:b/>
          <w:i/>
        </w:rPr>
        <w:t>Finding.</w:t>
      </w:r>
    </w:p>
    <w:p>
      <w:pPr>
        <w:pStyle w:val="ListBullet"/>
        <w:spacing w:after="40"/>
      </w:pPr>
      <w:r>
        <w:t>The PA compares MW-7 (PCE 18 µg/L; TCE 4.3 µg/L) with VI groundwater screening levels and finds “significant” exceedances. Buildings C and D are slab-on-grade and tenant-occupied (Building D is about 50% leased).</w:t>
      </w:r>
    </w:p>
    <w:p>
      <w:pPr>
        <w:pStyle w:val="ListBullet"/>
        <w:spacing w:after="40"/>
      </w:pPr>
      <w:r>
        <w:t>The PA cites VI Technical Guidance Version 4.1 (2018). The Phase I cites the October 2021 guidance. The PA also gives the VI groundwater screening levels for PCE and TCE as 1 µg/L each, which match the GWQS. That should be checked against current NJDEP VI screening tables.</w:t>
      </w:r>
    </w:p>
    <w:p>
      <w:pPr>
        <w:pStyle w:val="ListBullet"/>
        <w:spacing w:after="40"/>
      </w:pPr>
      <w:r>
        <w:t>Buildings A (adjacent to AOC-1 benzene in soil and groundwater), B (near AOC-3 per the Phase I and the suspected diesel UST) and E (adjacent to AOC-5) are not evaluated. The UW Memo acknowledges the gap.</w:t>
      </w:r>
    </w:p>
    <w:p>
      <w:pPr>
        <w:pStyle w:val="ListBullet"/>
        <w:spacing w:after="40"/>
      </w:pPr>
      <w:r>
        <w:t>TCE in indoor air carries short-term (developmental) exposure concerns. NJDEP applies rapid action and immediate environmental concern (IEC) protocols that can require prompt occupant notification and interim mitigation.</w:t>
      </w:r>
    </w:p>
    <w:p>
      <w:pPr>
        <w:spacing w:after="40"/>
      </w:pPr>
      <w:r>
        <w:rPr>
          <w:b/>
          <w:i/>
        </w:rPr>
        <w:t>Why it matters.</w:t>
      </w:r>
    </w:p>
    <w:p>
      <w:pPr>
        <w:pStyle w:val="ListBullet"/>
        <w:spacing w:after="40"/>
      </w:pPr>
      <w:r>
        <w:t>If VI is confirmed after Closing, Greenfield as owner and landlord faces regulatory IEC obligations, tenant claims (rent abatement, constructive eviction, personal injury) and mitigation costs. Draft §9.7(a)(iii) assigns all of this to Greenfield, and §9.3(e) waives consequential damages such as lost rent.</w:t>
      </w:r>
    </w:p>
    <w:p>
      <w:pPr>
        <w:pStyle w:val="ListBullet"/>
        <w:spacing w:after="40"/>
      </w:pPr>
      <w:r>
        <w:t>The planned life-sciences conversion will require VI-protective design for every new building over or near the plume.</w:t>
      </w:r>
    </w:p>
    <w:p>
      <w:pPr>
        <w:spacing w:after="40"/>
      </w:pPr>
      <w:r>
        <w:rPr>
          <w:b/>
          <w:i/>
        </w:rPr>
        <w:t>Recommendation.</w:t>
      </w:r>
    </w:p>
    <w:p>
      <w:pPr>
        <w:pStyle w:val="ListBullet"/>
        <w:spacing w:after="40"/>
      </w:pPr>
      <w:r>
        <w:t>Run VI sampling now in Buildings C and D (sub-slab, indoor and ambient air, TO-15, including vinyl chloride and BTEX). Screen Buildings A, B and E. The PSA must allow after-hours and 24-hour sampling (see Issue 19).</w:t>
      </w:r>
    </w:p>
    <w:p>
      <w:pPr>
        <w:pStyle w:val="ListBullet"/>
        <w:spacing w:after="40"/>
      </w:pPr>
      <w:r>
        <w:t>Agree in advance on a protocol for reporting results and notifying tenants (who notifies, when, and at whose cost), consistent with NJDEP requirements.</w:t>
      </w:r>
    </w:p>
    <w:p>
      <w:pPr>
        <w:pStyle w:val="ListBullet"/>
        <w:spacing w:after="40"/>
      </w:pPr>
      <w:r>
        <w:t>PSA: Seller to fund any VI mitigation required for existing buildings and to indemnify, without cap, for occupant and tenant claims arising from pre-Closing conditions.</w:t>
      </w:r>
    </w:p>
    <w:p>
      <w:pPr>
        <w:pStyle w:val="Heading3"/>
      </w:pPr>
      <w:r>
        <w:t>4.6  Diesel UST deferred rather than evaluated</w:t>
      </w:r>
    </w:p>
    <w:p>
      <w:pPr>
        <w:spacing w:after="60"/>
      </w:pPr>
      <w:r>
        <w:rPr>
          <w:b/>
        </w:rPr>
        <w:t xml:space="preserve">Severity: </w:t>
      </w:r>
      <w:r>
        <w:rPr>
          <w:b/>
          <w:color w:val="E36C09"/>
        </w:rPr>
        <w:t>High</w:t>
      </w:r>
      <w:r>
        <w:rPr>
          <w:b/>
        </w:rPr>
        <w:t xml:space="preserve">     Sources: </w:t>
      </w:r>
      <w:r>
        <w:t>PA §§1.0, 4.2, 10.2(2)</w:t>
      </w:r>
    </w:p>
    <w:p>
      <w:pPr>
        <w:spacing w:after="40"/>
      </w:pPr>
      <w:r>
        <w:rPr>
          <w:b/>
          <w:i/>
        </w:rPr>
        <w:t>Finding.</w:t>
      </w:r>
    </w:p>
    <w:p>
      <w:pPr>
        <w:pStyle w:val="ListBullet"/>
        <w:spacing w:after="40"/>
      </w:pPr>
      <w:r>
        <w:t>The PA confirms that no NJDEP registration or closure record exists for the 1,000-gallon diesel UST near the northeast corner of Building B, and states it is “not addressed further … and is deferred to Phase II investigation.” See Issue 8 for the full analysis.</w:t>
      </w:r>
    </w:p>
    <w:p>
      <w:pPr>
        <w:spacing w:after="40"/>
      </w:pPr>
      <w:r>
        <w:rPr>
          <w:b/>
          <w:i/>
        </w:rPr>
        <w:t>Why it matters.</w:t>
      </w:r>
    </w:p>
    <w:p>
      <w:pPr>
        <w:pStyle w:val="ListBullet"/>
        <w:spacing w:after="40"/>
      </w:pPr>
      <w:r>
        <w:t>Deferral leaves the Seller able to argue that the UST is “known” (and so excluded from the indemnity and the MEC right) while its condition and cost remain unquantified.</w:t>
      </w:r>
    </w:p>
    <w:p>
      <w:pPr>
        <w:spacing w:after="40"/>
      </w:pPr>
      <w:r>
        <w:rPr>
          <w:b/>
          <w:i/>
        </w:rPr>
        <w:t>Recommendation.</w:t>
      </w:r>
    </w:p>
    <w:p>
      <w:pPr>
        <w:pStyle w:val="ListBullet"/>
        <w:spacing w:after="40"/>
      </w:pPr>
      <w:r>
        <w:t>Complete the GPR/magnetometer survey and borings before DD expiry, and carry the result into the PSA (Issue 8).</w:t>
      </w:r>
    </w:p>
    <w:p>
      <w:pPr>
        <w:pStyle w:val="Heading3"/>
      </w:pPr>
      <w:r>
        <w:t>4.7  Methodology and scope limitations of the PA</w:t>
      </w:r>
    </w:p>
    <w:p>
      <w:pPr>
        <w:spacing w:after="60"/>
      </w:pPr>
      <w:r>
        <w:rPr>
          <w:b/>
        </w:rPr>
        <w:t xml:space="preserve">Severity: </w:t>
      </w:r>
      <w:r>
        <w:rPr>
          <w:b/>
          <w:color w:val="BF9000"/>
        </w:rPr>
        <w:t>Medium</w:t>
      </w:r>
      <w:r>
        <w:rPr>
          <w:b/>
        </w:rPr>
        <w:t xml:space="preserve">     Sources: </w:t>
      </w:r>
      <w:r>
        <w:t>PA §§2.0, 4.3, 11.0; Phase I §§2.4(d), 5.1.2</w:t>
      </w:r>
    </w:p>
    <w:p>
      <w:pPr>
        <w:spacing w:after="40"/>
      </w:pPr>
      <w:r>
        <w:rPr>
          <w:b/>
          <w:i/>
        </w:rPr>
        <w:t>Finding.</w:t>
      </w:r>
    </w:p>
    <w:p>
      <w:pPr>
        <w:pStyle w:val="ListBullet"/>
        <w:spacing w:after="40"/>
      </w:pPr>
      <w:r>
        <w:t>The PA is a desktop review. There was no site reconnaissance or sampling, and it relies entirely on data generated by others, including a defunct consultant (Atlas, 1990) and an unidentified Ridgeline consultant (1997–2003). The NJDEP file was incomplete because OPRA was still pending (Phase I §2.4(d)).</w:t>
      </w:r>
    </w:p>
    <w:p>
      <w:pPr>
        <w:pStyle w:val="ListBullet"/>
        <w:spacing w:after="40"/>
      </w:pPr>
      <w:r>
        <w:t>AOC-2 (former loading dock) and AOC-4 (former chemical storage shed) are dismissed as closed with “no further action,” but no NFA documentation appears in the PA’s list of documents reviewed (§4.1), and the Phase I does not mention either AOC.</w:t>
      </w:r>
    </w:p>
    <w:p>
      <w:pPr>
        <w:pStyle w:val="ListBullet"/>
        <w:spacing w:after="40"/>
      </w:pPr>
      <w:r>
        <w:t>Agricultural use from 1920 to 1961 is acknowledged as “consistent with common agrochemical application practices,” but historic pesticides (e.g., arsenic, lead, organochlorine pesticides) are not evaluated.</w:t>
      </w:r>
    </w:p>
    <w:p>
      <w:pPr>
        <w:pStyle w:val="ListBullet"/>
        <w:spacing w:after="40"/>
      </w:pPr>
      <w:r>
        <w:t>The PA uses a vinyl chloride GWQS of 2 µg/L, which is the federal MCL. Counsel understands the New Jersey Class II-A criterion may be lower. If so, MW-7 (1.4 µg/L) would also exceed. This should be confirmed against N.J.A.C. 7:9C.</w:t>
      </w:r>
    </w:p>
    <w:p>
      <w:pPr>
        <w:pStyle w:val="ListBullet"/>
        <w:spacing w:after="40"/>
      </w:pPr>
      <w:r>
        <w:t>The PA’s ACM and LBP discussion defers entirely to the Phase I. Radon is noted as Zone 1 but untested.</w:t>
      </w:r>
    </w:p>
    <w:p>
      <w:pPr>
        <w:spacing w:after="40"/>
      </w:pPr>
      <w:r>
        <w:rPr>
          <w:b/>
          <w:i/>
        </w:rPr>
        <w:t>Why it matters.</w:t>
      </w:r>
    </w:p>
    <w:p>
      <w:pPr>
        <w:pStyle w:val="ListBullet"/>
        <w:spacing w:after="40"/>
      </w:pPr>
      <w:r>
        <w:t>The PA states that it “does not constitute a Remedial Investigation or Site Investigation” (§11.0). Its conclusions should not be treated as characterization, and they should not be used, as the UW Memo uses them, as a basis for budgeting.</w:t>
      </w:r>
    </w:p>
    <w:p>
      <w:pPr>
        <w:spacing w:after="40"/>
      </w:pPr>
      <w:r>
        <w:rPr>
          <w:b/>
          <w:i/>
        </w:rPr>
        <w:t>Recommendation.</w:t>
      </w:r>
    </w:p>
    <w:p>
      <w:pPr>
        <w:pStyle w:val="ListBullet"/>
        <w:spacing w:after="40"/>
      </w:pPr>
      <w:r>
        <w:t>Ask Crestline to complete the NJDEP file review once OPRA is fulfilled, or to schedule an in-person file review, and to issue a revised PA. Obtain the AOC-2/AOC-4 NFA documentation. Add historic-pesticide screening in former agricultural areas that will be disturbed by redevelopment.</w:t>
      </w:r>
    </w:p>
    <w:p>
      <w:pPr>
        <w:pStyle w:val="Heading1"/>
      </w:pPr>
      <w:r>
        <w:t>5. Regulatory, Liability and Cross-Document Issues</w:t>
      </w:r>
    </w:p>
    <w:p>
      <w:pPr>
        <w:pStyle w:val="Heading3"/>
      </w:pPr>
      <w:r>
        <w:t>Issue 2.  SRRA compliance lapses and the true status of Case SRP-098742</w:t>
      </w:r>
    </w:p>
    <w:p>
      <w:pPr>
        <w:spacing w:after="60"/>
      </w:pPr>
      <w:r>
        <w:rPr>
          <w:b/>
        </w:rPr>
        <w:t xml:space="preserve">Severity: </w:t>
      </w:r>
      <w:r>
        <w:rPr>
          <w:b/>
          <w:color w:val="C00000"/>
        </w:rPr>
        <w:t>Critical</w:t>
      </w:r>
      <w:r>
        <w:rPr>
          <w:b/>
        </w:rPr>
        <w:t xml:space="preserve">     Sources: </w:t>
      </w:r>
      <w:r>
        <w:t>PA §§3.3, 9.2–9.3; Phase I §§5.1.1, 7.1, 7.4, 9.2, 11.0; Questionnaire A4.1, A4.3, A6.1; PSA §§9.1(b), 9.1(d), 9.8(a)(v), Sch. 9.1 item 5; UW Memo §3.2</w:t>
      </w:r>
    </w:p>
    <w:p>
      <w:pPr>
        <w:spacing w:after="40"/>
      </w:pPr>
      <w:r>
        <w:rPr>
          <w:b/>
          <w:i/>
        </w:rPr>
        <w:t>Finding.</w:t>
      </w:r>
    </w:p>
    <w:p>
      <w:pPr>
        <w:pStyle w:val="ListBullet"/>
        <w:spacing w:after="40"/>
      </w:pPr>
      <w:r>
        <w:rPr>
          <w:b/>
        </w:rPr>
        <w:t>Biennial certification.</w:t>
      </w:r>
      <w:r>
        <w:t xml:space="preserve"> The last certification on file is dated April 15, 2021. The next was due on or about </w:t>
      </w:r>
      <w:r>
        <w:rPr>
          <w:b/>
        </w:rPr>
        <w:t>April 15, 2023</w:t>
      </w:r>
      <w:r>
        <w:t xml:space="preserve">, and none is on file. The following one would fall due on or about April 15, 2025, </w:t>
      </w:r>
      <w:r>
        <w:rPr>
          <w:b/>
        </w:rPr>
        <w:t>after</w:t>
      </w:r>
      <w:r>
        <w:t xml:space="preserve"> the January 15, 2025 Closing, when Greenfield would own the Property. The Seller’s VP Facilities could not produce the certification and referred Crestline to counsel (Phase I §7.1). The Seller nonetheless states the certifications “have been timely filed” (A4.3).</w:t>
      </w:r>
    </w:p>
    <w:p>
      <w:pPr>
        <w:pStyle w:val="ListBullet"/>
        <w:spacing w:after="40"/>
      </w:pPr>
      <w:r>
        <w:rPr>
          <w:b/>
        </w:rPr>
        <w:t>Monitoring.</w:t>
      </w:r>
      <w:r>
        <w:t xml:space="preserve"> No groundwater data since October 2020. PSA §9.8(a)(v) requires the Seller to “continue to perform all ongoing … monitoring,” but on this record the Seller is already behind schedule.</w:t>
      </w:r>
    </w:p>
    <w:p>
      <w:pPr>
        <w:pStyle w:val="ListBullet"/>
        <w:spacing w:after="40"/>
      </w:pPr>
      <w:r>
        <w:rPr>
          <w:b/>
        </w:rPr>
        <w:t>Case status.</w:t>
      </w:r>
      <w:r>
        <w:t xml:space="preserve"> NJDEP lists the case as “Active – Pending” with Ridgeline as responsible party (Phase I §§5.1.1, 7.4). No RAO has been identified. The Seller states that “all required remediation has been completed and the site has received regulatory closure” (A4.1). The record contradicts that statement.</w:t>
      </w:r>
    </w:p>
    <w:p>
      <w:pPr>
        <w:pStyle w:val="ListBullet"/>
        <w:spacing w:after="40"/>
      </w:pPr>
      <w:r>
        <w:rPr>
          <w:b/>
        </w:rPr>
        <w:t>Not addressed anywhere:</w:t>
      </w:r>
      <w:r>
        <w:t xml:space="preserve"> whether a Remedial Action Permit (soil and/or groundwater) has been issued for the deed notice and CEA (N.J.A.C. 7:26C-7), whether a remediation funding source for the engineering controls is in place, whether NJDEP annual remediation and permit fees are current, and whether the case has missed a regulatory or mandatory remediation timeframe (N.J.A.C. 7:26C-3) such that it is, or could be placed, under NJDEP direct oversight (N.J.S.A. 58:10C-27). For a case opened in 1984 with no RAO, a missed timeframe is a real possibility and must be checked.</w:t>
      </w:r>
    </w:p>
    <w:p>
      <w:pPr>
        <w:spacing w:after="40"/>
      </w:pPr>
      <w:r>
        <w:rPr>
          <w:b/>
          <w:i/>
        </w:rPr>
        <w:t>Why it matters.</w:t>
      </w:r>
    </w:p>
    <w:p>
      <w:pPr>
        <w:pStyle w:val="ListBullet"/>
        <w:spacing w:after="40"/>
      </w:pPr>
      <w:r>
        <w:t>The PA and Phase I both conclude the controls are protective “based on … available data” from 2020–2021. Without a current certification, the CREC characterization (Phase I §9.2) rests on an assumption of compliance that the record does not support.</w:t>
      </w:r>
    </w:p>
    <w:p>
      <w:pPr>
        <w:pStyle w:val="ListBullet"/>
        <w:spacing w:after="40"/>
      </w:pPr>
      <w:r>
        <w:t>Direct oversight would bring NJDEP-controlled remedy selection, possible mandatory remediation trust funds and loss of LSRP flexibility. That directly affects the redevelopment schedule and cost.</w:t>
      </w:r>
    </w:p>
    <w:p>
      <w:pPr>
        <w:pStyle w:val="ListBullet"/>
        <w:spacing w:after="40"/>
      </w:pPr>
      <w:r>
        <w:t>PSA §9.7(a)(i) has Greenfield assume “all … biennial certification obligations,” which could include curing the Seller’s lapsed filings.</w:t>
      </w:r>
    </w:p>
    <w:p>
      <w:pPr>
        <w:spacing w:after="40"/>
      </w:pPr>
      <w:r>
        <w:rPr>
          <w:b/>
          <w:i/>
        </w:rPr>
        <w:t>Recommendation.</w:t>
      </w:r>
    </w:p>
    <w:p>
      <w:pPr>
        <w:pStyle w:val="ListBullet"/>
        <w:spacing w:after="40"/>
      </w:pPr>
      <w:r>
        <w:t>Complete a full NJDEP file review (expedite OPRA or schedule an in-person review) and get written confirmation of case status, the LSRP of record, permit status, fee status and any timeframe or direct-oversight issue.</w:t>
      </w:r>
    </w:p>
    <w:p>
      <w:pPr>
        <w:pStyle w:val="ListBullet"/>
        <w:spacing w:after="40"/>
      </w:pPr>
      <w:r>
        <w:t>Seller pre-Closing covenants: file the overdue biennial certification (with current inspection and monitoring data); complete a monitoring round; pay outstanding fees; obtain or confirm the RAP(s); and post or confirm the RFS. Make these conditions to Closing.</w:t>
      </w:r>
    </w:p>
    <w:p>
      <w:pPr>
        <w:pStyle w:val="ListBullet"/>
        <w:spacing w:after="40"/>
      </w:pPr>
      <w:r>
        <w:t>Replace the knowledge-qualified rep in §9.1(d) with flat reps, and correct the Questionnaire. The listing of “last submitted April 15, 2021” on Schedule 9.1 should not operate to disclose away the Seller’s non-compliance.</w:t>
      </w:r>
    </w:p>
    <w:p>
      <w:pPr>
        <w:pStyle w:val="Heading3"/>
      </w:pPr>
      <w:r>
        <w:t>Issue 3.  Who is the LSRP of record? Possible Crestline conflict</w:t>
      </w:r>
    </w:p>
    <w:p>
      <w:pPr>
        <w:spacing w:after="60"/>
      </w:pPr>
      <w:r>
        <w:rPr>
          <w:b/>
        </w:rPr>
        <w:t xml:space="preserve">Severity: </w:t>
      </w:r>
      <w:r>
        <w:rPr>
          <w:b/>
          <w:color w:val="C00000"/>
        </w:rPr>
        <w:t>Critical</w:t>
      </w:r>
      <w:r>
        <w:rPr>
          <w:b/>
        </w:rPr>
        <w:t xml:space="preserve">     Sources: </w:t>
      </w:r>
      <w:r>
        <w:t>Questionnaire A4.5; Phase I §7.4; PA cover and certification; PSA §§1.1 (“Buyer’s Consultants”), 9.7(c)</w:t>
      </w:r>
    </w:p>
    <w:p>
      <w:pPr>
        <w:spacing w:after="40"/>
      </w:pPr>
      <w:r>
        <w:rPr>
          <w:b/>
          <w:i/>
        </w:rPr>
        <w:t>Finding.</w:t>
      </w:r>
    </w:p>
    <w:p>
      <w:pPr>
        <w:pStyle w:val="ListBullet"/>
        <w:spacing w:after="40"/>
      </w:pPr>
      <w:r>
        <w:t>The Seller certifies that the LSRP of record “is Dr. Laura Chen, P.E., … of Crestline Environmental Consultants, Inc.,” and has been since the LSRP program began (A4.5).</w:t>
      </w:r>
    </w:p>
    <w:p>
      <w:pPr>
        <w:pStyle w:val="ListBullet"/>
        <w:spacing w:after="40"/>
      </w:pPr>
      <w:r>
        <w:t xml:space="preserve">NJDEP told Crestline on July 29, 2024 that the LSRP of record is </w:t>
      </w:r>
      <w:r>
        <w:rPr>
          <w:b/>
        </w:rPr>
        <w:t>Whitman Geosciences, LLC</w:t>
      </w:r>
      <w:r>
        <w:t xml:space="preserve"> (Phase I §7.4). Crestline recorded this “for the record” and noted that Whitman is unaffiliated. Neither report addresses the Seller’s contrary statement.</w:t>
      </w:r>
    </w:p>
    <w:p>
      <w:pPr>
        <w:pStyle w:val="ListBullet"/>
        <w:spacing w:after="40"/>
      </w:pPr>
      <w:r>
        <w:t>The PA bears Dr. Chen’s LSRP certification under N.J.A.C. 7:26E. If she is the Seller’s LSRP of record, she would also have certified, or be responsible for, the overdue biennial certifications.</w:t>
      </w:r>
    </w:p>
    <w:p>
      <w:pPr>
        <w:spacing w:after="40"/>
      </w:pPr>
      <w:r>
        <w:rPr>
          <w:b/>
          <w:i/>
        </w:rPr>
        <w:t>Why it matters.</w:t>
      </w:r>
    </w:p>
    <w:p>
      <w:pPr>
        <w:pStyle w:val="ListBullet"/>
        <w:spacing w:after="40"/>
      </w:pPr>
      <w:r>
        <w:t>If the Seller is right, Greenfield’s diligence consultant is the Seller’s certifying professional on the same case. That would undermine the independence of the Phase I (including the EP declaration for AAI purposes) and of the PA, and it may explain some of the PA’s favorable characterizations (Issues 6–8). If the Seller is wrong, its certified Questionnaire is materially inaccurate on a basic fact, which bears on the reliability of everything else in it.</w:t>
      </w:r>
    </w:p>
    <w:p>
      <w:pPr>
        <w:pStyle w:val="ListBullet"/>
        <w:spacing w:after="40"/>
      </w:pPr>
      <w:r>
        <w:t>The PSA names Crestline as “Buyer’s Consultants,” whose good-faith estimate drives the MEC definition. A conflicted consultant there is untenable. §9.7(c) also assumes a clean LSRP transition.</w:t>
      </w:r>
    </w:p>
    <w:p>
      <w:pPr>
        <w:spacing w:after="40"/>
      </w:pPr>
      <w:r>
        <w:rPr>
          <w:b/>
          <w:i/>
        </w:rPr>
        <w:t>Recommendation.</w:t>
      </w:r>
    </w:p>
    <w:p>
      <w:pPr>
        <w:pStyle w:val="ListBullet"/>
        <w:spacing w:after="40"/>
      </w:pPr>
      <w:r>
        <w:t>Get (i) written confirmation from NJDEP (DataMiner LSRP-of-record listing and case-manager email) and (ii) a written conflict disclosure from Crestline covering any engagement by Ridgeline, Haverford &amp; Klein or Whitman at any time.</w:t>
      </w:r>
    </w:p>
    <w:p>
      <w:pPr>
        <w:pStyle w:val="ListBullet"/>
        <w:spacing w:after="40"/>
      </w:pPr>
      <w:r>
        <w:t>If any conflict exists, retain an independent LSRP to peer-review the Phase I and PA and to direct the Phase II. Revisit the PSA definition of “Buyer’s Consultants.”</w:t>
      </w:r>
    </w:p>
    <w:p>
      <w:pPr>
        <w:pStyle w:val="Heading3"/>
      </w:pPr>
      <w:r>
        <w:t>Issue 7.  Engineering controls and the deed notice: conflicting descriptions</w:t>
      </w:r>
    </w:p>
    <w:p>
      <w:pPr>
        <w:spacing w:after="60"/>
      </w:pPr>
      <w:r>
        <w:rPr>
          <w:b/>
        </w:rPr>
        <w:t xml:space="preserve">Severity: </w:t>
      </w:r>
      <w:r>
        <w:rPr>
          <w:b/>
          <w:color w:val="E36C09"/>
        </w:rPr>
        <w:t>High</w:t>
      </w:r>
      <w:r>
        <w:rPr>
          <w:b/>
        </w:rPr>
        <w:t xml:space="preserve">     Sources: </w:t>
      </w:r>
      <w:r>
        <w:t>PA §§5.2, 9.1; Phase I §§4.2, 6.4, 8.2; Questionnaire A4.2; PSA §1.1 (“Deed Notice”)</w:t>
      </w:r>
    </w:p>
    <w:p>
      <w:pPr>
        <w:spacing w:after="40"/>
      </w:pPr>
      <w:r>
        <w:rPr>
          <w:b/>
          <w:i/>
        </w:rPr>
        <w:t>Finding.</w:t>
      </w:r>
    </w:p>
    <w:p>
      <w:pPr>
        <w:pStyle w:val="ListBullet"/>
        <w:spacing w:after="40"/>
      </w:pPr>
      <w:r>
        <w:rPr>
          <w:b/>
        </w:rPr>
        <w:t>AOC-3:</w:t>
      </w:r>
      <w:r>
        <w:t xml:space="preserve"> the PA says the area “is currently occupied by Buildings C and D and associated asphalt parking, which serve as engineering controls.” The Phase I, based on a site visit, says the former Building 3 area is “now a </w:t>
      </w:r>
      <w:r>
        <w:rPr>
          <w:b/>
        </w:rPr>
        <w:t>landscaped green space</w:t>
      </w:r>
      <w:r>
        <w:t xml:space="preserve"> between Buildings B and C,” with “turf grass and ornamental plantings,” and that the foundation was removed.</w:t>
      </w:r>
    </w:p>
    <w:p>
      <w:pPr>
        <w:pStyle w:val="ListBullet"/>
        <w:spacing w:after="40"/>
      </w:pPr>
      <w:r>
        <w:rPr>
          <w:b/>
        </w:rPr>
        <w:t>Seller:</w:t>
      </w:r>
      <w:r>
        <w:t xml:space="preserve"> “Seller is not aware of any engineering controls (such as caps, barriers …) currently in active operation” (A4.2). This contradicts the deed notice, which (per the PA and Phase I) requires maintenance of pavement and building caps.</w:t>
      </w:r>
    </w:p>
    <w:p>
      <w:pPr>
        <w:pStyle w:val="ListBullet"/>
        <w:spacing w:after="40"/>
      </w:pPr>
      <w:r>
        <w:rPr>
          <w:b/>
        </w:rPr>
        <w:t>Deed notice terms</w:t>
      </w:r>
      <w:r>
        <w:t xml:space="preserve"> are described differently: per the PA, it prohibits residential use and requires a soil management plan; per the Phase I, it requires SMP compliance, cap maintenance and notice to purchasers and tenants; per the Seller, it requires “prior notification to NJDEP and compliance with applicable health and safety requirements.” None of us has the instrument; it sits in the appendices.</w:t>
      </w:r>
    </w:p>
    <w:p>
      <w:pPr>
        <w:pStyle w:val="ListBullet"/>
        <w:spacing w:after="40"/>
      </w:pPr>
      <w:r>
        <w:t>If AOC-3 is uncapped turf and AOC-3 soil exceeds the TCE direct-contact standard (Issue 6), there may be an uncontrolled direct-contact exposure in a landscaped common area.</w:t>
      </w:r>
    </w:p>
    <w:p>
      <w:pPr>
        <w:spacing w:after="40"/>
      </w:pPr>
      <w:r>
        <w:rPr>
          <w:b/>
          <w:i/>
        </w:rPr>
        <w:t>Why it matters.</w:t>
      </w:r>
    </w:p>
    <w:p>
      <w:pPr>
        <w:pStyle w:val="ListBullet"/>
        <w:spacing w:after="40"/>
      </w:pPr>
      <w:r>
        <w:t>A breached or non-existent engineering control is non-compliance with the deed notice and any soil RAP. It is a basis for NJDEP enforcement and undermines the protectiveness finding. The redevelopment will remove building slabs and pavement inside the deed notice areas, which requires a deed notice and RAP modification, a soil management plan and new engineering controls.</w:t>
      </w:r>
    </w:p>
    <w:p>
      <w:pPr>
        <w:spacing w:after="40"/>
      </w:pPr>
      <w:r>
        <w:rPr>
          <w:b/>
          <w:i/>
        </w:rPr>
        <w:t>Recommendation.</w:t>
      </w:r>
    </w:p>
    <w:p>
      <w:pPr>
        <w:pStyle w:val="ListBullet"/>
        <w:spacing w:after="40"/>
      </w:pPr>
      <w:r>
        <w:t>Get the recorded deed notice with all exhibits (restricted-area maps and engineering-control descriptions), the RAW approval, and any RAP. Have a surveyor overlay the restricted areas on current site features. Field-verify the condition of each cap.</w:t>
      </w:r>
    </w:p>
    <w:p>
      <w:pPr>
        <w:pStyle w:val="ListBullet"/>
        <w:spacing w:after="40"/>
      </w:pPr>
      <w:r>
        <w:t>PSA: flat rep that the engineering controls described in the deed notice exist and are maintained; Seller to cure any deficiency before Closing; Seller indemnity for pre-Closing non-compliance outside the cap.</w:t>
      </w:r>
    </w:p>
    <w:p>
      <w:pPr>
        <w:pStyle w:val="Heading3"/>
      </w:pPr>
      <w:r>
        <w:t>Issue 8.  Undocumented 1,000-gallon diesel UST near Building B</w:t>
      </w:r>
    </w:p>
    <w:p>
      <w:pPr>
        <w:spacing w:after="60"/>
      </w:pPr>
      <w:r>
        <w:rPr>
          <w:b/>
        </w:rPr>
        <w:t xml:space="preserve">Severity: </w:t>
      </w:r>
      <w:r>
        <w:rPr>
          <w:b/>
          <w:color w:val="E36C09"/>
        </w:rPr>
        <w:t>High</w:t>
      </w:r>
      <w:r>
        <w:rPr>
          <w:b/>
        </w:rPr>
        <w:t xml:space="preserve">     Sources: </w:t>
      </w:r>
      <w:r>
        <w:t>Phase I REC-3, §§5.1.2, 6.3, 7.1–7.2, 7.4, 8.5; PA §§4.2, 10.2(2); Questionnaire A2.1; PSA §§9.1(c), 9.3(a)(ii)</w:t>
      </w:r>
    </w:p>
    <w:p>
      <w:pPr>
        <w:spacing w:after="40"/>
      </w:pPr>
      <w:r>
        <w:rPr>
          <w:b/>
          <w:i/>
        </w:rPr>
        <w:t>Finding.</w:t>
      </w:r>
    </w:p>
    <w:p>
      <w:pPr>
        <w:pStyle w:val="ListBullet"/>
        <w:spacing w:after="40"/>
      </w:pPr>
      <w:r>
        <w:t>The tank appears on a 1990 site plan in the NJDEP file and on the 1965 Sanborn map. It does not appear on the 1975 Sanborn map. There is no registration, closure notice, removal record or post-removal sampling. Seller personnel and NJDEP have no record of it. The area is paved, with no visible fill or vent pipes.</w:t>
      </w:r>
    </w:p>
    <w:p>
      <w:pPr>
        <w:pStyle w:val="ListBullet"/>
        <w:spacing w:after="40"/>
      </w:pPr>
      <w:r>
        <w:t>The Questionnaire says “all USTs have been properly closed and removed. No underground storage tanks are currently present.” PSA §9.1(c) repeats the statement, but qualified by Seller’s Knowledge (Ms. Voss’s actual knowledge, with no inquiry). Because the tank is described in the Phase I and PA, §9.3(a)(ii) would treat it as “known to Buyer” and exclude it from the indemnity.</w:t>
      </w:r>
    </w:p>
    <w:p>
      <w:pPr>
        <w:pStyle w:val="ListBullet"/>
        <w:spacing w:after="40"/>
      </w:pPr>
      <w:r>
        <w:t>The lack of a registration record does not establish that the tank was exempt. A small tank storing heating oil for on-site consumption might have been exempt from registration under N.J.A.C. 7:14B, but a diesel motor-fuel or process tank would not. In either case, any discharge is a reportable area of concern under the Technical Requirements.</w:t>
      </w:r>
    </w:p>
    <w:p>
      <w:pPr>
        <w:spacing w:after="40"/>
      </w:pPr>
      <w:r>
        <w:rPr>
          <w:b/>
          <w:i/>
        </w:rPr>
        <w:t>Why it matters.</w:t>
      </w:r>
    </w:p>
    <w:p>
      <w:pPr>
        <w:pStyle w:val="ListBullet"/>
        <w:spacing w:after="40"/>
      </w:pPr>
      <w:r>
        <w:t>An abandoned-in-place tank brings removal and closure costs and possible soil and groundwater remediation of petroleum (and potentially other) constituents beneath a building that is slated for demolition. The Seller’s inaccurate disclosure also bears on the reliability of its other responses.</w:t>
      </w:r>
    </w:p>
    <w:p>
      <w:pPr>
        <w:spacing w:after="40"/>
      </w:pPr>
      <w:r>
        <w:rPr>
          <w:b/>
          <w:i/>
        </w:rPr>
        <w:t>Recommendation.</w:t>
      </w:r>
    </w:p>
    <w:p>
      <w:pPr>
        <w:pStyle w:val="ListBullet"/>
        <w:spacing w:after="40"/>
      </w:pPr>
      <w:r>
        <w:t>Run the GPR/magnetometer survey and borings (soil and groundwater; petroleum and VOC analysis) before DD expiry.</w:t>
      </w:r>
    </w:p>
    <w:p>
      <w:pPr>
        <w:pStyle w:val="ListBullet"/>
        <w:spacing w:after="40"/>
      </w:pPr>
      <w:r>
        <w:t>PSA: Seller to locate, remove and close the tank, and to remediate any associated discharge, under N.J.A.C. 7:14B and 7:26E before Closing. Alternatively, a specific uncapped indemnity plus an escrow sized by the consultant. Remove the knowledge qualifier from §9.1(c) and carve the UST out of the “known to Buyer” exclusion.</w:t>
      </w:r>
    </w:p>
    <w:p>
      <w:pPr>
        <w:pStyle w:val="ListBullet"/>
        <w:spacing w:after="40"/>
      </w:pPr>
      <w:r>
        <w:t>Agree a protocol now for who reports a discovered discharge to the NJDEP hotline (and when), so Greenfield does not become the discharging or reporting party before Closing.</w:t>
      </w:r>
    </w:p>
    <w:p>
      <w:pPr>
        <w:pStyle w:val="Heading3"/>
      </w:pPr>
      <w:r>
        <w:t>Issue 9.  The documents disagree about where things are</w:t>
      </w:r>
    </w:p>
    <w:p>
      <w:pPr>
        <w:spacing w:after="60"/>
      </w:pPr>
      <w:r>
        <w:rPr>
          <w:b/>
        </w:rPr>
        <w:t xml:space="preserve">Severity: </w:t>
      </w:r>
      <w:r>
        <w:rPr>
          <w:b/>
          <w:color w:val="E36C09"/>
        </w:rPr>
        <w:t>High</w:t>
      </w:r>
      <w:r>
        <w:rPr>
          <w:b/>
        </w:rPr>
        <w:t xml:space="preserve">     Sources: </w:t>
      </w:r>
      <w:r>
        <w:t>See Section 6 table; PSA §9.10</w:t>
      </w:r>
    </w:p>
    <w:p>
      <w:pPr>
        <w:spacing w:after="40"/>
      </w:pPr>
      <w:r>
        <w:rPr>
          <w:b/>
          <w:i/>
        </w:rPr>
        <w:t>Finding.</w:t>
      </w:r>
    </w:p>
    <w:p>
      <w:pPr>
        <w:pStyle w:val="ListBullet"/>
        <w:spacing w:after="40"/>
      </w:pPr>
      <w:r>
        <w:t xml:space="preserve">The PA, Phase I, Questionnaire and PSA describe different locations for the AOCs and buildings, different adjoining uses, different monitoring-well networks (14 wells in the PA; 8 found in the field in the Phase I, including MW-16, which the PA does not list; 17 in the UW Memo), and different hydrogeology. PSA §9.10 places AOC-1 “near Building B,” AOC-3 at a “former </w:t>
      </w:r>
      <w:r>
        <w:rPr>
          <w:b/>
        </w:rPr>
        <w:t>Building F</w:t>
      </w:r>
      <w:r>
        <w:t xml:space="preserve"> footprint” (historical records call it Building 3) and AOC-5 in the “</w:t>
      </w:r>
      <w:r>
        <w:rPr>
          <w:b/>
        </w:rPr>
        <w:t>northwest</w:t>
      </w:r>
      <w:r>
        <w:t xml:space="preserve"> portion … adjacent to the rail spur.” Those descriptions match neither report.</w:t>
      </w:r>
    </w:p>
    <w:p>
      <w:pPr>
        <w:spacing w:after="40"/>
      </w:pPr>
      <w:r>
        <w:rPr>
          <w:b/>
          <w:i/>
        </w:rPr>
        <w:t>Why it matters.</w:t>
      </w:r>
    </w:p>
    <w:p>
      <w:pPr>
        <w:pStyle w:val="ListBullet"/>
        <w:spacing w:after="40"/>
      </w:pPr>
      <w:r>
        <w:t>Accurate AOC and deed-notice-area locations underpin every downstream judgment: which buildings need VI work, which footprints sit in restricted areas, where Phase II borings go, which wells exist to support MNA and CEA compliance, and what the PSA indemnity actually covers. Seven of the 14 PA wells (MW-2, -4, -6, -8, -10, -11, -13 not observed) may have been destroyed or paved over, which would itself be a monitoring-program deficiency.</w:t>
      </w:r>
    </w:p>
    <w:p>
      <w:pPr>
        <w:spacing w:after="40"/>
      </w:pPr>
      <w:r>
        <w:rPr>
          <w:b/>
          <w:i/>
        </w:rPr>
        <w:t>Recommendation.</w:t>
      </w:r>
    </w:p>
    <w:p>
      <w:pPr>
        <w:pStyle w:val="ListBullet"/>
        <w:spacing w:after="40"/>
      </w:pPr>
      <w:r>
        <w:t>Have Crestline (or the independent LSRP) produce a single survey-based site plan reconciling the deed notice exhibits, CEA boundary, well inventory (with a field-verified status for each well) and the AOC footprints. Correct PSA §9.10 to cross-refer to the deed notice exhibits rather than narrative descriptions.</w:t>
      </w:r>
    </w:p>
    <w:p>
      <w:pPr>
        <w:pStyle w:val="Heading3"/>
      </w:pPr>
      <w:r>
        <w:t>Issue 10.  ISRA: the analysis in the file is flawed and PSA §9.5 does not work</w:t>
      </w:r>
    </w:p>
    <w:p>
      <w:pPr>
        <w:spacing w:after="60"/>
      </w:pPr>
      <w:r>
        <w:rPr>
          <w:b/>
        </w:rPr>
        <w:t xml:space="preserve">Severity: </w:t>
      </w:r>
      <w:r>
        <w:rPr>
          <w:b/>
          <w:color w:val="E36C09"/>
        </w:rPr>
        <w:t>High</w:t>
      </w:r>
      <w:r>
        <w:rPr>
          <w:b/>
        </w:rPr>
        <w:t xml:space="preserve">     Sources: </w:t>
      </w:r>
      <w:r>
        <w:t>PSA §9.5; Questionnaire A1.5, A6.4; Phase I §§2.5, 4.3, 10.0, 11.0; UW Memo §§1, 4</w:t>
      </w:r>
    </w:p>
    <w:p>
      <w:pPr>
        <w:spacing w:after="40"/>
      </w:pPr>
      <w:r>
        <w:rPr>
          <w:b/>
          <w:i/>
        </w:rPr>
        <w:t>Finding.</w:t>
      </w:r>
    </w:p>
    <w:p>
      <w:pPr>
        <w:pStyle w:val="ListBullet"/>
        <w:spacing w:after="40"/>
      </w:pPr>
      <w:r>
        <w:t xml:space="preserve">The Phase I and UW Memo say the </w:t>
      </w:r>
      <w:r>
        <w:rPr>
          <w:b/>
        </w:rPr>
        <w:t>life-sciences redevelopment and “SIC code change” will trigger ISRA</w:t>
      </w:r>
      <w:r>
        <w:t>. Under N.J.S.A. 13:1K-6 et seq., ISRA is triggered by the closing, terminating or transferring of operations of an “industrial establishment” (an operation with a subject NAICS code that handled hazardous substances on or after December 31, 1983), not by redevelopment or a change in use. A post-Closing life-sciences use could create a new industrial establishment going forward if tenants operate under subject NAICS codes. That is a leasing issue, not a trigger for this transaction.</w:t>
      </w:r>
    </w:p>
    <w:p>
      <w:pPr>
        <w:pStyle w:val="ListBullet"/>
        <w:spacing w:after="40"/>
      </w:pPr>
      <w:r>
        <w:t xml:space="preserve">The </w:t>
      </w:r>
      <w:r>
        <w:rPr>
          <w:b/>
        </w:rPr>
        <w:t>Seller</w:t>
      </w:r>
      <w:r>
        <w:t xml:space="preserve"> states that its 1997 acquisition was an ISRA triggering event and that its remediation was performed “in part to satisfy” ISRA. No ISRA case number, filing, remediation certification or clearance is identified. Consolidated’s 1996 cessation of operations was the more obvious trigger. Whether ISRA obligations from that period remain open is unknown.</w:t>
      </w:r>
    </w:p>
    <w:p>
      <w:pPr>
        <w:pStyle w:val="ListBullet"/>
        <w:spacing w:after="40"/>
      </w:pPr>
      <w:r>
        <w:t xml:space="preserve">The UW Memo assumes ISRA would force </w:t>
      </w:r>
      <w:r>
        <w:rPr>
          <w:b/>
        </w:rPr>
        <w:t>unrestricted-use</w:t>
      </w:r>
      <w:r>
        <w:t xml:space="preserve"> cleanup. ISRA does not of itself require unrestricted-use standards; restricted-use and limited-restricted-use remedies with institutional and engineering controls remain available. The driver of cleanup scope will be the redevelopment design and any deed notice and RAP modification.</w:t>
      </w:r>
    </w:p>
    <w:p>
      <w:pPr>
        <w:pStyle w:val="ListBullet"/>
        <w:spacing w:after="40"/>
      </w:pPr>
      <w:r>
        <w:rPr>
          <w:b/>
        </w:rPr>
        <w:t>PSA §9.5</w:t>
      </w:r>
      <w:r>
        <w:t xml:space="preserve"> makes Seller’s delivery of an LNA or an NJDEP “No Further Action (NFA)” letter a Closing condition. Since SRRA, LSRP-led cases end with an LSRP-issued </w:t>
      </w:r>
      <w:r>
        <w:rPr>
          <w:b/>
        </w:rPr>
        <w:t>RAO</w:t>
      </w:r>
      <w:r>
        <w:t>, not an NJDEP NFA letter. An RAO for this site cannot realistically be obtained by January 15, 2025 (plus the 60-day extension). ISRA also allows a transaction to close before remediation is complete under a remediation certification backed by an RFS; §9.5 does not use that route. As drafted, the condition is likely impossible to satisfy unless ISRA is found inapplicable.</w:t>
      </w:r>
    </w:p>
    <w:p>
      <w:pPr>
        <w:pStyle w:val="ListBullet"/>
        <w:spacing w:after="40"/>
      </w:pPr>
      <w:r>
        <w:rPr>
          <w:b/>
        </w:rPr>
        <w:t>§9.5(b)(ii)</w:t>
      </w:r>
      <w:r>
        <w:t xml:space="preserve"> (Seller remains obligated after Closing to complete ISRA compliance at its sole cost) conflicts with </w:t>
      </w:r>
      <w:r>
        <w:rPr>
          <w:b/>
        </w:rPr>
        <w:t>§9.7(b)</w:t>
      </w:r>
      <w:r>
        <w:t xml:space="preserve"> (Seller has no obligation to remediate except within the capped §9.3 indemnity).</w:t>
      </w:r>
    </w:p>
    <w:p>
      <w:pPr>
        <w:spacing w:after="40"/>
      </w:pPr>
      <w:r>
        <w:rPr>
          <w:b/>
          <w:i/>
        </w:rPr>
        <w:t>Why it matters.</w:t>
      </w:r>
    </w:p>
    <w:p>
      <w:pPr>
        <w:pStyle w:val="ListBullet"/>
        <w:spacing w:after="40"/>
      </w:pPr>
      <w:r>
        <w:t>A misapplied ISRA analysis distorts both the budget (unrestricted-use assumption) and the negotiating strategy. A Closing condition that cannot be met invites a late-stage renegotiation, or a Buyer waiver under §9.5(b)(ii) into a clause that §9.7(b) appears to neutralize.</w:t>
      </w:r>
    </w:p>
    <w:p>
      <w:pPr>
        <w:spacing w:after="40"/>
      </w:pPr>
      <w:r>
        <w:rPr>
          <w:b/>
          <w:i/>
        </w:rPr>
        <w:t>Recommendation.</w:t>
      </w:r>
    </w:p>
    <w:p>
      <w:pPr>
        <w:pStyle w:val="ListBullet"/>
        <w:spacing w:after="40"/>
      </w:pPr>
      <w:r>
        <w:t>Have counsel complete an ISRA applicability analysis (Seller’s current NAICS; any tenant NAICS; historical ECRA/ISRA file). If ISRA does not apply, require an LNA application promptly after signing. If it applies, define “ISRA Clearance” as an LNA, an RAO for the industrial establishment, or an NJDEP-accepted remediation certification with an RFS posted by Seller and Seller remaining the person responsible for conducting the remediation.</w:t>
      </w:r>
    </w:p>
    <w:p>
      <w:pPr>
        <w:pStyle w:val="ListBullet"/>
        <w:spacing w:after="40"/>
      </w:pPr>
      <w:r>
        <w:t>State expressly that §9.5 obligations are uncapped, survive Closing until an RAO issues, and prevail over §9.7(b).</w:t>
      </w:r>
    </w:p>
    <w:p>
      <w:pPr>
        <w:pStyle w:val="Heading3"/>
      </w:pPr>
      <w:r>
        <w:t>Issue 13.  Seller’s Questionnaire is inaccurate, and the PSA strips it of force</w:t>
      </w:r>
    </w:p>
    <w:p>
      <w:pPr>
        <w:spacing w:after="60"/>
      </w:pPr>
      <w:r>
        <w:rPr>
          <w:b/>
        </w:rPr>
        <w:t xml:space="preserve">Severity: </w:t>
      </w:r>
      <w:r>
        <w:rPr>
          <w:b/>
          <w:color w:val="E36C09"/>
        </w:rPr>
        <w:t>High</w:t>
      </w:r>
      <w:r>
        <w:rPr>
          <w:b/>
        </w:rPr>
        <w:t xml:space="preserve">     Sources: </w:t>
      </w:r>
      <w:r>
        <w:t>Questionnaire passim and Certification; PSA §§1.1 (“Knowledge”), 9.1(f)–(g)</w:t>
      </w:r>
    </w:p>
    <w:p>
      <w:pPr>
        <w:spacing w:after="40"/>
      </w:pPr>
      <w:r>
        <w:rPr>
          <w:b/>
          <w:i/>
        </w:rPr>
        <w:t>Finding.</w:t>
      </w:r>
    </w:p>
    <w:p>
      <w:pPr>
        <w:pStyle w:val="ListBullet"/>
        <w:spacing w:after="40"/>
      </w:pPr>
      <w:r>
        <w:t>Statements contradicted by the record: (i) regulatory closure obtained (A4.1); (ii) biennial certifications timely filed (A4.3); (iii) Dr. Chen is LSRP of record (A4.5); (iv) all USTs removed (A2.1); (v) no engineering controls exist (A4.2); (vi) the CEA was established “for residual soil contamination” (A4.1; a CEA addresses groundwater); (vii) no LOI obtained (A7.1; the PA cites a 2002 LOI, File No. 0418-02-0003.1 FWW); (viii) not in a FEMA SFHA (A7.1; the Phase I identifies Zone AE along the southern boundary); (ix) AOC-1 sampled on walls and floor (A2.3); (x) groundwater results “consistent with the projections” (A4.3), despite rising PCE at MW-14 and persistent vinyl chloride at MW-12. The four historical spill incidents in the NJ Spill database (Phase I §5.1.1) are not mentioned.</w:t>
      </w:r>
    </w:p>
    <w:p>
      <w:pPr>
        <w:pStyle w:val="ListBullet"/>
        <w:spacing w:after="40"/>
      </w:pPr>
      <w:r>
        <w:t>PLL limits: the Questionnaire gives $10,000,000 aggregate with a $250,000 SIR. PSA §9.1(f) gives $5,000,000.</w:t>
      </w:r>
    </w:p>
    <w:p>
      <w:pPr>
        <w:pStyle w:val="ListBullet"/>
        <w:spacing w:after="40"/>
      </w:pPr>
      <w:r>
        <w:t>The Questionnaire is unsigned, and the notarial jurat is blank (and gives the county as “SOVRSET”). It also disclaims being a representation except as stated in the PSA.</w:t>
      </w:r>
    </w:p>
    <w:p>
      <w:pPr>
        <w:pStyle w:val="ListBullet"/>
        <w:spacing w:after="40"/>
      </w:pPr>
      <w:r>
        <w:t xml:space="preserve">The Questionnaire is given “after reasonable inquiry,” but the PSA’s </w:t>
      </w:r>
      <w:r>
        <w:rPr>
          <w:b/>
        </w:rPr>
        <w:t>Knowledge</w:t>
      </w:r>
      <w:r>
        <w:t xml:space="preserve"> definition is the actual knowledge of Ms. Voss alone, “without any duty … of inquiry,” and excludes imputed knowledge of Mr. Novak (VP Facilities since 2002), the property manager and the LSRP. §9.1(g) also limits the disclosure rep to what Seller “intentionally withheld.”</w:t>
      </w:r>
    </w:p>
    <w:p>
      <w:pPr>
        <w:spacing w:after="40"/>
      </w:pPr>
      <w:r>
        <w:rPr>
          <w:b/>
          <w:i/>
        </w:rPr>
        <w:t>Why it matters.</w:t>
      </w:r>
    </w:p>
    <w:p>
      <w:pPr>
        <w:pStyle w:val="ListBullet"/>
        <w:spacing w:after="40"/>
      </w:pPr>
      <w:r>
        <w:t>Taken together, the PSA lets the Seller disclose broadly through the Questionnaire and Schedule 9.1 (which narrows the reps and indemnity) while making the Questionnaire’s accuracy nearly unenforceable.</w:t>
      </w:r>
    </w:p>
    <w:p>
      <w:pPr>
        <w:spacing w:after="40"/>
      </w:pPr>
      <w:r>
        <w:rPr>
          <w:b/>
          <w:i/>
        </w:rPr>
        <w:t>Recommendation.</w:t>
      </w:r>
    </w:p>
    <w:p>
      <w:pPr>
        <w:pStyle w:val="ListBullet"/>
        <w:spacing w:after="40"/>
      </w:pPr>
      <w:r>
        <w:t>Require a corrected, executed and notarized Questionnaire. Expand Knowledge to include Mr. Novak, Ms. Walsh and the LSRP of record, after due inquiry, with constructive knowledge of the Seller’s files and those of its consultants and counsel. Make the reps on case status, certifications, LSRP identity, USTs and engineering controls flat (unqualified). Reconcile the PLL limits.</w:t>
      </w:r>
    </w:p>
    <w:p>
      <w:pPr>
        <w:pStyle w:val="Heading3"/>
      </w:pPr>
      <w:r>
        <w:t>Issue 14.  Federal and New Jersey liability position: AAI/BFPP and the Spill Act</w:t>
      </w:r>
    </w:p>
    <w:p>
      <w:pPr>
        <w:spacing w:after="60"/>
      </w:pPr>
      <w:r>
        <w:rPr>
          <w:b/>
        </w:rPr>
        <w:t xml:space="preserve">Severity: </w:t>
      </w:r>
      <w:r>
        <w:rPr>
          <w:b/>
          <w:color w:val="BF9000"/>
        </w:rPr>
        <w:t>Medium</w:t>
      </w:r>
      <w:r>
        <w:rPr>
          <w:b/>
        </w:rPr>
        <w:t xml:space="preserve">     Sources: </w:t>
      </w:r>
      <w:r>
        <w:t>Phase I §§2.1, 2.4, 4.1, 4.5, 5.1.1, 12.1; 42 U.S.C. §§9601(40), 9607(r); 40 C.F.R. Part 312; N.J.S.A. 58:10-23.11g</w:t>
      </w:r>
    </w:p>
    <w:p>
      <w:pPr>
        <w:spacing w:after="40"/>
      </w:pPr>
      <w:r>
        <w:rPr>
          <w:b/>
          <w:i/>
        </w:rPr>
        <w:t>Finding.</w:t>
      </w:r>
    </w:p>
    <w:p>
      <w:pPr>
        <w:pStyle w:val="ListBullet"/>
        <w:spacing w:after="40"/>
      </w:pPr>
      <w:r>
        <w:rPr>
          <w:b/>
        </w:rPr>
        <w:t>180-day viability:</w:t>
      </w:r>
      <w:r>
        <w:t xml:space="preserve"> the regulatory database search (July 15, 2024) passes 180 days on </w:t>
      </w:r>
      <w:r>
        <w:rPr>
          <w:b/>
        </w:rPr>
        <w:t>January 11, 2025</w:t>
      </w:r>
      <w:r>
        <w:t>, before the January 15, 2025 Closing. The site reconnaissance (July 22, 2024) passes 180 days on January 18, 2025, which is lost under any ISRA or cure extension. Interviews and the lien search must likewise be current.</w:t>
      </w:r>
    </w:p>
    <w:p>
      <w:pPr>
        <w:pStyle w:val="ListBullet"/>
        <w:spacing w:after="40"/>
      </w:pPr>
      <w:r>
        <w:rPr>
          <w:b/>
        </w:rPr>
        <w:t>Environmental lien and AUL search:</w:t>
      </w:r>
      <w:r>
        <w:t xml:space="preserve"> the Phase I relied on title records “as provided by the User” and did not perform a title or lien search (§§2.3(b), 4.1). That is a User responsibility under AAI and should be documented.</w:t>
      </w:r>
    </w:p>
    <w:p>
      <w:pPr>
        <w:pStyle w:val="ListBullet"/>
        <w:spacing w:after="40"/>
      </w:pPr>
      <w:r>
        <w:rPr>
          <w:b/>
        </w:rPr>
        <w:t>User questionnaire / valuation:</w:t>
      </w:r>
      <w:r>
        <w:t xml:space="preserve"> the Phase I records that the price does not reflect a reduction for environmental conditions (§4.5). If the price is renegotiated, the AAI record should reflect it.</w:t>
      </w:r>
    </w:p>
    <w:p>
      <w:pPr>
        <w:pStyle w:val="ListBullet"/>
        <w:spacing w:after="40"/>
      </w:pPr>
      <w:r>
        <w:rPr>
          <w:b/>
        </w:rPr>
        <w:t>Building A</w:t>
      </w:r>
      <w:r>
        <w:t xml:space="preserve"> interior was largely inaccessible (§§2.4(b), 6.1), yet this was not treated as a data gap.</w:t>
      </w:r>
    </w:p>
    <w:p>
      <w:pPr>
        <w:pStyle w:val="ListBullet"/>
        <w:spacing w:after="40"/>
      </w:pPr>
      <w:r>
        <w:rPr>
          <w:b/>
        </w:rPr>
        <w:t>Upgradient dry cleaner:</w:t>
      </w:r>
      <w:r>
        <w:t xml:space="preserve"> the Phase I discounts a PCE-impacted KCSL dry cleaner at 180 Commerce Drive (about 500 ft northwest) because groundwater flows southeast, “away from Subject Property.” If the dry cleaner is northwest and flow is to the southeast, the Property is </w:t>
      </w:r>
      <w:r>
        <w:rPr>
          <w:b/>
        </w:rPr>
        <w:t>downgradient</w:t>
      </w:r>
      <w:r>
        <w:t xml:space="preserve"> of it. PCE at upgradient well MW-1 (1.2 µg/L) may reflect an off-site contribution.</w:t>
      </w:r>
    </w:p>
    <w:p>
      <w:pPr>
        <w:pStyle w:val="ListBullet"/>
        <w:spacing w:after="40"/>
      </w:pPr>
      <w:r>
        <w:rPr>
          <w:b/>
        </w:rPr>
        <w:t>Spill Act:</w:t>
      </w:r>
      <w:r>
        <w:t xml:space="preserve"> New Jersey’s innocent-purchaser defense requires that the purchaser did not know and had no reason to know of the discharge. Greenfield will acquire with full knowledge, so on Closing it will be a liable owner under the Spill Act regardless of CERCLA BFPP status. BFPP protection also depends on continuing obligations: reasonable steps (e.g., responding to VI results), compliance with the deed notice and CEA, cooperation and information requests.</w:t>
      </w:r>
    </w:p>
    <w:p>
      <w:pPr>
        <w:spacing w:after="40"/>
      </w:pPr>
      <w:r>
        <w:rPr>
          <w:b/>
          <w:i/>
        </w:rPr>
        <w:t>Why it matters.</w:t>
      </w:r>
    </w:p>
    <w:p>
      <w:pPr>
        <w:pStyle w:val="ListBullet"/>
        <w:spacing w:after="40"/>
      </w:pPr>
      <w:r>
        <w:t>The contract allocation with the Seller, insurance and a well-documented BFPP record are Greenfield’s primary protection. The statutory defenses are limited for a knowing purchaser in New Jersey.</w:t>
      </w:r>
    </w:p>
    <w:p>
      <w:pPr>
        <w:spacing w:after="40"/>
      </w:pPr>
      <w:r>
        <w:rPr>
          <w:b/>
          <w:i/>
        </w:rPr>
        <w:t>Recommendation.</w:t>
      </w:r>
    </w:p>
    <w:p>
      <w:pPr>
        <w:pStyle w:val="ListBullet"/>
        <w:spacing w:after="40"/>
      </w:pPr>
      <w:r>
        <w:t>Order a Phase I update (records, reconnaissance including Building A interior, interviews and EP declaration) dated within 180 days before the actual Closing. Run an environmental lien and AUL search through title. Re-evaluate the dry cleaner as a potential REC and contribution source. Prepare a post-Closing BFPP and continuing-obligations compliance plan. Do not let the PSA release (§9.2(b)) waive Greenfield’s Spill Act and CERCLA contribution rights against the Seller for pre-Closing conditions.</w:t>
      </w:r>
    </w:p>
    <w:p>
      <w:pPr>
        <w:pStyle w:val="Heading3"/>
      </w:pPr>
      <w:r>
        <w:t>Issue 15.  Wetlands, transition area and flood hazard</w:t>
      </w:r>
    </w:p>
    <w:p>
      <w:pPr>
        <w:spacing w:after="60"/>
      </w:pPr>
      <w:r>
        <w:rPr>
          <w:b/>
        </w:rPr>
        <w:t xml:space="preserve">Severity: </w:t>
      </w:r>
      <w:r>
        <w:rPr>
          <w:b/>
          <w:color w:val="BF9000"/>
        </w:rPr>
        <w:t>Medium</w:t>
      </w:r>
      <w:r>
        <w:rPr>
          <w:b/>
        </w:rPr>
        <w:t xml:space="preserve">     Sources: </w:t>
      </w:r>
      <w:r>
        <w:t>PA §§3.1, 8.1; Phase I §§3.2, 5.3, 9.4; Questionnaire A7.1–A7.2</w:t>
      </w:r>
    </w:p>
    <w:p>
      <w:pPr>
        <w:spacing w:after="40"/>
      </w:pPr>
      <w:r>
        <w:rPr>
          <w:b/>
          <w:i/>
        </w:rPr>
        <w:t>Finding.</w:t>
      </w:r>
    </w:p>
    <w:p>
      <w:pPr>
        <w:pStyle w:val="ListBullet"/>
        <w:spacing w:after="40"/>
      </w:pPr>
      <w:r>
        <w:t>The PA calls the 2.8-acre wetland “exceptional resource value” but applies a 50-foot transition area. Under the Freshwater Wetlands Protection Act rules (N.J.A.C. 7:7A), exceptional resource value wetlands carry a 150-foot transition area; 50 feet applies to intermediate resource value wetlands. The Phase I classifies the wetland as PEM1C with a 50-foot transition area, and the Seller denies any LOI exists.</w:t>
      </w:r>
    </w:p>
    <w:p>
      <w:pPr>
        <w:pStyle w:val="ListBullet"/>
        <w:spacing w:after="40"/>
      </w:pPr>
      <w:r>
        <w:t>The 2002 LOI is well beyond its validity period (LOIs are generally valid for five years, subject to limited extension) and cannot be relied on for redevelopment.</w:t>
      </w:r>
    </w:p>
    <w:p>
      <w:pPr>
        <w:pStyle w:val="ListBullet"/>
        <w:spacing w:after="40"/>
      </w:pPr>
      <w:r>
        <w:t>The Phase I identifies FEMA Zone AE along the southern strip. The Seller says the Property is not in an SFHA. The NJ Flood Hazard Area Control Act rules (N.J.A.C. 7:13) riparian-zone limits for the Green Brook tributary also need assessing.</w:t>
      </w:r>
    </w:p>
    <w:p>
      <w:pPr>
        <w:pStyle w:val="ListBullet"/>
        <w:spacing w:after="40"/>
      </w:pPr>
      <w:r>
        <w:t>MW-14 is about 150 ft from the wetland boundary, and the plume flows toward it. No ecological evaluation has been done (see Issue 4).</w:t>
      </w:r>
    </w:p>
    <w:p>
      <w:pPr>
        <w:spacing w:after="40"/>
      </w:pPr>
      <w:r>
        <w:rPr>
          <w:b/>
          <w:i/>
        </w:rPr>
        <w:t>Why it matters.</w:t>
      </w:r>
    </w:p>
    <w:p>
      <w:pPr>
        <w:pStyle w:val="ListBullet"/>
        <w:spacing w:after="40"/>
      </w:pPr>
      <w:r>
        <w:t>A 150-foot transition area and riparian-zone limits could materially reduce the developable footprint of a 47.3-acre campus, and contaminant discharge to the wetland would bring ecological remediation and NRD exposure.</w:t>
      </w:r>
    </w:p>
    <w:p>
      <w:pPr>
        <w:spacing w:after="40"/>
      </w:pPr>
      <w:r>
        <w:rPr>
          <w:b/>
          <w:i/>
        </w:rPr>
        <w:t>Recommendation.</w:t>
      </w:r>
    </w:p>
    <w:p>
      <w:pPr>
        <w:pStyle w:val="ListBullet"/>
        <w:spacing w:after="40"/>
      </w:pPr>
      <w:r>
        <w:t>Commission a new delineation and LOI application, a flood hazard and riparian zone verification, and an ecological evaluation. Build the results into site planning and the PSA allocation.</w:t>
      </w:r>
    </w:p>
    <w:p>
      <w:pPr>
        <w:pStyle w:val="Heading3"/>
      </w:pPr>
      <w:r>
        <w:t>Issue 16.  Emerging and unanalyzed contaminants</w:t>
      </w:r>
    </w:p>
    <w:p>
      <w:pPr>
        <w:spacing w:after="60"/>
      </w:pPr>
      <w:r>
        <w:rPr>
          <w:b/>
        </w:rPr>
        <w:t xml:space="preserve">Severity: </w:t>
      </w:r>
      <w:r>
        <w:rPr>
          <w:b/>
          <w:color w:val="BF9000"/>
        </w:rPr>
        <w:t>Medium</w:t>
      </w:r>
      <w:r>
        <w:rPr>
          <w:b/>
        </w:rPr>
        <w:t xml:space="preserve">     Sources: </w:t>
      </w:r>
      <w:r>
        <w:t>PA §§3.2, 5.1–5.3, 6.2; Phase I §8.3; Questionnaire A3.1</w:t>
      </w:r>
    </w:p>
    <w:p>
      <w:pPr>
        <w:spacing w:after="40"/>
      </w:pPr>
      <w:r>
        <w:rPr>
          <w:b/>
          <w:i/>
        </w:rPr>
        <w:t>Finding.</w:t>
      </w:r>
    </w:p>
    <w:p>
      <w:pPr>
        <w:pStyle w:val="ListBullet"/>
        <w:spacing w:after="40"/>
      </w:pPr>
      <w:r>
        <w:t xml:space="preserve">No reported analysis for </w:t>
      </w:r>
      <w:r>
        <w:rPr>
          <w:b/>
        </w:rPr>
        <w:t>1,4-dioxane</w:t>
      </w:r>
      <w:r>
        <w:t xml:space="preserve"> (a common chlorinated-solvent stabilizer associated with solvent recovery; New Jersey has a stringent GWQS), </w:t>
      </w:r>
      <w:r>
        <w:rPr>
          <w:b/>
        </w:rPr>
        <w:t>PFAS</w:t>
      </w:r>
      <w:r>
        <w:t xml:space="preserve"> (associated with drum reconditioning, coatings and solvent handling; New Jersey has adopted groundwater standards for several PFAS), </w:t>
      </w:r>
      <w:r>
        <w:rPr>
          <w:b/>
        </w:rPr>
        <w:t>metals, PCBs or SVOCs</w:t>
      </w:r>
      <w:r>
        <w:t xml:space="preserve"> at AOC-5, or </w:t>
      </w:r>
      <w:r>
        <w:rPr>
          <w:b/>
        </w:rPr>
        <w:t>acetone and methanol</w:t>
      </w:r>
      <w:r>
        <w:t xml:space="preserve"> (disclosed by the Seller as used on site). Historic pesticides from the 1920–1961 dairy-farm period are not evaluated.</w:t>
      </w:r>
    </w:p>
    <w:p>
      <w:pPr>
        <w:spacing w:after="40"/>
      </w:pPr>
      <w:r>
        <w:rPr>
          <w:b/>
          <w:i/>
        </w:rPr>
        <w:t>Why it matters.</w:t>
      </w:r>
    </w:p>
    <w:p>
      <w:pPr>
        <w:pStyle w:val="ListBullet"/>
        <w:spacing w:after="40"/>
      </w:pPr>
      <w:r>
        <w:t>New Jersey regulates several of these constituents at very low levels. Any of them could extend the plume, change the remedy, or create a new area of concern after Closing. Draft §9.7(a)(iv) would make that Greenfield’s problem.</w:t>
      </w:r>
    </w:p>
    <w:p>
      <w:pPr>
        <w:spacing w:after="40"/>
      </w:pPr>
      <w:r>
        <w:rPr>
          <w:b/>
          <w:i/>
        </w:rPr>
        <w:t>Recommendation.</w:t>
      </w:r>
    </w:p>
    <w:p>
      <w:pPr>
        <w:pStyle w:val="ListBullet"/>
        <w:spacing w:after="40"/>
      </w:pPr>
      <w:r>
        <w:t>Add these analytes to the Phase II groundwater round and AOC-5 work. Confirm that the PSA definition of Hazardous Substances expressly includes PFAS and 1,4-dioxane, and that Seller’s retained liabilities cover them.</w:t>
      </w:r>
    </w:p>
    <w:p>
      <w:pPr>
        <w:pStyle w:val="Heading3"/>
      </w:pPr>
      <w:r>
        <w:t>Issue 17.  Environmental insurance</w:t>
      </w:r>
    </w:p>
    <w:p>
      <w:pPr>
        <w:spacing w:after="60"/>
      </w:pPr>
      <w:r>
        <w:rPr>
          <w:b/>
        </w:rPr>
        <w:t xml:space="preserve">Severity: </w:t>
      </w:r>
      <w:r>
        <w:rPr>
          <w:b/>
          <w:color w:val="BF9000"/>
        </w:rPr>
        <w:t>Medium</w:t>
      </w:r>
      <w:r>
        <w:rPr>
          <w:b/>
        </w:rPr>
        <w:t xml:space="preserve">     Sources: </w:t>
      </w:r>
      <w:r>
        <w:t>Questionnaire A5.1–A5.3; PSA §§9.1(f), 9.3(f), 9.9; UW Memo §§3.4, 4, 5</w:t>
      </w:r>
    </w:p>
    <w:p>
      <w:pPr>
        <w:spacing w:after="40"/>
      </w:pPr>
      <w:r>
        <w:rPr>
          <w:b/>
          <w:i/>
        </w:rPr>
        <w:t>Finding.</w:t>
      </w:r>
    </w:p>
    <w:p>
      <w:pPr>
        <w:pStyle w:val="ListBullet"/>
        <w:spacing w:after="40"/>
      </w:pPr>
      <w:r>
        <w:t>The Keystone PLL (Policy KEA-PLL-2003-0478; 1998–2008) has expired and is probably claims-made, which would leave no coverage now. Its limits are stated inconsistently ($10M vs $5M). The policy number suggests a 2003 issuance or renewal despite the 1998 start date.</w:t>
      </w:r>
    </w:p>
    <w:p>
      <w:pPr>
        <w:pStyle w:val="ListBullet"/>
        <w:spacing w:after="40"/>
      </w:pPr>
      <w:r>
        <w:t>No one has looked at Consolidated’s historical occurrence-based CGL policies (1962–1996). For pre-1986 periods these may lack absolute pollution exclusions, and New Jersey allocation law can be favorable to policyholders for long-tail property damage.</w:t>
      </w:r>
    </w:p>
    <w:p>
      <w:pPr>
        <w:pStyle w:val="ListBullet"/>
        <w:spacing w:after="40"/>
      </w:pPr>
      <w:r>
        <w:t>PSA §9.3(f) requires Greenfield to “use commercially reasonable efforts” to seek recovery from Consolidated’s bankruptcy estate and from insurers, and to remit recoveries to the Seller.</w:t>
      </w:r>
    </w:p>
    <w:p>
      <w:pPr>
        <w:spacing w:after="40"/>
      </w:pPr>
      <w:r>
        <w:rPr>
          <w:b/>
          <w:i/>
        </w:rPr>
        <w:t>Why it matters.</w:t>
      </w:r>
    </w:p>
    <w:p>
      <w:pPr>
        <w:pStyle w:val="ListBullet"/>
        <w:spacing w:after="40"/>
      </w:pPr>
      <w:r>
        <w:t>A buyer-side PLL is the main backstop for unknown conditions and third-party claims. Its terms will depend on the Phase II, and underwriters will likely exclude known conditions unless they are specifically scheduled.</w:t>
      </w:r>
    </w:p>
    <w:p>
      <w:pPr>
        <w:spacing w:after="40"/>
      </w:pPr>
      <w:r>
        <w:rPr>
          <w:b/>
          <w:i/>
        </w:rPr>
        <w:t>Recommendation.</w:t>
      </w:r>
    </w:p>
    <w:p>
      <w:pPr>
        <w:pStyle w:val="ListBullet"/>
        <w:spacing w:after="40"/>
      </w:pPr>
      <w:r>
        <w:t>Engage a broker now for a 10-year buyer-side PLL (with lender as additional insured) and evaluate a cost-cap or remediation stop-loss once Phase II data are available. Seek a Seller contribution to the premium. Get the Keystone policy (§9.9(a)) and commission insurance archaeology for Consolidated’s policies. Get an assignment of Seller’s rights under historical policies. Revise §9.3(f) so mitigation is not a condition to indemnity and recoveries are net of costs and limited to amounts actually paid by Seller.</w:t>
      </w:r>
    </w:p>
    <w:p>
      <w:pPr>
        <w:pStyle w:val="Heading3"/>
      </w:pPr>
      <w:r>
        <w:t>Issue 18.  Report quality, consistency and reliance</w:t>
      </w:r>
    </w:p>
    <w:p>
      <w:pPr>
        <w:spacing w:after="60"/>
      </w:pPr>
      <w:r>
        <w:rPr>
          <w:b/>
        </w:rPr>
        <w:t xml:space="preserve">Severity: </w:t>
      </w:r>
      <w:r>
        <w:rPr>
          <w:b/>
          <w:color w:val="BF9000"/>
        </w:rPr>
        <w:t>Medium</w:t>
      </w:r>
      <w:r>
        <w:rPr>
          <w:b/>
        </w:rPr>
        <w:t xml:space="preserve">     Sources: </w:t>
      </w:r>
      <w:r>
        <w:t>PA cover, certification, §§4.1, 7.1, 11.0; Phase I cover, §§11.0, 12</w:t>
      </w:r>
    </w:p>
    <w:p>
      <w:pPr>
        <w:spacing w:after="40"/>
      </w:pPr>
      <w:r>
        <w:rPr>
          <w:b/>
          <w:i/>
        </w:rPr>
        <w:t>Finding.</w:t>
      </w:r>
    </w:p>
    <w:p>
      <w:pPr>
        <w:pStyle w:val="ListBullet"/>
        <w:spacing w:after="40"/>
      </w:pPr>
      <w:r>
        <w:t>Neither report is signed (the signature lines are blank). The technical reviewer line on the Phase I is also blank.</w:t>
      </w:r>
    </w:p>
    <w:p>
      <w:pPr>
        <w:pStyle w:val="ListBullet"/>
        <w:spacing w:after="40"/>
      </w:pPr>
      <w:r>
        <w:t>Dr. Chen’s P.E. license number differs between the reports (PA: 24GE05102400; Phase I: 24GE05478200). Crestline’s address differs (100 Alexander Road vs 47 Harrison Street, Princeton). The project numbers are inconsistent: the PA cites the Phase I as No. 2024-0342 and is itself No. 2024-0387, while the Phase I is No. 2024-ESA-0347 and says the PA would issue under that same number.</w:t>
      </w:r>
    </w:p>
    <w:p>
      <w:pPr>
        <w:pStyle w:val="ListBullet"/>
        <w:spacing w:after="40"/>
      </w:pPr>
      <w:r>
        <w:t>VI guidance version cited inconsistently (2018 v4.1 vs October 2021). VI screening levels appear to equal the GWQS (Section 4.5). The 2008 and 2014 MW-12 data are missing (Section 4.4). The vinyl chloride criterion needs verification (Section 4.7).</w:t>
      </w:r>
    </w:p>
    <w:p>
      <w:pPr>
        <w:pStyle w:val="ListBullet"/>
        <w:spacing w:after="40"/>
      </w:pPr>
      <w:r>
        <w:t>Reliance is limited to Greenfield and Thornbury &amp; Marsh. Acquisition and construction lenders, joint-venture partners and Greenfield affiliates (e.g., a single-purpose acquisition entity) are not covered.</w:t>
      </w:r>
    </w:p>
    <w:p>
      <w:pPr>
        <w:spacing w:after="40"/>
      </w:pPr>
      <w:r>
        <w:rPr>
          <w:b/>
          <w:i/>
        </w:rPr>
        <w:t>Why it matters.</w:t>
      </w:r>
    </w:p>
    <w:p>
      <w:pPr>
        <w:pStyle w:val="ListBullet"/>
        <w:spacing w:after="40"/>
      </w:pPr>
      <w:r>
        <w:t>Clerical inconsistencies in a certified LSRP report undermine its evidentiary value with NJDEP, lenders, insurers and, if needed, in a dispute with the Seller.</w:t>
      </w:r>
    </w:p>
    <w:p>
      <w:pPr>
        <w:spacing w:after="40"/>
      </w:pPr>
      <w:r>
        <w:rPr>
          <w:b/>
          <w:i/>
        </w:rPr>
        <w:t>Recommendation.</w:t>
      </w:r>
    </w:p>
    <w:p>
      <w:pPr>
        <w:pStyle w:val="ListBullet"/>
        <w:spacing w:after="40"/>
      </w:pPr>
      <w:r>
        <w:t>Ask Crestline (or the independent reviewer) to issue signed, corrected final reports. Get reliance letters for the acquisition vehicle, lenders and insurers. Confirm the consultant’s professional liability limits.</w:t>
      </w:r>
    </w:p>
    <w:p>
      <w:pPr>
        <w:pStyle w:val="Heading3"/>
      </w:pPr>
      <w:r>
        <w:t>Issue 20.  Building-material and radon conditions</w:t>
      </w:r>
    </w:p>
    <w:p>
      <w:pPr>
        <w:spacing w:after="60"/>
      </w:pPr>
      <w:r>
        <w:rPr>
          <w:b/>
        </w:rPr>
        <w:t xml:space="preserve">Severity: </w:t>
      </w:r>
      <w:r>
        <w:rPr>
          <w:b/>
          <w:color w:val="4F81BD"/>
        </w:rPr>
        <w:t>Low</w:t>
      </w:r>
      <w:r>
        <w:rPr>
          <w:b/>
        </w:rPr>
        <w:t xml:space="preserve">     Sources: </w:t>
      </w:r>
      <w:r>
        <w:t>Phase I BER-1, BER-2, §9.4; PA §§8.2–8.3; Questionnaire A8.1–A8.3</w:t>
      </w:r>
    </w:p>
    <w:p>
      <w:pPr>
        <w:spacing w:after="40"/>
      </w:pPr>
      <w:r>
        <w:rPr>
          <w:b/>
          <w:i/>
        </w:rPr>
        <w:t>Finding.</w:t>
      </w:r>
    </w:p>
    <w:p>
      <w:pPr>
        <w:pStyle w:val="ListBullet"/>
        <w:spacing w:after="40"/>
      </w:pPr>
      <w:r>
        <w:t>Suspect thermal system insulation (TSI) ACM in the Building B and D mechanical rooms. Presumed LBP, peeling in places, on Building B structural steel. Somerset County is EPA Radon Zone 1, and no testing has been done. The Seller has done no asbestos, LBP, PCB-building-material or radon surveys.</w:t>
      </w:r>
    </w:p>
    <w:p>
      <w:pPr>
        <w:spacing w:after="40"/>
      </w:pPr>
      <w:r>
        <w:rPr>
          <w:b/>
          <w:i/>
        </w:rPr>
        <w:t>Why it matters.</w:t>
      </w:r>
    </w:p>
    <w:p>
      <w:pPr>
        <w:pStyle w:val="ListBullet"/>
        <w:spacing w:after="40"/>
      </w:pPr>
      <w:r>
        <w:t>Demolition and renovation for the life-sciences campus will require NESHAP (40 C.F.R. Part 61, Subpart M) asbestos surveys and abatement and lead-safe work practices. These are cost and schedule items rather than liability drivers. Peeling LBP and radon also bear on current occupants.</w:t>
      </w:r>
    </w:p>
    <w:p>
      <w:pPr>
        <w:spacing w:after="40"/>
      </w:pPr>
      <w:r>
        <w:rPr>
          <w:b/>
          <w:i/>
        </w:rPr>
        <w:t>Recommendation.</w:t>
      </w:r>
    </w:p>
    <w:p>
      <w:pPr>
        <w:pStyle w:val="ListBullet"/>
        <w:spacing w:after="40"/>
      </w:pPr>
      <w:r>
        <w:t>Commission pre-demolition asbestos, LBP and PCB caulk and coatings surveys and radon testing of occupied buildings. Budget the abatement (Section 8).</w:t>
      </w:r>
    </w:p>
    <w:p>
      <w:pPr>
        <w:pStyle w:val="Heading1"/>
      </w:pPr>
      <w:r>
        <w:t>6. Cross-Document Inconsistencies</w:t>
      </w:r>
    </w:p>
    <w:p>
      <w:pPr>
        <w:spacing w:after="120"/>
      </w:pPr>
      <w:r>
        <w:t>The table below collects the factual conflicts we found. Each one should be resolved by reference to primary records (deed notice exhibits, survey, NJDEP file) before the PSA definitions and Phase II scope are finalized.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3A5F"/>
          </w:tcPr>
          <w:p>
            <w:r/>
            <w:r>
              <w:rPr>
                <w:b/>
                <w:color w:val="FFFFFF"/>
                <w:sz w:val="16"/>
              </w:rPr>
              <w:t>Item</w:t>
            </w:r>
          </w:p>
        </w:tc>
        <w:tc>
          <w:tcPr>
            <w:tcW w:type="dxa" w:w="2520"/>
            <w:shd w:val="clear" w:color="auto" w:fill="1F3A5F"/>
          </w:tcPr>
          <w:p>
            <w:r/>
            <w:r>
              <w:rPr>
                <w:b/>
                <w:color w:val="FFFFFF"/>
                <w:sz w:val="16"/>
              </w:rPr>
              <w:t>PA (Sept. 5, 2024)</w:t>
            </w:r>
          </w:p>
        </w:tc>
        <w:tc>
          <w:tcPr>
            <w:tcW w:type="dxa" w:w="2520"/>
            <w:shd w:val="clear" w:color="auto" w:fill="1F3A5F"/>
          </w:tcPr>
          <w:p>
            <w:r/>
            <w:r>
              <w:rPr>
                <w:b/>
                <w:color w:val="FFFFFF"/>
                <w:sz w:val="16"/>
              </w:rPr>
              <w:t>Phase I (Aug. 12, 2024)</w:t>
            </w:r>
          </w:p>
        </w:tc>
        <w:tc>
          <w:tcPr>
            <w:tcW w:type="dxa" w:w="2664"/>
            <w:shd w:val="clear" w:color="auto" w:fill="1F3A5F"/>
          </w:tcPr>
          <w:p>
            <w:r/>
            <w:r>
              <w:rPr>
                <w:b/>
                <w:color w:val="FFFFFF"/>
                <w:sz w:val="16"/>
              </w:rPr>
              <w:t>Seller Questionnaire / PSA / UW Memo</w:t>
            </w:r>
          </w:p>
        </w:tc>
      </w:tr>
      <w:tr>
        <w:tc>
          <w:tcPr>
            <w:tcW w:type="dxa" w:w="1656"/>
          </w:tcPr>
          <w:p>
            <w:r>
              <w:rPr>
                <w:sz w:val="16"/>
              </w:rPr>
            </w:r>
            <w:r>
              <w:rPr>
                <w:sz w:val="16"/>
              </w:rPr>
              <w:t>AOC-1 location</w:t>
            </w:r>
          </w:p>
        </w:tc>
        <w:tc>
          <w:tcPr>
            <w:tcW w:type="dxa" w:w="2520"/>
          </w:tcPr>
          <w:p>
            <w:r>
              <w:rPr>
                <w:sz w:val="16"/>
              </w:rPr>
            </w:r>
            <w:r>
              <w:rPr>
                <w:sz w:val="16"/>
              </w:rPr>
              <w:t>Northeastern portion; under SE corner of Building A and parking</w:t>
            </w:r>
          </w:p>
        </w:tc>
        <w:tc>
          <w:tcPr>
            <w:tcW w:type="dxa" w:w="2520"/>
          </w:tcPr>
          <w:p>
            <w:r>
              <w:rPr>
                <w:sz w:val="16"/>
              </w:rPr>
            </w:r>
            <w:r>
              <w:rPr>
                <w:sz w:val="16"/>
              </w:rPr>
              <w:t>Northwestern portion; paved lot about 80 ft NE of Building A</w:t>
            </w:r>
          </w:p>
        </w:tc>
        <w:tc>
          <w:tcPr>
            <w:tcW w:type="dxa" w:w="2664"/>
          </w:tcPr>
          <w:p>
            <w:r>
              <w:rPr>
                <w:sz w:val="16"/>
              </w:rPr>
            </w:r>
            <w:r>
              <w:rPr>
                <w:sz w:val="16"/>
              </w:rPr>
              <w:t>Questionnaire: northeastern. PSA §9.10: “near Building B”</w:t>
            </w:r>
          </w:p>
        </w:tc>
      </w:tr>
      <w:tr>
        <w:tc>
          <w:tcPr>
            <w:tcW w:type="dxa" w:w="1656"/>
          </w:tcPr>
          <w:p>
            <w:r>
              <w:rPr>
                <w:sz w:val="16"/>
              </w:rPr>
            </w:r>
            <w:r>
              <w:rPr>
                <w:sz w:val="16"/>
              </w:rPr>
              <w:t>AOC-3 location and cover</w:t>
            </w:r>
          </w:p>
        </w:tc>
        <w:tc>
          <w:tcPr>
            <w:tcW w:type="dxa" w:w="2520"/>
          </w:tcPr>
          <w:p>
            <w:r>
              <w:rPr>
                <w:sz w:val="16"/>
              </w:rPr>
            </w:r>
            <w:r>
              <w:rPr>
                <w:sz w:val="16"/>
              </w:rPr>
              <w:t>Beneath Buildings C and D; buildings and asphalt are the engineering controls</w:t>
            </w:r>
          </w:p>
        </w:tc>
        <w:tc>
          <w:tcPr>
            <w:tcW w:type="dxa" w:w="2520"/>
          </w:tcPr>
          <w:p>
            <w:r>
              <w:rPr>
                <w:sz w:val="16"/>
              </w:rPr>
            </w:r>
            <w:r>
              <w:rPr>
                <w:sz w:val="16"/>
              </w:rPr>
              <w:t>Landscaped turf green space between Buildings B and C; foundation removed</w:t>
            </w:r>
          </w:p>
        </w:tc>
        <w:tc>
          <w:tcPr>
            <w:tcW w:type="dxa" w:w="2664"/>
          </w:tcPr>
          <w:p>
            <w:r>
              <w:rPr>
                <w:sz w:val="16"/>
              </w:rPr>
            </w:r>
            <w:r>
              <w:rPr>
                <w:sz w:val="16"/>
              </w:rPr>
              <w:t>PSA §9.10: “former Building F footprint”</w:t>
            </w:r>
          </w:p>
        </w:tc>
      </w:tr>
      <w:tr>
        <w:tc>
          <w:tcPr>
            <w:tcW w:type="dxa" w:w="1656"/>
          </w:tcPr>
          <w:p>
            <w:r>
              <w:rPr>
                <w:sz w:val="16"/>
              </w:rPr>
            </w:r>
            <w:r>
              <w:rPr>
                <w:sz w:val="16"/>
              </w:rPr>
              <w:t>AOC-5 location</w:t>
            </w:r>
          </w:p>
        </w:tc>
        <w:tc>
          <w:tcPr>
            <w:tcW w:type="dxa" w:w="2520"/>
          </w:tcPr>
          <w:p>
            <w:r>
              <w:rPr>
                <w:sz w:val="16"/>
              </w:rPr>
            </w:r>
            <w:r>
              <w:rPr>
                <w:sz w:val="16"/>
              </w:rPr>
              <w:t>Southwestern portion; Building E is NE of the yard</w:t>
            </w:r>
          </w:p>
        </w:tc>
        <w:tc>
          <w:tcPr>
            <w:tcW w:type="dxa" w:w="2520"/>
          </w:tcPr>
          <w:p>
            <w:r>
              <w:rPr>
                <w:sz w:val="16"/>
              </w:rPr>
            </w:r>
            <w:r>
              <w:rPr>
                <w:sz w:val="16"/>
              </w:rPr>
              <w:t>Southeastern portion; about 60 ft south of Building E</w:t>
            </w:r>
          </w:p>
        </w:tc>
        <w:tc>
          <w:tcPr>
            <w:tcW w:type="dxa" w:w="2664"/>
          </w:tcPr>
          <w:p>
            <w:r>
              <w:rPr>
                <w:sz w:val="16"/>
              </w:rPr>
            </w:r>
            <w:r>
              <w:rPr>
                <w:sz w:val="16"/>
              </w:rPr>
              <w:t>PSA §9.10: northwest portion, adjacent to rail spur</w:t>
            </w:r>
          </w:p>
        </w:tc>
      </w:tr>
      <w:tr>
        <w:tc>
          <w:tcPr>
            <w:tcW w:type="dxa" w:w="1656"/>
          </w:tcPr>
          <w:p>
            <w:r>
              <w:rPr>
                <w:sz w:val="16"/>
              </w:rPr>
            </w:r>
            <w:r>
              <w:rPr>
                <w:sz w:val="16"/>
              </w:rPr>
              <w:t>Building A / Building E</w:t>
            </w:r>
          </w:p>
        </w:tc>
        <w:tc>
          <w:tcPr>
            <w:tcW w:type="dxa" w:w="2520"/>
          </w:tcPr>
          <w:p>
            <w:r>
              <w:rPr>
                <w:sz w:val="16"/>
              </w:rPr>
            </w:r>
            <w:r>
              <w:rPr>
                <w:sz w:val="16"/>
              </w:rPr>
              <w:t>A: northern portion; E: southwestern</w:t>
            </w:r>
          </w:p>
        </w:tc>
        <w:tc>
          <w:tcPr>
            <w:tcW w:type="dxa" w:w="2520"/>
          </w:tcPr>
          <w:p>
            <w:r>
              <w:rPr>
                <w:sz w:val="16"/>
              </w:rPr>
            </w:r>
            <w:r>
              <w:rPr>
                <w:sz w:val="16"/>
              </w:rPr>
              <w:t>A: northwestern; E: southeastern</w:t>
            </w:r>
          </w:p>
        </w:tc>
        <w:tc>
          <w:tcPr>
            <w:tcW w:type="dxa" w:w="2664"/>
          </w:tcPr>
          <w:p>
            <w:r>
              <w:rPr>
                <w:sz w:val="16"/>
              </w:rPr>
            </w:r>
            <w:r>
              <w:rPr>
                <w:sz w:val="16"/>
              </w:rPr>
              <w:t>—</w:t>
            </w:r>
          </w:p>
        </w:tc>
      </w:tr>
      <w:tr>
        <w:tc>
          <w:tcPr>
            <w:tcW w:type="dxa" w:w="1656"/>
          </w:tcPr>
          <w:p>
            <w:r>
              <w:rPr>
                <w:sz w:val="16"/>
              </w:rPr>
            </w:r>
            <w:r>
              <w:rPr>
                <w:sz w:val="16"/>
              </w:rPr>
              <w:t>Adjoining uses</w:t>
            </w:r>
          </w:p>
        </w:tc>
        <w:tc>
          <w:tcPr>
            <w:tcW w:type="dxa" w:w="2520"/>
          </w:tcPr>
          <w:p>
            <w:r>
              <w:rPr>
                <w:sz w:val="16"/>
              </w:rPr>
            </w:r>
            <w:r>
              <w:rPr>
                <w:sz w:val="16"/>
              </w:rPr>
              <w:t>East: Norfolk Southern rail spur and industrial. West: residences on Foothill Road</w:t>
            </w:r>
          </w:p>
        </w:tc>
        <w:tc>
          <w:tcPr>
            <w:tcW w:type="dxa" w:w="2520"/>
          </w:tcPr>
          <w:p>
            <w:r>
              <w:rPr>
                <w:sz w:val="16"/>
              </w:rPr>
            </w:r>
            <w:r>
              <w:rPr>
                <w:sz w:val="16"/>
              </w:rPr>
              <w:t>East: light-industrial park. West: NJ Transit Raritan Valley Line, then Calverley Commons subdivision</w:t>
            </w:r>
          </w:p>
        </w:tc>
        <w:tc>
          <w:tcPr>
            <w:tcW w:type="dxa" w:w="2664"/>
          </w:tcPr>
          <w:p>
            <w:r>
              <w:rPr>
                <w:sz w:val="16"/>
              </w:rPr>
            </w:r>
            <w:r>
              <w:rPr>
                <w:sz w:val="16"/>
              </w:rPr>
              <w:t>—</w:t>
            </w:r>
          </w:p>
        </w:tc>
      </w:tr>
      <w:tr>
        <w:tc>
          <w:tcPr>
            <w:tcW w:type="dxa" w:w="1656"/>
          </w:tcPr>
          <w:p>
            <w:r>
              <w:rPr>
                <w:sz w:val="16"/>
              </w:rPr>
            </w:r>
            <w:r>
              <w:rPr>
                <w:sz w:val="16"/>
              </w:rPr>
              <w:t>Monitoring wells</w:t>
            </w:r>
          </w:p>
        </w:tc>
        <w:tc>
          <w:tcPr>
            <w:tcW w:type="dxa" w:w="2520"/>
          </w:tcPr>
          <w:p>
            <w:r>
              <w:rPr>
                <w:sz w:val="16"/>
              </w:rPr>
            </w:r>
            <w:r>
              <w:rPr>
                <w:sz w:val="16"/>
              </w:rPr>
              <w:t>14 wells (MW-1 to MW-14); October 2020 data for all 14</w:t>
            </w:r>
          </w:p>
        </w:tc>
        <w:tc>
          <w:tcPr>
            <w:tcW w:type="dxa" w:w="2520"/>
          </w:tcPr>
          <w:p>
            <w:r>
              <w:rPr>
                <w:sz w:val="16"/>
              </w:rPr>
            </w:r>
            <w:r>
              <w:rPr>
                <w:sz w:val="16"/>
              </w:rPr>
              <w:t>8 wells observed (MW-1, -3, -5, -7, -9, -12, -14, -16)</w:t>
            </w:r>
          </w:p>
        </w:tc>
        <w:tc>
          <w:tcPr>
            <w:tcW w:type="dxa" w:w="2664"/>
          </w:tcPr>
          <w:p>
            <w:r>
              <w:rPr>
                <w:sz w:val="16"/>
              </w:rPr>
            </w:r>
            <w:r>
              <w:rPr>
                <w:sz w:val="16"/>
              </w:rPr>
              <w:t>UW Memo: 17 wells</w:t>
            </w:r>
          </w:p>
        </w:tc>
      </w:tr>
      <w:tr>
        <w:tc>
          <w:tcPr>
            <w:tcW w:type="dxa" w:w="1656"/>
          </w:tcPr>
          <w:p>
            <w:r>
              <w:rPr>
                <w:sz w:val="16"/>
              </w:rPr>
            </w:r>
            <w:r>
              <w:rPr>
                <w:sz w:val="16"/>
              </w:rPr>
              <w:t>Hydrogeology</w:t>
            </w:r>
          </w:p>
        </w:tc>
        <w:tc>
          <w:tcPr>
            <w:tcW w:type="dxa" w:w="2520"/>
          </w:tcPr>
          <w:p>
            <w:r>
              <w:rPr>
                <w:sz w:val="16"/>
              </w:rPr>
            </w:r>
            <w:r>
              <w:rPr>
                <w:sz w:val="16"/>
              </w:rPr>
              <w:t>Groundwater 12–18 ft bgs; plume to about 45 ft at base of unconsolidated deposits</w:t>
            </w:r>
          </w:p>
        </w:tc>
        <w:tc>
          <w:tcPr>
            <w:tcW w:type="dxa" w:w="2520"/>
          </w:tcPr>
          <w:p>
            <w:r>
              <w:rPr>
                <w:sz w:val="16"/>
              </w:rPr>
            </w:r>
            <w:r>
              <w:rPr>
                <w:sz w:val="16"/>
              </w:rPr>
              <w:t>Groundwater 8–15 ft bgs; unconsolidated 10–25 ft; bedrock 20–30 ft; no bedrock wells</w:t>
            </w:r>
          </w:p>
        </w:tc>
        <w:tc>
          <w:tcPr>
            <w:tcW w:type="dxa" w:w="2664"/>
          </w:tcPr>
          <w:p>
            <w:r>
              <w:rPr>
                <w:sz w:val="16"/>
              </w:rPr>
            </w:r>
            <w:r>
              <w:rPr>
                <w:sz w:val="16"/>
              </w:rPr>
              <w:t>—</w:t>
            </w:r>
          </w:p>
        </w:tc>
      </w:tr>
      <w:tr>
        <w:tc>
          <w:tcPr>
            <w:tcW w:type="dxa" w:w="1656"/>
          </w:tcPr>
          <w:p>
            <w:r>
              <w:rPr>
                <w:sz w:val="16"/>
              </w:rPr>
            </w:r>
            <w:r>
              <w:rPr>
                <w:sz w:val="16"/>
              </w:rPr>
              <w:t>Site elevations</w:t>
            </w:r>
          </w:p>
        </w:tc>
        <w:tc>
          <w:tcPr>
            <w:tcW w:type="dxa" w:w="2520"/>
          </w:tcPr>
          <w:p>
            <w:r>
              <w:rPr>
                <w:sz w:val="16"/>
              </w:rPr>
            </w:r>
            <w:r>
              <w:rPr>
                <w:sz w:val="16"/>
              </w:rPr>
              <w:t>About 78 ft (north) to 62 ft (south) MSL</w:t>
            </w:r>
          </w:p>
        </w:tc>
        <w:tc>
          <w:tcPr>
            <w:tcW w:type="dxa" w:w="2520"/>
          </w:tcPr>
          <w:p>
            <w:r>
              <w:rPr>
                <w:sz w:val="16"/>
              </w:rPr>
            </w:r>
            <w:r>
              <w:rPr>
                <w:sz w:val="16"/>
              </w:rPr>
              <w:t>About 85 ft (NW) to 72 ft (SE) NAVD88</w:t>
            </w:r>
          </w:p>
        </w:tc>
        <w:tc>
          <w:tcPr>
            <w:tcW w:type="dxa" w:w="2664"/>
          </w:tcPr>
          <w:p>
            <w:r>
              <w:rPr>
                <w:sz w:val="16"/>
              </w:rPr>
            </w:r>
            <w:r>
              <w:rPr>
                <w:sz w:val="16"/>
              </w:rPr>
              <w:t>—</w:t>
            </w:r>
          </w:p>
        </w:tc>
      </w:tr>
      <w:tr>
        <w:tc>
          <w:tcPr>
            <w:tcW w:type="dxa" w:w="1656"/>
          </w:tcPr>
          <w:p>
            <w:r>
              <w:rPr>
                <w:sz w:val="16"/>
              </w:rPr>
            </w:r>
            <w:r>
              <w:rPr>
                <w:sz w:val="16"/>
              </w:rPr>
              <w:t>Utilities</w:t>
            </w:r>
          </w:p>
        </w:tc>
        <w:tc>
          <w:tcPr>
            <w:tcW w:type="dxa" w:w="2520"/>
          </w:tcPr>
          <w:p>
            <w:r>
              <w:rPr>
                <w:sz w:val="16"/>
              </w:rPr>
            </w:r>
            <w:r>
              <w:rPr>
                <w:sz w:val="16"/>
              </w:rPr>
              <w:t>NJ American Water; Calverley Twp. Sewerage Authority</w:t>
            </w:r>
          </w:p>
        </w:tc>
        <w:tc>
          <w:tcPr>
            <w:tcW w:type="dxa" w:w="2520"/>
          </w:tcPr>
          <w:p>
            <w:r>
              <w:rPr>
                <w:sz w:val="16"/>
              </w:rPr>
            </w:r>
            <w:r>
              <w:rPr>
                <w:sz w:val="16"/>
              </w:rPr>
              <w:t>Elizabethtown Water Co.; Somerset-Raritan Valley Sewerage Authority</w:t>
            </w:r>
          </w:p>
        </w:tc>
        <w:tc>
          <w:tcPr>
            <w:tcW w:type="dxa" w:w="2664"/>
          </w:tcPr>
          <w:p>
            <w:r>
              <w:rPr>
                <w:sz w:val="16"/>
              </w:rPr>
            </w:r>
            <w:r>
              <w:rPr>
                <w:sz w:val="16"/>
              </w:rPr>
              <w:t>—</w:t>
            </w:r>
          </w:p>
        </w:tc>
      </w:tr>
      <w:tr>
        <w:tc>
          <w:tcPr>
            <w:tcW w:type="dxa" w:w="1656"/>
          </w:tcPr>
          <w:p>
            <w:r>
              <w:rPr>
                <w:sz w:val="16"/>
              </w:rPr>
            </w:r>
            <w:r>
              <w:rPr>
                <w:sz w:val="16"/>
              </w:rPr>
              <w:t>VI guidance cited</w:t>
            </w:r>
          </w:p>
        </w:tc>
        <w:tc>
          <w:tcPr>
            <w:tcW w:type="dxa" w:w="2520"/>
          </w:tcPr>
          <w:p>
            <w:r>
              <w:rPr>
                <w:sz w:val="16"/>
              </w:rPr>
            </w:r>
            <w:r>
              <w:rPr>
                <w:sz w:val="16"/>
              </w:rPr>
              <w:t>Version 4.1 (2018)</w:t>
            </w:r>
          </w:p>
        </w:tc>
        <w:tc>
          <w:tcPr>
            <w:tcW w:type="dxa" w:w="2520"/>
          </w:tcPr>
          <w:p>
            <w:r>
              <w:rPr>
                <w:sz w:val="16"/>
              </w:rPr>
            </w:r>
            <w:r>
              <w:rPr>
                <w:sz w:val="16"/>
              </w:rPr>
              <w:t>October 2021</w:t>
            </w:r>
          </w:p>
        </w:tc>
        <w:tc>
          <w:tcPr>
            <w:tcW w:type="dxa" w:w="2664"/>
          </w:tcPr>
          <w:p>
            <w:r>
              <w:rPr>
                <w:sz w:val="16"/>
              </w:rPr>
            </w:r>
            <w:r>
              <w:rPr>
                <w:sz w:val="16"/>
              </w:rPr>
              <w:t>—</w:t>
            </w:r>
          </w:p>
        </w:tc>
      </w:tr>
      <w:tr>
        <w:tc>
          <w:tcPr>
            <w:tcW w:type="dxa" w:w="1656"/>
          </w:tcPr>
          <w:p>
            <w:r>
              <w:rPr>
                <w:sz w:val="16"/>
              </w:rPr>
            </w:r>
            <w:r>
              <w:rPr>
                <w:sz w:val="16"/>
              </w:rPr>
              <w:t>Wetland</w:t>
            </w:r>
          </w:p>
        </w:tc>
        <w:tc>
          <w:tcPr>
            <w:tcW w:type="dxa" w:w="2520"/>
          </w:tcPr>
          <w:p>
            <w:r>
              <w:rPr>
                <w:sz w:val="16"/>
              </w:rPr>
            </w:r>
            <w:r>
              <w:rPr>
                <w:sz w:val="16"/>
              </w:rPr>
              <w:t>Exceptional resource value; emergent/scrub-shrub; 2002 LOI; 50-ft TA</w:t>
            </w:r>
          </w:p>
        </w:tc>
        <w:tc>
          <w:tcPr>
            <w:tcW w:type="dxa" w:w="2520"/>
          </w:tcPr>
          <w:p>
            <w:r>
              <w:rPr>
                <w:sz w:val="16"/>
              </w:rPr>
            </w:r>
            <w:r>
              <w:rPr>
                <w:sz w:val="16"/>
              </w:rPr>
              <w:t>PEM1C; 50-ft TA; NWI and GeoWeb</w:t>
            </w:r>
          </w:p>
        </w:tc>
        <w:tc>
          <w:tcPr>
            <w:tcW w:type="dxa" w:w="2664"/>
          </w:tcPr>
          <w:p>
            <w:r>
              <w:rPr>
                <w:sz w:val="16"/>
              </w:rPr>
            </w:r>
            <w:r>
              <w:rPr>
                <w:sz w:val="16"/>
              </w:rPr>
              <w:t>Questionnaire: no delineation or LOI obtained</w:t>
            </w:r>
          </w:p>
        </w:tc>
      </w:tr>
      <w:tr>
        <w:tc>
          <w:tcPr>
            <w:tcW w:type="dxa" w:w="1656"/>
          </w:tcPr>
          <w:p>
            <w:r>
              <w:rPr>
                <w:sz w:val="16"/>
              </w:rPr>
            </w:r>
            <w:r>
              <w:rPr>
                <w:sz w:val="16"/>
              </w:rPr>
              <w:t>Flood zone</w:t>
            </w:r>
          </w:p>
        </w:tc>
        <w:tc>
          <w:tcPr>
            <w:tcW w:type="dxa" w:w="2520"/>
          </w:tcPr>
          <w:p>
            <w:r>
              <w:rPr>
                <w:sz w:val="16"/>
              </w:rPr>
            </w:r>
            <w:r>
              <w:rPr>
                <w:sz w:val="16"/>
              </w:rPr>
              <w:t>Not addressed</w:t>
            </w:r>
          </w:p>
        </w:tc>
        <w:tc>
          <w:tcPr>
            <w:tcW w:type="dxa" w:w="2520"/>
          </w:tcPr>
          <w:p>
            <w:r>
              <w:rPr>
                <w:sz w:val="16"/>
              </w:rPr>
            </w:r>
            <w:r>
              <w:rPr>
                <w:sz w:val="16"/>
              </w:rPr>
              <w:t>FEMA Zone AE along southern strip</w:t>
            </w:r>
          </w:p>
        </w:tc>
        <w:tc>
          <w:tcPr>
            <w:tcW w:type="dxa" w:w="2664"/>
          </w:tcPr>
          <w:p>
            <w:r>
              <w:rPr>
                <w:sz w:val="16"/>
              </w:rPr>
            </w:r>
            <w:r>
              <w:rPr>
                <w:sz w:val="16"/>
              </w:rPr>
              <w:t>Questionnaire: not in SFHA</w:t>
            </w:r>
          </w:p>
        </w:tc>
      </w:tr>
      <w:tr>
        <w:tc>
          <w:tcPr>
            <w:tcW w:type="dxa" w:w="1656"/>
          </w:tcPr>
          <w:p>
            <w:r>
              <w:rPr>
                <w:sz w:val="16"/>
              </w:rPr>
            </w:r>
            <w:r>
              <w:rPr>
                <w:sz w:val="16"/>
              </w:rPr>
              <w:t>LSRP of record</w:t>
            </w:r>
          </w:p>
        </w:tc>
        <w:tc>
          <w:tcPr>
            <w:tcW w:type="dxa" w:w="2520"/>
          </w:tcPr>
          <w:p>
            <w:r>
              <w:rPr>
                <w:sz w:val="16"/>
              </w:rPr>
            </w:r>
            <w:r>
              <w:rPr>
                <w:sz w:val="16"/>
              </w:rPr>
              <w:t>Not identified</w:t>
            </w:r>
          </w:p>
        </w:tc>
        <w:tc>
          <w:tcPr>
            <w:tcW w:type="dxa" w:w="2520"/>
          </w:tcPr>
          <w:p>
            <w:r>
              <w:rPr>
                <w:sz w:val="16"/>
              </w:rPr>
            </w:r>
            <w:r>
              <w:rPr>
                <w:sz w:val="16"/>
              </w:rPr>
              <w:t>NJDEP: Whitman Geosciences, LLC</w:t>
            </w:r>
          </w:p>
        </w:tc>
        <w:tc>
          <w:tcPr>
            <w:tcW w:type="dxa" w:w="2664"/>
          </w:tcPr>
          <w:p>
            <w:r>
              <w:rPr>
                <w:sz w:val="16"/>
              </w:rPr>
            </w:r>
            <w:r>
              <w:rPr>
                <w:sz w:val="16"/>
              </w:rPr>
              <w:t>Questionnaire: Dr. Laura Chen (Crestline)</w:t>
            </w:r>
          </w:p>
        </w:tc>
      </w:tr>
      <w:tr>
        <w:tc>
          <w:tcPr>
            <w:tcW w:type="dxa" w:w="1656"/>
          </w:tcPr>
          <w:p>
            <w:r>
              <w:rPr>
                <w:sz w:val="16"/>
              </w:rPr>
            </w:r>
            <w:r>
              <w:rPr>
                <w:sz w:val="16"/>
              </w:rPr>
              <w:t>Case status</w:t>
            </w:r>
          </w:p>
        </w:tc>
        <w:tc>
          <w:tcPr>
            <w:tcW w:type="dxa" w:w="2520"/>
          </w:tcPr>
          <w:p>
            <w:r>
              <w:rPr>
                <w:sz w:val="16"/>
              </w:rPr>
            </w:r>
            <w:r>
              <w:rPr>
                <w:sz w:val="16"/>
              </w:rPr>
              <w:t>Active remediation case</w:t>
            </w:r>
          </w:p>
        </w:tc>
        <w:tc>
          <w:tcPr>
            <w:tcW w:type="dxa" w:w="2520"/>
          </w:tcPr>
          <w:p>
            <w:r>
              <w:rPr>
                <w:sz w:val="16"/>
              </w:rPr>
            </w:r>
            <w:r>
              <w:rPr>
                <w:sz w:val="16"/>
              </w:rPr>
              <w:t>“Active – Pending” (NJDEP)</w:t>
            </w:r>
          </w:p>
        </w:tc>
        <w:tc>
          <w:tcPr>
            <w:tcW w:type="dxa" w:w="2664"/>
          </w:tcPr>
          <w:p>
            <w:r>
              <w:rPr>
                <w:sz w:val="16"/>
              </w:rPr>
            </w:r>
            <w:r>
              <w:rPr>
                <w:sz w:val="16"/>
              </w:rPr>
              <w:t>Questionnaire: “regulatory closure” received</w:t>
            </w:r>
          </w:p>
        </w:tc>
      </w:tr>
      <w:tr>
        <w:tc>
          <w:tcPr>
            <w:tcW w:type="dxa" w:w="1656"/>
          </w:tcPr>
          <w:p>
            <w:r>
              <w:rPr>
                <w:sz w:val="16"/>
              </w:rPr>
            </w:r>
            <w:r>
              <w:rPr>
                <w:sz w:val="16"/>
              </w:rPr>
              <w:t>Biennial certifications</w:t>
            </w:r>
          </w:p>
        </w:tc>
        <w:tc>
          <w:tcPr>
            <w:tcW w:type="dxa" w:w="2520"/>
          </w:tcPr>
          <w:p>
            <w:r>
              <w:rPr>
                <w:sz w:val="16"/>
              </w:rPr>
            </w:r>
            <w:r>
              <w:rPr>
                <w:sz w:val="16"/>
              </w:rPr>
              <w:t>Last April 15, 2021</w:t>
            </w:r>
          </w:p>
        </w:tc>
        <w:tc>
          <w:tcPr>
            <w:tcW w:type="dxa" w:w="2520"/>
          </w:tcPr>
          <w:p>
            <w:r>
              <w:rPr>
                <w:sz w:val="16"/>
              </w:rPr>
            </w:r>
            <w:r>
              <w:rPr>
                <w:sz w:val="16"/>
              </w:rPr>
              <w:t>Last April 15, 2021; recommends confirming status</w:t>
            </w:r>
          </w:p>
        </w:tc>
        <w:tc>
          <w:tcPr>
            <w:tcW w:type="dxa" w:w="2664"/>
          </w:tcPr>
          <w:p>
            <w:r>
              <w:rPr>
                <w:sz w:val="16"/>
              </w:rPr>
            </w:r>
            <w:r>
              <w:rPr>
                <w:sz w:val="16"/>
              </w:rPr>
              <w:t>Questionnaire: “timely filed.” UW Memo: April 2023 due date being confirmed</w:t>
            </w:r>
          </w:p>
        </w:tc>
      </w:tr>
      <w:tr>
        <w:tc>
          <w:tcPr>
            <w:tcW w:type="dxa" w:w="1656"/>
          </w:tcPr>
          <w:p>
            <w:r>
              <w:rPr>
                <w:sz w:val="16"/>
              </w:rPr>
            </w:r>
            <w:r>
              <w:rPr>
                <w:sz w:val="16"/>
              </w:rPr>
              <w:t>Engineering controls</w:t>
            </w:r>
          </w:p>
        </w:tc>
        <w:tc>
          <w:tcPr>
            <w:tcW w:type="dxa" w:w="2520"/>
          </w:tcPr>
          <w:p>
            <w:r>
              <w:rPr>
                <w:sz w:val="16"/>
              </w:rPr>
            </w:r>
            <w:r>
              <w:rPr>
                <w:sz w:val="16"/>
              </w:rPr>
              <w:t>Pavement and building caps required and present</w:t>
            </w:r>
          </w:p>
        </w:tc>
        <w:tc>
          <w:tcPr>
            <w:tcW w:type="dxa" w:w="2520"/>
          </w:tcPr>
          <w:p>
            <w:r>
              <w:rPr>
                <w:sz w:val="16"/>
              </w:rPr>
            </w:r>
            <w:r>
              <w:rPr>
                <w:sz w:val="16"/>
              </w:rPr>
              <w:t>Pavement and building caps required</w:t>
            </w:r>
          </w:p>
        </w:tc>
        <w:tc>
          <w:tcPr>
            <w:tcW w:type="dxa" w:w="2664"/>
          </w:tcPr>
          <w:p>
            <w:r>
              <w:rPr>
                <w:sz w:val="16"/>
              </w:rPr>
            </w:r>
            <w:r>
              <w:rPr>
                <w:sz w:val="16"/>
              </w:rPr>
              <w:t>Questionnaire: none in operation</w:t>
            </w:r>
          </w:p>
        </w:tc>
      </w:tr>
      <w:tr>
        <w:tc>
          <w:tcPr>
            <w:tcW w:type="dxa" w:w="1656"/>
          </w:tcPr>
          <w:p>
            <w:r>
              <w:rPr>
                <w:sz w:val="16"/>
              </w:rPr>
            </w:r>
            <w:r>
              <w:rPr>
                <w:sz w:val="16"/>
              </w:rPr>
              <w:t>AOC-1 closure sampling</w:t>
            </w:r>
          </w:p>
        </w:tc>
        <w:tc>
          <w:tcPr>
            <w:tcW w:type="dxa" w:w="2520"/>
          </w:tcPr>
          <w:p>
            <w:r>
              <w:rPr>
                <w:sz w:val="16"/>
              </w:rPr>
            </w:r>
            <w:r>
              <w:rPr>
                <w:sz w:val="16"/>
              </w:rPr>
              <w:t>North and east walls only (4 samples)</w:t>
            </w:r>
          </w:p>
        </w:tc>
        <w:tc>
          <w:tcPr>
            <w:tcW w:type="dxa" w:w="2520"/>
          </w:tcPr>
          <w:p>
            <w:r>
              <w:rPr>
                <w:sz w:val="16"/>
              </w:rPr>
            </w:r>
            <w:r>
              <w:rPr>
                <w:sz w:val="16"/>
              </w:rPr>
              <w:t>Post-excavation sampling conducted</w:t>
            </w:r>
          </w:p>
        </w:tc>
        <w:tc>
          <w:tcPr>
            <w:tcW w:type="dxa" w:w="2664"/>
          </w:tcPr>
          <w:p>
            <w:r>
              <w:rPr>
                <w:sz w:val="16"/>
              </w:rPr>
            </w:r>
            <w:r>
              <w:rPr>
                <w:sz w:val="16"/>
              </w:rPr>
              <w:t>Questionnaire: walls and floor</w:t>
            </w:r>
          </w:p>
        </w:tc>
      </w:tr>
      <w:tr>
        <w:tc>
          <w:tcPr>
            <w:tcW w:type="dxa" w:w="1656"/>
          </w:tcPr>
          <w:p>
            <w:r>
              <w:rPr>
                <w:sz w:val="16"/>
              </w:rPr>
            </w:r>
            <w:r>
              <w:rPr>
                <w:sz w:val="16"/>
              </w:rPr>
              <w:t>AOC-5 contaminants</w:t>
            </w:r>
          </w:p>
        </w:tc>
        <w:tc>
          <w:tcPr>
            <w:tcW w:type="dxa" w:w="2520"/>
          </w:tcPr>
          <w:p>
            <w:r>
              <w:rPr>
                <w:sz w:val="16"/>
              </w:rPr>
            </w:r>
            <w:r>
              <w:rPr>
                <w:sz w:val="16"/>
              </w:rPr>
              <w:t>Xylenes, MEK, toluene only</w:t>
            </w:r>
          </w:p>
        </w:tc>
        <w:tc>
          <w:tcPr>
            <w:tcW w:type="dxa" w:w="2520"/>
          </w:tcPr>
          <w:p>
            <w:r>
              <w:rPr>
                <w:sz w:val="16"/>
              </w:rPr>
            </w:r>
            <w:r>
              <w:rPr>
                <w:sz w:val="16"/>
              </w:rPr>
              <w:t xml:space="preserve">VOCs </w:t>
            </w:r>
            <w:r>
              <w:rPr>
                <w:b/>
                <w:sz w:val="16"/>
              </w:rPr>
              <w:t>and SVOCs</w:t>
            </w:r>
          </w:p>
        </w:tc>
        <w:tc>
          <w:tcPr>
            <w:tcW w:type="dxa" w:w="2664"/>
          </w:tcPr>
          <w:p>
            <w:r>
              <w:rPr>
                <w:sz w:val="16"/>
              </w:rPr>
            </w:r>
            <w:r>
              <w:rPr>
                <w:sz w:val="16"/>
              </w:rPr>
              <w:t>—</w:t>
            </w:r>
          </w:p>
        </w:tc>
      </w:tr>
      <w:tr>
        <w:tc>
          <w:tcPr>
            <w:tcW w:type="dxa" w:w="1656"/>
          </w:tcPr>
          <w:p>
            <w:r>
              <w:rPr>
                <w:sz w:val="16"/>
              </w:rPr>
            </w:r>
            <w:r>
              <w:rPr>
                <w:sz w:val="16"/>
              </w:rPr>
              <w:t>PLL limits</w:t>
            </w:r>
          </w:p>
        </w:tc>
        <w:tc>
          <w:tcPr>
            <w:tcW w:type="dxa" w:w="2520"/>
          </w:tcPr>
          <w:p>
            <w:r>
              <w:rPr>
                <w:sz w:val="16"/>
              </w:rPr>
            </w:r>
            <w:r>
              <w:rPr>
                <w:sz w:val="16"/>
              </w:rPr>
              <w:t>—</w:t>
            </w:r>
          </w:p>
        </w:tc>
        <w:tc>
          <w:tcPr>
            <w:tcW w:type="dxa" w:w="2520"/>
          </w:tcPr>
          <w:p>
            <w:r>
              <w:rPr>
                <w:sz w:val="16"/>
              </w:rPr>
            </w:r>
            <w:r>
              <w:rPr>
                <w:sz w:val="16"/>
              </w:rPr>
              <w:t>—</w:t>
            </w:r>
          </w:p>
        </w:tc>
        <w:tc>
          <w:tcPr>
            <w:tcW w:type="dxa" w:w="2664"/>
          </w:tcPr>
          <w:p>
            <w:r>
              <w:rPr>
                <w:sz w:val="16"/>
              </w:rPr>
            </w:r>
            <w:r>
              <w:rPr>
                <w:sz w:val="16"/>
              </w:rPr>
              <w:t>Questionnaire: $10M / $250k SIR. PSA §9.1(f): $5M</w:t>
            </w:r>
          </w:p>
        </w:tc>
      </w:tr>
      <w:tr>
        <w:tc>
          <w:tcPr>
            <w:tcW w:type="dxa" w:w="1656"/>
          </w:tcPr>
          <w:p>
            <w:r>
              <w:rPr>
                <w:sz w:val="16"/>
              </w:rPr>
            </w:r>
            <w:r>
              <w:rPr>
                <w:sz w:val="16"/>
              </w:rPr>
              <w:t>Upgradient dry cleaner (180 Commerce Dr.)</w:t>
            </w:r>
          </w:p>
        </w:tc>
        <w:tc>
          <w:tcPr>
            <w:tcW w:type="dxa" w:w="2520"/>
          </w:tcPr>
          <w:p>
            <w:r>
              <w:rPr>
                <w:sz w:val="16"/>
              </w:rPr>
            </w:r>
            <w:r>
              <w:rPr>
                <w:sz w:val="16"/>
              </w:rPr>
              <w:t>Not addressed</w:t>
            </w:r>
          </w:p>
        </w:tc>
        <w:tc>
          <w:tcPr>
            <w:tcW w:type="dxa" w:w="2520"/>
          </w:tcPr>
          <w:p>
            <w:r>
              <w:rPr>
                <w:sz w:val="16"/>
              </w:rPr>
            </w:r>
            <w:r>
              <w:rPr>
                <w:sz w:val="16"/>
              </w:rPr>
              <w:t>About 500 ft NW; dismissed as “away” although flow is to the SE</w:t>
            </w:r>
          </w:p>
        </w:tc>
        <w:tc>
          <w:tcPr>
            <w:tcW w:type="dxa" w:w="2664"/>
          </w:tcPr>
          <w:p>
            <w:r>
              <w:rPr>
                <w:sz w:val="16"/>
              </w:rPr>
            </w:r>
            <w:r>
              <w:rPr>
                <w:sz w:val="16"/>
              </w:rPr>
              <w:t>—</w:t>
            </w:r>
          </w:p>
        </w:tc>
      </w:tr>
      <w:tr>
        <w:tc>
          <w:tcPr>
            <w:tcW w:type="dxa" w:w="1656"/>
          </w:tcPr>
          <w:p>
            <w:r>
              <w:rPr>
                <w:sz w:val="16"/>
              </w:rPr>
            </w:r>
            <w:r>
              <w:rPr>
                <w:sz w:val="16"/>
              </w:rPr>
              <w:t>Consultant identifiers</w:t>
            </w:r>
          </w:p>
        </w:tc>
        <w:tc>
          <w:tcPr>
            <w:tcW w:type="dxa" w:w="2520"/>
          </w:tcPr>
          <w:p>
            <w:r>
              <w:rPr>
                <w:sz w:val="16"/>
              </w:rPr>
            </w:r>
            <w:r>
              <w:rPr>
                <w:sz w:val="16"/>
              </w:rPr>
              <w:t>Project 2024-0387; cites Phase I as 2024-0342; 100 Alexander Rd.; P.E. 24GE05102400</w:t>
            </w:r>
          </w:p>
        </w:tc>
        <w:tc>
          <w:tcPr>
            <w:tcW w:type="dxa" w:w="2520"/>
          </w:tcPr>
          <w:p>
            <w:r>
              <w:rPr>
                <w:sz w:val="16"/>
              </w:rPr>
            </w:r>
            <w:r>
              <w:rPr>
                <w:sz w:val="16"/>
              </w:rPr>
              <w:t>Project 2024-ESA-0347; 47 Harrison St.; P.E. 24GE05478200</w:t>
            </w:r>
          </w:p>
        </w:tc>
        <w:tc>
          <w:tcPr>
            <w:tcW w:type="dxa" w:w="2664"/>
          </w:tcPr>
          <w:p>
            <w:r>
              <w:rPr>
                <w:sz w:val="16"/>
              </w:rPr>
            </w:r>
            <w:r>
              <w:rPr>
                <w:sz w:val="16"/>
              </w:rPr>
              <w:t>—</w:t>
            </w:r>
          </w:p>
        </w:tc>
      </w:tr>
    </w:tbl>
    <w:p>
      <w:pPr>
        <w:spacing w:after="40"/>
      </w:pPr>
    </w:p>
    <w:p>
      <w:pPr>
        <w:pStyle w:val="Heading1"/>
      </w:pPr>
      <w:r>
        <w:t>7. Draft PSA Article IX — Analysis and Proposed Revisions</w:t>
      </w:r>
    </w:p>
    <w:p>
      <w:pPr>
        <w:pStyle w:val="Heading3"/>
      </w:pPr>
      <w:r>
        <w:t>Issue 1.  Article IX as a whole shifts the environmental risk to Buyer</w:t>
      </w:r>
    </w:p>
    <w:p>
      <w:pPr>
        <w:spacing w:after="60"/>
      </w:pPr>
      <w:r>
        <w:rPr>
          <w:b/>
        </w:rPr>
        <w:t xml:space="preserve">Severity: </w:t>
      </w:r>
      <w:r>
        <w:rPr>
          <w:b/>
          <w:color w:val="C00000"/>
        </w:rPr>
        <w:t>Critical</w:t>
      </w:r>
      <w:r>
        <w:rPr>
          <w:b/>
        </w:rPr>
        <w:t xml:space="preserve">     Sources: </w:t>
      </w:r>
      <w:r>
        <w:t>PSA §§1.1, 9.1–9.3, 9.7, Schedule 9.1</w:t>
      </w:r>
    </w:p>
    <w:p>
      <w:pPr>
        <w:spacing w:after="40"/>
      </w:pPr>
      <w:r>
        <w:rPr>
          <w:b/>
          <w:i/>
        </w:rPr>
        <w:t>Finding.</w:t>
      </w:r>
    </w:p>
    <w:p>
      <w:pPr>
        <w:pStyle w:val="ListBullet"/>
        <w:spacing w:after="40"/>
      </w:pPr>
      <w:r>
        <w:rPr>
          <w:b/>
        </w:rPr>
        <w:t>Known-to-Buyer exclusion (§9.3(a)(ii)):</w:t>
      </w:r>
      <w:r>
        <w:t xml:space="preserve"> the indemnity for pre-Closing conditions covers only conditions not in the Questionnaire and not “known to Buyer,” and “known” includes anything “identified or referenced” in the Phase I, “any supplemental Preliminary Assessment” or the Questionnaire. In practice this excludes the plume, AOC-1/3/5 soils, VI, the diesel UST, off-site migration toward MW-14 and the compliance lapses: every significant issue identified to date.</w:t>
      </w:r>
    </w:p>
    <w:p>
      <w:pPr>
        <w:pStyle w:val="ListBullet"/>
        <w:spacing w:after="40"/>
      </w:pPr>
      <w:r>
        <w:rPr>
          <w:b/>
        </w:rPr>
        <w:t>Schedule 9.1</w:t>
      </w:r>
      <w:r>
        <w:t xml:space="preserve"> lists the Phase I and PA, both Buyer-commissioned, as Seller disclosures that qualify the reps, the indemnity and the MEC definition. A Buyer’s own diligence is being used to narrow the Seller’s reps.</w:t>
      </w:r>
    </w:p>
    <w:p>
      <w:pPr>
        <w:pStyle w:val="ListBullet"/>
        <w:spacing w:after="40"/>
      </w:pPr>
      <w:r>
        <w:rPr>
          <w:b/>
        </w:rPr>
        <w:t>Buyer assumption (§9.7(a)):</w:t>
      </w:r>
      <w:r>
        <w:t xml:space="preserve"> Greenfield assumes deed notice and CEA compliance and certifications, MNA costs, VI investigation and mitigation in </w:t>
      </w:r>
      <w:r>
        <w:rPr>
          <w:b/>
        </w:rPr>
        <w:t>any</w:t>
      </w:r>
      <w:r>
        <w:t xml:space="preserve"> building, and “all other environmental obligations arising from conditions first discovered after the Closing Date.” §9.7(b) confirms the Seller has no obligation for disclosed or known conditions. Clause (iv) also conflicts with §9.3(a)(ii), which purports to indemnify for undisclosed pre-Closing conditions; the Seller will argue that a condition “first discovered” after Closing is assumed by Buyer.</w:t>
      </w:r>
    </w:p>
    <w:p>
      <w:pPr>
        <w:pStyle w:val="ListBullet"/>
        <w:spacing w:after="40"/>
      </w:pPr>
      <w:r>
        <w:rPr>
          <w:b/>
        </w:rPr>
        <w:t>Economics:</w:t>
      </w:r>
      <w:r>
        <w:t xml:space="preserve"> a $2,000,000 aggregate cap (about 5.2% of the $38.5M price, and about 1.1% of the roughly $183.5M combined acquisition and redevelopment capitalization); a $75,000 aggregate deductible; 24-month survival with a hard claim bar regardless of discovery date (§9.3(d)); exclusive remedy and waiver of consequential damages (§9.3(e)).</w:t>
      </w:r>
    </w:p>
    <w:p>
      <w:pPr>
        <w:pStyle w:val="ListBullet"/>
        <w:spacing w:after="40"/>
      </w:pPr>
      <w:r>
        <w:rPr>
          <w:b/>
        </w:rPr>
        <w:t>As-is release (§9.2(b))</w:t>
      </w:r>
      <w:r>
        <w:t xml:space="preserve"> releases the Seller from all CERCLA, Spill Act, ISRA and SRRA claims, including statutory contribution, for known and unknown conditions, subject only to the capped and time-limited §9.1 rep claims.</w:t>
      </w:r>
    </w:p>
    <w:p>
      <w:pPr>
        <w:spacing w:after="40"/>
      </w:pPr>
      <w:r>
        <w:rPr>
          <w:b/>
          <w:i/>
        </w:rPr>
        <w:t>Why it matters.</w:t>
      </w:r>
    </w:p>
    <w:p>
      <w:pPr>
        <w:pStyle w:val="ListBullet"/>
        <w:spacing w:after="40"/>
      </w:pPr>
      <w:r>
        <w:t>Groundwater MNA, VI and off-site plume liabilities run for decades. The Seller (owner since 1997 and the NJDEP-listed responsible party) would walk away after 24 months with at most $2M of exposure, and Greenfield would become the remediating party with no contribution rights against the Seller.</w:t>
      </w:r>
    </w:p>
    <w:p>
      <w:pPr>
        <w:spacing w:after="40"/>
      </w:pPr>
      <w:r>
        <w:rPr>
          <w:b/>
          <w:i/>
        </w:rPr>
        <w:t>Recommendation.</w:t>
      </w:r>
    </w:p>
    <w:p>
      <w:pPr>
        <w:pStyle w:val="ListBullet"/>
        <w:spacing w:after="40"/>
      </w:pPr>
      <w:r>
        <w:t xml:space="preserve">See the revision table below. In short: define </w:t>
      </w:r>
      <w:r>
        <w:rPr>
          <w:b/>
        </w:rPr>
        <w:t>Retained Environmental Liabilities</w:t>
      </w:r>
      <w:r>
        <w:t xml:space="preserve"> (all pre-Closing contamination at, on, under or migrating from the Property, known or unknown; off-site and NRD claims; pre-Closing non-compliance; the diesel UST; ISRA) and make them uncapped, with survival until an RAO is issued plus the statute of limitations. Keep the Seller as the person responsible for conducting remediation on Case SRP-098742, under a post-Closing remediation and access agreement (Seller-controlled within agreed redevelopment-compatible parameters). Support this with an escrow or holdback and a buyer-side PLL. If the Seller will not retain known conditions, the alternative is a price reduction and escrow sized to a consultant-prepared cost estimate (with a confidence band), plus a cost-cap policy.</w:t>
      </w:r>
    </w:p>
    <w:p>
      <w:pPr>
        <w:pStyle w:val="Heading3"/>
      </w:pPr>
      <w:r>
        <w:t>Issue 11.  Termination right, Due Diligence Period and investigation logistics</w:t>
      </w:r>
    </w:p>
    <w:p>
      <w:pPr>
        <w:spacing w:after="60"/>
      </w:pPr>
      <w:r>
        <w:rPr>
          <w:b/>
        </w:rPr>
        <w:t xml:space="preserve">Severity: </w:t>
      </w:r>
      <w:r>
        <w:rPr>
          <w:b/>
          <w:color w:val="E36C09"/>
        </w:rPr>
        <w:t>High</w:t>
      </w:r>
      <w:r>
        <w:rPr>
          <w:b/>
        </w:rPr>
        <w:t xml:space="preserve">     Sources: </w:t>
      </w:r>
      <w:r>
        <w:t>PSA §§1.1 (“Due Diligence Period,” “Material Environmental Condition”), 9.4, 9.6(a); UW Memo §§4, 5</w:t>
      </w:r>
    </w:p>
    <w:p>
      <w:pPr>
        <w:spacing w:after="40"/>
      </w:pPr>
      <w:r>
        <w:rPr>
          <w:b/>
          <w:i/>
        </w:rPr>
        <w:t>Finding.</w:t>
      </w:r>
    </w:p>
    <w:p>
      <w:pPr>
        <w:pStyle w:val="ListBullet"/>
        <w:spacing w:after="40"/>
      </w:pPr>
      <w:r>
        <w:rPr>
          <w:b/>
        </w:rPr>
        <w:t>MEC</w:t>
      </w:r>
      <w:r>
        <w:t xml:space="preserve"> requires a condition that was (a) not disclosed or known as of the Effective Date and (b) estimated to cost more than $500,000 to remediate “using the least costly remediation methodology reasonably available,” as estimated by Buyer’s Consultants </w:t>
      </w:r>
      <w:r>
        <w:rPr>
          <w:b/>
        </w:rPr>
        <w:t>and verified by an independent LSRP mutually acceptable to Seller and Buyer</w:t>
      </w:r>
      <w:r>
        <w:t>. Known conditions, including VI in C and D, the diesel UST and plume conditions, cannot qualify. The UW Memo’s premise that a $750,000 budget for known conditions “already exceeds” the threshold is therefore mistaken. The threshold appears to apply per condition, and the verification step gives the Seller a practical veto.</w:t>
      </w:r>
    </w:p>
    <w:p>
      <w:pPr>
        <w:pStyle w:val="ListBullet"/>
        <w:spacing w:after="40"/>
      </w:pPr>
      <w:r>
        <w:rPr>
          <w:b/>
        </w:rPr>
        <w:t>Timing:</w:t>
      </w:r>
      <w:r>
        <w:t xml:space="preserve"> the DD Period ends November 19, 2024. VI sampling is preferably done in the heating season (Phase I §11.0), lab turnaround is typically two to three weeks, OPRA is outstanding, and §9.4(a) requires 5 Business Days’ notice </w:t>
      </w:r>
      <w:r>
        <w:rPr>
          <w:b/>
        </w:rPr>
        <w:t>and</w:t>
      </w:r>
      <w:r>
        <w:t xml:space="preserve"> Seller’s prior written consent for invasive work. §9.6(a), by contrast, allows access on 48 hours’ notice during business hours only, which also rules out 24-hour indoor-air sampling.</w:t>
      </w:r>
    </w:p>
    <w:p>
      <w:pPr>
        <w:pStyle w:val="ListBullet"/>
        <w:spacing w:after="40"/>
      </w:pPr>
      <w:r>
        <w:rPr>
          <w:b/>
        </w:rPr>
        <w:t>Cure right (§9.4(d))</w:t>
      </w:r>
      <w:r>
        <w:t xml:space="preserve"> lets the Seller block termination by electing to “remediate” within 90 days to the “reasonable satisfaction of Buyer’s Consultants.” That is not a recognized NJDEP endpoint, and 90 days is unrealistic for groundwater or VI conditions.</w:t>
      </w:r>
    </w:p>
    <w:p>
      <w:pPr>
        <w:pStyle w:val="ListBullet"/>
        <w:spacing w:after="40"/>
      </w:pPr>
      <w:r>
        <w:rPr>
          <w:b/>
        </w:rPr>
        <w:t>Deposit:</w:t>
      </w:r>
      <w:r>
        <w:t xml:space="preserve"> $50,000 is retained even on an environmental termination.</w:t>
      </w:r>
    </w:p>
    <w:p>
      <w:pPr>
        <w:spacing w:after="40"/>
      </w:pPr>
      <w:r>
        <w:rPr>
          <w:b/>
          <w:i/>
        </w:rPr>
        <w:t>Why it matters.</w:t>
      </w:r>
    </w:p>
    <w:p>
      <w:pPr>
        <w:pStyle w:val="ListBullet"/>
        <w:spacing w:after="40"/>
      </w:pPr>
      <w:r>
        <w:t>Without a workable exit, Greenfield is effectively committed at November 19, 2024 on an incomplete record and must close into an allocation that excludes everything already identified.</w:t>
      </w:r>
    </w:p>
    <w:p>
      <w:pPr>
        <w:spacing w:after="40"/>
      </w:pPr>
      <w:r>
        <w:rPr>
          <w:b/>
          <w:i/>
        </w:rPr>
        <w:t>Recommendation.</w:t>
      </w:r>
    </w:p>
    <w:p>
      <w:pPr>
        <w:pStyle w:val="ListBullet"/>
        <w:spacing w:after="40"/>
      </w:pPr>
      <w:r>
        <w:t>Replace the MEC mechanism with a sole-discretion diligence termination right and a full deposit refund. Extend the DD Period by at least 60–90 days, or to 30 days after receipt of the final Phase II, VI and groundwater data. Pre-approve Crestline’s or the independent LSRP’s Phase II scope as an exhibit (deemed consent), with 2 Business Days’ notice and after-hours access for VI. Delete the Seller cure right or limit it to a cure confirmed by an RAO for the affected AOC, with Buyer having the option to terminate.</w:t>
      </w:r>
    </w:p>
    <w:p>
      <w:pPr>
        <w:pStyle w:val="Heading3"/>
      </w:pPr>
      <w:r>
        <w:t>Issue 19.  Access, report-sharing and investigation indemnity</w:t>
      </w:r>
    </w:p>
    <w:p>
      <w:pPr>
        <w:spacing w:after="60"/>
      </w:pPr>
      <w:r>
        <w:rPr>
          <w:b/>
        </w:rPr>
        <w:t xml:space="preserve">Severity: </w:t>
      </w:r>
      <w:r>
        <w:rPr>
          <w:b/>
          <w:color w:val="BF9000"/>
        </w:rPr>
        <w:t>Medium</w:t>
      </w:r>
      <w:r>
        <w:rPr>
          <w:b/>
        </w:rPr>
        <w:t xml:space="preserve">     Sources: </w:t>
      </w:r>
      <w:r>
        <w:t>PSA §§9.6(b)–(d), 9.4(a)</w:t>
      </w:r>
    </w:p>
    <w:p>
      <w:pPr>
        <w:spacing w:after="40"/>
      </w:pPr>
      <w:r>
        <w:rPr>
          <w:b/>
          <w:i/>
        </w:rPr>
        <w:t>Finding.</w:t>
      </w:r>
    </w:p>
    <w:p>
      <w:pPr>
        <w:pStyle w:val="ListBullet"/>
        <w:spacing w:after="40"/>
      </w:pPr>
      <w:r>
        <w:t xml:space="preserve">§9.6(d) requires Greenfield to deliver </w:t>
      </w:r>
      <w:r>
        <w:rPr>
          <w:b/>
        </w:rPr>
        <w:t>all</w:t>
      </w:r>
      <w:r>
        <w:t xml:space="preserve"> final environmental reports to the Seller within 10 Business Days. It also recites that the Phase I and PA have already been delivered. Delivered reports feed the “known to Buyer” exclusion and Schedule 9.1. The PA was commissioned through this firm; delivery may waive privilege and work-product protection over consultant analyses.</w:t>
      </w:r>
    </w:p>
    <w:p>
      <w:pPr>
        <w:pStyle w:val="ListBullet"/>
        <w:spacing w:after="40"/>
      </w:pPr>
      <w:r>
        <w:t>Phase II findings (e.g., a UST discharge or an IEC) may trigger reporting obligations, both for the LSRP under SRRA and N.J.A.C. 7:26I and for the Seller as owner. The PSA does not allocate who reports.</w:t>
      </w:r>
    </w:p>
    <w:p>
      <w:pPr>
        <w:pStyle w:val="ListBullet"/>
        <w:spacing w:after="40"/>
      </w:pPr>
      <w:r>
        <w:t>§9.6(c) has Greenfield indemnify for “exacerbation of environmental conditions” but includes no “mere discovery” carve-out. The Seller could claim losses flowing from what Greenfield’s testing reveals.</w:t>
      </w:r>
    </w:p>
    <w:p>
      <w:pPr>
        <w:spacing w:after="40"/>
      </w:pPr>
      <w:r>
        <w:rPr>
          <w:b/>
          <w:i/>
        </w:rPr>
        <w:t>Why it matters.</w:t>
      </w:r>
    </w:p>
    <w:p>
      <w:pPr>
        <w:pStyle w:val="ListBullet"/>
        <w:spacing w:after="40"/>
      </w:pPr>
      <w:r>
        <w:t>These terms raise Greenfield’s exposure during diligence and erode its contractual position.</w:t>
      </w:r>
    </w:p>
    <w:p>
      <w:pPr>
        <w:spacing w:after="40"/>
      </w:pPr>
      <w:r>
        <w:rPr>
          <w:b/>
          <w:i/>
        </w:rPr>
        <w:t>Recommendation.</w:t>
      </w:r>
    </w:p>
    <w:p>
      <w:pPr>
        <w:pStyle w:val="ListBullet"/>
        <w:spacing w:after="40"/>
      </w:pPr>
      <w:r>
        <w:t>Limit report sharing to final factual data, at Seller’s request, and only if Buyer terminates (or at Buyer’s election), without reliance and without effect on the reps and indemnity. Add an express carve-out: mere discovery or reporting of pre-existing conditions is not an indemnifiable loss. Allocate reporting responsibility to the Seller as owner and responsible party. Keep consultant engagement through counsel to preserve privilege.</w:t>
      </w:r>
    </w:p>
    <w:p>
      <w:pPr>
        <w:pStyle w:val="Heading2"/>
      </w:pPr>
      <w:r>
        <w:t>7.1 Section-by-Section Revision Table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656"/>
            <w:shd w:val="clear" w:color="auto" w:fill="1F3A5F"/>
          </w:tcPr>
          <w:p>
            <w:r/>
            <w:r>
              <w:rPr>
                <w:b/>
                <w:color w:val="FFFFFF"/>
                <w:sz w:val="16"/>
              </w:rPr>
              <w:t>PSA provision</w:t>
            </w:r>
          </w:p>
        </w:tc>
        <w:tc>
          <w:tcPr>
            <w:tcW w:type="dxa" w:w="2088"/>
            <w:shd w:val="clear" w:color="auto" w:fill="1F3A5F"/>
          </w:tcPr>
          <w:p>
            <w:r/>
            <w:r>
              <w:rPr>
                <w:b/>
                <w:color w:val="FFFFFF"/>
                <w:sz w:val="16"/>
              </w:rPr>
              <w:t>Seller draft</w:t>
            </w:r>
          </w:p>
        </w:tc>
        <w:tc>
          <w:tcPr>
            <w:tcW w:type="dxa" w:w="2304"/>
            <w:shd w:val="clear" w:color="auto" w:fill="1F3A5F"/>
          </w:tcPr>
          <w:p>
            <w:r/>
            <w:r>
              <w:rPr>
                <w:b/>
                <w:color w:val="FFFFFF"/>
                <w:sz w:val="16"/>
              </w:rPr>
              <w:t>Concern</w:t>
            </w:r>
          </w:p>
        </w:tc>
        <w:tc>
          <w:tcPr>
            <w:tcW w:type="dxa" w:w="3312"/>
            <w:shd w:val="clear" w:color="auto" w:fill="1F3A5F"/>
          </w:tcPr>
          <w:p>
            <w:r/>
            <w:r>
              <w:rPr>
                <w:b/>
                <w:color w:val="FFFFFF"/>
                <w:sz w:val="16"/>
              </w:rPr>
              <w:t>Proposed Buyer position</w:t>
            </w:r>
          </w:p>
        </w:tc>
      </w:tr>
      <w:tr>
        <w:tc>
          <w:tcPr>
            <w:tcW w:type="dxa" w:w="1656"/>
          </w:tcPr>
          <w:p>
            <w:r>
              <w:rPr>
                <w:sz w:val="16"/>
              </w:rPr>
            </w:r>
            <w:r>
              <w:rPr>
                <w:sz w:val="16"/>
              </w:rPr>
              <w:t>§1.1 “Knowledge”</w:t>
            </w:r>
          </w:p>
        </w:tc>
        <w:tc>
          <w:tcPr>
            <w:tcW w:type="dxa" w:w="2088"/>
          </w:tcPr>
          <w:p>
            <w:r>
              <w:rPr>
                <w:sz w:val="16"/>
              </w:rPr>
            </w:r>
            <w:r>
              <w:rPr>
                <w:sz w:val="16"/>
              </w:rPr>
              <w:t>Actual knowledge of P. Voss; no inquiry; no imputation</w:t>
            </w:r>
          </w:p>
        </w:tc>
        <w:tc>
          <w:tcPr>
            <w:tcW w:type="dxa" w:w="2304"/>
          </w:tcPr>
          <w:p>
            <w:r>
              <w:rPr>
                <w:sz w:val="16"/>
              </w:rPr>
            </w:r>
            <w:r>
              <w:rPr>
                <w:sz w:val="16"/>
              </w:rPr>
              <w:t>Removes accountability; inconsistent with Questionnaire’s “reasonable inquiry”</w:t>
            </w:r>
          </w:p>
        </w:tc>
        <w:tc>
          <w:tcPr>
            <w:tcW w:type="dxa" w:w="3312"/>
          </w:tcPr>
          <w:p>
            <w:r>
              <w:rPr>
                <w:sz w:val="16"/>
              </w:rPr>
            </w:r>
            <w:r>
              <w:rPr>
                <w:sz w:val="16"/>
              </w:rPr>
              <w:t>Add J. Novak, K. Walsh and the LSRP of record; knowledge after due inquiry, including Seller and consultant files</w:t>
            </w:r>
          </w:p>
        </w:tc>
      </w:tr>
      <w:tr>
        <w:tc>
          <w:tcPr>
            <w:tcW w:type="dxa" w:w="1656"/>
          </w:tcPr>
          <w:p>
            <w:r>
              <w:rPr>
                <w:sz w:val="16"/>
              </w:rPr>
            </w:r>
            <w:r>
              <w:rPr>
                <w:sz w:val="16"/>
              </w:rPr>
              <w:t>§1.1 “Material Environmental Condition”</w:t>
            </w:r>
          </w:p>
        </w:tc>
        <w:tc>
          <w:tcPr>
            <w:tcW w:type="dxa" w:w="2088"/>
          </w:tcPr>
          <w:p>
            <w:r>
              <w:rPr>
                <w:sz w:val="16"/>
              </w:rPr>
            </w:r>
            <w:r>
              <w:rPr>
                <w:sz w:val="16"/>
              </w:rPr>
              <w:t>Undisclosed/unknown condition &gt; $500k, least-cost method, independent LSRP verification</w:t>
            </w:r>
          </w:p>
        </w:tc>
        <w:tc>
          <w:tcPr>
            <w:tcW w:type="dxa" w:w="2304"/>
          </w:tcPr>
          <w:p>
            <w:r>
              <w:rPr>
                <w:sz w:val="16"/>
              </w:rPr>
            </w:r>
            <w:r>
              <w:rPr>
                <w:sz w:val="16"/>
              </w:rPr>
              <w:t>Known conditions excluded; verification veto; per-condition threshold</w:t>
            </w:r>
          </w:p>
        </w:tc>
        <w:tc>
          <w:tcPr>
            <w:tcW w:type="dxa" w:w="3312"/>
          </w:tcPr>
          <w:p>
            <w:r>
              <w:rPr>
                <w:sz w:val="16"/>
              </w:rPr>
            </w:r>
            <w:r>
              <w:rPr>
                <w:sz w:val="16"/>
              </w:rPr>
              <w:t>Delete. Replace with sole-discretion DD termination</w:t>
            </w:r>
          </w:p>
        </w:tc>
      </w:tr>
      <w:tr>
        <w:tc>
          <w:tcPr>
            <w:tcW w:type="dxa" w:w="1656"/>
          </w:tcPr>
          <w:p>
            <w:r>
              <w:rPr>
                <w:sz w:val="16"/>
              </w:rPr>
            </w:r>
            <w:r>
              <w:rPr>
                <w:sz w:val="16"/>
              </w:rPr>
              <w:t>§1.1 “Due Diligence Period”</w:t>
            </w:r>
          </w:p>
        </w:tc>
        <w:tc>
          <w:tcPr>
            <w:tcW w:type="dxa" w:w="2088"/>
          </w:tcPr>
          <w:p>
            <w:r>
              <w:rPr>
                <w:sz w:val="16"/>
              </w:rPr>
            </w:r>
            <w:r>
              <w:rPr>
                <w:sz w:val="16"/>
              </w:rPr>
              <w:t>60 days, to Nov. 19, 2024</w:t>
            </w:r>
          </w:p>
        </w:tc>
        <w:tc>
          <w:tcPr>
            <w:tcW w:type="dxa" w:w="2304"/>
          </w:tcPr>
          <w:p>
            <w:r>
              <w:rPr>
                <w:sz w:val="16"/>
              </w:rPr>
            </w:r>
            <w:r>
              <w:rPr>
                <w:sz w:val="16"/>
              </w:rPr>
              <w:t>Cannot accommodate VI, groundwater, GPR, OPRA</w:t>
            </w:r>
          </w:p>
        </w:tc>
        <w:tc>
          <w:tcPr>
            <w:tcW w:type="dxa" w:w="3312"/>
          </w:tcPr>
          <w:p>
            <w:r>
              <w:rPr>
                <w:sz w:val="16"/>
              </w:rPr>
            </w:r>
            <w:r>
              <w:rPr>
                <w:sz w:val="16"/>
              </w:rPr>
              <w:t>Extend 60–90 days or to 30 days after final data</w:t>
            </w:r>
          </w:p>
        </w:tc>
      </w:tr>
      <w:tr>
        <w:tc>
          <w:tcPr>
            <w:tcW w:type="dxa" w:w="1656"/>
          </w:tcPr>
          <w:p>
            <w:r>
              <w:rPr>
                <w:sz w:val="16"/>
              </w:rPr>
            </w:r>
            <w:r>
              <w:rPr>
                <w:sz w:val="16"/>
              </w:rPr>
              <w:t>§9.1(a)–(e)</w:t>
            </w:r>
          </w:p>
        </w:tc>
        <w:tc>
          <w:tcPr>
            <w:tcW w:type="dxa" w:w="2088"/>
          </w:tcPr>
          <w:p>
            <w:r>
              <w:rPr>
                <w:sz w:val="16"/>
              </w:rPr>
            </w:r>
            <w:r>
              <w:rPr>
                <w:sz w:val="16"/>
              </w:rPr>
              <w:t>Knowledge-qualified environmental reps</w:t>
            </w:r>
          </w:p>
        </w:tc>
        <w:tc>
          <w:tcPr>
            <w:tcW w:type="dxa" w:w="2304"/>
          </w:tcPr>
          <w:p>
            <w:r>
              <w:rPr>
                <w:sz w:val="16"/>
              </w:rPr>
            </w:r>
            <w:r>
              <w:rPr>
                <w:sz w:val="16"/>
              </w:rPr>
              <w:t>Rep on biennial certs and compliance already inaccurate; diesel UST</w:t>
            </w:r>
          </w:p>
        </w:tc>
        <w:tc>
          <w:tcPr>
            <w:tcW w:type="dxa" w:w="3312"/>
          </w:tcPr>
          <w:p>
            <w:r>
              <w:rPr>
                <w:sz w:val="16"/>
              </w:rPr>
            </w:r>
            <w:r>
              <w:rPr>
                <w:sz w:val="16"/>
              </w:rPr>
              <w:t>Flat reps on case status, LSRP identity, certifications, RAP/RFS/fees, engineering controls, USTs, CEA coverage, no direct oversight, no IEC or VI notices</w:t>
            </w:r>
          </w:p>
        </w:tc>
      </w:tr>
      <w:tr>
        <w:tc>
          <w:tcPr>
            <w:tcW w:type="dxa" w:w="1656"/>
          </w:tcPr>
          <w:p>
            <w:r>
              <w:rPr>
                <w:sz w:val="16"/>
              </w:rPr>
            </w:r>
            <w:r>
              <w:rPr>
                <w:sz w:val="16"/>
              </w:rPr>
              <w:t>§9.1(f)</w:t>
            </w:r>
          </w:p>
        </w:tc>
        <w:tc>
          <w:tcPr>
            <w:tcW w:type="dxa" w:w="2088"/>
          </w:tcPr>
          <w:p>
            <w:r>
              <w:rPr>
                <w:sz w:val="16"/>
              </w:rPr>
            </w:r>
            <w:r>
              <w:rPr>
                <w:sz w:val="16"/>
              </w:rPr>
              <w:t>PLL limits $5M</w:t>
            </w:r>
          </w:p>
        </w:tc>
        <w:tc>
          <w:tcPr>
            <w:tcW w:type="dxa" w:w="2304"/>
          </w:tcPr>
          <w:p>
            <w:r>
              <w:rPr>
                <w:sz w:val="16"/>
              </w:rPr>
            </w:r>
            <w:r>
              <w:rPr>
                <w:sz w:val="16"/>
              </w:rPr>
              <w:t>Questionnaire says $10M</w:t>
            </w:r>
          </w:p>
        </w:tc>
        <w:tc>
          <w:tcPr>
            <w:tcW w:type="dxa" w:w="3312"/>
          </w:tcPr>
          <w:p>
            <w:r>
              <w:rPr>
                <w:sz w:val="16"/>
              </w:rPr>
            </w:r>
            <w:r>
              <w:rPr>
                <w:sz w:val="16"/>
              </w:rPr>
              <w:t>Reconcile; deliver policy; assign rights</w:t>
            </w:r>
          </w:p>
        </w:tc>
      </w:tr>
      <w:tr>
        <w:tc>
          <w:tcPr>
            <w:tcW w:type="dxa" w:w="1656"/>
          </w:tcPr>
          <w:p>
            <w:r>
              <w:rPr>
                <w:sz w:val="16"/>
              </w:rPr>
            </w:r>
            <w:r>
              <w:rPr>
                <w:sz w:val="16"/>
              </w:rPr>
              <w:t>§9.1(g)</w:t>
            </w:r>
          </w:p>
        </w:tc>
        <w:tc>
          <w:tcPr>
            <w:tcW w:type="dxa" w:w="2088"/>
          </w:tcPr>
          <w:p>
            <w:r>
              <w:rPr>
                <w:sz w:val="16"/>
              </w:rPr>
            </w:r>
            <w:r>
              <w:rPr>
                <w:sz w:val="16"/>
              </w:rPr>
              <w:t>Questionnaire accurate to Knowledge; no intentional withholding</w:t>
            </w:r>
          </w:p>
        </w:tc>
        <w:tc>
          <w:tcPr>
            <w:tcW w:type="dxa" w:w="2304"/>
          </w:tcPr>
          <w:p>
            <w:r>
              <w:rPr>
                <w:sz w:val="16"/>
              </w:rPr>
            </w:r>
            <w:r>
              <w:rPr>
                <w:sz w:val="16"/>
              </w:rPr>
              <w:t>Too narrow</w:t>
            </w:r>
          </w:p>
        </w:tc>
        <w:tc>
          <w:tcPr>
            <w:tcW w:type="dxa" w:w="3312"/>
          </w:tcPr>
          <w:p>
            <w:r>
              <w:rPr>
                <w:sz w:val="16"/>
              </w:rPr>
            </w:r>
            <w:r>
              <w:rPr>
                <w:sz w:val="16"/>
              </w:rPr>
              <w:t>Questionnaire true, correct and complete in all material respects (flat), as corrected</w:t>
            </w:r>
          </w:p>
        </w:tc>
      </w:tr>
      <w:tr>
        <w:tc>
          <w:tcPr>
            <w:tcW w:type="dxa" w:w="1656"/>
          </w:tcPr>
          <w:p>
            <w:r>
              <w:rPr>
                <w:sz w:val="16"/>
              </w:rPr>
            </w:r>
            <w:r>
              <w:rPr>
                <w:sz w:val="16"/>
              </w:rPr>
              <w:t>Schedule 9.1</w:t>
            </w:r>
          </w:p>
        </w:tc>
        <w:tc>
          <w:tcPr>
            <w:tcW w:type="dxa" w:w="2088"/>
          </w:tcPr>
          <w:p>
            <w:r>
              <w:rPr>
                <w:sz w:val="16"/>
              </w:rPr>
            </w:r>
            <w:r>
              <w:rPr>
                <w:sz w:val="16"/>
              </w:rPr>
              <w:t>Lists Phase I and PA as Seller disclosures</w:t>
            </w:r>
          </w:p>
        </w:tc>
        <w:tc>
          <w:tcPr>
            <w:tcW w:type="dxa" w:w="2304"/>
          </w:tcPr>
          <w:p>
            <w:r>
              <w:rPr>
                <w:sz w:val="16"/>
              </w:rPr>
            </w:r>
            <w:r>
              <w:rPr>
                <w:sz w:val="16"/>
              </w:rPr>
              <w:t>Buyer diligence used to qualify Seller reps</w:t>
            </w:r>
          </w:p>
        </w:tc>
        <w:tc>
          <w:tcPr>
            <w:tcW w:type="dxa" w:w="3312"/>
          </w:tcPr>
          <w:p>
            <w:r>
              <w:rPr>
                <w:sz w:val="16"/>
              </w:rPr>
            </w:r>
            <w:r>
              <w:rPr>
                <w:sz w:val="16"/>
              </w:rPr>
              <w:t>Delete items 7–8; disclose only specific listed facts; no general disclosure by reference</w:t>
            </w:r>
          </w:p>
        </w:tc>
      </w:tr>
      <w:tr>
        <w:tc>
          <w:tcPr>
            <w:tcW w:type="dxa" w:w="1656"/>
          </w:tcPr>
          <w:p>
            <w:r>
              <w:rPr>
                <w:sz w:val="16"/>
              </w:rPr>
            </w:r>
            <w:r>
              <w:rPr>
                <w:sz w:val="16"/>
              </w:rPr>
              <w:t>§9.2</w:t>
            </w:r>
          </w:p>
        </w:tc>
        <w:tc>
          <w:tcPr>
            <w:tcW w:type="dxa" w:w="2088"/>
          </w:tcPr>
          <w:p>
            <w:r>
              <w:rPr>
                <w:sz w:val="16"/>
              </w:rPr>
            </w:r>
            <w:r>
              <w:rPr>
                <w:sz w:val="16"/>
              </w:rPr>
              <w:t>As-is; broad release including statutory claims</w:t>
            </w:r>
          </w:p>
        </w:tc>
        <w:tc>
          <w:tcPr>
            <w:tcW w:type="dxa" w:w="2304"/>
          </w:tcPr>
          <w:p>
            <w:r>
              <w:rPr>
                <w:sz w:val="16"/>
              </w:rPr>
            </w:r>
            <w:r>
              <w:rPr>
                <w:sz w:val="16"/>
              </w:rPr>
              <w:t>Waives Spill Act and CERCLA contribution against Seller</w:t>
            </w:r>
          </w:p>
        </w:tc>
        <w:tc>
          <w:tcPr>
            <w:tcW w:type="dxa" w:w="3312"/>
          </w:tcPr>
          <w:p>
            <w:r>
              <w:rPr>
                <w:sz w:val="16"/>
              </w:rPr>
            </w:r>
            <w:r>
              <w:rPr>
                <w:sz w:val="16"/>
              </w:rPr>
              <w:t>Carve out Retained Environmental Liabilities, statutory contribution and cost recovery, third-party claims, fraud</w:t>
            </w:r>
          </w:p>
        </w:tc>
      </w:tr>
      <w:tr>
        <w:tc>
          <w:tcPr>
            <w:tcW w:type="dxa" w:w="1656"/>
          </w:tcPr>
          <w:p>
            <w:r>
              <w:rPr>
                <w:sz w:val="16"/>
              </w:rPr>
            </w:r>
            <w:r>
              <w:rPr>
                <w:sz w:val="16"/>
              </w:rPr>
              <w:t>§9.3(a)(ii) and “known to Buyer”</w:t>
            </w:r>
          </w:p>
        </w:tc>
        <w:tc>
          <w:tcPr>
            <w:tcW w:type="dxa" w:w="2088"/>
          </w:tcPr>
          <w:p>
            <w:r>
              <w:rPr>
                <w:sz w:val="16"/>
              </w:rPr>
            </w:r>
            <w:r>
              <w:rPr>
                <w:sz w:val="16"/>
              </w:rPr>
              <w:t>Excludes conditions known to Buyer or referenced in the reports</w:t>
            </w:r>
          </w:p>
        </w:tc>
        <w:tc>
          <w:tcPr>
            <w:tcW w:type="dxa" w:w="2304"/>
          </w:tcPr>
          <w:p>
            <w:r>
              <w:rPr>
                <w:sz w:val="16"/>
              </w:rPr>
            </w:r>
            <w:r>
              <w:rPr>
                <w:sz w:val="16"/>
              </w:rPr>
              <w:t>Excludes all identified risk</w:t>
            </w:r>
          </w:p>
        </w:tc>
        <w:tc>
          <w:tcPr>
            <w:tcW w:type="dxa" w:w="3312"/>
          </w:tcPr>
          <w:p>
            <w:r>
              <w:rPr>
                <w:sz w:val="16"/>
              </w:rPr>
            </w:r>
            <w:r>
              <w:rPr>
                <w:sz w:val="16"/>
              </w:rPr>
              <w:t>Delete exclusion; add express indemnity for Retained Environmental Liabilities</w:t>
            </w:r>
          </w:p>
        </w:tc>
      </w:tr>
      <w:tr>
        <w:tc>
          <w:tcPr>
            <w:tcW w:type="dxa" w:w="1656"/>
          </w:tcPr>
          <w:p>
            <w:r>
              <w:rPr>
                <w:sz w:val="16"/>
              </w:rPr>
            </w:r>
            <w:r>
              <w:rPr>
                <w:sz w:val="16"/>
              </w:rPr>
              <w:t>§9.3(b) cap</w:t>
            </w:r>
          </w:p>
        </w:tc>
        <w:tc>
          <w:tcPr>
            <w:tcW w:type="dxa" w:w="2088"/>
          </w:tcPr>
          <w:p>
            <w:r>
              <w:rPr>
                <w:sz w:val="16"/>
              </w:rPr>
            </w:r>
            <w:r>
              <w:rPr>
                <w:sz w:val="16"/>
              </w:rPr>
              <w:t>$2,000,000 aggregate</w:t>
            </w:r>
          </w:p>
        </w:tc>
        <w:tc>
          <w:tcPr>
            <w:tcW w:type="dxa" w:w="2304"/>
          </w:tcPr>
          <w:p>
            <w:r>
              <w:rPr>
                <w:sz w:val="16"/>
              </w:rPr>
            </w:r>
            <w:r>
              <w:rPr>
                <w:sz w:val="16"/>
              </w:rPr>
              <w:t>About 5.2% of price; far below plausible exposure</w:t>
            </w:r>
          </w:p>
        </w:tc>
        <w:tc>
          <w:tcPr>
            <w:tcW w:type="dxa" w:w="3312"/>
          </w:tcPr>
          <w:p>
            <w:r>
              <w:rPr>
                <w:sz w:val="16"/>
              </w:rPr>
            </w:r>
            <w:r>
              <w:rPr>
                <w:sz w:val="16"/>
              </w:rPr>
              <w:t>Uncapped for Retained Environmental Liabilities, ISRA and pre-Closing non-compliance; cap for general rep breaches of not less than $[●] (to be sized from Phase II cost estimate)</w:t>
            </w:r>
          </w:p>
        </w:tc>
      </w:tr>
      <w:tr>
        <w:tc>
          <w:tcPr>
            <w:tcW w:type="dxa" w:w="1656"/>
          </w:tcPr>
          <w:p>
            <w:r>
              <w:rPr>
                <w:sz w:val="16"/>
              </w:rPr>
            </w:r>
            <w:r>
              <w:rPr>
                <w:sz w:val="16"/>
              </w:rPr>
              <w:t>§9.3(c) deductible</w:t>
            </w:r>
          </w:p>
        </w:tc>
        <w:tc>
          <w:tcPr>
            <w:tcW w:type="dxa" w:w="2088"/>
          </w:tcPr>
          <w:p>
            <w:r>
              <w:rPr>
                <w:sz w:val="16"/>
              </w:rPr>
            </w:r>
            <w:r>
              <w:rPr>
                <w:sz w:val="16"/>
              </w:rPr>
              <w:t>$75,000 aggregate</w:t>
            </w:r>
          </w:p>
        </w:tc>
        <w:tc>
          <w:tcPr>
            <w:tcW w:type="dxa" w:w="2304"/>
          </w:tcPr>
          <w:p>
            <w:r>
              <w:rPr>
                <w:sz w:val="16"/>
              </w:rPr>
            </w:r>
            <w:r>
              <w:rPr>
                <w:sz w:val="16"/>
              </w:rPr>
              <w:t>Acceptable for general reps only</w:t>
            </w:r>
          </w:p>
        </w:tc>
        <w:tc>
          <w:tcPr>
            <w:tcW w:type="dxa" w:w="3312"/>
          </w:tcPr>
          <w:p>
            <w:r>
              <w:rPr>
                <w:sz w:val="16"/>
              </w:rPr>
            </w:r>
            <w:r>
              <w:rPr>
                <w:sz w:val="16"/>
              </w:rPr>
              <w:t>No deductible for Retained Environmental Liabilities</w:t>
            </w:r>
          </w:p>
        </w:tc>
      </w:tr>
      <w:tr>
        <w:tc>
          <w:tcPr>
            <w:tcW w:type="dxa" w:w="1656"/>
          </w:tcPr>
          <w:p>
            <w:r>
              <w:rPr>
                <w:sz w:val="16"/>
              </w:rPr>
            </w:r>
            <w:r>
              <w:rPr>
                <w:sz w:val="16"/>
              </w:rPr>
              <w:t>§9.3(d) survival</w:t>
            </w:r>
          </w:p>
        </w:tc>
        <w:tc>
          <w:tcPr>
            <w:tcW w:type="dxa" w:w="2088"/>
          </w:tcPr>
          <w:p>
            <w:r>
              <w:rPr>
                <w:sz w:val="16"/>
              </w:rPr>
            </w:r>
            <w:r>
              <w:rPr>
                <w:sz w:val="16"/>
              </w:rPr>
              <w:t>24 months; hard claim bar</w:t>
            </w:r>
          </w:p>
        </w:tc>
        <w:tc>
          <w:tcPr>
            <w:tcW w:type="dxa" w:w="2304"/>
          </w:tcPr>
          <w:p>
            <w:r>
              <w:rPr>
                <w:sz w:val="16"/>
              </w:rPr>
            </w:r>
            <w:r>
              <w:rPr>
                <w:sz w:val="16"/>
              </w:rPr>
              <w:t>Long-tail plume, VI, NRD and third-party claims</w:t>
            </w:r>
          </w:p>
        </w:tc>
        <w:tc>
          <w:tcPr>
            <w:tcW w:type="dxa" w:w="3312"/>
          </w:tcPr>
          <w:p>
            <w:r>
              <w:rPr>
                <w:sz w:val="16"/>
              </w:rPr>
            </w:r>
            <w:r>
              <w:rPr>
                <w:sz w:val="16"/>
              </w:rPr>
              <w:t>Retained Environmental Liabilities survive until RAO plus applicable limitations period; general reps at least [5] years</w:t>
            </w:r>
          </w:p>
        </w:tc>
      </w:tr>
      <w:tr>
        <w:tc>
          <w:tcPr>
            <w:tcW w:type="dxa" w:w="1656"/>
          </w:tcPr>
          <w:p>
            <w:r>
              <w:rPr>
                <w:sz w:val="16"/>
              </w:rPr>
            </w:r>
            <w:r>
              <w:rPr>
                <w:sz w:val="16"/>
              </w:rPr>
              <w:t>§9.3(e)</w:t>
            </w:r>
          </w:p>
        </w:tc>
        <w:tc>
          <w:tcPr>
            <w:tcW w:type="dxa" w:w="2088"/>
          </w:tcPr>
          <w:p>
            <w:r>
              <w:rPr>
                <w:sz w:val="16"/>
              </w:rPr>
            </w:r>
            <w:r>
              <w:rPr>
                <w:sz w:val="16"/>
              </w:rPr>
              <w:t>Exclusive remedy; consequential damages waived</w:t>
            </w:r>
          </w:p>
        </w:tc>
        <w:tc>
          <w:tcPr>
            <w:tcW w:type="dxa" w:w="2304"/>
          </w:tcPr>
          <w:p>
            <w:r>
              <w:rPr>
                <w:sz w:val="16"/>
              </w:rPr>
            </w:r>
            <w:r>
              <w:rPr>
                <w:sz w:val="16"/>
              </w:rPr>
              <w:t>VI tenant claims and lost rent excluded</w:t>
            </w:r>
          </w:p>
        </w:tc>
        <w:tc>
          <w:tcPr>
            <w:tcW w:type="dxa" w:w="3312"/>
          </w:tcPr>
          <w:p>
            <w:r>
              <w:rPr>
                <w:sz w:val="16"/>
              </w:rPr>
            </w:r>
            <w:r>
              <w:rPr>
                <w:sz w:val="16"/>
              </w:rPr>
              <w:t>Carve out third-party claims, lost rent and abatement, and diminution caused by Retained Environmental Liabilities</w:t>
            </w:r>
          </w:p>
        </w:tc>
      </w:tr>
      <w:tr>
        <w:tc>
          <w:tcPr>
            <w:tcW w:type="dxa" w:w="1656"/>
          </w:tcPr>
          <w:p>
            <w:r>
              <w:rPr>
                <w:sz w:val="16"/>
              </w:rPr>
            </w:r>
            <w:r>
              <w:rPr>
                <w:sz w:val="16"/>
              </w:rPr>
              <w:t>§9.3(f)</w:t>
            </w:r>
          </w:p>
        </w:tc>
        <w:tc>
          <w:tcPr>
            <w:tcW w:type="dxa" w:w="2088"/>
          </w:tcPr>
          <w:p>
            <w:r>
              <w:rPr>
                <w:sz w:val="16"/>
              </w:rPr>
            </w:r>
            <w:r>
              <w:rPr>
                <w:sz w:val="16"/>
              </w:rPr>
              <w:t>Buyer must pursue Consolidated estate and insurers</w:t>
            </w:r>
          </w:p>
        </w:tc>
        <w:tc>
          <w:tcPr>
            <w:tcW w:type="dxa" w:w="2304"/>
          </w:tcPr>
          <w:p>
            <w:r>
              <w:rPr>
                <w:sz w:val="16"/>
              </w:rPr>
            </w:r>
            <w:r>
              <w:rPr>
                <w:sz w:val="16"/>
              </w:rPr>
              <w:t>Futile (estate administered in 1996–97) and delays recovery</w:t>
            </w:r>
          </w:p>
        </w:tc>
        <w:tc>
          <w:tcPr>
            <w:tcW w:type="dxa" w:w="3312"/>
          </w:tcPr>
          <w:p>
            <w:r>
              <w:rPr>
                <w:sz w:val="16"/>
              </w:rPr>
            </w:r>
            <w:r>
              <w:rPr>
                <w:sz w:val="16"/>
              </w:rPr>
              <w:t>Mitigation not a condition precedent; remit only net recoveries up to amounts paid by Seller</w:t>
            </w:r>
          </w:p>
        </w:tc>
      </w:tr>
      <w:tr>
        <w:tc>
          <w:tcPr>
            <w:tcW w:type="dxa" w:w="1656"/>
          </w:tcPr>
          <w:p>
            <w:r>
              <w:rPr>
                <w:sz w:val="16"/>
              </w:rPr>
            </w:r>
            <w:r>
              <w:rPr>
                <w:sz w:val="16"/>
              </w:rPr>
              <w:t>§9.4(a)</w:t>
            </w:r>
          </w:p>
        </w:tc>
        <w:tc>
          <w:tcPr>
            <w:tcW w:type="dxa" w:w="2088"/>
          </w:tcPr>
          <w:p>
            <w:r>
              <w:rPr>
                <w:sz w:val="16"/>
              </w:rPr>
            </w:r>
            <w:r>
              <w:rPr>
                <w:sz w:val="16"/>
              </w:rPr>
              <w:t>5 BD notice and Seller consent for invasive work</w:t>
            </w:r>
          </w:p>
        </w:tc>
        <w:tc>
          <w:tcPr>
            <w:tcW w:type="dxa" w:w="2304"/>
          </w:tcPr>
          <w:p>
            <w:r>
              <w:rPr>
                <w:sz w:val="16"/>
              </w:rPr>
            </w:r>
            <w:r>
              <w:rPr>
                <w:sz w:val="16"/>
              </w:rPr>
              <w:t>Delay; veto</w:t>
            </w:r>
          </w:p>
        </w:tc>
        <w:tc>
          <w:tcPr>
            <w:tcW w:type="dxa" w:w="3312"/>
          </w:tcPr>
          <w:p>
            <w:r>
              <w:rPr>
                <w:sz w:val="16"/>
              </w:rPr>
            </w:r>
            <w:r>
              <w:rPr>
                <w:sz w:val="16"/>
              </w:rPr>
              <w:t>Pre-approved scope exhibit; 2 BD notice; deemed consent</w:t>
            </w:r>
          </w:p>
        </w:tc>
      </w:tr>
      <w:tr>
        <w:tc>
          <w:tcPr>
            <w:tcW w:type="dxa" w:w="1656"/>
          </w:tcPr>
          <w:p>
            <w:r>
              <w:rPr>
                <w:sz w:val="16"/>
              </w:rPr>
            </w:r>
            <w:r>
              <w:rPr>
                <w:sz w:val="16"/>
              </w:rPr>
              <w:t>§9.4(b)–(d)</w:t>
            </w:r>
          </w:p>
        </w:tc>
        <w:tc>
          <w:tcPr>
            <w:tcW w:type="dxa" w:w="2088"/>
          </w:tcPr>
          <w:p>
            <w:r>
              <w:rPr>
                <w:sz w:val="16"/>
              </w:rPr>
            </w:r>
            <w:r>
              <w:rPr>
                <w:sz w:val="16"/>
              </w:rPr>
              <w:t>MEC termination; $50k retained; Seller 90-day cure</w:t>
            </w:r>
          </w:p>
        </w:tc>
        <w:tc>
          <w:tcPr>
            <w:tcW w:type="dxa" w:w="2304"/>
          </w:tcPr>
          <w:p>
            <w:r>
              <w:rPr>
                <w:sz w:val="16"/>
              </w:rPr>
            </w:r>
            <w:r>
              <w:rPr>
                <w:sz w:val="16"/>
              </w:rPr>
              <w:t>Illusory exit; unrealistic cure</w:t>
            </w:r>
          </w:p>
        </w:tc>
        <w:tc>
          <w:tcPr>
            <w:tcW w:type="dxa" w:w="3312"/>
          </w:tcPr>
          <w:p>
            <w:r>
              <w:rPr>
                <w:sz w:val="16"/>
              </w:rPr>
            </w:r>
            <w:r>
              <w:rPr>
                <w:sz w:val="16"/>
              </w:rPr>
              <w:t>Full refund; delete cure or require an RAO-backed cure at Buyer’s option</w:t>
            </w:r>
          </w:p>
        </w:tc>
      </w:tr>
      <w:tr>
        <w:tc>
          <w:tcPr>
            <w:tcW w:type="dxa" w:w="1656"/>
          </w:tcPr>
          <w:p>
            <w:r>
              <w:rPr>
                <w:sz w:val="16"/>
              </w:rPr>
            </w:r>
            <w:r>
              <w:rPr>
                <w:sz w:val="16"/>
              </w:rPr>
              <w:t>§9.5</w:t>
            </w:r>
          </w:p>
        </w:tc>
        <w:tc>
          <w:tcPr>
            <w:tcW w:type="dxa" w:w="2088"/>
          </w:tcPr>
          <w:p>
            <w:r>
              <w:rPr>
                <w:sz w:val="16"/>
              </w:rPr>
            </w:r>
            <w:r>
              <w:rPr>
                <w:sz w:val="16"/>
              </w:rPr>
              <w:t>Seller obtains LNA or NFA before Closing</w:t>
            </w:r>
          </w:p>
        </w:tc>
        <w:tc>
          <w:tcPr>
            <w:tcW w:type="dxa" w:w="2304"/>
          </w:tcPr>
          <w:p>
            <w:r>
              <w:rPr>
                <w:sz w:val="16"/>
              </w:rPr>
            </w:r>
            <w:r>
              <w:rPr>
                <w:sz w:val="16"/>
              </w:rPr>
              <w:t>NFA not available in LSRP cases; RAO not feasible by Closing; conflicts with §9.7(b)</w:t>
            </w:r>
          </w:p>
        </w:tc>
        <w:tc>
          <w:tcPr>
            <w:tcW w:type="dxa" w:w="3312"/>
          </w:tcPr>
          <w:p>
            <w:r>
              <w:rPr>
                <w:sz w:val="16"/>
              </w:rPr>
            </w:r>
            <w:r>
              <w:rPr>
                <w:sz w:val="16"/>
              </w:rPr>
              <w:t>LNA, RAO, or remediation certification with Seller RFS; Seller remains responsible; uncapped; prevails over §9.7(b)</w:t>
            </w:r>
          </w:p>
        </w:tc>
      </w:tr>
      <w:tr>
        <w:tc>
          <w:tcPr>
            <w:tcW w:type="dxa" w:w="1656"/>
          </w:tcPr>
          <w:p>
            <w:r>
              <w:rPr>
                <w:sz w:val="16"/>
              </w:rPr>
            </w:r>
            <w:r>
              <w:rPr>
                <w:sz w:val="16"/>
              </w:rPr>
              <w:t>§9.6(a)</w:t>
            </w:r>
          </w:p>
        </w:tc>
        <w:tc>
          <w:tcPr>
            <w:tcW w:type="dxa" w:w="2088"/>
          </w:tcPr>
          <w:p>
            <w:r>
              <w:rPr>
                <w:sz w:val="16"/>
              </w:rPr>
            </w:r>
            <w:r>
              <w:rPr>
                <w:sz w:val="16"/>
              </w:rPr>
              <w:t>48 hours’ notice, business hours</w:t>
            </w:r>
          </w:p>
        </w:tc>
        <w:tc>
          <w:tcPr>
            <w:tcW w:type="dxa" w:w="2304"/>
          </w:tcPr>
          <w:p>
            <w:r>
              <w:rPr>
                <w:sz w:val="16"/>
              </w:rPr>
            </w:r>
            <w:r>
              <w:rPr>
                <w:sz w:val="16"/>
              </w:rPr>
              <w:t>Inconsistent with §9.4(a); prevents 24-hour VI sampling</w:t>
            </w:r>
          </w:p>
        </w:tc>
        <w:tc>
          <w:tcPr>
            <w:tcW w:type="dxa" w:w="3312"/>
          </w:tcPr>
          <w:p>
            <w:r>
              <w:rPr>
                <w:sz w:val="16"/>
              </w:rPr>
            </w:r>
            <w:r>
              <w:rPr>
                <w:sz w:val="16"/>
              </w:rPr>
              <w:t>Conform; allow after-hours and weekend access for VI</w:t>
            </w:r>
          </w:p>
        </w:tc>
      </w:tr>
      <w:tr>
        <w:tc>
          <w:tcPr>
            <w:tcW w:type="dxa" w:w="1656"/>
          </w:tcPr>
          <w:p>
            <w:r>
              <w:rPr>
                <w:sz w:val="16"/>
              </w:rPr>
            </w:r>
            <w:r>
              <w:rPr>
                <w:sz w:val="16"/>
              </w:rPr>
              <w:t>§9.6(c)–(d)</w:t>
            </w:r>
          </w:p>
        </w:tc>
        <w:tc>
          <w:tcPr>
            <w:tcW w:type="dxa" w:w="2088"/>
          </w:tcPr>
          <w:p>
            <w:r>
              <w:rPr>
                <w:sz w:val="16"/>
              </w:rPr>
            </w:r>
            <w:r>
              <w:rPr>
                <w:sz w:val="16"/>
              </w:rPr>
              <w:t>Buyer indemnity for investigation; mandatory report sharing</w:t>
            </w:r>
          </w:p>
        </w:tc>
        <w:tc>
          <w:tcPr>
            <w:tcW w:type="dxa" w:w="2304"/>
          </w:tcPr>
          <w:p>
            <w:r>
              <w:rPr>
                <w:sz w:val="16"/>
              </w:rPr>
            </w:r>
            <w:r>
              <w:rPr>
                <w:sz w:val="16"/>
              </w:rPr>
              <w:t>No mere-discovery carve-out; privilege; feeds “known” exclusion</w:t>
            </w:r>
          </w:p>
        </w:tc>
        <w:tc>
          <w:tcPr>
            <w:tcW w:type="dxa" w:w="3312"/>
          </w:tcPr>
          <w:p>
            <w:r>
              <w:rPr>
                <w:sz w:val="16"/>
              </w:rPr>
            </w:r>
            <w:r>
              <w:rPr>
                <w:sz w:val="16"/>
              </w:rPr>
              <w:t>Add carve-out; limit sharing as described under Issue 19</w:t>
            </w:r>
          </w:p>
        </w:tc>
      </w:tr>
      <w:tr>
        <w:tc>
          <w:tcPr>
            <w:tcW w:type="dxa" w:w="1656"/>
          </w:tcPr>
          <w:p>
            <w:r>
              <w:rPr>
                <w:sz w:val="16"/>
              </w:rPr>
            </w:r>
            <w:r>
              <w:rPr>
                <w:sz w:val="16"/>
              </w:rPr>
              <w:t>§9.7(a)–(b)</w:t>
            </w:r>
          </w:p>
        </w:tc>
        <w:tc>
          <w:tcPr>
            <w:tcW w:type="dxa" w:w="2088"/>
          </w:tcPr>
          <w:p>
            <w:r>
              <w:rPr>
                <w:sz w:val="16"/>
              </w:rPr>
            </w:r>
            <w:r>
              <w:rPr>
                <w:sz w:val="16"/>
              </w:rPr>
              <w:t>Buyer assumes deed notice, CEA, MNA, VI and post-Closing discoveries</w:t>
            </w:r>
          </w:p>
        </w:tc>
        <w:tc>
          <w:tcPr>
            <w:tcW w:type="dxa" w:w="2304"/>
          </w:tcPr>
          <w:p>
            <w:r>
              <w:rPr>
                <w:sz w:val="16"/>
              </w:rPr>
            </w:r>
            <w:r>
              <w:rPr>
                <w:sz w:val="16"/>
              </w:rPr>
              <w:t>Wholesale risk transfer</w:t>
            </w:r>
          </w:p>
        </w:tc>
        <w:tc>
          <w:tcPr>
            <w:tcW w:type="dxa" w:w="3312"/>
          </w:tcPr>
          <w:p>
            <w:r>
              <w:rPr>
                <w:sz w:val="16"/>
              </w:rPr>
            </w:r>
            <w:r>
              <w:rPr>
                <w:sz w:val="16"/>
              </w:rPr>
              <w:t>Buyer assumes at most routine post-Closing deed notice inspection and maintenance for areas it controls; Seller retains remediation, MNA, CEA, VI and certification obligations for pre-Closing contamination</w:t>
            </w:r>
          </w:p>
        </w:tc>
      </w:tr>
      <w:tr>
        <w:tc>
          <w:tcPr>
            <w:tcW w:type="dxa" w:w="1656"/>
          </w:tcPr>
          <w:p>
            <w:r>
              <w:rPr>
                <w:sz w:val="16"/>
              </w:rPr>
            </w:r>
            <w:r>
              <w:rPr>
                <w:sz w:val="16"/>
              </w:rPr>
              <w:t>§9.7(c)</w:t>
            </w:r>
          </w:p>
        </w:tc>
        <w:tc>
          <w:tcPr>
            <w:tcW w:type="dxa" w:w="2088"/>
          </w:tcPr>
          <w:p>
            <w:r>
              <w:rPr>
                <w:sz w:val="16"/>
              </w:rPr>
            </w:r>
            <w:r>
              <w:rPr>
                <w:sz w:val="16"/>
              </w:rPr>
              <w:t>LSRP transitions to Buyer’s LSRP within 30 days</w:t>
            </w:r>
          </w:p>
        </w:tc>
        <w:tc>
          <w:tcPr>
            <w:tcW w:type="dxa" w:w="2304"/>
          </w:tcPr>
          <w:p>
            <w:r>
              <w:rPr>
                <w:sz w:val="16"/>
              </w:rPr>
            </w:r>
            <w:r>
              <w:rPr>
                <w:sz w:val="16"/>
              </w:rPr>
              <w:t>Makes Buyer the remediating party; LSRP identity disputed</w:t>
            </w:r>
          </w:p>
        </w:tc>
        <w:tc>
          <w:tcPr>
            <w:tcW w:type="dxa" w:w="3312"/>
          </w:tcPr>
          <w:p>
            <w:r>
              <w:rPr>
                <w:sz w:val="16"/>
              </w:rPr>
            </w:r>
            <w:r>
              <w:rPr>
                <w:sz w:val="16"/>
              </w:rPr>
              <w:t>Seller remains person responsible and retains an LSRP acceptable to Buyer; Buyer approval rights over submissions affecting redevelopment</w:t>
            </w:r>
          </w:p>
        </w:tc>
      </w:tr>
      <w:tr>
        <w:tc>
          <w:tcPr>
            <w:tcW w:type="dxa" w:w="1656"/>
          </w:tcPr>
          <w:p>
            <w:r>
              <w:rPr>
                <w:sz w:val="16"/>
              </w:rPr>
            </w:r>
            <w:r>
              <w:rPr>
                <w:sz w:val="16"/>
              </w:rPr>
              <w:t>§9.8</w:t>
            </w:r>
          </w:p>
        </w:tc>
        <w:tc>
          <w:tcPr>
            <w:tcW w:type="dxa" w:w="2088"/>
          </w:tcPr>
          <w:p>
            <w:r>
              <w:rPr>
                <w:sz w:val="16"/>
              </w:rPr>
            </w:r>
            <w:r>
              <w:rPr>
                <w:sz w:val="16"/>
              </w:rPr>
              <w:t>Pre-Closing covenants (continue monitoring)</w:t>
            </w:r>
          </w:p>
        </w:tc>
        <w:tc>
          <w:tcPr>
            <w:tcW w:type="dxa" w:w="2304"/>
          </w:tcPr>
          <w:p>
            <w:r>
              <w:rPr>
                <w:sz w:val="16"/>
              </w:rPr>
            </w:r>
            <w:r>
              <w:rPr>
                <w:sz w:val="16"/>
              </w:rPr>
              <w:t>Seller already behind schedule</w:t>
            </w:r>
          </w:p>
        </w:tc>
        <w:tc>
          <w:tcPr>
            <w:tcW w:type="dxa" w:w="3312"/>
          </w:tcPr>
          <w:p>
            <w:r>
              <w:rPr>
                <w:sz w:val="16"/>
              </w:rPr>
            </w:r>
            <w:r>
              <w:rPr>
                <w:sz w:val="16"/>
              </w:rPr>
              <w:t>Add: file overdue biennial certification, complete monitoring round, pay fees, confirm RAP/RFS, deliver complete files within 5 BD, notify of any direct-oversight or IEC matters; make these Closing conditions</w:t>
            </w:r>
          </w:p>
        </w:tc>
      </w:tr>
      <w:tr>
        <w:tc>
          <w:tcPr>
            <w:tcW w:type="dxa" w:w="1656"/>
          </w:tcPr>
          <w:p>
            <w:r>
              <w:rPr>
                <w:sz w:val="16"/>
              </w:rPr>
            </w:r>
            <w:r>
              <w:rPr>
                <w:sz w:val="16"/>
              </w:rPr>
              <w:t>§9.9</w:t>
            </w:r>
          </w:p>
        </w:tc>
        <w:tc>
          <w:tcPr>
            <w:tcW w:type="dxa" w:w="2088"/>
          </w:tcPr>
          <w:p>
            <w:r>
              <w:rPr>
                <w:sz w:val="16"/>
              </w:rPr>
            </w:r>
            <w:r>
              <w:rPr>
                <w:sz w:val="16"/>
              </w:rPr>
              <w:t>Buyer may buy PLL at its cost</w:t>
            </w:r>
          </w:p>
        </w:tc>
        <w:tc>
          <w:tcPr>
            <w:tcW w:type="dxa" w:w="2304"/>
          </w:tcPr>
          <w:p>
            <w:r>
              <w:rPr>
                <w:sz w:val="16"/>
              </w:rPr>
            </w:r>
            <w:r>
              <w:rPr>
                <w:sz w:val="16"/>
              </w:rPr>
              <w:t>No Seller support</w:t>
            </w:r>
          </w:p>
        </w:tc>
        <w:tc>
          <w:tcPr>
            <w:tcW w:type="dxa" w:w="3312"/>
          </w:tcPr>
          <w:p>
            <w:r>
              <w:rPr>
                <w:sz w:val="16"/>
              </w:rPr>
            </w:r>
            <w:r>
              <w:rPr>
                <w:sz w:val="16"/>
              </w:rPr>
              <w:t>Seller contributes [●]% of PLL and cost-cap premium; cooperates with underwriting</w:t>
            </w:r>
          </w:p>
        </w:tc>
      </w:tr>
      <w:tr>
        <w:tc>
          <w:tcPr>
            <w:tcW w:type="dxa" w:w="1656"/>
          </w:tcPr>
          <w:p>
            <w:r>
              <w:rPr>
                <w:sz w:val="16"/>
              </w:rPr>
            </w:r>
            <w:r>
              <w:rPr>
                <w:sz w:val="16"/>
              </w:rPr>
              <w:t>§9.10 AOC definitions</w:t>
            </w:r>
          </w:p>
        </w:tc>
        <w:tc>
          <w:tcPr>
            <w:tcW w:type="dxa" w:w="2088"/>
          </w:tcPr>
          <w:p>
            <w:r>
              <w:rPr>
                <w:sz w:val="16"/>
              </w:rPr>
            </w:r>
            <w:r>
              <w:rPr>
                <w:sz w:val="16"/>
              </w:rPr>
              <w:t>AOC-1 near Bldg B; AOC-3 at “Building F”; AOC-5 NW at rail spur</w:t>
            </w:r>
          </w:p>
        </w:tc>
        <w:tc>
          <w:tcPr>
            <w:tcW w:type="dxa" w:w="2304"/>
          </w:tcPr>
          <w:p>
            <w:r>
              <w:rPr>
                <w:sz w:val="16"/>
              </w:rPr>
            </w:r>
            <w:r>
              <w:rPr>
                <w:sz w:val="16"/>
              </w:rPr>
              <w:t>Factually wrong</w:t>
            </w:r>
          </w:p>
        </w:tc>
        <w:tc>
          <w:tcPr>
            <w:tcW w:type="dxa" w:w="3312"/>
          </w:tcPr>
          <w:p>
            <w:r>
              <w:rPr>
                <w:sz w:val="16"/>
              </w:rPr>
            </w:r>
            <w:r>
              <w:rPr>
                <w:sz w:val="16"/>
              </w:rPr>
              <w:t>Define by reference to deed notice exhibits and a survey exhibit</w:t>
            </w:r>
          </w:p>
        </w:tc>
      </w:tr>
      <w:tr>
        <w:tc>
          <w:tcPr>
            <w:tcW w:type="dxa" w:w="1656"/>
          </w:tcPr>
          <w:p>
            <w:r>
              <w:rPr>
                <w:sz w:val="16"/>
              </w:rPr>
            </w:r>
            <w:r>
              <w:rPr>
                <w:sz w:val="16"/>
              </w:rPr>
              <w:t>New</w:t>
            </w:r>
          </w:p>
        </w:tc>
        <w:tc>
          <w:tcPr>
            <w:tcW w:type="dxa" w:w="2088"/>
          </w:tcPr>
          <w:p>
            <w:r>
              <w:rPr>
                <w:sz w:val="16"/>
              </w:rPr>
            </w:r>
            <w:r>
              <w:rPr>
                <w:sz w:val="16"/>
              </w:rPr>
              <w:t>—</w:t>
            </w:r>
          </w:p>
        </w:tc>
        <w:tc>
          <w:tcPr>
            <w:tcW w:type="dxa" w:w="2304"/>
          </w:tcPr>
          <w:p>
            <w:r>
              <w:rPr>
                <w:sz w:val="16"/>
              </w:rPr>
            </w:r>
            <w:r>
              <w:rPr>
                <w:sz w:val="16"/>
              </w:rPr>
              <w:t>No security for Seller obligations</w:t>
            </w:r>
          </w:p>
        </w:tc>
        <w:tc>
          <w:tcPr>
            <w:tcW w:type="dxa" w:w="3312"/>
          </w:tcPr>
          <w:p>
            <w:r>
              <w:rPr>
                <w:sz w:val="16"/>
              </w:rPr>
            </w:r>
            <w:r>
              <w:rPr>
                <w:sz w:val="16"/>
              </w:rPr>
              <w:t>Escrow or holdback of $[●] (sized from Phase II); parent guaranty or creditworthiness covenant from Ridgeline</w:t>
            </w:r>
          </w:p>
        </w:tc>
      </w:tr>
    </w:tbl>
    <w:p>
      <w:pPr>
        <w:spacing w:after="40"/>
      </w:pPr>
    </w:p>
    <w:p>
      <w:pPr>
        <w:pStyle w:val="Heading1"/>
      </w:pPr>
      <w:r>
        <w:t>8. Underwriting Memo — Budget and Assumption Issues (Issue 12)</w:t>
      </w:r>
    </w:p>
    <w:p>
      <w:pPr>
        <w:spacing w:after="120"/>
      </w:pPr>
      <w:r>
        <w:t>The UW Memo’s $750,000 five-year budget (MNA $300,000; biennial certifications $50,000; VI for Buildings C and D $200,000; contingency $200,000) is described as covering “known conditions only.” Even on that basis it is incomplete, and several assumptions conflict with the record or the PSA. We recommend the Investment Committee replace the point estimate with a consultant-prepared range (low, expected, high) once Phase II data are in, and condition approval on the PSA re-allocation in Section 7.</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584"/>
            <w:shd w:val="clear" w:color="auto" w:fill="1F3A5F"/>
          </w:tcPr>
          <w:p>
            <w:r/>
            <w:r>
              <w:rPr>
                <w:b/>
                <w:color w:val="FFFFFF"/>
                <w:sz w:val="16"/>
              </w:rPr>
              <w:t>UW Memo item</w:t>
            </w:r>
          </w:p>
        </w:tc>
        <w:tc>
          <w:tcPr>
            <w:tcW w:type="dxa" w:w="2160"/>
            <w:shd w:val="clear" w:color="auto" w:fill="1F3A5F"/>
          </w:tcPr>
          <w:p>
            <w:r/>
            <w:r>
              <w:rPr>
                <w:b/>
                <w:color w:val="FFFFFF"/>
                <w:sz w:val="16"/>
              </w:rPr>
              <w:t>Assumption</w:t>
            </w:r>
          </w:p>
        </w:tc>
        <w:tc>
          <w:tcPr>
            <w:tcW w:type="dxa" w:w="2880"/>
            <w:shd w:val="clear" w:color="auto" w:fill="1F3A5F"/>
          </w:tcPr>
          <w:p>
            <w:r/>
            <w:r>
              <w:rPr>
                <w:b/>
                <w:color w:val="FFFFFF"/>
                <w:sz w:val="16"/>
              </w:rPr>
              <w:t>Issue</w:t>
            </w:r>
          </w:p>
        </w:tc>
        <w:tc>
          <w:tcPr>
            <w:tcW w:type="dxa" w:w="2736"/>
            <w:shd w:val="clear" w:color="auto" w:fill="1F3A5F"/>
          </w:tcPr>
          <w:p>
            <w:r/>
            <w:r>
              <w:rPr>
                <w:b/>
                <w:color w:val="FFFFFF"/>
                <w:sz w:val="16"/>
              </w:rPr>
              <w:t>Recommendation</w:t>
            </w:r>
          </w:p>
        </w:tc>
      </w:tr>
      <w:tr>
        <w:tc>
          <w:tcPr>
            <w:tcW w:type="dxa" w:w="1584"/>
          </w:tcPr>
          <w:p>
            <w:r>
              <w:rPr>
                <w:sz w:val="16"/>
              </w:rPr>
            </w:r>
            <w:r>
              <w:rPr>
                <w:sz w:val="16"/>
              </w:rPr>
              <w:t>§3.1 MNA</w:t>
            </w:r>
          </w:p>
        </w:tc>
        <w:tc>
          <w:tcPr>
            <w:tcW w:type="dxa" w:w="2160"/>
          </w:tcPr>
          <w:p>
            <w:r>
              <w:rPr>
                <w:sz w:val="16"/>
              </w:rPr>
            </w:r>
            <w:r>
              <w:rPr>
                <w:sz w:val="16"/>
              </w:rPr>
              <w:t>Semi-annual sampling of 17 wells for 5 years at $60k/yr</w:t>
            </w:r>
          </w:p>
        </w:tc>
        <w:tc>
          <w:tcPr>
            <w:tcW w:type="dxa" w:w="2880"/>
          </w:tcPr>
          <w:p>
            <w:r>
              <w:rPr>
                <w:sz w:val="16"/>
              </w:rPr>
            </w:r>
            <w:r>
              <w:rPr>
                <w:sz w:val="16"/>
              </w:rPr>
              <w:t>Well count unverified (14 in PA; 8 observed); the plume has persisted about 23 years under MNA, so 5 years is a floor, not an estimate; no bedrock or off-site wells; possible need for active remedy</w:t>
            </w:r>
          </w:p>
        </w:tc>
        <w:tc>
          <w:tcPr>
            <w:tcW w:type="dxa" w:w="2736"/>
          </w:tcPr>
          <w:p>
            <w:r>
              <w:rPr>
                <w:sz w:val="16"/>
              </w:rPr>
            </w:r>
            <w:r>
              <w:rPr>
                <w:sz w:val="16"/>
              </w:rPr>
              <w:t>Model MNA over a realistic horizon; price well repair or replacement and new bedrock and off-site wells; add a scenario for source treatment at AOC-3</w:t>
            </w:r>
          </w:p>
        </w:tc>
      </w:tr>
      <w:tr>
        <w:tc>
          <w:tcPr>
            <w:tcW w:type="dxa" w:w="1584"/>
          </w:tcPr>
          <w:p>
            <w:r>
              <w:rPr>
                <w:sz w:val="16"/>
              </w:rPr>
            </w:r>
            <w:r>
              <w:rPr>
                <w:sz w:val="16"/>
              </w:rPr>
              <w:t>§3.2 Biennial certifications</w:t>
            </w:r>
          </w:p>
        </w:tc>
        <w:tc>
          <w:tcPr>
            <w:tcW w:type="dxa" w:w="2160"/>
          </w:tcPr>
          <w:p>
            <w:r>
              <w:rPr>
                <w:sz w:val="16"/>
              </w:rPr>
            </w:r>
            <w:r>
              <w:rPr>
                <w:sz w:val="16"/>
              </w:rPr>
              <w:t>2 x $25k</w:t>
            </w:r>
          </w:p>
        </w:tc>
        <w:tc>
          <w:tcPr>
            <w:tcW w:type="dxa" w:w="2880"/>
          </w:tcPr>
          <w:p>
            <w:r>
              <w:rPr>
                <w:sz w:val="16"/>
              </w:rPr>
            </w:r>
            <w:r>
              <w:rPr>
                <w:sz w:val="16"/>
              </w:rPr>
              <w:t>Overdue 2023 certification and next due about April 2025 (post-Closing); may require back-filing, inspections and an updated protectiveness evaluation</w:t>
            </w:r>
          </w:p>
        </w:tc>
        <w:tc>
          <w:tcPr>
            <w:tcW w:type="dxa" w:w="2736"/>
          </w:tcPr>
          <w:p>
            <w:r>
              <w:rPr>
                <w:sz w:val="16"/>
              </w:rPr>
            </w:r>
            <w:r>
              <w:rPr>
                <w:sz w:val="16"/>
              </w:rPr>
              <w:t>Make Seller cure before Closing; budget LSRP oversight separately</w:t>
            </w:r>
          </w:p>
        </w:tc>
      </w:tr>
      <w:tr>
        <w:tc>
          <w:tcPr>
            <w:tcW w:type="dxa" w:w="1584"/>
          </w:tcPr>
          <w:p>
            <w:r>
              <w:rPr>
                <w:sz w:val="16"/>
              </w:rPr>
            </w:r>
            <w:r>
              <w:rPr>
                <w:sz w:val="16"/>
              </w:rPr>
              <w:t>§3.3 VI</w:t>
            </w:r>
          </w:p>
        </w:tc>
        <w:tc>
          <w:tcPr>
            <w:tcW w:type="dxa" w:w="2160"/>
          </w:tcPr>
          <w:p>
            <w:r>
              <w:rPr>
                <w:sz w:val="16"/>
              </w:rPr>
            </w:r>
            <w:r>
              <w:rPr>
                <w:sz w:val="16"/>
              </w:rPr>
              <w:t>C and D only; $50k investigation plus $75k per building mitigation</w:t>
            </w:r>
          </w:p>
        </w:tc>
        <w:tc>
          <w:tcPr>
            <w:tcW w:type="dxa" w:w="2880"/>
          </w:tcPr>
          <w:p>
            <w:r>
              <w:rPr>
                <w:sz w:val="16"/>
              </w:rPr>
            </w:r>
            <w:r>
              <w:rPr>
                <w:sz w:val="16"/>
              </w:rPr>
              <w:t>A, B and E excluded; per-building mitigation for 48,000–58,000 sq ft slabs may be understated; tenant-claim exposure not considered</w:t>
            </w:r>
          </w:p>
        </w:tc>
        <w:tc>
          <w:tcPr>
            <w:tcW w:type="dxa" w:w="2736"/>
          </w:tcPr>
          <w:p>
            <w:r>
              <w:rPr>
                <w:sz w:val="16"/>
              </w:rPr>
            </w:r>
            <w:r>
              <w:rPr>
                <w:sz w:val="16"/>
              </w:rPr>
              <w:t>Consultant to price SSD systems per building; add A, B, E screening; VI-protective design for new construction</w:t>
            </w:r>
          </w:p>
        </w:tc>
      </w:tr>
      <w:tr>
        <w:tc>
          <w:tcPr>
            <w:tcW w:type="dxa" w:w="1584"/>
          </w:tcPr>
          <w:p>
            <w:r>
              <w:rPr>
                <w:sz w:val="16"/>
              </w:rPr>
            </w:r>
            <w:r>
              <w:rPr>
                <w:sz w:val="16"/>
              </w:rPr>
              <w:t>§3.4 Contingency exclusions</w:t>
            </w:r>
          </w:p>
        </w:tc>
        <w:tc>
          <w:tcPr>
            <w:tcW w:type="dxa" w:w="2160"/>
          </w:tcPr>
          <w:p>
            <w:r>
              <w:rPr>
                <w:sz w:val="16"/>
              </w:rPr>
            </w:r>
            <w:r>
              <w:rPr>
                <w:sz w:val="16"/>
              </w:rPr>
              <w:t>Diesel UST, unrestricted-use cleanup, off-site plume, wetlands excluded</w:t>
            </w:r>
          </w:p>
        </w:tc>
        <w:tc>
          <w:tcPr>
            <w:tcW w:type="dxa" w:w="2880"/>
          </w:tcPr>
          <w:p>
            <w:r>
              <w:rPr>
                <w:sz w:val="16"/>
              </w:rPr>
            </w:r>
            <w:r>
              <w:rPr>
                <w:sz w:val="16"/>
              </w:rPr>
              <w:t>These are among the most probable cost items</w:t>
            </w:r>
          </w:p>
        </w:tc>
        <w:tc>
          <w:tcPr>
            <w:tcW w:type="dxa" w:w="2736"/>
          </w:tcPr>
          <w:p>
            <w:r>
              <w:rPr>
                <w:sz w:val="16"/>
              </w:rPr>
            </w:r>
            <w:r>
              <w:rPr>
                <w:sz w:val="16"/>
              </w:rPr>
              <w:t>Price each line item explicitly</w:t>
            </w:r>
          </w:p>
        </w:tc>
      </w:tr>
      <w:tr>
        <w:tc>
          <w:tcPr>
            <w:tcW w:type="dxa" w:w="1584"/>
          </w:tcPr>
          <w:p>
            <w:r>
              <w:rPr>
                <w:sz w:val="16"/>
              </w:rPr>
            </w:r>
            <w:r>
              <w:rPr>
                <w:sz w:val="16"/>
              </w:rPr>
              <w:t>Not addressed</w:t>
            </w:r>
          </w:p>
        </w:tc>
        <w:tc>
          <w:tcPr>
            <w:tcW w:type="dxa" w:w="2160"/>
          </w:tcPr>
          <w:p>
            <w:r>
              <w:rPr>
                <w:sz w:val="16"/>
              </w:rPr>
            </w:r>
            <w:r>
              <w:rPr>
                <w:sz w:val="16"/>
              </w:rPr>
              <w:t>—</w:t>
            </w:r>
          </w:p>
        </w:tc>
        <w:tc>
          <w:tcPr>
            <w:tcW w:type="dxa" w:w="2880"/>
          </w:tcPr>
          <w:p>
            <w:r>
              <w:rPr>
                <w:sz w:val="16"/>
              </w:rPr>
            </w:r>
            <w:r>
              <w:rPr>
                <w:sz w:val="16"/>
              </w:rPr>
              <w:t>Soil management, transport and disposal for redevelopment excavation within deed notice areas; deed notice and RAP modifications; new engineering controls</w:t>
            </w:r>
          </w:p>
        </w:tc>
        <w:tc>
          <w:tcPr>
            <w:tcW w:type="dxa" w:w="2736"/>
          </w:tcPr>
          <w:p>
            <w:r>
              <w:rPr>
                <w:sz w:val="16"/>
              </w:rPr>
            </w:r>
            <w:r>
              <w:rPr>
                <w:sz w:val="16"/>
              </w:rPr>
              <w:t>Add redevelopment-driven remediation line item, coordinated with site design</w:t>
            </w:r>
          </w:p>
        </w:tc>
      </w:tr>
      <w:tr>
        <w:tc>
          <w:tcPr>
            <w:tcW w:type="dxa" w:w="1584"/>
          </w:tcPr>
          <w:p>
            <w:r>
              <w:rPr>
                <w:sz w:val="16"/>
              </w:rPr>
            </w:r>
            <w:r>
              <w:rPr>
                <w:sz w:val="16"/>
              </w:rPr>
              <w:t>Not addressed</w:t>
            </w:r>
          </w:p>
        </w:tc>
        <w:tc>
          <w:tcPr>
            <w:tcW w:type="dxa" w:w="2160"/>
          </w:tcPr>
          <w:p>
            <w:r>
              <w:rPr>
                <w:sz w:val="16"/>
              </w:rPr>
            </w:r>
            <w:r>
              <w:rPr>
                <w:sz w:val="16"/>
              </w:rPr>
              <w:t>—</w:t>
            </w:r>
          </w:p>
        </w:tc>
        <w:tc>
          <w:tcPr>
            <w:tcW w:type="dxa" w:w="2880"/>
          </w:tcPr>
          <w:p>
            <w:r>
              <w:rPr>
                <w:sz w:val="16"/>
              </w:rPr>
            </w:r>
            <w:r>
              <w:rPr>
                <w:sz w:val="16"/>
              </w:rPr>
              <w:t>RFS for engineering controls; NJDEP annual fees; LSRP oversight and RAO</w:t>
            </w:r>
          </w:p>
        </w:tc>
        <w:tc>
          <w:tcPr>
            <w:tcW w:type="dxa" w:w="2736"/>
          </w:tcPr>
          <w:p>
            <w:r>
              <w:rPr>
                <w:sz w:val="16"/>
              </w:rPr>
            </w:r>
            <w:r>
              <w:rPr>
                <w:sz w:val="16"/>
              </w:rPr>
              <w:t>Add</w:t>
            </w:r>
          </w:p>
        </w:tc>
      </w:tr>
      <w:tr>
        <w:tc>
          <w:tcPr>
            <w:tcW w:type="dxa" w:w="1584"/>
          </w:tcPr>
          <w:p>
            <w:r>
              <w:rPr>
                <w:sz w:val="16"/>
              </w:rPr>
            </w:r>
            <w:r>
              <w:rPr>
                <w:sz w:val="16"/>
              </w:rPr>
              <w:t>Not addressed</w:t>
            </w:r>
          </w:p>
        </w:tc>
        <w:tc>
          <w:tcPr>
            <w:tcW w:type="dxa" w:w="2160"/>
          </w:tcPr>
          <w:p>
            <w:r>
              <w:rPr>
                <w:sz w:val="16"/>
              </w:rPr>
            </w:r>
            <w:r>
              <w:rPr>
                <w:sz w:val="16"/>
              </w:rPr>
              <w:t>—</w:t>
            </w:r>
          </w:p>
        </w:tc>
        <w:tc>
          <w:tcPr>
            <w:tcW w:type="dxa" w:w="2880"/>
          </w:tcPr>
          <w:p>
            <w:r>
              <w:rPr>
                <w:sz w:val="16"/>
              </w:rPr>
            </w:r>
            <w:r>
              <w:rPr>
                <w:sz w:val="16"/>
              </w:rPr>
              <w:t>Ecological evaluation; wetland LOI; FHA verification</w:t>
            </w:r>
          </w:p>
        </w:tc>
        <w:tc>
          <w:tcPr>
            <w:tcW w:type="dxa" w:w="2736"/>
          </w:tcPr>
          <w:p>
            <w:r>
              <w:rPr>
                <w:sz w:val="16"/>
              </w:rPr>
            </w:r>
            <w:r>
              <w:rPr>
                <w:sz w:val="16"/>
              </w:rPr>
              <w:t>Add</w:t>
            </w:r>
          </w:p>
        </w:tc>
      </w:tr>
      <w:tr>
        <w:tc>
          <w:tcPr>
            <w:tcW w:type="dxa" w:w="1584"/>
          </w:tcPr>
          <w:p>
            <w:r>
              <w:rPr>
                <w:sz w:val="16"/>
              </w:rPr>
            </w:r>
            <w:r>
              <w:rPr>
                <w:sz w:val="16"/>
              </w:rPr>
              <w:t>Not addressed</w:t>
            </w:r>
          </w:p>
        </w:tc>
        <w:tc>
          <w:tcPr>
            <w:tcW w:type="dxa" w:w="2160"/>
          </w:tcPr>
          <w:p>
            <w:r>
              <w:rPr>
                <w:sz w:val="16"/>
              </w:rPr>
            </w:r>
            <w:r>
              <w:rPr>
                <w:sz w:val="16"/>
              </w:rPr>
              <w:t>—</w:t>
            </w:r>
          </w:p>
        </w:tc>
        <w:tc>
          <w:tcPr>
            <w:tcW w:type="dxa" w:w="2880"/>
          </w:tcPr>
          <w:p>
            <w:r>
              <w:rPr>
                <w:sz w:val="16"/>
              </w:rPr>
            </w:r>
            <w:r>
              <w:rPr>
                <w:sz w:val="16"/>
              </w:rPr>
              <w:t>ACM, LBP, PCB abatement; radon</w:t>
            </w:r>
          </w:p>
        </w:tc>
        <w:tc>
          <w:tcPr>
            <w:tcW w:type="dxa" w:w="2736"/>
          </w:tcPr>
          <w:p>
            <w:r>
              <w:rPr>
                <w:sz w:val="16"/>
              </w:rPr>
            </w:r>
            <w:r>
              <w:rPr>
                <w:sz w:val="16"/>
              </w:rPr>
              <w:t>Add to redevelopment hard costs</w:t>
            </w:r>
          </w:p>
        </w:tc>
      </w:tr>
      <w:tr>
        <w:tc>
          <w:tcPr>
            <w:tcW w:type="dxa" w:w="1584"/>
          </w:tcPr>
          <w:p>
            <w:r>
              <w:rPr>
                <w:sz w:val="16"/>
              </w:rPr>
            </w:r>
            <w:r>
              <w:rPr>
                <w:sz w:val="16"/>
              </w:rPr>
              <w:t>Not addressed</w:t>
            </w:r>
          </w:p>
        </w:tc>
        <w:tc>
          <w:tcPr>
            <w:tcW w:type="dxa" w:w="2160"/>
          </w:tcPr>
          <w:p>
            <w:r>
              <w:rPr>
                <w:sz w:val="16"/>
              </w:rPr>
            </w:r>
            <w:r>
              <w:rPr>
                <w:sz w:val="16"/>
              </w:rPr>
              <w:t>—</w:t>
            </w:r>
          </w:p>
        </w:tc>
        <w:tc>
          <w:tcPr>
            <w:tcW w:type="dxa" w:w="2880"/>
          </w:tcPr>
          <w:p>
            <w:r>
              <w:rPr>
                <w:sz w:val="16"/>
              </w:rPr>
            </w:r>
            <w:r>
              <w:rPr>
                <w:sz w:val="16"/>
              </w:rPr>
              <w:t>PLL and cost-cap premiums; independent peer review; Phase I update</w:t>
            </w:r>
          </w:p>
        </w:tc>
        <w:tc>
          <w:tcPr>
            <w:tcW w:type="dxa" w:w="2736"/>
          </w:tcPr>
          <w:p>
            <w:r>
              <w:rPr>
                <w:sz w:val="16"/>
              </w:rPr>
            </w:r>
            <w:r>
              <w:rPr>
                <w:sz w:val="16"/>
              </w:rPr>
              <w:t>Add to transaction costs</w:t>
            </w:r>
          </w:p>
        </w:tc>
      </w:tr>
      <w:tr>
        <w:tc>
          <w:tcPr>
            <w:tcW w:type="dxa" w:w="1584"/>
          </w:tcPr>
          <w:p>
            <w:r>
              <w:rPr>
                <w:sz w:val="16"/>
              </w:rPr>
            </w:r>
            <w:r>
              <w:rPr>
                <w:sz w:val="16"/>
              </w:rPr>
              <w:t>§4 ISRA</w:t>
            </w:r>
          </w:p>
        </w:tc>
        <w:tc>
          <w:tcPr>
            <w:tcW w:type="dxa" w:w="2160"/>
          </w:tcPr>
          <w:p>
            <w:r>
              <w:rPr>
                <w:sz w:val="16"/>
              </w:rPr>
            </w:r>
            <w:r>
              <w:rPr>
                <w:sz w:val="16"/>
              </w:rPr>
              <w:t>Redevelopment and SIC change trigger ISRA; unrestricted-use cleanup required</w:t>
            </w:r>
          </w:p>
        </w:tc>
        <w:tc>
          <w:tcPr>
            <w:tcW w:type="dxa" w:w="2880"/>
          </w:tcPr>
          <w:p>
            <w:r>
              <w:rPr>
                <w:sz w:val="16"/>
              </w:rPr>
            </w:r>
            <w:r>
              <w:rPr>
                <w:sz w:val="16"/>
              </w:rPr>
              <w:t>Misstates ISRA trigger and standards (Issue 10)</w:t>
            </w:r>
          </w:p>
        </w:tc>
        <w:tc>
          <w:tcPr>
            <w:tcW w:type="dxa" w:w="2736"/>
          </w:tcPr>
          <w:p>
            <w:r>
              <w:rPr>
                <w:sz w:val="16"/>
              </w:rPr>
            </w:r>
            <w:r>
              <w:rPr>
                <w:sz w:val="16"/>
              </w:rPr>
              <w:t>Re-base on counsel’s ISRA analysis</w:t>
            </w:r>
          </w:p>
        </w:tc>
      </w:tr>
      <w:tr>
        <w:tc>
          <w:tcPr>
            <w:tcW w:type="dxa" w:w="1584"/>
          </w:tcPr>
          <w:p>
            <w:r>
              <w:rPr>
                <w:sz w:val="16"/>
              </w:rPr>
            </w:r>
            <w:r>
              <w:rPr>
                <w:sz w:val="16"/>
              </w:rPr>
              <w:t>§4 MEC threshold</w:t>
            </w:r>
          </w:p>
        </w:tc>
        <w:tc>
          <w:tcPr>
            <w:tcW w:type="dxa" w:w="2160"/>
          </w:tcPr>
          <w:p>
            <w:r>
              <w:rPr>
                <w:sz w:val="16"/>
              </w:rPr>
            </w:r>
            <w:r>
              <w:rPr>
                <w:sz w:val="16"/>
              </w:rPr>
              <w:t>$750k budget already exceeds the $500k MEC threshold</w:t>
            </w:r>
          </w:p>
        </w:tc>
        <w:tc>
          <w:tcPr>
            <w:tcW w:type="dxa" w:w="2880"/>
          </w:tcPr>
          <w:p>
            <w:r>
              <w:rPr>
                <w:sz w:val="16"/>
              </w:rPr>
            </w:r>
            <w:r>
              <w:rPr>
                <w:sz w:val="16"/>
              </w:rPr>
              <w:t>Known conditions are excluded from MEC; the threshold provides no protection for them</w:t>
            </w:r>
          </w:p>
        </w:tc>
        <w:tc>
          <w:tcPr>
            <w:tcW w:type="dxa" w:w="2736"/>
          </w:tcPr>
          <w:p>
            <w:r>
              <w:rPr>
                <w:sz w:val="16"/>
              </w:rPr>
            </w:r>
            <w:r>
              <w:rPr>
                <w:sz w:val="16"/>
              </w:rPr>
              <w:t>Rely on revised termination right (Issue 11)</w:t>
            </w:r>
          </w:p>
        </w:tc>
      </w:tr>
      <w:tr>
        <w:tc>
          <w:tcPr>
            <w:tcW w:type="dxa" w:w="1584"/>
          </w:tcPr>
          <w:p>
            <w:r>
              <w:rPr>
                <w:sz w:val="16"/>
              </w:rPr>
            </w:r>
            <w:r>
              <w:rPr>
                <w:sz w:val="16"/>
              </w:rPr>
              <w:t>§5.1 Phase II timing</w:t>
            </w:r>
          </w:p>
        </w:tc>
        <w:tc>
          <w:tcPr>
            <w:tcW w:type="dxa" w:w="2160"/>
          </w:tcPr>
          <w:p>
            <w:r>
              <w:rPr>
                <w:sz w:val="16"/>
              </w:rPr>
            </w:r>
            <w:r>
              <w:rPr>
                <w:sz w:val="16"/>
              </w:rPr>
              <w:t>Complete within DD period</w:t>
            </w:r>
          </w:p>
        </w:tc>
        <w:tc>
          <w:tcPr>
            <w:tcW w:type="dxa" w:w="2880"/>
          </w:tcPr>
          <w:p>
            <w:r>
              <w:rPr>
                <w:sz w:val="16"/>
              </w:rPr>
            </w:r>
            <w:r>
              <w:rPr>
                <w:sz w:val="16"/>
              </w:rPr>
              <w:t>Not feasible for VI, groundwater and GPR on the current schedule</w:t>
            </w:r>
          </w:p>
        </w:tc>
        <w:tc>
          <w:tcPr>
            <w:tcW w:type="dxa" w:w="2736"/>
          </w:tcPr>
          <w:p>
            <w:r>
              <w:rPr>
                <w:sz w:val="16"/>
              </w:rPr>
            </w:r>
            <w:r>
              <w:rPr>
                <w:sz w:val="16"/>
              </w:rPr>
              <w:t>Seek DD extension immediately</w:t>
            </w:r>
          </w:p>
        </w:tc>
      </w:tr>
    </w:tbl>
    <w:p>
      <w:pPr>
        <w:spacing w:after="40"/>
      </w:pPr>
    </w:p>
    <w:p>
      <w:pPr>
        <w:spacing w:after="120"/>
      </w:pPr>
      <w:r>
        <w:rPr>
          <w:i/>
        </w:rPr>
        <w:t>Note: the UW Memo is marked as internal Greenfield work product. It should not be shared with the Seller or its counsel, and §9.6(d) should not be read to require its delivery.</w:t>
      </w:r>
    </w:p>
    <w:p>
      <w:pPr>
        <w:pStyle w:val="Heading1"/>
      </w:pPr>
      <w:r>
        <w:t>9. Recommended Action Plan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shd w:val="clear" w:color="auto" w:fill="1F3A5F"/>
          </w:tcPr>
          <w:p>
            <w:r/>
            <w:r>
              <w:rPr>
                <w:b/>
                <w:color w:val="FFFFFF"/>
                <w:sz w:val="17"/>
              </w:rPr>
              <w:t>When</w:t>
            </w:r>
          </w:p>
        </w:tc>
        <w:tc>
          <w:tcPr>
            <w:tcW w:type="dxa" w:w="6192"/>
            <w:shd w:val="clear" w:color="auto" w:fill="1F3A5F"/>
          </w:tcPr>
          <w:p>
            <w:r/>
            <w:r>
              <w:rPr>
                <w:b/>
                <w:color w:val="FFFFFF"/>
                <w:sz w:val="17"/>
              </w:rPr>
              <w:t>Action</w:t>
            </w:r>
          </w:p>
        </w:tc>
        <w:tc>
          <w:tcPr>
            <w:tcW w:type="dxa" w:w="1584"/>
            <w:shd w:val="clear" w:color="auto" w:fill="1F3A5F"/>
          </w:tcPr>
          <w:p>
            <w:r/>
            <w:r>
              <w:rPr>
                <w:b/>
                <w:color w:val="FFFFFF"/>
                <w:sz w:val="17"/>
              </w:rPr>
              <w:t>Lead</w:t>
            </w:r>
          </w:p>
        </w:tc>
      </w:tr>
      <w:tr>
        <w:tc>
          <w:tcPr>
            <w:tcW w:type="dxa" w:w="1584"/>
          </w:tcPr>
          <w:p>
            <w:r>
              <w:rPr>
                <w:sz w:val="17"/>
              </w:rPr>
            </w:r>
            <w:r>
              <w:rPr>
                <w:sz w:val="17"/>
              </w:rPr>
              <w:t>Immediately</w:t>
            </w:r>
          </w:p>
        </w:tc>
        <w:tc>
          <w:tcPr>
            <w:tcW w:type="dxa" w:w="6192"/>
          </w:tcPr>
          <w:p>
            <w:r>
              <w:rPr>
                <w:sz w:val="17"/>
              </w:rPr>
            </w:r>
            <w:r>
              <w:rPr>
                <w:sz w:val="17"/>
              </w:rPr>
              <w:t>Request DD Period extension and pre-approval of the Phase II scope; send Seller a preliminary issues list on Article IX</w:t>
            </w:r>
          </w:p>
        </w:tc>
        <w:tc>
          <w:tcPr>
            <w:tcW w:type="dxa" w:w="1584"/>
          </w:tcPr>
          <w:p>
            <w:r>
              <w:rPr>
                <w:sz w:val="17"/>
              </w:rPr>
            </w:r>
            <w:r>
              <w:rPr>
                <w:sz w:val="17"/>
              </w:rPr>
              <w:t>T&amp;M</w:t>
            </w:r>
          </w:p>
        </w:tc>
      </w:tr>
      <w:tr>
        <w:tc>
          <w:tcPr>
            <w:tcW w:type="dxa" w:w="1584"/>
          </w:tcPr>
          <w:p>
            <w:r>
              <w:rPr>
                <w:sz w:val="17"/>
              </w:rPr>
            </w:r>
            <w:r>
              <w:rPr>
                <w:sz w:val="17"/>
              </w:rPr>
              <w:t>Immediately</w:t>
            </w:r>
          </w:p>
        </w:tc>
        <w:tc>
          <w:tcPr>
            <w:tcW w:type="dxa" w:w="6192"/>
          </w:tcPr>
          <w:p>
            <w:r>
              <w:rPr>
                <w:sz w:val="17"/>
              </w:rPr>
            </w:r>
            <w:r>
              <w:rPr>
                <w:sz w:val="17"/>
              </w:rPr>
              <w:t>Get written NJDEP confirmation of the LSRP of record, case status, RAP/RFS/fee status and any timeframe or direct-oversight issue; expedite OPRA or schedule an in-person file review</w:t>
            </w:r>
          </w:p>
        </w:tc>
        <w:tc>
          <w:tcPr>
            <w:tcW w:type="dxa" w:w="1584"/>
          </w:tcPr>
          <w:p>
            <w:r>
              <w:rPr>
                <w:sz w:val="17"/>
              </w:rPr>
            </w:r>
            <w:r>
              <w:rPr>
                <w:sz w:val="17"/>
              </w:rPr>
              <w:t>T&amp;M / consultant</w:t>
            </w:r>
          </w:p>
        </w:tc>
      </w:tr>
      <w:tr>
        <w:tc>
          <w:tcPr>
            <w:tcW w:type="dxa" w:w="1584"/>
          </w:tcPr>
          <w:p>
            <w:r>
              <w:rPr>
                <w:sz w:val="17"/>
              </w:rPr>
            </w:r>
            <w:r>
              <w:rPr>
                <w:sz w:val="17"/>
              </w:rPr>
              <w:t>Immediately</w:t>
            </w:r>
          </w:p>
        </w:tc>
        <w:tc>
          <w:tcPr>
            <w:tcW w:type="dxa" w:w="6192"/>
          </w:tcPr>
          <w:p>
            <w:r>
              <w:rPr>
                <w:sz w:val="17"/>
              </w:rPr>
            </w:r>
            <w:r>
              <w:rPr>
                <w:sz w:val="17"/>
              </w:rPr>
              <w:t>Get a written conflict disclosure from Crestline; if conflicted, engage an independent LSRP for peer review and Phase II</w:t>
            </w:r>
          </w:p>
        </w:tc>
        <w:tc>
          <w:tcPr>
            <w:tcW w:type="dxa" w:w="1584"/>
          </w:tcPr>
          <w:p>
            <w:r>
              <w:rPr>
                <w:sz w:val="17"/>
              </w:rPr>
            </w:r>
            <w:r>
              <w:rPr>
                <w:sz w:val="17"/>
              </w:rPr>
              <w:t>T&amp;M / Greenfield</w:t>
            </w:r>
          </w:p>
        </w:tc>
      </w:tr>
      <w:tr>
        <w:tc>
          <w:tcPr>
            <w:tcW w:type="dxa" w:w="1584"/>
          </w:tcPr>
          <w:p>
            <w:r>
              <w:rPr>
                <w:sz w:val="17"/>
              </w:rPr>
            </w:r>
            <w:r>
              <w:rPr>
                <w:sz w:val="17"/>
              </w:rPr>
              <w:t>Within 1–2 weeks</w:t>
            </w:r>
          </w:p>
        </w:tc>
        <w:tc>
          <w:tcPr>
            <w:tcW w:type="dxa" w:w="6192"/>
          </w:tcPr>
          <w:p>
            <w:r>
              <w:rPr>
                <w:sz w:val="17"/>
              </w:rPr>
            </w:r>
            <w:r>
              <w:rPr>
                <w:sz w:val="17"/>
              </w:rPr>
              <w:t>Survey-based reconciliation of AOCs, deed notice exhibits, CEA boundary and well inventory</w:t>
            </w:r>
          </w:p>
        </w:tc>
        <w:tc>
          <w:tcPr>
            <w:tcW w:type="dxa" w:w="1584"/>
          </w:tcPr>
          <w:p>
            <w:r>
              <w:rPr>
                <w:sz w:val="17"/>
              </w:rPr>
            </w:r>
            <w:r>
              <w:rPr>
                <w:sz w:val="17"/>
              </w:rPr>
              <w:t>Consultant / surveyor</w:t>
            </w:r>
          </w:p>
        </w:tc>
      </w:tr>
      <w:tr>
        <w:tc>
          <w:tcPr>
            <w:tcW w:type="dxa" w:w="1584"/>
          </w:tcPr>
          <w:p>
            <w:r>
              <w:rPr>
                <w:sz w:val="17"/>
              </w:rPr>
            </w:r>
            <w:r>
              <w:rPr>
                <w:sz w:val="17"/>
              </w:rPr>
              <w:t>Within 2–4 weeks</w:t>
            </w:r>
          </w:p>
        </w:tc>
        <w:tc>
          <w:tcPr>
            <w:tcW w:type="dxa" w:w="6192"/>
          </w:tcPr>
          <w:p>
            <w:r>
              <w:rPr>
                <w:sz w:val="17"/>
              </w:rPr>
            </w:r>
            <w:r>
              <w:rPr>
                <w:sz w:val="17"/>
              </w:rPr>
              <w:t>Phase II field work: GPR and borings at diesel UST; AOC-1 south and west walls and floor; AOC-3 and AOC-5 borings (full analyte suite); synoptic groundwater round with 1,4-dioxane and PFAS; bedrock and boundary wells; VI sampling of C and D, plus screening of A, B and E; tributary and wetland screen</w:t>
            </w:r>
          </w:p>
        </w:tc>
        <w:tc>
          <w:tcPr>
            <w:tcW w:type="dxa" w:w="1584"/>
          </w:tcPr>
          <w:p>
            <w:r>
              <w:rPr>
                <w:sz w:val="17"/>
              </w:rPr>
            </w:r>
            <w:r>
              <w:rPr>
                <w:sz w:val="17"/>
              </w:rPr>
              <w:t>Consultant</w:t>
            </w:r>
          </w:p>
        </w:tc>
      </w:tr>
      <w:tr>
        <w:tc>
          <w:tcPr>
            <w:tcW w:type="dxa" w:w="1584"/>
          </w:tcPr>
          <w:p>
            <w:r>
              <w:rPr>
                <w:sz w:val="17"/>
              </w:rPr>
            </w:r>
            <w:r>
              <w:rPr>
                <w:sz w:val="17"/>
              </w:rPr>
              <w:t>Within 2–4 weeks</w:t>
            </w:r>
          </w:p>
        </w:tc>
        <w:tc>
          <w:tcPr>
            <w:tcW w:type="dxa" w:w="6192"/>
          </w:tcPr>
          <w:p>
            <w:r>
              <w:rPr>
                <w:sz w:val="17"/>
              </w:rPr>
            </w:r>
            <w:r>
              <w:rPr>
                <w:sz w:val="17"/>
              </w:rPr>
              <w:t>Revised, signed PA and Phase I with corrections; reliance letters</w:t>
            </w:r>
          </w:p>
        </w:tc>
        <w:tc>
          <w:tcPr>
            <w:tcW w:type="dxa" w:w="1584"/>
          </w:tcPr>
          <w:p>
            <w:r>
              <w:rPr>
                <w:sz w:val="17"/>
              </w:rPr>
            </w:r>
            <w:r>
              <w:rPr>
                <w:sz w:val="17"/>
              </w:rPr>
              <w:t>Crestline</w:t>
            </w:r>
          </w:p>
        </w:tc>
      </w:tr>
      <w:tr>
        <w:tc>
          <w:tcPr>
            <w:tcW w:type="dxa" w:w="1584"/>
          </w:tcPr>
          <w:p>
            <w:r>
              <w:rPr>
                <w:sz w:val="17"/>
              </w:rPr>
            </w:r>
            <w:r>
              <w:rPr>
                <w:sz w:val="17"/>
              </w:rPr>
              <w:t>Within 2–4 weeks</w:t>
            </w:r>
          </w:p>
        </w:tc>
        <w:tc>
          <w:tcPr>
            <w:tcW w:type="dxa" w:w="6192"/>
          </w:tcPr>
          <w:p>
            <w:r>
              <w:rPr>
                <w:sz w:val="17"/>
              </w:rPr>
            </w:r>
            <w:r>
              <w:rPr>
                <w:sz w:val="17"/>
              </w:rPr>
              <w:t>Corrected, executed Questionnaire; delivery of deed notice, CEA, RAW approval, 1998 UST closure report, 1997 post-SVE report, all monitoring reports (2005–present), 2021 biennial certification, ISRA/ECRA file, Keystone policy, AOC-2/AOC-4 NFA documents</w:t>
            </w:r>
          </w:p>
        </w:tc>
        <w:tc>
          <w:tcPr>
            <w:tcW w:type="dxa" w:w="1584"/>
          </w:tcPr>
          <w:p>
            <w:r>
              <w:rPr>
                <w:sz w:val="17"/>
              </w:rPr>
            </w:r>
            <w:r>
              <w:rPr>
                <w:sz w:val="17"/>
              </w:rPr>
              <w:t>Seller</w:t>
            </w:r>
          </w:p>
        </w:tc>
      </w:tr>
      <w:tr>
        <w:tc>
          <w:tcPr>
            <w:tcW w:type="dxa" w:w="1584"/>
          </w:tcPr>
          <w:p>
            <w:r>
              <w:rPr>
                <w:sz w:val="17"/>
              </w:rPr>
            </w:r>
            <w:r>
              <w:rPr>
                <w:sz w:val="17"/>
              </w:rPr>
              <w:t>Within 4 weeks</w:t>
            </w:r>
          </w:p>
        </w:tc>
        <w:tc>
          <w:tcPr>
            <w:tcW w:type="dxa" w:w="6192"/>
          </w:tcPr>
          <w:p>
            <w:r>
              <w:rPr>
                <w:sz w:val="17"/>
              </w:rPr>
            </w:r>
            <w:r>
              <w:rPr>
                <w:sz w:val="17"/>
              </w:rPr>
              <w:t>ISRA applicability analysis; wetlands LOI and FHA scoping; PLL and cost-cap broker engagement; insurance archaeology</w:t>
            </w:r>
          </w:p>
        </w:tc>
        <w:tc>
          <w:tcPr>
            <w:tcW w:type="dxa" w:w="1584"/>
          </w:tcPr>
          <w:p>
            <w:r>
              <w:rPr>
                <w:sz w:val="17"/>
              </w:rPr>
            </w:r>
            <w:r>
              <w:rPr>
                <w:sz w:val="17"/>
              </w:rPr>
              <w:t>T&amp;M / broker / consultant</w:t>
            </w:r>
          </w:p>
        </w:tc>
      </w:tr>
      <w:tr>
        <w:tc>
          <w:tcPr>
            <w:tcW w:type="dxa" w:w="1584"/>
          </w:tcPr>
          <w:p>
            <w:r>
              <w:rPr>
                <w:sz w:val="17"/>
              </w:rPr>
            </w:r>
            <w:r>
              <w:rPr>
                <w:sz w:val="17"/>
              </w:rPr>
              <w:t>Before DD expiry</w:t>
            </w:r>
          </w:p>
        </w:tc>
        <w:tc>
          <w:tcPr>
            <w:tcW w:type="dxa" w:w="6192"/>
          </w:tcPr>
          <w:p>
            <w:r>
              <w:rPr>
                <w:sz w:val="17"/>
              </w:rPr>
            </w:r>
            <w:r>
              <w:rPr>
                <w:sz w:val="17"/>
              </w:rPr>
              <w:t>Revised IC budget (range) based on Phase II data; go/no-go recommendation; final Article IX position</w:t>
            </w:r>
          </w:p>
        </w:tc>
        <w:tc>
          <w:tcPr>
            <w:tcW w:type="dxa" w:w="1584"/>
          </w:tcPr>
          <w:p>
            <w:r>
              <w:rPr>
                <w:sz w:val="17"/>
              </w:rPr>
            </w:r>
            <w:r>
              <w:rPr>
                <w:sz w:val="17"/>
              </w:rPr>
              <w:t>Greenfield / T&amp;M</w:t>
            </w:r>
          </w:p>
        </w:tc>
      </w:tr>
      <w:tr>
        <w:tc>
          <w:tcPr>
            <w:tcW w:type="dxa" w:w="1584"/>
          </w:tcPr>
          <w:p>
            <w:r>
              <w:rPr>
                <w:sz w:val="17"/>
              </w:rPr>
            </w:r>
            <w:r>
              <w:rPr>
                <w:sz w:val="17"/>
              </w:rPr>
              <w:t>Pre-Closing</w:t>
            </w:r>
          </w:p>
        </w:tc>
        <w:tc>
          <w:tcPr>
            <w:tcW w:type="dxa" w:w="6192"/>
          </w:tcPr>
          <w:p>
            <w:r>
              <w:rPr>
                <w:sz w:val="17"/>
              </w:rPr>
            </w:r>
            <w:r>
              <w:rPr>
                <w:sz w:val="17"/>
              </w:rPr>
              <w:t>Seller cures (overdue certification, monitoring, fees, UST closure) as Closing conditions; Phase I update within 180 days of Closing; environmental lien and AUL search; VI and tenant-notification protocol in place</w:t>
            </w:r>
          </w:p>
        </w:tc>
        <w:tc>
          <w:tcPr>
            <w:tcW w:type="dxa" w:w="1584"/>
          </w:tcPr>
          <w:p>
            <w:r>
              <w:rPr>
                <w:sz w:val="17"/>
              </w:rPr>
            </w:r>
            <w:r>
              <w:rPr>
                <w:sz w:val="17"/>
              </w:rPr>
              <w:t>Seller / consultant / T&amp;M</w:t>
            </w:r>
          </w:p>
        </w:tc>
      </w:tr>
    </w:tbl>
    <w:p>
      <w:pPr>
        <w:spacing w:after="40"/>
      </w:pPr>
    </w:p>
    <w:p>
      <w:pPr>
        <w:pStyle w:val="Heading1"/>
      </w:pPr>
      <w:r>
        <w:t>10. Open Questions for the Client and Consultant</w:t>
      </w:r>
    </w:p>
    <w:p>
      <w:pPr>
        <w:pStyle w:val="ListBullet"/>
        <w:spacing w:after="40"/>
      </w:pPr>
      <w:r>
        <w:t>Does Greenfield have, or plan, any relationship with Whitman Geosciences or Seller’s consultants that could affect independence or BFPP “affiliation” analysis?</w:t>
      </w:r>
    </w:p>
    <w:p>
      <w:pPr>
        <w:pStyle w:val="ListBullet"/>
        <w:spacing w:after="40"/>
      </w:pPr>
      <w:r>
        <w:t>Will Greenfield accept the Seller remaining the person responsible for conducting remediation after Closing (with access and coordination rights), or does the redevelopment schedule require Greenfield to control the remediation? The answer drives the structure of the allocation (retained liability versus price reduction plus escrow and cost-cap).</w:t>
      </w:r>
    </w:p>
    <w:p>
      <w:pPr>
        <w:pStyle w:val="ListBullet"/>
        <w:spacing w:after="40"/>
      </w:pPr>
      <w:r>
        <w:t>What is the acquisition entity and financing structure? Lender requirements will drive reliance letters, PLL terms and Phase I timing.</w:t>
      </w:r>
    </w:p>
    <w:p>
      <w:pPr>
        <w:pStyle w:val="ListBullet"/>
        <w:spacing w:after="40"/>
      </w:pPr>
      <w:r>
        <w:t>Are any current tenants operating under ISRA-subject NAICS codes, and what are the lease provisions on hazardous materials, landlord access for VI sampling and mitigation, and relocation?</w:t>
      </w:r>
    </w:p>
    <w:p>
      <w:pPr>
        <w:pStyle w:val="ListBullet"/>
        <w:spacing w:after="40"/>
      </w:pPr>
      <w:r>
        <w:t>Is Greenfield willing to re-trade price if the Seller will not retain known conditions? What is the Investment Committee’s tolerance (range) for environmental cost?</w:t>
      </w:r>
    </w:p>
    <w:p>
      <w:pPr>
        <w:pStyle w:val="Heading1"/>
      </w:pPr>
      <w:r>
        <w:t>11. Limitations</w:t>
      </w:r>
    </w:p>
    <w:p>
      <w:pPr>
        <w:spacing w:after="120"/>
      </w:pPr>
      <w:r>
        <w:t>This memorandum is based solely on the five documents identified in Section 2. We have not reviewed the report appendices, the recorded deed notice, the CEA, NJDEP correspondence, the full PSA, title or leases, and we have not independently verified regulatory values or field conditions. Technical observations (including the seepage-velocity estimate in Section 4.4, which uses an assumed effective porosity) are offered to frame diligence questions and must be confirmed by a qualified environmental professional. Regulatory citations should be confirmed against current text before use in negotiation documents.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Privileged &amp; Confidential — Attorney-Client Communication / Attorney Work Product — Thornbury &amp; Marsh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