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18"/>
        </w:rPr>
        <w:t>PRIVILEGED &amp; CONFIDENTIAL</w:t>
        <w:br/>
        <w:t>ATTORNEY-CLIENT COMMUNICATION / ATTORNEY WORK PRODUCT</w:t>
      </w:r>
    </w:p>
    <w:p>
      <w:pPr>
        <w:spacing w:after="40"/>
        <w:jc w:val="center"/>
      </w:pPr>
      <w:r>
        <w:rPr>
          <w:b/>
          <w:i w:val="0"/>
          <w:sz w:val="28"/>
        </w:rPr>
        <w:t>BRIARWOOD &amp; CALLOWAY LLP</w:t>
      </w:r>
    </w:p>
    <w:p>
      <w:pPr>
        <w:spacing w:after="240"/>
        <w:jc w:val="center"/>
      </w:pPr>
      <w:r>
        <w:rPr>
          <w:b w:val="0"/>
          <w:i w:val="0"/>
          <w:sz w:val="18"/>
        </w:rPr>
        <w:t>600 Lexington Avenue, 28th Floor, New York, NY 10022</w:t>
      </w:r>
    </w:p>
    <w:p>
      <w:pPr>
        <w:spacing w:after="200"/>
        <w:jc w:val="center"/>
      </w:pPr>
      <w:r>
        <w:rPr>
          <w:b/>
          <w:i w:val="0"/>
          <w:sz w:val="26"/>
        </w:rPr>
        <w:t>MEMORANDUM</w:t>
      </w:r>
    </w:p>
    <w:tbl>
      <w:tblPr>
        <w:tblW w:type="auto" w:w="0"/>
        <w:tblLook w:firstColumn="1" w:firstRow="1" w:lastColumn="0" w:lastRow="0" w:noHBand="0" w:noVBand="1" w:val="04A0"/>
      </w:tblPr>
      <w:tblGrid>
        <w:gridCol w:w="4680"/>
        <w:gridCol w:w="4680"/>
      </w:tblGrid>
      <w:tr>
        <w:tc>
          <w:tcPr>
            <w:tcW w:type="dxa" w:w="1152"/>
          </w:tcPr>
          <w:p>
            <w:pPr>
              <w:spacing w:after="0" w:before="0"/>
            </w:pPr>
            <w:r/>
            <w:r>
              <w:rPr>
                <w:b/>
                <w:i w:val="0"/>
                <w:sz w:val="20"/>
              </w:rPr>
              <w:t>TO:</w:t>
            </w:r>
          </w:p>
        </w:tc>
        <w:tc>
          <w:tcPr>
            <w:tcW w:type="dxa" w:w="8208"/>
          </w:tcPr>
          <w:p>
            <w:pPr>
              <w:spacing w:after="0" w:before="0"/>
            </w:pPr>
            <w:r/>
            <w:r>
              <w:rPr>
                <w:b w:val="0"/>
                <w:i w:val="0"/>
                <w:sz w:val="20"/>
              </w:rPr>
              <w:t>Margaret “Meg” Pallister, Chief Compliance Officer &amp; Head of Investor Relations, Whitecap Advisors LLC</w:t>
            </w:r>
          </w:p>
        </w:tc>
      </w:tr>
      <w:tr>
        <w:tc>
          <w:tcPr>
            <w:tcW w:type="dxa" w:w="1152"/>
          </w:tcPr>
          <w:p>
            <w:pPr>
              <w:spacing w:after="0" w:before="0"/>
            </w:pPr>
            <w:r/>
            <w:r>
              <w:rPr>
                <w:b/>
                <w:i w:val="0"/>
                <w:sz w:val="20"/>
              </w:rPr>
              <w:t>CC:</w:t>
            </w:r>
          </w:p>
        </w:tc>
        <w:tc>
          <w:tcPr>
            <w:tcW w:type="dxa" w:w="8208"/>
          </w:tcPr>
          <w:p>
            <w:pPr>
              <w:spacing w:after="0" w:before="0"/>
            </w:pPr>
            <w:r/>
            <w:r>
              <w:rPr>
                <w:b w:val="0"/>
                <w:i w:val="0"/>
                <w:sz w:val="20"/>
              </w:rPr>
              <w:t>Derek Yuen, Managing Member, Whitecap Advisors LLC</w:t>
            </w:r>
          </w:p>
        </w:tc>
      </w:tr>
      <w:tr>
        <w:tc>
          <w:tcPr>
            <w:tcW w:type="dxa" w:w="1152"/>
          </w:tcPr>
          <w:p>
            <w:pPr>
              <w:spacing w:after="0" w:before="0"/>
            </w:pPr>
            <w:r/>
            <w:r>
              <w:rPr>
                <w:b/>
                <w:i w:val="0"/>
                <w:sz w:val="20"/>
              </w:rPr>
              <w:t>FROM:</w:t>
            </w:r>
          </w:p>
        </w:tc>
        <w:tc>
          <w:tcPr>
            <w:tcW w:type="dxa" w:w="8208"/>
          </w:tcPr>
          <w:p>
            <w:pPr>
              <w:spacing w:after="0" w:before="0"/>
            </w:pPr>
            <w:r/>
            <w:r>
              <w:rPr>
                <w:b w:val="0"/>
                <w:i w:val="0"/>
                <w:sz w:val="20"/>
              </w:rPr>
              <w:t>Briarwood &amp; Calloway LLP (Fund Counsel)</w:t>
            </w:r>
          </w:p>
        </w:tc>
      </w:tr>
      <w:tr>
        <w:tc>
          <w:tcPr>
            <w:tcW w:type="dxa" w:w="1152"/>
          </w:tcPr>
          <w:p>
            <w:pPr>
              <w:spacing w:after="0" w:before="0"/>
            </w:pPr>
            <w:r/>
            <w:r>
              <w:rPr>
                <w:b/>
                <w:i w:val="0"/>
                <w:sz w:val="20"/>
              </w:rPr>
              <w:t>DATE:</w:t>
            </w:r>
          </w:p>
        </w:tc>
        <w:tc>
          <w:tcPr>
            <w:tcW w:type="dxa" w:w="8208"/>
          </w:tcPr>
          <w:p>
            <w:pPr>
              <w:spacing w:after="0" w:before="0"/>
            </w:pPr>
            <w:r/>
            <w:r>
              <w:rPr>
                <w:b w:val="0"/>
                <w:i w:val="0"/>
                <w:sz w:val="20"/>
              </w:rPr>
              <w:t>November 2024 — Draft for client review (responding to your request of November 13, 2024)</w:t>
            </w:r>
          </w:p>
        </w:tc>
      </w:tr>
      <w:tr>
        <w:tc>
          <w:tcPr>
            <w:tcW w:type="dxa" w:w="1152"/>
          </w:tcPr>
          <w:p>
            <w:pPr>
              <w:spacing w:after="0" w:before="0"/>
            </w:pPr>
            <w:r/>
            <w:r>
              <w:rPr>
                <w:b/>
                <w:i w:val="0"/>
                <w:sz w:val="20"/>
              </w:rPr>
              <w:t>RE:</w:t>
            </w:r>
          </w:p>
        </w:tc>
        <w:tc>
          <w:tcPr>
            <w:tcW w:type="dxa" w:w="8208"/>
          </w:tcPr>
          <w:p>
            <w:pPr>
              <w:spacing w:after="0" w:before="0"/>
            </w:pPr>
            <w:r/>
            <w:r>
              <w:rPr>
                <w:b w:val="0"/>
                <w:i w:val="0"/>
                <w:sz w:val="20"/>
              </w:rPr>
              <w:t>Cascade Structured Credit Fund III, LP — Investment Advisory Agreement dated September 27, 2024 (effective October 1, 2024): Reporting Obligations Matrix, Compliance Calendar, Administrator Gap Analysis and Catalog of Conflicts and Compliance Risks</w:t>
            </w:r>
          </w:p>
        </w:tc>
      </w:tr>
    </w:tbl>
    <w:p>
      <w:pPr>
        <w:spacing w:after="80"/>
      </w:pPr>
    </w:p>
    <w:p>
      <w:pPr>
        <w:pStyle w:val="Heading1"/>
      </w:pPr>
      <w:r>
        <w:rPr>
          <w:color w:val="1F2A44"/>
        </w:rPr>
        <w:t>I. Executive Summary</w:t>
      </w:r>
    </w:p>
    <w:p>
      <w:pPr>
        <w:spacing w:after="120"/>
      </w:pPr>
      <w:r>
        <w:rPr>
          <w:b w:val="0"/>
          <w:i w:val="0"/>
          <w:sz w:val="21"/>
        </w:rPr>
        <w:t xml:space="preserve">We extracted every reporting, notice, certification and disclosure obligation from the body of the Investment Advisory Agreement (the “IAA”) and Exhibits A through D, and cross-referenced each against Pinnacle Trust Company’s Service Level Summary dated October 15, 2024 (the “SLA”). We identified </w:t>
      </w:r>
      <w:r>
        <w:rPr>
          <w:b/>
          <w:i w:val="0"/>
          <w:sz w:val="21"/>
        </w:rPr>
        <w:t>40 distinct obligations</w:t>
      </w:r>
      <w:r>
        <w:rPr>
          <w:b w:val="0"/>
          <w:i w:val="0"/>
          <w:sz w:val="21"/>
        </w:rPr>
        <w:t xml:space="preserve"> (Part III): 7 periodic financial/tax deliverables to all LPs, 4 annual meeting/Form ADV deliverables, 12 LPAC deliverables and notices, 6 event-driven LP notices and disclosures, 7 regulatory/ERISA/cross-border tax obligations, and 4 investor-specific Side Letter deliverables for Sovereign Bridge Insurance Co. and Apex State Pension System. Your team’s estimate of “20 or more” understates the inventory chiefly because of event-driven notices scattered through Articles 3, 6, 8 and 9 and the LPAC-facing provisions in Exhibits B and C.</w:t>
      </w:r>
    </w:p>
    <w:p>
      <w:pPr>
        <w:spacing w:after="60"/>
      </w:pPr>
      <w:r>
        <w:rPr>
          <w:b w:val="0"/>
          <w:i w:val="0"/>
          <w:sz w:val="21"/>
        </w:rPr>
        <w:t>The most important conclusions are:</w:t>
      </w:r>
    </w:p>
    <w:p>
      <w:pPr>
        <w:pStyle w:val="ListBullet"/>
        <w:spacing w:after="60"/>
      </w:pPr>
      <w:r>
        <w:rPr>
          <w:b/>
          <w:sz w:val="21"/>
        </w:rPr>
        <w:t>Several obligations are already due.</w:t>
      </w:r>
      <w:r>
        <w:rPr>
          <w:b w:val="0"/>
          <w:sz w:val="21"/>
        </w:rPr>
        <w:t xml:space="preserve"> The compliance calendar cannot begin at December 31, 2024. The first Sovereign Bridge monthly NAV estimate (October 2024) was due </w:t>
      </w:r>
      <w:r>
        <w:rPr>
          <w:b/>
          <w:sz w:val="21"/>
        </w:rPr>
        <w:t>Wednesday, November 20, 2024</w:t>
      </w:r>
      <w:r>
        <w:rPr>
          <w:b w:val="0"/>
          <w:sz w:val="21"/>
        </w:rPr>
        <w:t xml:space="preserve">, and the first LPAC monthly portfolio summary (October 2024) is due </w:t>
      </w:r>
      <w:r>
        <w:rPr>
          <w:b/>
          <w:sz w:val="21"/>
        </w:rPr>
        <w:t>Saturday, November 30, 2024</w:t>
      </w:r>
      <w:r>
        <w:rPr>
          <w:b w:val="0"/>
          <w:sz w:val="21"/>
        </w:rPr>
        <w:t>. November’s are due December 20 and December 30, 2024. Portal credentials for First Close LPs (Oct 15/16) and the initial Form D (Oct 16) should be confirmed as completed (Issue 7).</w:t>
      </w:r>
    </w:p>
    <w:p>
      <w:pPr>
        <w:pStyle w:val="ListBullet"/>
        <w:spacing w:after="60"/>
      </w:pPr>
      <w:r>
        <w:rPr>
          <w:b/>
          <w:sz w:val="21"/>
        </w:rPr>
        <w:t>Four deadlines cannot be met on Pinnacle’s committed timelines</w:t>
      </w:r>
      <w:r>
        <w:rPr>
          <w:b w:val="0"/>
          <w:sz w:val="21"/>
        </w:rPr>
        <w:t xml:space="preserve"> (Part V): Sovereign’s monthly NAV (IAA Day 20 vs. Pinnacle Day 25); the quarterly BPI calculation (Day 30 vs. Day 35/40); year-end UBTI estimates (Day 30 vs. Day 45, with no interim estimates); and quarterly LP capital account statements (Day 45 vs. a realistic Day ~58, and ~March 6, 2025 for Q4 2024, against a February 14, 2025 deadline). The first three can be cured by the Adviser preparing the deliverable in-house; the capital account statement gap is structural and requires an amendment (Issues 1, 3, 4, 5).</w:t>
      </w:r>
    </w:p>
    <w:p>
      <w:pPr>
        <w:pStyle w:val="ListBullet"/>
        <w:spacing w:after="60"/>
      </w:pPr>
      <w:r>
        <w:rPr>
          <w:b/>
          <w:sz w:val="21"/>
        </w:rPr>
        <w:t>A true body-versus-exhibit conflict</w:t>
      </w:r>
      <w:r>
        <w:rPr>
          <w:b w:val="0"/>
          <w:sz w:val="21"/>
        </w:rPr>
        <w:t xml:space="preserve"> exists for LPAC valuation reporting: §7.6(b) requires 45 calendar days; Exhibit B §4 requires 45 Business Days (for Q4 2024, Feb 14 vs. Mar 7, 2025). Under §12.9 the body controls, so 45 calendar days governs; the content requirements of both provisions should be satisfied in one combined report (Issue 2).</w:t>
      </w:r>
    </w:p>
    <w:p>
      <w:pPr>
        <w:pStyle w:val="ListBullet"/>
        <w:spacing w:after="60"/>
      </w:pPr>
      <w:r>
        <w:rPr>
          <w:b/>
          <w:sz w:val="21"/>
        </w:rPr>
        <w:t>A sequencing inversion</w:t>
      </w:r>
      <w:r>
        <w:rPr>
          <w:b w:val="0"/>
          <w:sz w:val="21"/>
        </w:rPr>
        <w:t>: capital account statements (Day 45) are due before the quarterly financial statements (Day 60) on whose income and expense determinations they depend (Issue 1). Similarly, the Adviser’s own tax inputs to Pinnacle are due on the same day as UBTI estimates to LPs (Issue 4), and K-1s will likely trigger the February 28 delay-notice-and-estimates requirement (Issue 6).</w:t>
      </w:r>
    </w:p>
    <w:p>
      <w:pPr>
        <w:pStyle w:val="ListBullet"/>
        <w:spacing w:after="60"/>
      </w:pPr>
      <w:r>
        <w:rPr>
          <w:b/>
          <w:sz w:val="21"/>
        </w:rPr>
        <w:t>Undefined or externally defined terms</w:t>
      </w:r>
      <w:r>
        <w:rPr>
          <w:b w:val="0"/>
          <w:sz w:val="21"/>
        </w:rPr>
        <w:t>: the Apex placement agent certificate references “representations regarding placement agents and political contributions” that do not appear in the IAA; because no placement agent was used, the certificate should be a negative certification combined with a Rule 206(4)-5 pay-to-play certification (Issue 8). Exhibit D also refers to “enhanced UBTI reporting” that §7.5(b) does not describe, and uses a broader “tax-exempt” definition (Issues 4, 16).</w:t>
      </w:r>
    </w:p>
    <w:p>
      <w:pPr>
        <w:pStyle w:val="ListBullet"/>
        <w:spacing w:after="60"/>
      </w:pPr>
      <w:r>
        <w:rPr>
          <w:b/>
          <w:sz w:val="21"/>
        </w:rPr>
        <w:t>The inventory is provisional as to Side Letters</w:t>
      </w:r>
      <w:r>
        <w:rPr>
          <w:b w:val="0"/>
          <w:sz w:val="21"/>
        </w:rPr>
        <w:t>: Exhibit D states it is not a complete summary, and the actual Side Letters control. We need all executed Side Letters to finalize the matrix (Issue 9).</w:t>
      </w:r>
    </w:p>
    <w:p>
      <w:pPr>
        <w:spacing w:after="160"/>
      </w:pPr>
      <w:r>
        <w:rPr>
          <w:b/>
          <w:i w:val="0"/>
          <w:sz w:val="21"/>
        </w:rPr>
        <w:t>Recommended immediate actions (before the matrix is calendared):</w:t>
      </w:r>
      <w:r>
        <w:rPr>
          <w:b w:val="0"/>
          <w:i w:val="0"/>
          <w:sz w:val="21"/>
        </w:rPr>
        <w:t xml:space="preserve"> (1) send the October and November Sovereign NAV estimates and LPAC monthly summaries, prepared in-house; (2) agree LPAC monthly, LPAC valuation, Sovereign capital-impact and Apex certificate templates during December; (3) bring in-house the BPI calculation and a preliminary UBTI estimate for January 30, 2025; (4) prepare now to send the K-1 delay notice and tax estimates by February 28, 2025; (5) open discussions with Pinnacle on a compressed quarterly cascade and a Day 15–18 flash NAV; (6) schedule an audit planning call with Thomas Kwon (Ridgeline) and engage the independent valuation firm; and (7) proceed with the remediation package in Part VII — noting that obligations owed to all LPs (such as the §7.4 capital account deadline) can be changed only by an IAA amendment under §12.4 with any LP consent the LPA requires, not by an LPAC clarifying memorandum alone.</w:t>
      </w:r>
    </w:p>
    <w:p>
      <w:pPr>
        <w:pStyle w:val="Heading1"/>
      </w:pPr>
      <w:r>
        <w:rPr>
          <w:color w:val="1F2A44"/>
        </w:rPr>
        <w:t>II. Scope, Sources and Conventions</w:t>
      </w:r>
    </w:p>
    <w:p>
      <w:pPr>
        <w:pStyle w:val="ListBullet"/>
        <w:spacing w:after="60"/>
      </w:pPr>
      <w:r>
        <w:rPr>
          <w:b/>
          <w:sz w:val="21"/>
        </w:rPr>
        <w:t>Documents reviewed:</w:t>
      </w:r>
      <w:r>
        <w:rPr>
          <w:b w:val="0"/>
          <w:sz w:val="21"/>
        </w:rPr>
        <w:t xml:space="preserve"> (i) the executed IAA dated September 27, 2024, including Exhibits A (Scope of Advisory Services), B (Valuation Policy), C (Investment Guidelines) and D (Side Letter Provisions); (ii) Pinnacle’s Fund Administration Services Level Summary as of October 15, 2024; and (iii) your e-mail of November 13, 2024. We have not reviewed the LPA, the executed Side Letters, the Fund Administration Services Agreement dated September 20, 2024, subscription documents, or the audit engagement letter; items that depend on those documents are flagged.</w:t>
      </w:r>
    </w:p>
    <w:p>
      <w:pPr>
        <w:pStyle w:val="ListBullet"/>
        <w:spacing w:after="60"/>
      </w:pPr>
      <w:r>
        <w:rPr>
          <w:b/>
          <w:sz w:val="21"/>
        </w:rPr>
        <w:t>Exhibit A</w:t>
      </w:r>
      <w:r>
        <w:rPr>
          <w:b w:val="0"/>
          <w:sz w:val="21"/>
        </w:rPr>
        <w:t xml:space="preserve"> contains no discrete reporting deadlines but confirms (§§7–9) that the Adviser, not Pinnacle, is responsible for Article 7 reporting and Articles 8–9 compliance; delegation to Pinnacle does not relieve the Adviser (§2.2).</w:t>
      </w:r>
    </w:p>
    <w:p>
      <w:pPr>
        <w:pStyle w:val="ListBullet"/>
        <w:spacing w:after="60"/>
      </w:pPr>
      <w:r>
        <w:rPr>
          <w:b/>
          <w:sz w:val="21"/>
        </w:rPr>
        <w:t>Conflict rule (§12.9):</w:t>
      </w:r>
      <w:r>
        <w:rPr>
          <w:b w:val="0"/>
          <w:sz w:val="21"/>
        </w:rPr>
        <w:t xml:space="preserve"> the body controls over the Exhibits, except that Exhibit D controls to the extent it expressly modifies the IAA for the relevant LP. Where Exhibit and body provisions address the same deliverable without contradiction, we treat their content requirements as cumulative.</w:t>
      </w:r>
    </w:p>
    <w:p>
      <w:pPr>
        <w:pStyle w:val="ListBullet"/>
        <w:spacing w:after="60"/>
      </w:pPr>
      <w:r>
        <w:rPr>
          <w:b/>
          <w:sz w:val="21"/>
        </w:rPr>
        <w:t>Day counts:</w:t>
      </w:r>
      <w:r>
        <w:rPr>
          <w:b w:val="0"/>
          <w:sz w:val="21"/>
        </w:rPr>
        <w:t xml:space="preserve"> “calendar days” and “Business Days” are shown as the IAA states them. Business Days exclude weekends and days on which Denver commercial banks are authorized or required to close; we have used the Federal Reserve holiday calendar (see Issue 15 for Columbus Day/Veterans Day). The IAA has no weekend/holiday roll-forward convention for calendar-day deadlines; where a deadline falls on a non-Business Day we show the date and recommend calendaring the preceding Business Day (Issue 14).</w:t>
      </w:r>
    </w:p>
    <w:p>
      <w:pPr>
        <w:pStyle w:val="ListBullet"/>
        <w:spacing w:after="60"/>
      </w:pPr>
      <w:r>
        <w:rPr>
          <w:b/>
          <w:sz w:val="21"/>
        </w:rPr>
        <w:t>First-due dates</w:t>
      </w:r>
      <w:r>
        <w:rPr>
          <w:b w:val="0"/>
          <w:sz w:val="21"/>
        </w:rPr>
        <w:t xml:space="preserve"> are computed for the first cycle: October–December 2024 monthly items, Q4 2024 (quarter ended December 31, 2024) quarterly items, and FY2024 (October 1–December 31, 2024) annual items, assuming a Final Close on March 31, 2025 and a Dec 31 Adviser fiscal year-end.</w:t>
      </w:r>
    </w:p>
    <w:p>
      <w:pPr>
        <w:pStyle w:val="ListBullet"/>
        <w:spacing w:after="60"/>
      </w:pPr>
      <w:r>
        <w:rPr>
          <w:b/>
          <w:sz w:val="21"/>
        </w:rPr>
        <w:t>Issue cross-references</w:t>
      </w:r>
      <w:r>
        <w:rPr>
          <w:b w:val="0"/>
          <w:sz w:val="21"/>
        </w:rPr>
        <w:t xml:space="preserve"> in the “Flags” column refer to the numbered items in Part VI.</w:t>
      </w:r>
    </w:p>
    <w:p>
      <w:pPr>
        <w:sectPr>
          <w:footerReference w:type="default" r:id="rId9"/>
          <w:pgSz w:w="12240" w:h="15840"/>
          <w:pgMar w:top="1440" w:right="1440" w:bottom="1440" w:left="1440" w:header="720" w:footer="720" w:gutter="0"/>
          <w:cols w:space="720"/>
          <w:docGrid w:linePitch="360"/>
        </w:sectPr>
      </w:pPr>
    </w:p>
    <w:p>
      <w:pPr>
        <w:pStyle w:val="Heading1"/>
      </w:pPr>
      <w:r>
        <w:rPr>
          <w:color w:val="1F2A44"/>
        </w:rPr>
        <w:t>III. Reporting Obligations Matrix</w:t>
      </w:r>
    </w:p>
    <w:p>
      <w:pPr>
        <w:spacing w:after="120"/>
      </w:pPr>
      <w:r>
        <w:rPr>
          <w:b w:val="0"/>
          <w:i/>
          <w:sz w:val="17"/>
        </w:rPr>
        <w:t>Abbreviations: LP = Limited Partner; LPAC = Limited Partner Advisory Committee; BPI = Benefit Plan Investor; BD = Business Day(s); SLA = Pinnacle Service Level Summary. All obligations are the Adviser’s unless otherwise stated.</w:t>
      </w:r>
    </w:p>
    <w:p>
      <w:pPr>
        <w:pStyle w:val="Heading2"/>
      </w:pPr>
      <w:r>
        <w:rPr>
          <w:color w:val="1F2A44"/>
        </w:rPr>
        <w:t>A. Periodic Financial and Tax Reporting to All Limited Partners</w:t>
      </w:r>
    </w:p>
    <w:tbl>
      <w:tblPr>
        <w:tblStyle w:val="TableGrid"/>
        <w:tblW w:type="auto" w:w="0"/>
        <w:jc w:val="center"/>
        <w:tblLayout w:type="fixed"/>
        <w:tblLook w:firstColumn="1" w:firstRow="1" w:lastColumn="0" w:lastRow="0" w:noHBand="0" w:noVBand="1" w:val="04A0"/>
      </w:tblPr>
      <w:tblGrid>
        <w:gridCol w:w="432"/>
        <w:gridCol w:w="864"/>
        <w:gridCol w:w="3384"/>
        <w:gridCol w:w="936"/>
        <w:gridCol w:w="1368"/>
        <w:gridCol w:w="1655"/>
        <w:gridCol w:w="1512"/>
        <w:gridCol w:w="1512"/>
        <w:gridCol w:w="2736"/>
      </w:tblGrid>
      <w:tr>
        <w:trPr>
          <w:tblHeader w:val="true"/>
        </w:trPr>
        <w:tc>
          <w:tcPr>
            <w:tcW w:type="dxa" w:w="432"/>
            <w:shd w:val="clear" w:color="auto" w:fill="1F2A44"/>
          </w:tcPr>
          <w:p>
            <w:pPr>
              <w:spacing w:after="0" w:before="0"/>
            </w:pPr>
            <w:r/>
            <w:r>
              <w:rPr>
                <w:b/>
                <w:i w:val="0"/>
                <w:color w:val="FFFFFF"/>
                <w:sz w:val="15"/>
              </w:rPr>
              <w:t>#</w:t>
            </w:r>
          </w:p>
        </w:tc>
        <w:tc>
          <w:tcPr>
            <w:tcW w:type="dxa" w:w="864"/>
            <w:shd w:val="clear" w:color="auto" w:fill="1F2A44"/>
          </w:tcPr>
          <w:p>
            <w:pPr>
              <w:spacing w:after="0" w:before="0"/>
            </w:pPr>
            <w:r/>
            <w:r>
              <w:rPr>
                <w:b/>
                <w:i w:val="0"/>
                <w:color w:val="FFFFFF"/>
                <w:sz w:val="15"/>
              </w:rPr>
              <w:t>IAA Ref.</w:t>
            </w:r>
          </w:p>
        </w:tc>
        <w:tc>
          <w:tcPr>
            <w:tcW w:type="dxa" w:w="3384"/>
            <w:shd w:val="clear" w:color="auto" w:fill="1F2A44"/>
          </w:tcPr>
          <w:p>
            <w:pPr>
              <w:spacing w:after="0" w:before="0"/>
            </w:pPr>
            <w:r/>
            <w:r>
              <w:rPr>
                <w:b/>
                <w:i w:val="0"/>
                <w:color w:val="FFFFFF"/>
                <w:sz w:val="15"/>
              </w:rPr>
              <w:t>Obligation / Required Content</w:t>
            </w:r>
          </w:p>
        </w:tc>
        <w:tc>
          <w:tcPr>
            <w:tcW w:type="dxa" w:w="936"/>
            <w:shd w:val="clear" w:color="auto" w:fill="1F2A44"/>
          </w:tcPr>
          <w:p>
            <w:pPr>
              <w:spacing w:after="0" w:before="0"/>
            </w:pPr>
            <w:r/>
            <w:r>
              <w:rPr>
                <w:b/>
                <w:i w:val="0"/>
                <w:color w:val="FFFFFF"/>
                <w:sz w:val="15"/>
              </w:rPr>
              <w:t>Frequency</w:t>
            </w:r>
          </w:p>
        </w:tc>
        <w:tc>
          <w:tcPr>
            <w:tcW w:type="dxa" w:w="1368"/>
            <w:shd w:val="clear" w:color="auto" w:fill="1F2A44"/>
          </w:tcPr>
          <w:p>
            <w:pPr>
              <w:spacing w:after="0" w:before="0"/>
            </w:pPr>
            <w:r/>
            <w:r>
              <w:rPr>
                <w:b/>
                <w:i w:val="0"/>
                <w:color w:val="FFFFFF"/>
                <w:sz w:val="15"/>
              </w:rPr>
              <w:t>Recipient(s)</w:t>
            </w:r>
          </w:p>
        </w:tc>
        <w:tc>
          <w:tcPr>
            <w:tcW w:type="dxa" w:w="1656"/>
            <w:shd w:val="clear" w:color="auto" w:fill="1F2A44"/>
          </w:tcPr>
          <w:p>
            <w:pPr>
              <w:spacing w:after="0" w:before="0"/>
            </w:pPr>
            <w:r/>
            <w:r>
              <w:rPr>
                <w:b/>
                <w:i w:val="0"/>
                <w:color w:val="FFFFFF"/>
                <w:sz w:val="15"/>
              </w:rPr>
              <w:t>Deadline &amp; Trigger</w:t>
            </w:r>
          </w:p>
        </w:tc>
        <w:tc>
          <w:tcPr>
            <w:tcW w:type="dxa" w:w="1512"/>
            <w:shd w:val="clear" w:color="auto" w:fill="1F2A44"/>
          </w:tcPr>
          <w:p>
            <w:pPr>
              <w:spacing w:after="0" w:before="0"/>
            </w:pPr>
            <w:r/>
            <w:r>
              <w:rPr>
                <w:b/>
                <w:i w:val="0"/>
                <w:color w:val="FFFFFF"/>
                <w:sz w:val="15"/>
              </w:rPr>
              <w:t>Format / Delivery</w:t>
            </w:r>
          </w:p>
        </w:tc>
        <w:tc>
          <w:tcPr>
            <w:tcW w:type="dxa" w:w="1512"/>
            <w:shd w:val="clear" w:color="auto" w:fill="1F2A44"/>
          </w:tcPr>
          <w:p>
            <w:pPr>
              <w:spacing w:after="0" w:before="0"/>
            </w:pPr>
            <w:r/>
            <w:r>
              <w:rPr>
                <w:b/>
                <w:i w:val="0"/>
                <w:color w:val="FFFFFF"/>
                <w:sz w:val="15"/>
              </w:rPr>
              <w:t>First Due (FY2024 cycle)</w:t>
            </w:r>
          </w:p>
        </w:tc>
        <w:tc>
          <w:tcPr>
            <w:tcW w:type="dxa" w:w="2736"/>
            <w:shd w:val="clear" w:color="auto" w:fill="1F2A44"/>
          </w:tcPr>
          <w:p>
            <w:pPr>
              <w:spacing w:after="0" w:before="0"/>
            </w:pPr>
            <w:r/>
            <w:r>
              <w:rPr>
                <w:b/>
                <w:i w:val="0"/>
                <w:color w:val="FFFFFF"/>
                <w:sz w:val="15"/>
              </w:rPr>
              <w:t>Issues / Flags</w:t>
            </w:r>
          </w:p>
        </w:tc>
      </w:tr>
      <w:tr>
        <w:tc>
          <w:tcPr>
            <w:tcW w:type="dxa" w:w="432"/>
          </w:tcPr>
          <w:p>
            <w:pPr>
              <w:spacing w:after="0" w:before="0"/>
            </w:pPr>
            <w:r/>
            <w:r>
              <w:rPr>
                <w:b/>
                <w:i w:val="0"/>
                <w:sz w:val="15"/>
              </w:rPr>
              <w:t>1</w:t>
            </w:r>
          </w:p>
        </w:tc>
        <w:tc>
          <w:tcPr>
            <w:tcW w:type="dxa" w:w="864"/>
          </w:tcPr>
          <w:p>
            <w:pPr>
              <w:spacing w:after="0" w:before="0"/>
            </w:pPr>
            <w:r/>
            <w:r>
              <w:rPr>
                <w:b w:val="0"/>
                <w:i w:val="0"/>
                <w:sz w:val="15"/>
              </w:rPr>
              <w:t>§7.1</w:t>
            </w:r>
          </w:p>
        </w:tc>
        <w:tc>
          <w:tcPr>
            <w:tcW w:type="dxa" w:w="3384"/>
          </w:tcPr>
          <w:p>
            <w:pPr>
              <w:spacing w:after="0" w:before="0"/>
            </w:pPr>
            <w:r/>
            <w:r>
              <w:rPr>
                <w:b w:val="0"/>
                <w:i w:val="0"/>
                <w:sz w:val="15"/>
              </w:rPr>
              <w:t>Unaudited quarterly financial statements: (a) balance sheet as of quarter-end; (b) income statement for the quarter and Fiscal Year-to-date; (c) statement of changes in partners’ capital for the quarter; (d) portfolio summary showing each investment at fair value (plus cost basis, unrealized gain/loss and % of portfolio as the Adviser deems relevant). U.S. GAAP on a consistent basis; footnotes not required. Organizational expenses to be included to the extent reported (§5.3).</w:t>
            </w:r>
          </w:p>
        </w:tc>
        <w:tc>
          <w:tcPr>
            <w:tcW w:type="dxa" w:w="936"/>
          </w:tcPr>
          <w:p>
            <w:pPr>
              <w:spacing w:after="0" w:before="0"/>
            </w:pPr>
            <w:r/>
            <w:r>
              <w:rPr>
                <w:b w:val="0"/>
                <w:i w:val="0"/>
                <w:sz w:val="15"/>
              </w:rPr>
              <w:t>Quarterly</w:t>
            </w:r>
          </w:p>
        </w:tc>
        <w:tc>
          <w:tcPr>
            <w:tcW w:type="dxa" w:w="1368"/>
          </w:tcPr>
          <w:p>
            <w:pPr>
              <w:spacing w:after="0" w:before="0"/>
            </w:pPr>
            <w:r/>
            <w:r>
              <w:rPr>
                <w:b w:val="0"/>
                <w:i w:val="0"/>
                <w:sz w:val="15"/>
              </w:rPr>
              <w:t>Each Limited Partner</w:t>
            </w:r>
          </w:p>
        </w:tc>
        <w:tc>
          <w:tcPr>
            <w:tcW w:type="dxa" w:w="1656"/>
          </w:tcPr>
          <w:p>
            <w:pPr>
              <w:spacing w:after="0" w:before="0"/>
            </w:pPr>
            <w:r/>
            <w:r>
              <w:rPr>
                <w:b w:val="0"/>
                <w:i w:val="0"/>
                <w:sz w:val="15"/>
              </w:rPr>
              <w:t>60 calendar days after end of each fiscal quarter. Trigger: quarter-end date.</w:t>
            </w:r>
          </w:p>
        </w:tc>
        <w:tc>
          <w:tcPr>
            <w:tcW w:type="dxa" w:w="1512"/>
          </w:tcPr>
          <w:p>
            <w:pPr>
              <w:spacing w:after="0" w:before="0"/>
            </w:pPr>
            <w:r/>
            <w:r>
              <w:rPr>
                <w:b w:val="0"/>
                <w:i w:val="0"/>
                <w:sz w:val="15"/>
              </w:rPr>
              <w:t>Investor Portal; hard copy to LP’s address of record upon written request of any LP (hard copy is outside Pinnacle’s scope; Adviser responsibility).</w:t>
            </w:r>
          </w:p>
        </w:tc>
        <w:tc>
          <w:tcPr>
            <w:tcW w:type="dxa" w:w="1512"/>
          </w:tcPr>
          <w:p>
            <w:pPr>
              <w:spacing w:after="0" w:before="0"/>
            </w:pPr>
            <w:r/>
            <w:r>
              <w:rPr>
                <w:b w:val="0"/>
                <w:i w:val="0"/>
                <w:sz w:val="15"/>
              </w:rPr>
              <w:t>Q4 2024: Sat Mar 1, 2025 (no weekend roll-forward in IAA; treat Fri Feb 28 as the operative date).</w:t>
            </w:r>
          </w:p>
        </w:tc>
        <w:tc>
          <w:tcPr>
            <w:tcW w:type="dxa" w:w="2736"/>
          </w:tcPr>
          <w:p>
            <w:pPr>
              <w:spacing w:after="0" w:before="0"/>
            </w:pPr>
            <w:r/>
            <w:r>
              <w:rPr>
                <w:b w:val="0"/>
                <w:i w:val="0"/>
                <w:sz w:val="15"/>
              </w:rPr>
              <w:t>Feasible but tight given Pinnacle cascade (Issue 1, 14). Ordering inversion with §7.4 (Issue 1). Organizational expenses ‘to the extent reported’ (Issue 19).</w:t>
            </w:r>
          </w:p>
        </w:tc>
      </w:tr>
      <w:tr>
        <w:tc>
          <w:tcPr>
            <w:tcW w:type="dxa" w:w="432"/>
            <w:shd w:val="clear" w:color="auto" w:fill="F2F4F7"/>
          </w:tcPr>
          <w:p>
            <w:pPr>
              <w:spacing w:after="0" w:before="0"/>
            </w:pPr>
            <w:r/>
            <w:r>
              <w:rPr>
                <w:b/>
                <w:i w:val="0"/>
                <w:sz w:val="15"/>
              </w:rPr>
              <w:t>2</w:t>
            </w:r>
          </w:p>
        </w:tc>
        <w:tc>
          <w:tcPr>
            <w:tcW w:type="dxa" w:w="864"/>
            <w:shd w:val="clear" w:color="auto" w:fill="F2F4F7"/>
          </w:tcPr>
          <w:p>
            <w:pPr>
              <w:spacing w:after="0" w:before="0"/>
            </w:pPr>
            <w:r/>
            <w:r>
              <w:rPr>
                <w:b w:val="0"/>
                <w:i w:val="0"/>
                <w:sz w:val="15"/>
              </w:rPr>
              <w:t>§7.4</w:t>
            </w:r>
          </w:p>
        </w:tc>
        <w:tc>
          <w:tcPr>
            <w:tcW w:type="dxa" w:w="3384"/>
            <w:shd w:val="clear" w:color="auto" w:fill="F2F4F7"/>
          </w:tcPr>
          <w:p>
            <w:pPr>
              <w:spacing w:after="0" w:before="0"/>
            </w:pPr>
            <w:r/>
            <w:r>
              <w:rPr>
                <w:b w:val="0"/>
                <w:i w:val="0"/>
                <w:sz w:val="15"/>
              </w:rPr>
              <w:t>Capital account statement for each LP: (a) capital contributions in the quarter; (b) distributions in the quarter; (c) allocations of net income/net loss; (d) Management Fee allocations; (e) ending capital account balance. Prepared by the Administrator in coordination with the Adviser. Audited financial statements control in the event of discrepancy.</w:t>
            </w:r>
          </w:p>
        </w:tc>
        <w:tc>
          <w:tcPr>
            <w:tcW w:type="dxa" w:w="936"/>
            <w:shd w:val="clear" w:color="auto" w:fill="F2F4F7"/>
          </w:tcPr>
          <w:p>
            <w:pPr>
              <w:spacing w:after="0" w:before="0"/>
            </w:pPr>
            <w:r/>
            <w:r>
              <w:rPr>
                <w:b w:val="0"/>
                <w:i w:val="0"/>
                <w:sz w:val="15"/>
              </w:rPr>
              <w:t>Quarterly</w:t>
            </w:r>
          </w:p>
        </w:tc>
        <w:tc>
          <w:tcPr>
            <w:tcW w:type="dxa" w:w="1368"/>
            <w:shd w:val="clear" w:color="auto" w:fill="F2F4F7"/>
          </w:tcPr>
          <w:p>
            <w:pPr>
              <w:spacing w:after="0" w:before="0"/>
            </w:pPr>
            <w:r/>
            <w:r>
              <w:rPr>
                <w:b w:val="0"/>
                <w:i w:val="0"/>
                <w:sz w:val="15"/>
              </w:rPr>
              <w:t>Each Limited Partner</w:t>
            </w:r>
          </w:p>
        </w:tc>
        <w:tc>
          <w:tcPr>
            <w:tcW w:type="dxa" w:w="1656"/>
            <w:shd w:val="clear" w:color="auto" w:fill="F2F4F7"/>
          </w:tcPr>
          <w:p>
            <w:pPr>
              <w:spacing w:after="0" w:before="0"/>
            </w:pPr>
            <w:r/>
            <w:r>
              <w:rPr>
                <w:b w:val="0"/>
                <w:i w:val="0"/>
                <w:sz w:val="15"/>
              </w:rPr>
              <w:t>45 calendar days after end of each fiscal quarter. Trigger: quarter-end date.</w:t>
            </w:r>
          </w:p>
        </w:tc>
        <w:tc>
          <w:tcPr>
            <w:tcW w:type="dxa" w:w="1512"/>
            <w:shd w:val="clear" w:color="auto" w:fill="F2F4F7"/>
          </w:tcPr>
          <w:p>
            <w:pPr>
              <w:spacing w:after="0" w:before="0"/>
            </w:pPr>
            <w:r/>
            <w:r>
              <w:rPr>
                <w:b w:val="0"/>
                <w:i w:val="0"/>
                <w:sz w:val="15"/>
              </w:rPr>
              <w:t>Investor Portal.</w:t>
            </w:r>
          </w:p>
        </w:tc>
        <w:tc>
          <w:tcPr>
            <w:tcW w:type="dxa" w:w="1512"/>
            <w:shd w:val="clear" w:color="auto" w:fill="F2F4F7"/>
          </w:tcPr>
          <w:p>
            <w:pPr>
              <w:spacing w:after="0" w:before="0"/>
            </w:pPr>
            <w:r/>
            <w:r>
              <w:rPr>
                <w:b w:val="0"/>
                <w:i w:val="0"/>
                <w:sz w:val="15"/>
              </w:rPr>
              <w:t>Q4 2024: Fri Feb 14, 2025.</w:t>
            </w:r>
          </w:p>
        </w:tc>
        <w:tc>
          <w:tcPr>
            <w:tcW w:type="dxa" w:w="2736"/>
            <w:shd w:val="clear" w:color="auto" w:fill="F2F4F7"/>
          </w:tcPr>
          <w:p>
            <w:pPr>
              <w:spacing w:after="0" w:before="0"/>
            </w:pPr>
            <w:r/>
            <w:r>
              <w:rPr>
                <w:b w:val="0"/>
                <w:i w:val="0"/>
                <w:sz w:val="15"/>
              </w:rPr>
              <w:t>CRITICAL. Not achievable on Pinnacle’s SLA: draft statements realistically available ~Day 56–58 (standard quarter) and ~Mar 4–6, 2025 for the initial quarter (Issue 1). Due before the §7.1 financial statements on which allocations depend.</w:t>
            </w:r>
          </w:p>
        </w:tc>
      </w:tr>
      <w:tr>
        <w:tc>
          <w:tcPr>
            <w:tcW w:type="dxa" w:w="432"/>
          </w:tcPr>
          <w:p>
            <w:pPr>
              <w:spacing w:after="0" w:before="0"/>
            </w:pPr>
            <w:r/>
            <w:r>
              <w:rPr>
                <w:b/>
                <w:i w:val="0"/>
                <w:sz w:val="15"/>
              </w:rPr>
              <w:t>3</w:t>
            </w:r>
          </w:p>
        </w:tc>
        <w:tc>
          <w:tcPr>
            <w:tcW w:type="dxa" w:w="864"/>
          </w:tcPr>
          <w:p>
            <w:pPr>
              <w:spacing w:after="0" w:before="0"/>
            </w:pPr>
            <w:r/>
            <w:r>
              <w:rPr>
                <w:b w:val="0"/>
                <w:i w:val="0"/>
                <w:sz w:val="15"/>
              </w:rPr>
              <w:t>§7.2; Art. 6</w:t>
            </w:r>
          </w:p>
        </w:tc>
        <w:tc>
          <w:tcPr>
            <w:tcW w:type="dxa" w:w="3384"/>
          </w:tcPr>
          <w:p>
            <w:pPr>
              <w:spacing w:after="0" w:before="0"/>
            </w:pPr>
            <w:r/>
            <w:r>
              <w:rPr>
                <w:b w:val="0"/>
                <w:i w:val="0"/>
                <w:sz w:val="15"/>
              </w:rPr>
              <w:t>Annual financial statements audited by Ridgeline Audit Partners LLP (GAAS; U.S. GAAP): balance sheet, statement of operations, statement of changes in partners’ capital, statement of cash flows and all GAAP notes. Distribution also supports the Custody Rule (Rule 206(4)-2) audit approach represented in Article 6.</w:t>
            </w:r>
          </w:p>
        </w:tc>
        <w:tc>
          <w:tcPr>
            <w:tcW w:type="dxa" w:w="936"/>
          </w:tcPr>
          <w:p>
            <w:pPr>
              <w:spacing w:after="0" w:before="0"/>
            </w:pPr>
            <w:r/>
            <w:r>
              <w:rPr>
                <w:b w:val="0"/>
                <w:i w:val="0"/>
                <w:sz w:val="15"/>
              </w:rPr>
              <w:t>Annual</w:t>
            </w:r>
          </w:p>
        </w:tc>
        <w:tc>
          <w:tcPr>
            <w:tcW w:type="dxa" w:w="1368"/>
          </w:tcPr>
          <w:p>
            <w:pPr>
              <w:spacing w:after="0" w:before="0"/>
            </w:pPr>
            <w:r/>
            <w:r>
              <w:rPr>
                <w:b w:val="0"/>
                <w:i w:val="0"/>
                <w:sz w:val="15"/>
              </w:rPr>
              <w:t>Each Limited Partner</w:t>
            </w:r>
          </w:p>
        </w:tc>
        <w:tc>
          <w:tcPr>
            <w:tcW w:type="dxa" w:w="1656"/>
          </w:tcPr>
          <w:p>
            <w:pPr>
              <w:spacing w:after="0" w:before="0"/>
            </w:pPr>
            <w:r/>
            <w:r>
              <w:rPr>
                <w:b w:val="0"/>
                <w:i w:val="0"/>
                <w:sz w:val="15"/>
              </w:rPr>
              <w:t>120 calendar days after end of each Fiscal Year. Trigger: Fiscal Year-end (Dec 31; initial Fiscal Year Oct 1–Dec 31, 2024).</w:t>
            </w:r>
          </w:p>
        </w:tc>
        <w:tc>
          <w:tcPr>
            <w:tcW w:type="dxa" w:w="1512"/>
          </w:tcPr>
          <w:p>
            <w:pPr>
              <w:spacing w:after="0" w:before="0"/>
            </w:pPr>
            <w:r/>
            <w:r>
              <w:rPr>
                <w:b w:val="0"/>
                <w:i w:val="0"/>
                <w:sz w:val="15"/>
              </w:rPr>
              <w:t>Investor Portal; hard copy upon written request of any LP.</w:t>
            </w:r>
          </w:p>
        </w:tc>
        <w:tc>
          <w:tcPr>
            <w:tcW w:type="dxa" w:w="1512"/>
          </w:tcPr>
          <w:p>
            <w:pPr>
              <w:spacing w:after="0" w:before="0"/>
            </w:pPr>
            <w:r/>
            <w:r>
              <w:rPr>
                <w:b w:val="0"/>
                <w:i w:val="0"/>
                <w:sz w:val="15"/>
              </w:rPr>
              <w:t>FY2024: Wed Apr 30, 2025.</w:t>
            </w:r>
          </w:p>
        </w:tc>
        <w:tc>
          <w:tcPr>
            <w:tcW w:type="dxa" w:w="2736"/>
          </w:tcPr>
          <w:p>
            <w:pPr>
              <w:spacing w:after="0" w:before="0"/>
            </w:pPr>
            <w:r/>
            <w:r>
              <w:rPr>
                <w:b w:val="0"/>
                <w:i w:val="0"/>
                <w:sz w:val="15"/>
              </w:rPr>
              <w:t>HIGH. Missing the 120-day date is both a contract breach and a Custody Rule problem (Issue 27). Audit period vs. Fund formation date of Aug 22, 2024 (Issue 19). Depends on annual independent valuation (Ex. B §5) and Pinnacle year-end close; SLA contains no audit-support timeline.</w:t>
            </w:r>
          </w:p>
        </w:tc>
      </w:tr>
      <w:tr>
        <w:tc>
          <w:tcPr>
            <w:tcW w:type="dxa" w:w="432"/>
            <w:shd w:val="clear" w:color="auto" w:fill="F2F4F7"/>
          </w:tcPr>
          <w:p>
            <w:pPr>
              <w:spacing w:after="0" w:before="0"/>
            </w:pPr>
            <w:r/>
            <w:r>
              <w:rPr>
                <w:b/>
                <w:i w:val="0"/>
                <w:sz w:val="15"/>
              </w:rPr>
              <w:t>4</w:t>
            </w:r>
          </w:p>
        </w:tc>
        <w:tc>
          <w:tcPr>
            <w:tcW w:type="dxa" w:w="864"/>
            <w:shd w:val="clear" w:color="auto" w:fill="F2F4F7"/>
          </w:tcPr>
          <w:p>
            <w:pPr>
              <w:spacing w:after="0" w:before="0"/>
            </w:pPr>
            <w:r/>
            <w:r>
              <w:rPr>
                <w:b w:val="0"/>
                <w:i w:val="0"/>
                <w:sz w:val="15"/>
              </w:rPr>
              <w:t>§7.5(a)</w:t>
            </w:r>
          </w:p>
        </w:tc>
        <w:tc>
          <w:tcPr>
            <w:tcW w:type="dxa" w:w="3384"/>
            <w:shd w:val="clear" w:color="auto" w:fill="F2F4F7"/>
          </w:tcPr>
          <w:p>
            <w:pPr>
              <w:spacing w:after="0" w:before="0"/>
            </w:pPr>
            <w:r/>
            <w:r>
              <w:rPr>
                <w:b w:val="0"/>
                <w:i w:val="0"/>
                <w:sz w:val="15"/>
              </w:rPr>
              <w:t>IRS Schedule K-1s (Form 1065) to each LP.</w:t>
            </w:r>
          </w:p>
        </w:tc>
        <w:tc>
          <w:tcPr>
            <w:tcW w:type="dxa" w:w="936"/>
            <w:shd w:val="clear" w:color="auto" w:fill="F2F4F7"/>
          </w:tcPr>
          <w:p>
            <w:pPr>
              <w:spacing w:after="0" w:before="0"/>
            </w:pPr>
            <w:r/>
            <w:r>
              <w:rPr>
                <w:b w:val="0"/>
                <w:i w:val="0"/>
                <w:sz w:val="15"/>
              </w:rPr>
              <w:t>Annual</w:t>
            </w:r>
          </w:p>
        </w:tc>
        <w:tc>
          <w:tcPr>
            <w:tcW w:type="dxa" w:w="1368"/>
            <w:shd w:val="clear" w:color="auto" w:fill="F2F4F7"/>
          </w:tcPr>
          <w:p>
            <w:pPr>
              <w:spacing w:after="0" w:before="0"/>
            </w:pPr>
            <w:r/>
            <w:r>
              <w:rPr>
                <w:b w:val="0"/>
                <w:i w:val="0"/>
                <w:sz w:val="15"/>
              </w:rPr>
              <w:t>Each Limited Partner</w:t>
            </w:r>
          </w:p>
        </w:tc>
        <w:tc>
          <w:tcPr>
            <w:tcW w:type="dxa" w:w="1656"/>
            <w:shd w:val="clear" w:color="auto" w:fill="F2F4F7"/>
          </w:tcPr>
          <w:p>
            <w:pPr>
              <w:spacing w:after="0" w:before="0"/>
            </w:pPr>
            <w:r/>
            <w:r>
              <w:rPr>
                <w:b w:val="0"/>
                <w:i w:val="0"/>
                <w:sz w:val="15"/>
              </w:rPr>
              <w:t>Commercially reasonable efforts by March 15 of the following year; final K-1s no later than April 15 (hard deadline, no efforts qualifier).</w:t>
            </w:r>
          </w:p>
        </w:tc>
        <w:tc>
          <w:tcPr>
            <w:tcW w:type="dxa" w:w="1512"/>
            <w:shd w:val="clear" w:color="auto" w:fill="F2F4F7"/>
          </w:tcPr>
          <w:p>
            <w:pPr>
              <w:spacing w:after="0" w:before="0"/>
            </w:pPr>
            <w:r/>
            <w:r>
              <w:rPr>
                <w:b w:val="0"/>
                <w:i w:val="0"/>
                <w:sz w:val="15"/>
              </w:rPr>
              <w:t>Not specified (Pinnacle portal supports K-1 delivery).</w:t>
            </w:r>
          </w:p>
        </w:tc>
        <w:tc>
          <w:tcPr>
            <w:tcW w:type="dxa" w:w="1512"/>
            <w:shd w:val="clear" w:color="auto" w:fill="F2F4F7"/>
          </w:tcPr>
          <w:p>
            <w:pPr>
              <w:spacing w:after="0" w:before="0"/>
            </w:pPr>
            <w:r/>
            <w:r>
              <w:rPr>
                <w:b w:val="0"/>
                <w:i w:val="0"/>
                <w:sz w:val="15"/>
              </w:rPr>
              <w:t>FY2024: target Sat Mar 15, 2025; hard Tue Apr 15, 2025.</w:t>
            </w:r>
          </w:p>
        </w:tc>
        <w:tc>
          <w:tcPr>
            <w:tcW w:type="dxa" w:w="2736"/>
            <w:shd w:val="clear" w:color="auto" w:fill="F2F4F7"/>
          </w:tcPr>
          <w:p>
            <w:pPr>
              <w:spacing w:after="0" w:before="0"/>
            </w:pPr>
            <w:r/>
            <w:r>
              <w:rPr>
                <w:b w:val="0"/>
                <w:i w:val="0"/>
                <w:sz w:val="15"/>
              </w:rPr>
              <w:t>HIGH. Pinnacle tax package Day 45 (Feb 14) + 15–20 Business Days for preparer drafts = Mar 10–17, 2025 before Adviser review; March 15 is unlikely to be met (Issue 6).</w:t>
            </w:r>
          </w:p>
        </w:tc>
      </w:tr>
      <w:tr>
        <w:tc>
          <w:tcPr>
            <w:tcW w:type="dxa" w:w="432"/>
          </w:tcPr>
          <w:p>
            <w:pPr>
              <w:spacing w:after="0" w:before="0"/>
            </w:pPr>
            <w:r/>
            <w:r>
              <w:rPr>
                <w:b/>
                <w:i w:val="0"/>
                <w:sz w:val="15"/>
              </w:rPr>
              <w:t>5</w:t>
            </w:r>
          </w:p>
        </w:tc>
        <w:tc>
          <w:tcPr>
            <w:tcW w:type="dxa" w:w="864"/>
          </w:tcPr>
          <w:p>
            <w:pPr>
              <w:spacing w:after="0" w:before="0"/>
            </w:pPr>
            <w:r/>
            <w:r>
              <w:rPr>
                <w:b w:val="0"/>
                <w:i w:val="0"/>
                <w:sz w:val="15"/>
              </w:rPr>
              <w:t>§7.5(a)</w:t>
            </w:r>
          </w:p>
        </w:tc>
        <w:tc>
          <w:tcPr>
            <w:tcW w:type="dxa" w:w="3384"/>
          </w:tcPr>
          <w:p>
            <w:pPr>
              <w:spacing w:after="0" w:before="0"/>
            </w:pPr>
            <w:r/>
            <w:r>
              <w:rPr>
                <w:b w:val="0"/>
                <w:i w:val="0"/>
                <w:sz w:val="15"/>
              </w:rPr>
              <w:t>If the Adviser determines K-1s cannot be delivered by March 15: written notice to all LPs as promptly as practicable, together with tax estimates sufficient for each LP to estimate its allocable share of taxable income.</w:t>
            </w:r>
          </w:p>
        </w:tc>
        <w:tc>
          <w:tcPr>
            <w:tcW w:type="dxa" w:w="936"/>
          </w:tcPr>
          <w:p>
            <w:pPr>
              <w:spacing w:after="0" w:before="0"/>
            </w:pPr>
            <w:r/>
            <w:r>
              <w:rPr>
                <w:b w:val="0"/>
                <w:i w:val="0"/>
                <w:sz w:val="15"/>
              </w:rPr>
              <w:t>Annual (contingent)</w:t>
            </w:r>
          </w:p>
        </w:tc>
        <w:tc>
          <w:tcPr>
            <w:tcW w:type="dxa" w:w="1368"/>
          </w:tcPr>
          <w:p>
            <w:pPr>
              <w:spacing w:after="0" w:before="0"/>
            </w:pPr>
            <w:r/>
            <w:r>
              <w:rPr>
                <w:b w:val="0"/>
                <w:i w:val="0"/>
                <w:sz w:val="15"/>
              </w:rPr>
              <w:t>All Limited Partners</w:t>
            </w:r>
          </w:p>
        </w:tc>
        <w:tc>
          <w:tcPr>
            <w:tcW w:type="dxa" w:w="1656"/>
          </w:tcPr>
          <w:p>
            <w:pPr>
              <w:spacing w:after="0" w:before="0"/>
            </w:pPr>
            <w:r/>
            <w:r>
              <w:rPr>
                <w:b w:val="0"/>
                <w:i w:val="0"/>
                <w:sz w:val="15"/>
              </w:rPr>
              <w:t>As promptly as practicable after the determination, and in each case by February 28.</w:t>
            </w:r>
          </w:p>
        </w:tc>
        <w:tc>
          <w:tcPr>
            <w:tcW w:type="dxa" w:w="1512"/>
          </w:tcPr>
          <w:p>
            <w:pPr>
              <w:spacing w:after="0" w:before="0"/>
            </w:pPr>
            <w:r/>
            <w:r>
              <w:rPr>
                <w:b w:val="0"/>
                <w:i w:val="0"/>
                <w:sz w:val="15"/>
              </w:rPr>
              <w:t>Written notice (method not specified; use e-mail plus Portal consistent with §8.3 practice).</w:t>
            </w:r>
          </w:p>
        </w:tc>
        <w:tc>
          <w:tcPr>
            <w:tcW w:type="dxa" w:w="1512"/>
          </w:tcPr>
          <w:p>
            <w:pPr>
              <w:spacing w:after="0" w:before="0"/>
            </w:pPr>
            <w:r/>
            <w:r>
              <w:rPr>
                <w:b w:val="0"/>
                <w:i w:val="0"/>
                <w:sz w:val="15"/>
              </w:rPr>
              <w:t>FY2024: Fri Feb 28, 2025.</w:t>
            </w:r>
          </w:p>
        </w:tc>
        <w:tc>
          <w:tcPr>
            <w:tcW w:type="dxa" w:w="2736"/>
          </w:tcPr>
          <w:p>
            <w:pPr>
              <w:spacing w:after="0" w:before="0"/>
            </w:pPr>
            <w:r/>
            <w:r>
              <w:rPr>
                <w:b w:val="0"/>
                <w:i w:val="0"/>
                <w:sz w:val="15"/>
              </w:rPr>
              <w:t>HIGH. Determination must effectively be made by mid-February, when Pinnacle’s tax package arrives (Feb 14); estimates require LP-level allocation data (Issue 6).</w:t>
            </w:r>
          </w:p>
        </w:tc>
      </w:tr>
      <w:tr>
        <w:tc>
          <w:tcPr>
            <w:tcW w:type="dxa" w:w="432"/>
            <w:shd w:val="clear" w:color="auto" w:fill="F2F4F7"/>
          </w:tcPr>
          <w:p>
            <w:pPr>
              <w:spacing w:after="0" w:before="0"/>
            </w:pPr>
            <w:r/>
            <w:r>
              <w:rPr>
                <w:b/>
                <w:i w:val="0"/>
                <w:sz w:val="15"/>
              </w:rPr>
              <w:t>6</w:t>
            </w:r>
          </w:p>
        </w:tc>
        <w:tc>
          <w:tcPr>
            <w:tcW w:type="dxa" w:w="864"/>
            <w:shd w:val="clear" w:color="auto" w:fill="F2F4F7"/>
          </w:tcPr>
          <w:p>
            <w:pPr>
              <w:spacing w:after="0" w:before="0"/>
            </w:pPr>
            <w:r/>
            <w:r>
              <w:rPr>
                <w:b w:val="0"/>
                <w:i w:val="0"/>
                <w:sz w:val="15"/>
              </w:rPr>
              <w:t>§7.5(b); Ex. D §4</w:t>
            </w:r>
          </w:p>
        </w:tc>
        <w:tc>
          <w:tcPr>
            <w:tcW w:type="dxa" w:w="3384"/>
            <w:shd w:val="clear" w:color="auto" w:fill="F2F4F7"/>
          </w:tcPr>
          <w:p>
            <w:pPr>
              <w:spacing w:after="0" w:before="0"/>
            </w:pPr>
            <w:r/>
            <w:r>
              <w:rPr>
                <w:b w:val="0"/>
                <w:i w:val="0"/>
                <w:sz w:val="15"/>
              </w:rPr>
              <w:t>UBTI estimates allocable to each tax-exempt LP, based on information then available, accompanied by a statement that estimates are preliminary and subject to revision upon completion of the Fund’s tax return. Ex. D §4 characterizes this as ‘enhanced UBTI reporting’ and extends coverage to 501(c)(3) entities, state/local government pension plans and ‘similarly situated entities’.</w:t>
            </w:r>
          </w:p>
        </w:tc>
        <w:tc>
          <w:tcPr>
            <w:tcW w:type="dxa" w:w="936"/>
            <w:shd w:val="clear" w:color="auto" w:fill="F2F4F7"/>
          </w:tcPr>
          <w:p>
            <w:pPr>
              <w:spacing w:after="0" w:before="0"/>
            </w:pPr>
            <w:r/>
            <w:r>
              <w:rPr>
                <w:b w:val="0"/>
                <w:i w:val="0"/>
                <w:sz w:val="15"/>
              </w:rPr>
              <w:t>Annual</w:t>
            </w:r>
          </w:p>
        </w:tc>
        <w:tc>
          <w:tcPr>
            <w:tcW w:type="dxa" w:w="1368"/>
            <w:shd w:val="clear" w:color="auto" w:fill="F2F4F7"/>
          </w:tcPr>
          <w:p>
            <w:pPr>
              <w:spacing w:after="0" w:before="0"/>
            </w:pPr>
            <w:r/>
            <w:r>
              <w:rPr>
                <w:b w:val="0"/>
                <w:i w:val="0"/>
                <w:sz w:val="15"/>
              </w:rPr>
              <w:t>Each tax-exempt LP (e.g., Northshore Endowment Fund; Apex State Pension System if treated as within Ex. D §4; others to be confirmed from subscription documents)</w:t>
            </w:r>
          </w:p>
        </w:tc>
        <w:tc>
          <w:tcPr>
            <w:tcW w:type="dxa" w:w="1656"/>
            <w:shd w:val="clear" w:color="auto" w:fill="F2F4F7"/>
          </w:tcPr>
          <w:p>
            <w:pPr>
              <w:spacing w:after="0" w:before="0"/>
            </w:pPr>
            <w:r/>
            <w:r>
              <w:rPr>
                <w:b w:val="0"/>
                <w:i w:val="0"/>
                <w:sz w:val="15"/>
              </w:rPr>
              <w:t>30 calendar days after end of each Fiscal Year.</w:t>
            </w:r>
          </w:p>
        </w:tc>
        <w:tc>
          <w:tcPr>
            <w:tcW w:type="dxa" w:w="1512"/>
            <w:shd w:val="clear" w:color="auto" w:fill="F2F4F7"/>
          </w:tcPr>
          <w:p>
            <w:pPr>
              <w:spacing w:after="0" w:before="0"/>
            </w:pPr>
            <w:r/>
            <w:r>
              <w:rPr>
                <w:b w:val="0"/>
                <w:i w:val="0"/>
                <w:sz w:val="15"/>
              </w:rPr>
              <w:t>Not specified.</w:t>
            </w:r>
          </w:p>
        </w:tc>
        <w:tc>
          <w:tcPr>
            <w:tcW w:type="dxa" w:w="1512"/>
            <w:shd w:val="clear" w:color="auto" w:fill="F2F4F7"/>
          </w:tcPr>
          <w:p>
            <w:pPr>
              <w:spacing w:after="0" w:before="0"/>
            </w:pPr>
            <w:r/>
            <w:r>
              <w:rPr>
                <w:b w:val="0"/>
                <w:i w:val="0"/>
                <w:sz w:val="15"/>
              </w:rPr>
              <w:t>FY2024: Thu Jan 30, 2025.</w:t>
            </w:r>
          </w:p>
        </w:tc>
        <w:tc>
          <w:tcPr>
            <w:tcW w:type="dxa" w:w="2736"/>
            <w:shd w:val="clear" w:color="auto" w:fill="F2F4F7"/>
          </w:tcPr>
          <w:p>
            <w:pPr>
              <w:spacing w:after="0" w:before="0"/>
            </w:pPr>
            <w:r/>
            <w:r>
              <w:rPr>
                <w:b w:val="0"/>
                <w:i w:val="0"/>
                <w:sz w:val="15"/>
              </w:rPr>
              <w:t>CRITICAL. Pinnacle delivers UBTI worksheets only on Day 45 and prepares no interim estimates; Adviser’s own tax characterization inputs to Pinnacle are due the same Day 30 (Issue 4). Scope of ‘tax-exempt’ differs between §7.5(b) and Ex. D §4; ‘if any’ unclear whether nil reports required.</w:t>
            </w:r>
          </w:p>
        </w:tc>
      </w:tr>
      <w:tr>
        <w:tc>
          <w:tcPr>
            <w:tcW w:type="dxa" w:w="432"/>
          </w:tcPr>
          <w:p>
            <w:pPr>
              <w:spacing w:after="0" w:before="0"/>
            </w:pPr>
            <w:r/>
            <w:r>
              <w:rPr>
                <w:b/>
                <w:i w:val="0"/>
                <w:sz w:val="15"/>
              </w:rPr>
              <w:t>7</w:t>
            </w:r>
          </w:p>
        </w:tc>
        <w:tc>
          <w:tcPr>
            <w:tcW w:type="dxa" w:w="864"/>
          </w:tcPr>
          <w:p>
            <w:pPr>
              <w:spacing w:after="0" w:before="0"/>
            </w:pPr>
            <w:r/>
            <w:r>
              <w:rPr>
                <w:b w:val="0"/>
                <w:i w:val="0"/>
                <w:sz w:val="15"/>
              </w:rPr>
              <w:t>§7.5(c)</w:t>
            </w:r>
          </w:p>
        </w:tc>
        <w:tc>
          <w:tcPr>
            <w:tcW w:type="dxa" w:w="3384"/>
          </w:tcPr>
          <w:p>
            <w:pPr>
              <w:spacing w:after="0" w:before="0"/>
            </w:pPr>
            <w:r/>
            <w:r>
              <w:rPr>
                <w:b w:val="0"/>
                <w:i w:val="0"/>
                <w:sz w:val="15"/>
              </w:rPr>
              <w:t>State and local tax information sufficient for an LP to satisfy its own state and local tax reporting obligations.</w:t>
            </w:r>
          </w:p>
        </w:tc>
        <w:tc>
          <w:tcPr>
            <w:tcW w:type="dxa" w:w="936"/>
          </w:tcPr>
          <w:p>
            <w:pPr>
              <w:spacing w:after="0" w:before="0"/>
            </w:pPr>
            <w:r/>
            <w:r>
              <w:rPr>
                <w:b w:val="0"/>
                <w:i w:val="0"/>
                <w:sz w:val="15"/>
              </w:rPr>
              <w:t>On request</w:t>
            </w:r>
          </w:p>
        </w:tc>
        <w:tc>
          <w:tcPr>
            <w:tcW w:type="dxa" w:w="1368"/>
          </w:tcPr>
          <w:p>
            <w:pPr>
              <w:spacing w:after="0" w:before="0"/>
            </w:pPr>
            <w:r/>
            <w:r>
              <w:rPr>
                <w:b w:val="0"/>
                <w:i w:val="0"/>
                <w:sz w:val="15"/>
              </w:rPr>
              <w:t>Requesting Limited Partner</w:t>
            </w:r>
          </w:p>
        </w:tc>
        <w:tc>
          <w:tcPr>
            <w:tcW w:type="dxa" w:w="1656"/>
          </w:tcPr>
          <w:p>
            <w:pPr>
              <w:spacing w:after="0" w:before="0"/>
            </w:pPr>
            <w:r/>
            <w:r>
              <w:rPr>
                <w:b w:val="0"/>
                <w:i w:val="0"/>
                <w:sz w:val="15"/>
              </w:rPr>
              <w:t>No fixed deadline; commercially reasonable efforts following written request.</w:t>
            </w:r>
          </w:p>
        </w:tc>
        <w:tc>
          <w:tcPr>
            <w:tcW w:type="dxa" w:w="1512"/>
          </w:tcPr>
          <w:p>
            <w:pPr>
              <w:spacing w:after="0" w:before="0"/>
            </w:pPr>
            <w:r/>
            <w:r>
              <w:rPr>
                <w:b w:val="0"/>
                <w:i w:val="0"/>
                <w:sz w:val="15"/>
              </w:rPr>
              <w:t>‘A form sufficient’ for the LP’s purposes.</w:t>
            </w:r>
          </w:p>
        </w:tc>
        <w:tc>
          <w:tcPr>
            <w:tcW w:type="dxa" w:w="1512"/>
          </w:tcPr>
          <w:p>
            <w:pPr>
              <w:spacing w:after="0" w:before="0"/>
            </w:pPr>
            <w:r/>
            <w:r>
              <w:rPr>
                <w:b w:val="0"/>
                <w:i w:val="0"/>
                <w:sz w:val="15"/>
              </w:rPr>
              <w:t>As requested.</w:t>
            </w:r>
          </w:p>
        </w:tc>
        <w:tc>
          <w:tcPr>
            <w:tcW w:type="dxa" w:w="2736"/>
          </w:tcPr>
          <w:p>
            <w:pPr>
              <w:spacing w:after="0" w:before="0"/>
            </w:pPr>
            <w:r/>
            <w:r>
              <w:rPr>
                <w:b w:val="0"/>
                <w:i w:val="0"/>
                <w:sz w:val="15"/>
              </w:rPr>
              <w:t>Pinnacle state allocation data arrives Day 45 with the tax package. Track requests in a log.</w:t>
            </w:r>
          </w:p>
        </w:tc>
      </w:tr>
    </w:tbl>
    <w:p>
      <w:pPr>
        <w:spacing w:after="40"/>
      </w:pPr>
    </w:p>
    <w:p>
      <w:pPr>
        <w:pStyle w:val="Heading2"/>
      </w:pPr>
      <w:r>
        <w:rPr>
          <w:color w:val="1F2A44"/>
        </w:rPr>
        <w:t>B. Annual Meeting, Annual Report and Form ADV Delivery (All Limited Partners)</w:t>
      </w:r>
    </w:p>
    <w:tbl>
      <w:tblPr>
        <w:tblStyle w:val="TableGrid"/>
        <w:tblW w:type="auto" w:w="0"/>
        <w:jc w:val="center"/>
        <w:tblLayout w:type="fixed"/>
        <w:tblLook w:firstColumn="1" w:firstRow="1" w:lastColumn="0" w:lastRow="0" w:noHBand="0" w:noVBand="1" w:val="04A0"/>
      </w:tblPr>
      <w:tblGrid>
        <w:gridCol w:w="432"/>
        <w:gridCol w:w="864"/>
        <w:gridCol w:w="3384"/>
        <w:gridCol w:w="936"/>
        <w:gridCol w:w="1368"/>
        <w:gridCol w:w="1655"/>
        <w:gridCol w:w="1512"/>
        <w:gridCol w:w="1512"/>
        <w:gridCol w:w="2736"/>
      </w:tblGrid>
      <w:tr>
        <w:trPr>
          <w:tblHeader w:val="true"/>
        </w:trPr>
        <w:tc>
          <w:tcPr>
            <w:tcW w:type="dxa" w:w="432"/>
            <w:shd w:val="clear" w:color="auto" w:fill="1F2A44"/>
          </w:tcPr>
          <w:p>
            <w:pPr>
              <w:spacing w:after="0" w:before="0"/>
            </w:pPr>
            <w:r/>
            <w:r>
              <w:rPr>
                <w:b/>
                <w:i w:val="0"/>
                <w:color w:val="FFFFFF"/>
                <w:sz w:val="15"/>
              </w:rPr>
              <w:t>#</w:t>
            </w:r>
          </w:p>
        </w:tc>
        <w:tc>
          <w:tcPr>
            <w:tcW w:type="dxa" w:w="864"/>
            <w:shd w:val="clear" w:color="auto" w:fill="1F2A44"/>
          </w:tcPr>
          <w:p>
            <w:pPr>
              <w:spacing w:after="0" w:before="0"/>
            </w:pPr>
            <w:r/>
            <w:r>
              <w:rPr>
                <w:b/>
                <w:i w:val="0"/>
                <w:color w:val="FFFFFF"/>
                <w:sz w:val="15"/>
              </w:rPr>
              <w:t>IAA Ref.</w:t>
            </w:r>
          </w:p>
        </w:tc>
        <w:tc>
          <w:tcPr>
            <w:tcW w:type="dxa" w:w="3384"/>
            <w:shd w:val="clear" w:color="auto" w:fill="1F2A44"/>
          </w:tcPr>
          <w:p>
            <w:pPr>
              <w:spacing w:after="0" w:before="0"/>
            </w:pPr>
            <w:r/>
            <w:r>
              <w:rPr>
                <w:b/>
                <w:i w:val="0"/>
                <w:color w:val="FFFFFF"/>
                <w:sz w:val="15"/>
              </w:rPr>
              <w:t>Obligation / Required Content</w:t>
            </w:r>
          </w:p>
        </w:tc>
        <w:tc>
          <w:tcPr>
            <w:tcW w:type="dxa" w:w="936"/>
            <w:shd w:val="clear" w:color="auto" w:fill="1F2A44"/>
          </w:tcPr>
          <w:p>
            <w:pPr>
              <w:spacing w:after="0" w:before="0"/>
            </w:pPr>
            <w:r/>
            <w:r>
              <w:rPr>
                <w:b/>
                <w:i w:val="0"/>
                <w:color w:val="FFFFFF"/>
                <w:sz w:val="15"/>
              </w:rPr>
              <w:t>Frequency</w:t>
            </w:r>
          </w:p>
        </w:tc>
        <w:tc>
          <w:tcPr>
            <w:tcW w:type="dxa" w:w="1368"/>
            <w:shd w:val="clear" w:color="auto" w:fill="1F2A44"/>
          </w:tcPr>
          <w:p>
            <w:pPr>
              <w:spacing w:after="0" w:before="0"/>
            </w:pPr>
            <w:r/>
            <w:r>
              <w:rPr>
                <w:b/>
                <w:i w:val="0"/>
                <w:color w:val="FFFFFF"/>
                <w:sz w:val="15"/>
              </w:rPr>
              <w:t>Recipient(s)</w:t>
            </w:r>
          </w:p>
        </w:tc>
        <w:tc>
          <w:tcPr>
            <w:tcW w:type="dxa" w:w="1656"/>
            <w:shd w:val="clear" w:color="auto" w:fill="1F2A44"/>
          </w:tcPr>
          <w:p>
            <w:pPr>
              <w:spacing w:after="0" w:before="0"/>
            </w:pPr>
            <w:r/>
            <w:r>
              <w:rPr>
                <w:b/>
                <w:i w:val="0"/>
                <w:color w:val="FFFFFF"/>
                <w:sz w:val="15"/>
              </w:rPr>
              <w:t>Deadline &amp; Trigger</w:t>
            </w:r>
          </w:p>
        </w:tc>
        <w:tc>
          <w:tcPr>
            <w:tcW w:type="dxa" w:w="1512"/>
            <w:shd w:val="clear" w:color="auto" w:fill="1F2A44"/>
          </w:tcPr>
          <w:p>
            <w:pPr>
              <w:spacing w:after="0" w:before="0"/>
            </w:pPr>
            <w:r/>
            <w:r>
              <w:rPr>
                <w:b/>
                <w:i w:val="0"/>
                <w:color w:val="FFFFFF"/>
                <w:sz w:val="15"/>
              </w:rPr>
              <w:t>Format / Delivery</w:t>
            </w:r>
          </w:p>
        </w:tc>
        <w:tc>
          <w:tcPr>
            <w:tcW w:type="dxa" w:w="1512"/>
            <w:shd w:val="clear" w:color="auto" w:fill="1F2A44"/>
          </w:tcPr>
          <w:p>
            <w:pPr>
              <w:spacing w:after="0" w:before="0"/>
            </w:pPr>
            <w:r/>
            <w:r>
              <w:rPr>
                <w:b/>
                <w:i w:val="0"/>
                <w:color w:val="FFFFFF"/>
                <w:sz w:val="15"/>
              </w:rPr>
              <w:t>First Due (FY2024 cycle)</w:t>
            </w:r>
          </w:p>
        </w:tc>
        <w:tc>
          <w:tcPr>
            <w:tcW w:type="dxa" w:w="2736"/>
            <w:shd w:val="clear" w:color="auto" w:fill="1F2A44"/>
          </w:tcPr>
          <w:p>
            <w:pPr>
              <w:spacing w:after="0" w:before="0"/>
            </w:pPr>
            <w:r/>
            <w:r>
              <w:rPr>
                <w:b/>
                <w:i w:val="0"/>
                <w:color w:val="FFFFFF"/>
                <w:sz w:val="15"/>
              </w:rPr>
              <w:t>Issues / Flags</w:t>
            </w:r>
          </w:p>
        </w:tc>
      </w:tr>
      <w:tr>
        <w:tc>
          <w:tcPr>
            <w:tcW w:type="dxa" w:w="432"/>
          </w:tcPr>
          <w:p>
            <w:pPr>
              <w:spacing w:after="0" w:before="0"/>
            </w:pPr>
            <w:r/>
            <w:r>
              <w:rPr>
                <w:b/>
                <w:i w:val="0"/>
                <w:sz w:val="15"/>
              </w:rPr>
              <w:t>8</w:t>
            </w:r>
          </w:p>
        </w:tc>
        <w:tc>
          <w:tcPr>
            <w:tcW w:type="dxa" w:w="864"/>
          </w:tcPr>
          <w:p>
            <w:pPr>
              <w:spacing w:after="0" w:before="0"/>
            </w:pPr>
            <w:r/>
            <w:r>
              <w:rPr>
                <w:b w:val="0"/>
                <w:i w:val="0"/>
                <w:sz w:val="15"/>
              </w:rPr>
              <w:t>§7.3</w:t>
            </w:r>
          </w:p>
        </w:tc>
        <w:tc>
          <w:tcPr>
            <w:tcW w:type="dxa" w:w="3384"/>
          </w:tcPr>
          <w:p>
            <w:pPr>
              <w:spacing w:after="0" w:before="0"/>
            </w:pPr>
            <w:r/>
            <w:r>
              <w:rPr>
                <w:b w:val="0"/>
                <w:i w:val="0"/>
                <w:sz w:val="15"/>
              </w:rPr>
              <w:t>Convene annual meeting of LPs (in person at 1440 Tremont Avenue, Denver, virtually, or hybrid, at Adviser’s discretion), with not less than 30 calendar days’ prior written notice of date, time and location/virtual access information.</w:t>
            </w:r>
          </w:p>
        </w:tc>
        <w:tc>
          <w:tcPr>
            <w:tcW w:type="dxa" w:w="936"/>
          </w:tcPr>
          <w:p>
            <w:pPr>
              <w:spacing w:after="0" w:before="0"/>
            </w:pPr>
            <w:r/>
            <w:r>
              <w:rPr>
                <w:b w:val="0"/>
                <w:i w:val="0"/>
                <w:sz w:val="15"/>
              </w:rPr>
              <w:t>Annual</w:t>
            </w:r>
          </w:p>
        </w:tc>
        <w:tc>
          <w:tcPr>
            <w:tcW w:type="dxa" w:w="1368"/>
          </w:tcPr>
          <w:p>
            <w:pPr>
              <w:spacing w:after="0" w:before="0"/>
            </w:pPr>
            <w:r/>
            <w:r>
              <w:rPr>
                <w:b w:val="0"/>
                <w:i w:val="0"/>
                <w:sz w:val="15"/>
              </w:rPr>
              <w:t>All Limited Partners</w:t>
            </w:r>
          </w:p>
        </w:tc>
        <w:tc>
          <w:tcPr>
            <w:tcW w:type="dxa" w:w="1656"/>
          </w:tcPr>
          <w:p>
            <w:pPr>
              <w:spacing w:after="0" w:before="0"/>
            </w:pPr>
            <w:r/>
            <w:r>
              <w:rPr>
                <w:b w:val="0"/>
                <w:i w:val="0"/>
                <w:sz w:val="15"/>
              </w:rPr>
              <w:t>Meeting within 180 calendar days after Fiscal Year-end; notice at least 30 calendar days before the meeting.</w:t>
            </w:r>
          </w:p>
        </w:tc>
        <w:tc>
          <w:tcPr>
            <w:tcW w:type="dxa" w:w="1512"/>
          </w:tcPr>
          <w:p>
            <w:pPr>
              <w:spacing w:after="0" w:before="0"/>
            </w:pPr>
            <w:r/>
            <w:r>
              <w:rPr>
                <w:b w:val="0"/>
                <w:i w:val="0"/>
                <w:sz w:val="15"/>
              </w:rPr>
              <w:t>Written notice (method not specified).</w:t>
            </w:r>
          </w:p>
        </w:tc>
        <w:tc>
          <w:tcPr>
            <w:tcW w:type="dxa" w:w="1512"/>
          </w:tcPr>
          <w:p>
            <w:pPr>
              <w:spacing w:after="0" w:before="0"/>
            </w:pPr>
            <w:r/>
            <w:r>
              <w:rPr>
                <w:b w:val="0"/>
                <w:i w:val="0"/>
                <w:sz w:val="15"/>
              </w:rPr>
              <w:t>FY2024: meeting by Sun Jun 29, 2025 (operative Fri Jun 27); notice by Wed May 28, 2025 for a Jun 27 meeting.</w:t>
            </w:r>
          </w:p>
        </w:tc>
        <w:tc>
          <w:tcPr>
            <w:tcW w:type="dxa" w:w="2736"/>
          </w:tcPr>
          <w:p>
            <w:pPr>
              <w:spacing w:after="0" w:before="0"/>
            </w:pPr>
            <w:r/>
            <w:r>
              <w:rPr>
                <w:b w:val="0"/>
                <w:i w:val="0"/>
                <w:sz w:val="15"/>
              </w:rPr>
              <w:t>Annual meeting for a three-month initial Fiscal Year is still required (Issue 19).</w:t>
            </w:r>
          </w:p>
        </w:tc>
      </w:tr>
      <w:tr>
        <w:tc>
          <w:tcPr>
            <w:tcW w:type="dxa" w:w="432"/>
            <w:shd w:val="clear" w:color="auto" w:fill="F2F4F7"/>
          </w:tcPr>
          <w:p>
            <w:pPr>
              <w:spacing w:after="0" w:before="0"/>
            </w:pPr>
            <w:r/>
            <w:r>
              <w:rPr>
                <w:b/>
                <w:i w:val="0"/>
                <w:sz w:val="15"/>
              </w:rPr>
              <w:t>9</w:t>
            </w:r>
          </w:p>
        </w:tc>
        <w:tc>
          <w:tcPr>
            <w:tcW w:type="dxa" w:w="864"/>
            <w:shd w:val="clear" w:color="auto" w:fill="F2F4F7"/>
          </w:tcPr>
          <w:p>
            <w:pPr>
              <w:spacing w:after="0" w:before="0"/>
            </w:pPr>
            <w:r/>
            <w:r>
              <w:rPr>
                <w:b w:val="0"/>
                <w:i w:val="0"/>
                <w:sz w:val="15"/>
              </w:rPr>
              <w:t>§7.3</w:t>
            </w:r>
          </w:p>
        </w:tc>
        <w:tc>
          <w:tcPr>
            <w:tcW w:type="dxa" w:w="3384"/>
            <w:shd w:val="clear" w:color="auto" w:fill="F2F4F7"/>
          </w:tcPr>
          <w:p>
            <w:pPr>
              <w:spacing w:after="0" w:before="0"/>
            </w:pPr>
            <w:r/>
            <w:r>
              <w:rPr>
                <w:b w:val="0"/>
                <w:i w:val="0"/>
                <w:sz w:val="15"/>
              </w:rPr>
              <w:t>Written annual report: (i) gross and net IRR, TVPI and DPI per applicable CFA Institute GIPS or other disclosed methodology; (ii) summary of investment activity (new investments, realizations, amendments); (iii) portfolio company updates incl. credit quality and financial performance; (iv) market outlook; (v) ESG report.</w:t>
            </w:r>
          </w:p>
        </w:tc>
        <w:tc>
          <w:tcPr>
            <w:tcW w:type="dxa" w:w="936"/>
            <w:shd w:val="clear" w:color="auto" w:fill="F2F4F7"/>
          </w:tcPr>
          <w:p>
            <w:pPr>
              <w:spacing w:after="0" w:before="0"/>
            </w:pPr>
            <w:r/>
            <w:r>
              <w:rPr>
                <w:b w:val="0"/>
                <w:i w:val="0"/>
                <w:sz w:val="15"/>
              </w:rPr>
              <w:t>Annual</w:t>
            </w:r>
          </w:p>
        </w:tc>
        <w:tc>
          <w:tcPr>
            <w:tcW w:type="dxa" w:w="1368"/>
            <w:shd w:val="clear" w:color="auto" w:fill="F2F4F7"/>
          </w:tcPr>
          <w:p>
            <w:pPr>
              <w:spacing w:after="0" w:before="0"/>
            </w:pPr>
            <w:r/>
            <w:r>
              <w:rPr>
                <w:b w:val="0"/>
                <w:i w:val="0"/>
                <w:sz w:val="15"/>
              </w:rPr>
              <w:t>Each Limited Partner</w:t>
            </w:r>
          </w:p>
        </w:tc>
        <w:tc>
          <w:tcPr>
            <w:tcW w:type="dxa" w:w="1656"/>
            <w:shd w:val="clear" w:color="auto" w:fill="F2F4F7"/>
          </w:tcPr>
          <w:p>
            <w:pPr>
              <w:spacing w:after="0" w:before="0"/>
            </w:pPr>
            <w:r/>
            <w:r>
              <w:rPr>
                <w:b w:val="0"/>
                <w:i w:val="0"/>
                <w:sz w:val="15"/>
              </w:rPr>
              <w:t>Must ‘accompany the meeting notice’ AND be delivered no later than 15 Business Days before the meeting.</w:t>
            </w:r>
          </w:p>
        </w:tc>
        <w:tc>
          <w:tcPr>
            <w:tcW w:type="dxa" w:w="1512"/>
            <w:shd w:val="clear" w:color="auto" w:fill="F2F4F7"/>
          </w:tcPr>
          <w:p>
            <w:pPr>
              <w:spacing w:after="0" w:before="0"/>
            </w:pPr>
            <w:r/>
            <w:r>
              <w:rPr>
                <w:b w:val="0"/>
                <w:i w:val="0"/>
                <w:sz w:val="15"/>
              </w:rPr>
              <w:t>Written; method not specified.</w:t>
            </w:r>
          </w:p>
        </w:tc>
        <w:tc>
          <w:tcPr>
            <w:tcW w:type="dxa" w:w="1512"/>
            <w:shd w:val="clear" w:color="auto" w:fill="F2F4F7"/>
          </w:tcPr>
          <w:p>
            <w:pPr>
              <w:spacing w:after="0" w:before="0"/>
            </w:pPr>
            <w:r/>
            <w:r>
              <w:rPr>
                <w:b w:val="0"/>
                <w:i w:val="0"/>
                <w:sz w:val="15"/>
              </w:rPr>
              <w:t>FY2024: with notice (≥30 days pre-meeting, i.e., by May 28, 2025 for a Jun 27 meeting); outside date Thu Jun 5, 2025 under the 15-Business-Day test.</w:t>
            </w:r>
          </w:p>
        </w:tc>
        <w:tc>
          <w:tcPr>
            <w:tcW w:type="dxa" w:w="2736"/>
            <w:shd w:val="clear" w:color="auto" w:fill="F2F4F7"/>
          </w:tcPr>
          <w:p>
            <w:pPr>
              <w:spacing w:after="0" w:before="0"/>
            </w:pPr>
            <w:r/>
            <w:r>
              <w:rPr>
                <w:b w:val="0"/>
                <w:i w:val="0"/>
                <w:sz w:val="15"/>
              </w:rPr>
              <w:t>Internal timing inconsistency (Issue 10). GIPS reference and stub-period IRR (Issue 19). ESG content standard undefined.</w:t>
            </w:r>
          </w:p>
        </w:tc>
      </w:tr>
      <w:tr>
        <w:tc>
          <w:tcPr>
            <w:tcW w:type="dxa" w:w="432"/>
          </w:tcPr>
          <w:p>
            <w:pPr>
              <w:spacing w:after="0" w:before="0"/>
            </w:pPr>
            <w:r/>
            <w:r>
              <w:rPr>
                <w:b/>
                <w:i w:val="0"/>
                <w:sz w:val="15"/>
              </w:rPr>
              <w:t>10</w:t>
            </w:r>
          </w:p>
        </w:tc>
        <w:tc>
          <w:tcPr>
            <w:tcW w:type="dxa" w:w="864"/>
          </w:tcPr>
          <w:p>
            <w:pPr>
              <w:spacing w:after="0" w:before="0"/>
            </w:pPr>
            <w:r/>
            <w:r>
              <w:rPr>
                <w:b w:val="0"/>
                <w:i w:val="0"/>
                <w:sz w:val="15"/>
              </w:rPr>
              <w:t>§8.4(b)</w:t>
            </w:r>
          </w:p>
        </w:tc>
        <w:tc>
          <w:tcPr>
            <w:tcW w:type="dxa" w:w="3384"/>
          </w:tcPr>
          <w:p>
            <w:pPr>
              <w:spacing w:after="0" w:before="0"/>
            </w:pPr>
            <w:r/>
            <w:r>
              <w:rPr>
                <w:b w:val="0"/>
                <w:i w:val="0"/>
                <w:sz w:val="15"/>
              </w:rPr>
              <w:t>Written notice of any amendment to Form ADV Part 2A (Brochure), together with a copy of the amended Brochure or a summary of material changes.</w:t>
            </w:r>
          </w:p>
        </w:tc>
        <w:tc>
          <w:tcPr>
            <w:tcW w:type="dxa" w:w="936"/>
          </w:tcPr>
          <w:p>
            <w:pPr>
              <w:spacing w:after="0" w:before="0"/>
            </w:pPr>
            <w:r/>
            <w:r>
              <w:rPr>
                <w:b w:val="0"/>
                <w:i w:val="0"/>
                <w:sz w:val="15"/>
              </w:rPr>
              <w:t>Event-driven</w:t>
            </w:r>
          </w:p>
        </w:tc>
        <w:tc>
          <w:tcPr>
            <w:tcW w:type="dxa" w:w="1368"/>
          </w:tcPr>
          <w:p>
            <w:pPr>
              <w:spacing w:after="0" w:before="0"/>
            </w:pPr>
            <w:r/>
            <w:r>
              <w:rPr>
                <w:b w:val="0"/>
                <w:i w:val="0"/>
                <w:sz w:val="15"/>
              </w:rPr>
              <w:t>All Limited Partners</w:t>
            </w:r>
          </w:p>
        </w:tc>
        <w:tc>
          <w:tcPr>
            <w:tcW w:type="dxa" w:w="1656"/>
          </w:tcPr>
          <w:p>
            <w:pPr>
              <w:spacing w:after="0" w:before="0"/>
            </w:pPr>
            <w:r/>
            <w:r>
              <w:rPr>
                <w:b w:val="0"/>
                <w:i w:val="0"/>
                <w:sz w:val="15"/>
              </w:rPr>
              <w:t>5 Business Days after any amendment (trigger: amendment date, i.e., filing date with SEC).</w:t>
            </w:r>
          </w:p>
        </w:tc>
        <w:tc>
          <w:tcPr>
            <w:tcW w:type="dxa" w:w="1512"/>
          </w:tcPr>
          <w:p>
            <w:pPr>
              <w:spacing w:after="0" w:before="0"/>
            </w:pPr>
            <w:r/>
            <w:r>
              <w:rPr>
                <w:b w:val="0"/>
                <w:i w:val="0"/>
                <w:sz w:val="15"/>
              </w:rPr>
              <w:t>Written notice (method not specified).</w:t>
            </w:r>
          </w:p>
        </w:tc>
        <w:tc>
          <w:tcPr>
            <w:tcW w:type="dxa" w:w="1512"/>
          </w:tcPr>
          <w:p>
            <w:pPr>
              <w:spacing w:after="0" w:before="0"/>
            </w:pPr>
            <w:r/>
            <w:r>
              <w:rPr>
                <w:b w:val="0"/>
                <w:i w:val="0"/>
                <w:sz w:val="15"/>
              </w:rPr>
              <w:t>Annual updating amendment is due to the SEC within 90 days of the Adviser’s fiscal year-end (Mar 31, 2025 if Dec 31 FYE); 5 Business Days after a Mar 31 filing = Mon Apr 7, 2025.</w:t>
            </w:r>
          </w:p>
        </w:tc>
        <w:tc>
          <w:tcPr>
            <w:tcW w:type="dxa" w:w="2736"/>
          </w:tcPr>
          <w:p>
            <w:pPr>
              <w:spacing w:after="0" w:before="0"/>
            </w:pPr>
            <w:r/>
            <w:r>
              <w:rPr>
                <w:b w:val="0"/>
                <w:i w:val="0"/>
                <w:sz w:val="15"/>
              </w:rPr>
              <w:t>Overlaps and conflicts with §8.4(c) (Issue 11). ‘Any amendment’ captures non-material amendments.</w:t>
            </w:r>
          </w:p>
        </w:tc>
      </w:tr>
      <w:tr>
        <w:tc>
          <w:tcPr>
            <w:tcW w:type="dxa" w:w="432"/>
            <w:shd w:val="clear" w:color="auto" w:fill="F2F4F7"/>
          </w:tcPr>
          <w:p>
            <w:pPr>
              <w:spacing w:after="0" w:before="0"/>
            </w:pPr>
            <w:r/>
            <w:r>
              <w:rPr>
                <w:b/>
                <w:i w:val="0"/>
                <w:sz w:val="15"/>
              </w:rPr>
              <w:t>11</w:t>
            </w:r>
          </w:p>
        </w:tc>
        <w:tc>
          <w:tcPr>
            <w:tcW w:type="dxa" w:w="864"/>
            <w:shd w:val="clear" w:color="auto" w:fill="F2F4F7"/>
          </w:tcPr>
          <w:p>
            <w:pPr>
              <w:spacing w:after="0" w:before="0"/>
            </w:pPr>
            <w:r/>
            <w:r>
              <w:rPr>
                <w:b w:val="0"/>
                <w:i w:val="0"/>
                <w:sz w:val="15"/>
              </w:rPr>
              <w:t>§8.4(c)</w:t>
            </w:r>
          </w:p>
        </w:tc>
        <w:tc>
          <w:tcPr>
            <w:tcW w:type="dxa" w:w="3384"/>
            <w:shd w:val="clear" w:color="auto" w:fill="F2F4F7"/>
          </w:tcPr>
          <w:p>
            <w:pPr>
              <w:spacing w:after="0" w:before="0"/>
            </w:pPr>
            <w:r/>
            <w:r>
              <w:rPr>
                <w:b w:val="0"/>
                <w:i w:val="0"/>
                <w:sz w:val="15"/>
              </w:rPr>
              <w:t>Delivery of updated Form ADV Part 2A to all LPs.</w:t>
            </w:r>
          </w:p>
        </w:tc>
        <w:tc>
          <w:tcPr>
            <w:tcW w:type="dxa" w:w="936"/>
            <w:shd w:val="clear" w:color="auto" w:fill="F2F4F7"/>
          </w:tcPr>
          <w:p>
            <w:pPr>
              <w:spacing w:after="0" w:before="0"/>
            </w:pPr>
            <w:r/>
            <w:r>
              <w:rPr>
                <w:b w:val="0"/>
                <w:i w:val="0"/>
                <w:sz w:val="15"/>
              </w:rPr>
              <w:t>Annual and event-driven</w:t>
            </w:r>
          </w:p>
        </w:tc>
        <w:tc>
          <w:tcPr>
            <w:tcW w:type="dxa" w:w="1368"/>
            <w:shd w:val="clear" w:color="auto" w:fill="F2F4F7"/>
          </w:tcPr>
          <w:p>
            <w:pPr>
              <w:spacing w:after="0" w:before="0"/>
            </w:pPr>
            <w:r/>
            <w:r>
              <w:rPr>
                <w:b w:val="0"/>
                <w:i w:val="0"/>
                <w:sz w:val="15"/>
              </w:rPr>
              <w:t>All Limited Partners</w:t>
            </w:r>
          </w:p>
        </w:tc>
        <w:tc>
          <w:tcPr>
            <w:tcW w:type="dxa" w:w="1656"/>
            <w:shd w:val="clear" w:color="auto" w:fill="F2F4F7"/>
          </w:tcPr>
          <w:p>
            <w:pPr>
              <w:spacing w:after="0" w:before="0"/>
            </w:pPr>
            <w:r/>
            <w:r>
              <w:rPr>
                <w:b w:val="0"/>
                <w:i w:val="0"/>
                <w:sz w:val="15"/>
              </w:rPr>
              <w:t>Within 120 days of end of each Fiscal Year, or promptly upon any material amendment, ‘whichever is earlier’. Day-count basis (calendar vs. Business Days) not specified.</w:t>
            </w:r>
          </w:p>
        </w:tc>
        <w:tc>
          <w:tcPr>
            <w:tcW w:type="dxa" w:w="1512"/>
            <w:shd w:val="clear" w:color="auto" w:fill="F2F4F7"/>
          </w:tcPr>
          <w:p>
            <w:pPr>
              <w:spacing w:after="0" w:before="0"/>
            </w:pPr>
            <w:r/>
            <w:r>
              <w:rPr>
                <w:b w:val="0"/>
                <w:i w:val="0"/>
                <w:sz w:val="15"/>
              </w:rPr>
              <w:t>Investor Portal or e-mail to address on file; hard copy upon written request.</w:t>
            </w:r>
          </w:p>
        </w:tc>
        <w:tc>
          <w:tcPr>
            <w:tcW w:type="dxa" w:w="1512"/>
            <w:shd w:val="clear" w:color="auto" w:fill="F2F4F7"/>
          </w:tcPr>
          <w:p>
            <w:pPr>
              <w:spacing w:after="0" w:before="0"/>
            </w:pPr>
            <w:r/>
            <w:r>
              <w:rPr>
                <w:b w:val="0"/>
                <w:i w:val="0"/>
                <w:sz w:val="15"/>
              </w:rPr>
              <w:t>FY2024: Wed Apr 30, 2025 (outside date) — but in practice governed by §8.4(b) (Apr 7, 2025 if filed Mar 31).</w:t>
            </w:r>
          </w:p>
        </w:tc>
        <w:tc>
          <w:tcPr>
            <w:tcW w:type="dxa" w:w="2736"/>
            <w:shd w:val="clear" w:color="auto" w:fill="F2F4F7"/>
          </w:tcPr>
          <w:p>
            <w:pPr>
              <w:spacing w:after="0" w:before="0"/>
            </w:pPr>
            <w:r/>
            <w:r>
              <w:rPr>
                <w:b w:val="0"/>
                <w:i w:val="0"/>
                <w:sz w:val="15"/>
              </w:rPr>
              <w:t>Issue 11. Measured from Fund’s Fiscal Year, while Rule 204-3 runs from the Adviser’s fiscal year.</w:t>
            </w:r>
          </w:p>
        </w:tc>
      </w:tr>
    </w:tbl>
    <w:p>
      <w:pPr>
        <w:spacing w:after="40"/>
      </w:pPr>
    </w:p>
    <w:p>
      <w:pPr>
        <w:pStyle w:val="Heading2"/>
      </w:pPr>
      <w:r>
        <w:rPr>
          <w:color w:val="1F2A44"/>
        </w:rPr>
        <w:t>C. LPAC Reporting and Notices</w:t>
      </w:r>
    </w:p>
    <w:tbl>
      <w:tblPr>
        <w:tblStyle w:val="TableGrid"/>
        <w:tblW w:type="auto" w:w="0"/>
        <w:jc w:val="center"/>
        <w:tblLayout w:type="fixed"/>
        <w:tblLook w:firstColumn="1" w:firstRow="1" w:lastColumn="0" w:lastRow="0" w:noHBand="0" w:noVBand="1" w:val="04A0"/>
      </w:tblPr>
      <w:tblGrid>
        <w:gridCol w:w="432"/>
        <w:gridCol w:w="864"/>
        <w:gridCol w:w="3384"/>
        <w:gridCol w:w="936"/>
        <w:gridCol w:w="1368"/>
        <w:gridCol w:w="1655"/>
        <w:gridCol w:w="1512"/>
        <w:gridCol w:w="1512"/>
        <w:gridCol w:w="2736"/>
      </w:tblGrid>
      <w:tr>
        <w:trPr>
          <w:tblHeader w:val="true"/>
        </w:trPr>
        <w:tc>
          <w:tcPr>
            <w:tcW w:type="dxa" w:w="432"/>
            <w:shd w:val="clear" w:color="auto" w:fill="1F2A44"/>
          </w:tcPr>
          <w:p>
            <w:pPr>
              <w:spacing w:after="0" w:before="0"/>
            </w:pPr>
            <w:r/>
            <w:r>
              <w:rPr>
                <w:b/>
                <w:i w:val="0"/>
                <w:color w:val="FFFFFF"/>
                <w:sz w:val="15"/>
              </w:rPr>
              <w:t>#</w:t>
            </w:r>
          </w:p>
        </w:tc>
        <w:tc>
          <w:tcPr>
            <w:tcW w:type="dxa" w:w="864"/>
            <w:shd w:val="clear" w:color="auto" w:fill="1F2A44"/>
          </w:tcPr>
          <w:p>
            <w:pPr>
              <w:spacing w:after="0" w:before="0"/>
            </w:pPr>
            <w:r/>
            <w:r>
              <w:rPr>
                <w:b/>
                <w:i w:val="0"/>
                <w:color w:val="FFFFFF"/>
                <w:sz w:val="15"/>
              </w:rPr>
              <w:t>IAA Ref.</w:t>
            </w:r>
          </w:p>
        </w:tc>
        <w:tc>
          <w:tcPr>
            <w:tcW w:type="dxa" w:w="3384"/>
            <w:shd w:val="clear" w:color="auto" w:fill="1F2A44"/>
          </w:tcPr>
          <w:p>
            <w:pPr>
              <w:spacing w:after="0" w:before="0"/>
            </w:pPr>
            <w:r/>
            <w:r>
              <w:rPr>
                <w:b/>
                <w:i w:val="0"/>
                <w:color w:val="FFFFFF"/>
                <w:sz w:val="15"/>
              </w:rPr>
              <w:t>Obligation / Required Content</w:t>
            </w:r>
          </w:p>
        </w:tc>
        <w:tc>
          <w:tcPr>
            <w:tcW w:type="dxa" w:w="936"/>
            <w:shd w:val="clear" w:color="auto" w:fill="1F2A44"/>
          </w:tcPr>
          <w:p>
            <w:pPr>
              <w:spacing w:after="0" w:before="0"/>
            </w:pPr>
            <w:r/>
            <w:r>
              <w:rPr>
                <w:b/>
                <w:i w:val="0"/>
                <w:color w:val="FFFFFF"/>
                <w:sz w:val="15"/>
              </w:rPr>
              <w:t>Frequency</w:t>
            </w:r>
          </w:p>
        </w:tc>
        <w:tc>
          <w:tcPr>
            <w:tcW w:type="dxa" w:w="1368"/>
            <w:shd w:val="clear" w:color="auto" w:fill="1F2A44"/>
          </w:tcPr>
          <w:p>
            <w:pPr>
              <w:spacing w:after="0" w:before="0"/>
            </w:pPr>
            <w:r/>
            <w:r>
              <w:rPr>
                <w:b/>
                <w:i w:val="0"/>
                <w:color w:val="FFFFFF"/>
                <w:sz w:val="15"/>
              </w:rPr>
              <w:t>Recipient(s)</w:t>
            </w:r>
          </w:p>
        </w:tc>
        <w:tc>
          <w:tcPr>
            <w:tcW w:type="dxa" w:w="1656"/>
            <w:shd w:val="clear" w:color="auto" w:fill="1F2A44"/>
          </w:tcPr>
          <w:p>
            <w:pPr>
              <w:spacing w:after="0" w:before="0"/>
            </w:pPr>
            <w:r/>
            <w:r>
              <w:rPr>
                <w:b/>
                <w:i w:val="0"/>
                <w:color w:val="FFFFFF"/>
                <w:sz w:val="15"/>
              </w:rPr>
              <w:t>Deadline &amp; Trigger</w:t>
            </w:r>
          </w:p>
        </w:tc>
        <w:tc>
          <w:tcPr>
            <w:tcW w:type="dxa" w:w="1512"/>
            <w:shd w:val="clear" w:color="auto" w:fill="1F2A44"/>
          </w:tcPr>
          <w:p>
            <w:pPr>
              <w:spacing w:after="0" w:before="0"/>
            </w:pPr>
            <w:r/>
            <w:r>
              <w:rPr>
                <w:b/>
                <w:i w:val="0"/>
                <w:color w:val="FFFFFF"/>
                <w:sz w:val="15"/>
              </w:rPr>
              <w:t>Format / Delivery</w:t>
            </w:r>
          </w:p>
        </w:tc>
        <w:tc>
          <w:tcPr>
            <w:tcW w:type="dxa" w:w="1512"/>
            <w:shd w:val="clear" w:color="auto" w:fill="1F2A44"/>
          </w:tcPr>
          <w:p>
            <w:pPr>
              <w:spacing w:after="0" w:before="0"/>
            </w:pPr>
            <w:r/>
            <w:r>
              <w:rPr>
                <w:b/>
                <w:i w:val="0"/>
                <w:color w:val="FFFFFF"/>
                <w:sz w:val="15"/>
              </w:rPr>
              <w:t>First Due (FY2024 cycle)</w:t>
            </w:r>
          </w:p>
        </w:tc>
        <w:tc>
          <w:tcPr>
            <w:tcW w:type="dxa" w:w="2736"/>
            <w:shd w:val="clear" w:color="auto" w:fill="1F2A44"/>
          </w:tcPr>
          <w:p>
            <w:pPr>
              <w:spacing w:after="0" w:before="0"/>
            </w:pPr>
            <w:r/>
            <w:r>
              <w:rPr>
                <w:b/>
                <w:i w:val="0"/>
                <w:color w:val="FFFFFF"/>
                <w:sz w:val="15"/>
              </w:rPr>
              <w:t>Issues / Flags</w:t>
            </w:r>
          </w:p>
        </w:tc>
      </w:tr>
      <w:tr>
        <w:tc>
          <w:tcPr>
            <w:tcW w:type="dxa" w:w="432"/>
          </w:tcPr>
          <w:p>
            <w:pPr>
              <w:spacing w:after="0" w:before="0"/>
            </w:pPr>
            <w:r/>
            <w:r>
              <w:rPr>
                <w:b/>
                <w:i w:val="0"/>
                <w:sz w:val="15"/>
              </w:rPr>
              <w:t>12</w:t>
            </w:r>
          </w:p>
        </w:tc>
        <w:tc>
          <w:tcPr>
            <w:tcW w:type="dxa" w:w="864"/>
          </w:tcPr>
          <w:p>
            <w:pPr>
              <w:spacing w:after="0" w:before="0"/>
            </w:pPr>
            <w:r/>
            <w:r>
              <w:rPr>
                <w:b w:val="0"/>
                <w:i w:val="0"/>
                <w:sz w:val="15"/>
              </w:rPr>
              <w:t>§7.6(a)</w:t>
            </w:r>
          </w:p>
        </w:tc>
        <w:tc>
          <w:tcPr>
            <w:tcW w:type="dxa" w:w="3384"/>
          </w:tcPr>
          <w:p>
            <w:pPr>
              <w:spacing w:after="0" w:before="0"/>
            </w:pPr>
            <w:r/>
            <w:r>
              <w:rPr>
                <w:b w:val="0"/>
                <w:i w:val="0"/>
                <w:sz w:val="15"/>
              </w:rPr>
              <w:t>Monthly portfolio summary report: investment name; type (senior secured, unitranche, second lien, mezzanine, equity); industry; cost basis; current fair value (or Adviser’s good-faith estimate in non-valuation months); key credit metrics (leverage, interest coverage, payment status).</w:t>
            </w:r>
          </w:p>
        </w:tc>
        <w:tc>
          <w:tcPr>
            <w:tcW w:type="dxa" w:w="936"/>
          </w:tcPr>
          <w:p>
            <w:pPr>
              <w:spacing w:after="0" w:before="0"/>
            </w:pPr>
            <w:r/>
            <w:r>
              <w:rPr>
                <w:b w:val="0"/>
                <w:i w:val="0"/>
                <w:sz w:val="15"/>
              </w:rPr>
              <w:t>Monthly</w:t>
            </w:r>
          </w:p>
        </w:tc>
        <w:tc>
          <w:tcPr>
            <w:tcW w:type="dxa" w:w="1368"/>
          </w:tcPr>
          <w:p>
            <w:pPr>
              <w:spacing w:after="0" w:before="0"/>
            </w:pPr>
            <w:r/>
            <w:r>
              <w:rPr>
                <w:b w:val="0"/>
                <w:i w:val="0"/>
                <w:sz w:val="15"/>
              </w:rPr>
              <w:t>Each LPAC member (Apex, Clarkfield, Northshore, Sovereign Bridge)</w:t>
            </w:r>
          </w:p>
        </w:tc>
        <w:tc>
          <w:tcPr>
            <w:tcW w:type="dxa" w:w="1656"/>
          </w:tcPr>
          <w:p>
            <w:pPr>
              <w:spacing w:after="0" w:before="0"/>
            </w:pPr>
            <w:r/>
            <w:r>
              <w:rPr>
                <w:b w:val="0"/>
                <w:i w:val="0"/>
                <w:sz w:val="15"/>
              </w:rPr>
              <w:t>30 calendar days after end of each calendar month.</w:t>
            </w:r>
          </w:p>
        </w:tc>
        <w:tc>
          <w:tcPr>
            <w:tcW w:type="dxa" w:w="1512"/>
          </w:tcPr>
          <w:p>
            <w:pPr>
              <w:spacing w:after="0" w:before="0"/>
            </w:pPr>
            <w:r/>
            <w:r>
              <w:rPr>
                <w:b w:val="0"/>
                <w:i w:val="0"/>
                <w:sz w:val="15"/>
              </w:rPr>
              <w:t>Format reasonably acceptable to the LPAC; Investor Portal or e-mail to designated address.</w:t>
            </w:r>
          </w:p>
        </w:tc>
        <w:tc>
          <w:tcPr>
            <w:tcW w:type="dxa" w:w="1512"/>
          </w:tcPr>
          <w:p>
            <w:pPr>
              <w:spacing w:after="0" w:before="0"/>
            </w:pPr>
            <w:r/>
            <w:r>
              <w:rPr>
                <w:b w:val="0"/>
                <w:i w:val="0"/>
                <w:sz w:val="15"/>
              </w:rPr>
              <w:t>Oct 2024: Sat Nov 30, 2024. Nov 2024: Mon Dec 30, 2024. Dec 2024: Thu Jan 30, 2025.</w:t>
            </w:r>
          </w:p>
        </w:tc>
        <w:tc>
          <w:tcPr>
            <w:tcW w:type="dxa" w:w="2736"/>
          </w:tcPr>
          <w:p>
            <w:pPr>
              <w:spacing w:after="0" w:before="0"/>
            </w:pPr>
            <w:r/>
            <w:r>
              <w:rPr>
                <w:b w:val="0"/>
                <w:i w:val="0"/>
                <w:sz w:val="15"/>
              </w:rPr>
              <w:t>URGENT — first reports are already due (Issue 7). Template must be ‘reasonably acceptable’ to LPAC; obtain sign-off. Pinnacle monthly NAV arrives Day 25 (5-day cushion).</w:t>
            </w:r>
          </w:p>
        </w:tc>
      </w:tr>
      <w:tr>
        <w:tc>
          <w:tcPr>
            <w:tcW w:type="dxa" w:w="432"/>
            <w:shd w:val="clear" w:color="auto" w:fill="F2F4F7"/>
          </w:tcPr>
          <w:p>
            <w:pPr>
              <w:spacing w:after="0" w:before="0"/>
            </w:pPr>
            <w:r/>
            <w:r>
              <w:rPr>
                <w:b/>
                <w:i w:val="0"/>
                <w:sz w:val="15"/>
              </w:rPr>
              <w:t>13</w:t>
            </w:r>
          </w:p>
        </w:tc>
        <w:tc>
          <w:tcPr>
            <w:tcW w:type="dxa" w:w="864"/>
            <w:shd w:val="clear" w:color="auto" w:fill="F2F4F7"/>
          </w:tcPr>
          <w:p>
            <w:pPr>
              <w:spacing w:after="0" w:before="0"/>
            </w:pPr>
            <w:r/>
            <w:r>
              <w:rPr>
                <w:b w:val="0"/>
                <w:i w:val="0"/>
                <w:sz w:val="15"/>
              </w:rPr>
              <w:t>§7.6(b)</w:t>
            </w:r>
          </w:p>
        </w:tc>
        <w:tc>
          <w:tcPr>
            <w:tcW w:type="dxa" w:w="3384"/>
            <w:shd w:val="clear" w:color="auto" w:fill="F2F4F7"/>
          </w:tcPr>
          <w:p>
            <w:pPr>
              <w:spacing w:after="0" w:before="0"/>
            </w:pPr>
            <w:r/>
            <w:r>
              <w:rPr>
                <w:b w:val="0"/>
                <w:i w:val="0"/>
                <w:sz w:val="15"/>
              </w:rPr>
              <w:t>Quarterly valuation report with Level 3 detail: methodology applied to each Level 3 investment; key inputs and assumptions; changes in methodology from prior quarter; summary of material valuation adjustments.</w:t>
            </w:r>
          </w:p>
        </w:tc>
        <w:tc>
          <w:tcPr>
            <w:tcW w:type="dxa" w:w="936"/>
            <w:shd w:val="clear" w:color="auto" w:fill="F2F4F7"/>
          </w:tcPr>
          <w:p>
            <w:pPr>
              <w:spacing w:after="0" w:before="0"/>
            </w:pPr>
            <w:r/>
            <w:r>
              <w:rPr>
                <w:b w:val="0"/>
                <w:i w:val="0"/>
                <w:sz w:val="15"/>
              </w:rPr>
              <w:t>Quarterly</w:t>
            </w:r>
          </w:p>
        </w:tc>
        <w:tc>
          <w:tcPr>
            <w:tcW w:type="dxa" w:w="1368"/>
            <w:shd w:val="clear" w:color="auto" w:fill="F2F4F7"/>
          </w:tcPr>
          <w:p>
            <w:pPr>
              <w:spacing w:after="0" w:before="0"/>
            </w:pPr>
            <w:r/>
            <w:r>
              <w:rPr>
                <w:b w:val="0"/>
                <w:i w:val="0"/>
                <w:sz w:val="15"/>
              </w:rPr>
              <w:t>Each LPAC member</w:t>
            </w:r>
          </w:p>
        </w:tc>
        <w:tc>
          <w:tcPr>
            <w:tcW w:type="dxa" w:w="1656"/>
            <w:shd w:val="clear" w:color="auto" w:fill="F2F4F7"/>
          </w:tcPr>
          <w:p>
            <w:pPr>
              <w:spacing w:after="0" w:before="0"/>
            </w:pPr>
            <w:r/>
            <w:r>
              <w:rPr>
                <w:b w:val="0"/>
                <w:i w:val="0"/>
                <w:sz w:val="15"/>
              </w:rPr>
              <w:t>45 calendar days after end of each fiscal quarter.</w:t>
            </w:r>
          </w:p>
        </w:tc>
        <w:tc>
          <w:tcPr>
            <w:tcW w:type="dxa" w:w="1512"/>
            <w:shd w:val="clear" w:color="auto" w:fill="F2F4F7"/>
          </w:tcPr>
          <w:p>
            <w:pPr>
              <w:spacing w:after="0" w:before="0"/>
            </w:pPr>
            <w:r/>
            <w:r>
              <w:rPr>
                <w:b w:val="0"/>
                <w:i w:val="0"/>
                <w:sz w:val="15"/>
              </w:rPr>
              <w:t>Format reasonably acceptable to the LPAC.</w:t>
            </w:r>
          </w:p>
        </w:tc>
        <w:tc>
          <w:tcPr>
            <w:tcW w:type="dxa" w:w="1512"/>
            <w:shd w:val="clear" w:color="auto" w:fill="F2F4F7"/>
          </w:tcPr>
          <w:p>
            <w:pPr>
              <w:spacing w:after="0" w:before="0"/>
            </w:pPr>
            <w:r/>
            <w:r>
              <w:rPr>
                <w:b w:val="0"/>
                <w:i w:val="0"/>
                <w:sz w:val="15"/>
              </w:rPr>
              <w:t>Q4 2024: Fri Feb 14, 2025.</w:t>
            </w:r>
          </w:p>
        </w:tc>
        <w:tc>
          <w:tcPr>
            <w:tcW w:type="dxa" w:w="2736"/>
            <w:shd w:val="clear" w:color="auto" w:fill="F2F4F7"/>
          </w:tcPr>
          <w:p>
            <w:pPr>
              <w:spacing w:after="0" w:before="0"/>
            </w:pPr>
            <w:r/>
            <w:r>
              <w:rPr>
                <w:b w:val="0"/>
                <w:i w:val="0"/>
                <w:sz w:val="15"/>
              </w:rPr>
              <w:t>HIGH. Conflicts with Ex. B §4 (45 Business Days) — body controls under §12.9 (Issue 2). ‘Level 3’ defined only in Ex. B §2(c).</w:t>
            </w:r>
          </w:p>
        </w:tc>
      </w:tr>
      <w:tr>
        <w:tc>
          <w:tcPr>
            <w:tcW w:type="dxa" w:w="432"/>
          </w:tcPr>
          <w:p>
            <w:pPr>
              <w:spacing w:after="0" w:before="0"/>
            </w:pPr>
            <w:r/>
            <w:r>
              <w:rPr>
                <w:b/>
                <w:i w:val="0"/>
                <w:sz w:val="15"/>
              </w:rPr>
              <w:t>14</w:t>
            </w:r>
          </w:p>
        </w:tc>
        <w:tc>
          <w:tcPr>
            <w:tcW w:type="dxa" w:w="864"/>
          </w:tcPr>
          <w:p>
            <w:pPr>
              <w:spacing w:after="0" w:before="0"/>
            </w:pPr>
            <w:r/>
            <w:r>
              <w:rPr>
                <w:b w:val="0"/>
                <w:i w:val="0"/>
                <w:sz w:val="15"/>
              </w:rPr>
              <w:t>Ex. B §4</w:t>
            </w:r>
          </w:p>
        </w:tc>
        <w:tc>
          <w:tcPr>
            <w:tcW w:type="dxa" w:w="3384"/>
          </w:tcPr>
          <w:p>
            <w:pPr>
              <w:spacing w:after="0" w:before="0"/>
            </w:pPr>
            <w:r/>
            <w:r>
              <w:rPr>
                <w:b w:val="0"/>
                <w:i w:val="0"/>
                <w:sz w:val="15"/>
              </w:rPr>
              <w:t>Quarterly valuation summary: (a) methodology for each Level 3 asset; (b) comparable transaction data; (c) any independent third-party valuation reports obtained in the quarter; (d) Level 3 roll-forward reconciliation (beginning/ending fair value, unrealized gains/losses, new investments, dispositions, other changes). Must permit LPAC to assess reasonableness.</w:t>
            </w:r>
          </w:p>
        </w:tc>
        <w:tc>
          <w:tcPr>
            <w:tcW w:type="dxa" w:w="936"/>
          </w:tcPr>
          <w:p>
            <w:pPr>
              <w:spacing w:after="0" w:before="0"/>
            </w:pPr>
            <w:r/>
            <w:r>
              <w:rPr>
                <w:b w:val="0"/>
                <w:i w:val="0"/>
                <w:sz w:val="15"/>
              </w:rPr>
              <w:t>Quarterly</w:t>
            </w:r>
          </w:p>
        </w:tc>
        <w:tc>
          <w:tcPr>
            <w:tcW w:type="dxa" w:w="1368"/>
          </w:tcPr>
          <w:p>
            <w:pPr>
              <w:spacing w:after="0" w:before="0"/>
            </w:pPr>
            <w:r/>
            <w:r>
              <w:rPr>
                <w:b w:val="0"/>
                <w:i w:val="0"/>
                <w:sz w:val="15"/>
              </w:rPr>
              <w:t>LPAC</w:t>
            </w:r>
          </w:p>
        </w:tc>
        <w:tc>
          <w:tcPr>
            <w:tcW w:type="dxa" w:w="1656"/>
          </w:tcPr>
          <w:p>
            <w:pPr>
              <w:spacing w:after="0" w:before="0"/>
            </w:pPr>
            <w:r/>
            <w:r>
              <w:rPr>
                <w:b w:val="0"/>
                <w:i w:val="0"/>
                <w:sz w:val="15"/>
              </w:rPr>
              <w:t>45 Business Days after end of each fiscal quarter (as drafted).</w:t>
            </w:r>
          </w:p>
        </w:tc>
        <w:tc>
          <w:tcPr>
            <w:tcW w:type="dxa" w:w="1512"/>
          </w:tcPr>
          <w:p>
            <w:pPr>
              <w:spacing w:after="0" w:before="0"/>
            </w:pPr>
            <w:r/>
            <w:r>
              <w:rPr>
                <w:b w:val="0"/>
                <w:i w:val="0"/>
                <w:sz w:val="15"/>
              </w:rPr>
              <w:t>Format reasonably acceptable to the LPAC.</w:t>
            </w:r>
          </w:p>
        </w:tc>
        <w:tc>
          <w:tcPr>
            <w:tcW w:type="dxa" w:w="1512"/>
          </w:tcPr>
          <w:p>
            <w:pPr>
              <w:spacing w:after="0" w:before="0"/>
            </w:pPr>
            <w:r/>
            <w:r>
              <w:rPr>
                <w:b w:val="0"/>
                <w:i w:val="0"/>
                <w:sz w:val="15"/>
              </w:rPr>
              <w:t>Q4 2024: Fri Mar 7, 2025 as drafted — but see Issue 2: we recommend Fri Feb 14, 2025.</w:t>
            </w:r>
          </w:p>
        </w:tc>
        <w:tc>
          <w:tcPr>
            <w:tcW w:type="dxa" w:w="2736"/>
          </w:tcPr>
          <w:p>
            <w:pPr>
              <w:spacing w:after="0" w:before="0"/>
            </w:pPr>
            <w:r/>
            <w:r>
              <w:rPr>
                <w:b w:val="0"/>
                <w:i w:val="0"/>
                <w:sz w:val="15"/>
              </w:rPr>
              <w:t>HIGH (Issue 2). Content is broader than §7.6(b); recommend single combined deliverable meeting the union of content requirements by the earlier calendar-day deadline.</w:t>
            </w:r>
          </w:p>
        </w:tc>
      </w:tr>
      <w:tr>
        <w:tc>
          <w:tcPr>
            <w:tcW w:type="dxa" w:w="432"/>
            <w:shd w:val="clear" w:color="auto" w:fill="F2F4F7"/>
          </w:tcPr>
          <w:p>
            <w:pPr>
              <w:spacing w:after="0" w:before="0"/>
            </w:pPr>
            <w:r/>
            <w:r>
              <w:rPr>
                <w:b/>
                <w:i w:val="0"/>
                <w:sz w:val="15"/>
              </w:rPr>
              <w:t>15</w:t>
            </w:r>
          </w:p>
        </w:tc>
        <w:tc>
          <w:tcPr>
            <w:tcW w:type="dxa" w:w="864"/>
            <w:shd w:val="clear" w:color="auto" w:fill="F2F4F7"/>
          </w:tcPr>
          <w:p>
            <w:pPr>
              <w:spacing w:after="0" w:before="0"/>
            </w:pPr>
            <w:r/>
            <w:r>
              <w:rPr>
                <w:b w:val="0"/>
                <w:i w:val="0"/>
                <w:sz w:val="15"/>
              </w:rPr>
              <w:t>Ex. B §5</w:t>
            </w:r>
          </w:p>
        </w:tc>
        <w:tc>
          <w:tcPr>
            <w:tcW w:type="dxa" w:w="3384"/>
            <w:shd w:val="clear" w:color="auto" w:fill="F2F4F7"/>
          </w:tcPr>
          <w:p>
            <w:pPr>
              <w:spacing w:after="0" w:before="0"/>
            </w:pPr>
            <w:r/>
            <w:r>
              <w:rPr>
                <w:b w:val="0"/>
                <w:i w:val="0"/>
                <w:sz w:val="15"/>
              </w:rPr>
              <w:t>Results of the annual comprehensive independent third-party valuation review of all Level 3 assets (nationally recognized firm with private credit expertise).</w:t>
            </w:r>
          </w:p>
        </w:tc>
        <w:tc>
          <w:tcPr>
            <w:tcW w:type="dxa" w:w="936"/>
            <w:shd w:val="clear" w:color="auto" w:fill="F2F4F7"/>
          </w:tcPr>
          <w:p>
            <w:pPr>
              <w:spacing w:after="0" w:before="0"/>
            </w:pPr>
            <w:r/>
            <w:r>
              <w:rPr>
                <w:b w:val="0"/>
                <w:i w:val="0"/>
                <w:sz w:val="15"/>
              </w:rPr>
              <w:t>Annual</w:t>
            </w:r>
          </w:p>
        </w:tc>
        <w:tc>
          <w:tcPr>
            <w:tcW w:type="dxa" w:w="1368"/>
            <w:shd w:val="clear" w:color="auto" w:fill="F2F4F7"/>
          </w:tcPr>
          <w:p>
            <w:pPr>
              <w:spacing w:after="0" w:before="0"/>
            </w:pPr>
            <w:r/>
            <w:r>
              <w:rPr>
                <w:b w:val="0"/>
                <w:i w:val="0"/>
                <w:sz w:val="15"/>
              </w:rPr>
              <w:t>LPAC (made available); also considered by Auditor</w:t>
            </w:r>
          </w:p>
        </w:tc>
        <w:tc>
          <w:tcPr>
            <w:tcW w:type="dxa" w:w="1656"/>
            <w:shd w:val="clear" w:color="auto" w:fill="F2F4F7"/>
          </w:tcPr>
          <w:p>
            <w:pPr>
              <w:spacing w:after="0" w:before="0"/>
            </w:pPr>
            <w:r/>
            <w:r>
              <w:rPr>
                <w:b w:val="0"/>
                <w:i w:val="0"/>
                <w:sz w:val="15"/>
              </w:rPr>
              <w:t>No deadline specified (‘at least annually’; must be available for the §7.2 audit).</w:t>
            </w:r>
          </w:p>
        </w:tc>
        <w:tc>
          <w:tcPr>
            <w:tcW w:type="dxa" w:w="1512"/>
            <w:shd w:val="clear" w:color="auto" w:fill="F2F4F7"/>
          </w:tcPr>
          <w:p>
            <w:pPr>
              <w:spacing w:after="0" w:before="0"/>
            </w:pPr>
            <w:r/>
            <w:r>
              <w:rPr>
                <w:b w:val="0"/>
                <w:i w:val="0"/>
                <w:sz w:val="15"/>
              </w:rPr>
              <w:t>‘Made available’ — method not specified.</w:t>
            </w:r>
          </w:p>
        </w:tc>
        <w:tc>
          <w:tcPr>
            <w:tcW w:type="dxa" w:w="1512"/>
            <w:shd w:val="clear" w:color="auto" w:fill="F2F4F7"/>
          </w:tcPr>
          <w:p>
            <w:pPr>
              <w:spacing w:after="0" w:before="0"/>
            </w:pPr>
            <w:r/>
            <w:r>
              <w:rPr>
                <w:b w:val="0"/>
                <w:i w:val="0"/>
                <w:sz w:val="15"/>
              </w:rPr>
              <w:t>FY2024: practical deadline is audit fieldwork (Feb–Mar 2025) to support Apr 30, 2025 audited statements.</w:t>
            </w:r>
          </w:p>
        </w:tc>
        <w:tc>
          <w:tcPr>
            <w:tcW w:type="dxa" w:w="2736"/>
            <w:shd w:val="clear" w:color="auto" w:fill="F2F4F7"/>
          </w:tcPr>
          <w:p>
            <w:pPr>
              <w:spacing w:after="0" w:before="0"/>
            </w:pPr>
            <w:r/>
            <w:r>
              <w:rPr>
                <w:b w:val="0"/>
                <w:i w:val="0"/>
                <w:sz w:val="15"/>
              </w:rPr>
              <w:t>Whether required for the three-month initial Fiscal Year is ambiguous; engage the firm now (Issues 19, 27).</w:t>
            </w:r>
          </w:p>
        </w:tc>
      </w:tr>
      <w:tr>
        <w:tc>
          <w:tcPr>
            <w:tcW w:type="dxa" w:w="432"/>
          </w:tcPr>
          <w:p>
            <w:pPr>
              <w:spacing w:after="0" w:before="0"/>
            </w:pPr>
            <w:r/>
            <w:r>
              <w:rPr>
                <w:b/>
                <w:i w:val="0"/>
                <w:sz w:val="15"/>
              </w:rPr>
              <w:t>16</w:t>
            </w:r>
          </w:p>
        </w:tc>
        <w:tc>
          <w:tcPr>
            <w:tcW w:type="dxa" w:w="864"/>
          </w:tcPr>
          <w:p>
            <w:pPr>
              <w:spacing w:after="0" w:before="0"/>
            </w:pPr>
            <w:r/>
            <w:r>
              <w:rPr>
                <w:b w:val="0"/>
                <w:i w:val="0"/>
                <w:sz w:val="15"/>
              </w:rPr>
              <w:t>§7.6(c)</w:t>
            </w:r>
          </w:p>
        </w:tc>
        <w:tc>
          <w:tcPr>
            <w:tcW w:type="dxa" w:w="3384"/>
          </w:tcPr>
          <w:p>
            <w:pPr>
              <w:spacing w:after="0" w:before="0"/>
            </w:pPr>
            <w:r/>
            <w:r>
              <w:rPr>
                <w:b w:val="0"/>
                <w:i w:val="0"/>
                <w:sz w:val="15"/>
              </w:rPr>
              <w:t>Written notice of any material conflict of interest relating to the Fund (e.g., other vehicles, co-investments, affiliate transactions), describing the conflict and the Adviser’s proposed resolution. LPAC may approve, reject or modify the proposed resolution per the LPA.</w:t>
            </w:r>
          </w:p>
        </w:tc>
        <w:tc>
          <w:tcPr>
            <w:tcW w:type="dxa" w:w="936"/>
          </w:tcPr>
          <w:p>
            <w:pPr>
              <w:spacing w:after="0" w:before="0"/>
            </w:pPr>
            <w:r/>
            <w:r>
              <w:rPr>
                <w:b w:val="0"/>
                <w:i w:val="0"/>
                <w:sz w:val="15"/>
              </w:rPr>
              <w:t>Event-driven</w:t>
            </w:r>
          </w:p>
        </w:tc>
        <w:tc>
          <w:tcPr>
            <w:tcW w:type="dxa" w:w="1368"/>
          </w:tcPr>
          <w:p>
            <w:pPr>
              <w:spacing w:after="0" w:before="0"/>
            </w:pPr>
            <w:r/>
            <w:r>
              <w:rPr>
                <w:b w:val="0"/>
                <w:i w:val="0"/>
                <w:sz w:val="15"/>
              </w:rPr>
              <w:t>LPAC</w:t>
            </w:r>
          </w:p>
        </w:tc>
        <w:tc>
          <w:tcPr>
            <w:tcW w:type="dxa" w:w="1656"/>
          </w:tcPr>
          <w:p>
            <w:pPr>
              <w:spacing w:after="0" w:before="0"/>
            </w:pPr>
            <w:r/>
            <w:r>
              <w:rPr>
                <w:b w:val="0"/>
                <w:i w:val="0"/>
                <w:sz w:val="15"/>
              </w:rPr>
              <w:t>5 Business Days after identification by the Adviser.</w:t>
            </w:r>
          </w:p>
        </w:tc>
        <w:tc>
          <w:tcPr>
            <w:tcW w:type="dxa" w:w="1512"/>
          </w:tcPr>
          <w:p>
            <w:pPr>
              <w:spacing w:after="0" w:before="0"/>
            </w:pPr>
            <w:r/>
            <w:r>
              <w:rPr>
                <w:b w:val="0"/>
                <w:i w:val="0"/>
                <w:sz w:val="15"/>
              </w:rPr>
              <w:t>Written notice.</w:t>
            </w:r>
          </w:p>
        </w:tc>
        <w:tc>
          <w:tcPr>
            <w:tcW w:type="dxa" w:w="1512"/>
          </w:tcPr>
          <w:p>
            <w:pPr>
              <w:spacing w:after="0" w:before="0"/>
            </w:pPr>
            <w:r/>
            <w:r>
              <w:rPr>
                <w:b w:val="0"/>
                <w:i w:val="0"/>
                <w:sz w:val="15"/>
              </w:rPr>
              <w:t>As triggered.</w:t>
            </w:r>
          </w:p>
        </w:tc>
        <w:tc>
          <w:tcPr>
            <w:tcW w:type="dxa" w:w="2736"/>
          </w:tcPr>
          <w:p>
            <w:pPr>
              <w:spacing w:after="0" w:before="0"/>
            </w:pPr>
            <w:r/>
            <w:r>
              <w:rPr>
                <w:b w:val="0"/>
                <w:i w:val="0"/>
                <w:sz w:val="15"/>
              </w:rPr>
              <w:t>Trigger is ‘identification’ — requires a documented conflicts-identification log with date stamps. ‘Material’ undefined (Issue 16). Coordinate with LPA approval mechanics before transaction closes.</w:t>
            </w:r>
          </w:p>
        </w:tc>
      </w:tr>
      <w:tr>
        <w:tc>
          <w:tcPr>
            <w:tcW w:type="dxa" w:w="432"/>
            <w:shd w:val="clear" w:color="auto" w:fill="F2F4F7"/>
          </w:tcPr>
          <w:p>
            <w:pPr>
              <w:spacing w:after="0" w:before="0"/>
            </w:pPr>
            <w:r/>
            <w:r>
              <w:rPr>
                <w:b/>
                <w:i w:val="0"/>
                <w:sz w:val="15"/>
              </w:rPr>
              <w:t>17</w:t>
            </w:r>
          </w:p>
        </w:tc>
        <w:tc>
          <w:tcPr>
            <w:tcW w:type="dxa" w:w="864"/>
            <w:shd w:val="clear" w:color="auto" w:fill="F2F4F7"/>
          </w:tcPr>
          <w:p>
            <w:pPr>
              <w:spacing w:after="0" w:before="0"/>
            </w:pPr>
            <w:r/>
            <w:r>
              <w:rPr>
                <w:b w:val="0"/>
                <w:i w:val="0"/>
                <w:sz w:val="15"/>
              </w:rPr>
              <w:t>§7.6(d)</w:t>
            </w:r>
          </w:p>
        </w:tc>
        <w:tc>
          <w:tcPr>
            <w:tcW w:type="dxa" w:w="3384"/>
            <w:shd w:val="clear" w:color="auto" w:fill="F2F4F7"/>
          </w:tcPr>
          <w:p>
            <w:pPr>
              <w:spacing w:after="0" w:before="0"/>
            </w:pPr>
            <w:r/>
            <w:r>
              <w:rPr>
                <w:b w:val="0"/>
                <w:i w:val="0"/>
                <w:sz w:val="15"/>
              </w:rPr>
              <w:t>Annual compliance report covering compliance with the IAA, Investment Guidelines (Ex. C) and applicable law: at a minimum (i) concentration limits; (ii) leverage restrictions; (iii) status of waivers/amendments to the Investment Guidelines; (iv) material compliance incidents and remediation.</w:t>
            </w:r>
          </w:p>
        </w:tc>
        <w:tc>
          <w:tcPr>
            <w:tcW w:type="dxa" w:w="936"/>
            <w:shd w:val="clear" w:color="auto" w:fill="F2F4F7"/>
          </w:tcPr>
          <w:p>
            <w:pPr>
              <w:spacing w:after="0" w:before="0"/>
            </w:pPr>
            <w:r/>
            <w:r>
              <w:rPr>
                <w:b w:val="0"/>
                <w:i w:val="0"/>
                <w:sz w:val="15"/>
              </w:rPr>
              <w:t>Annual</w:t>
            </w:r>
          </w:p>
        </w:tc>
        <w:tc>
          <w:tcPr>
            <w:tcW w:type="dxa" w:w="1368"/>
            <w:shd w:val="clear" w:color="auto" w:fill="F2F4F7"/>
          </w:tcPr>
          <w:p>
            <w:pPr>
              <w:spacing w:after="0" w:before="0"/>
            </w:pPr>
            <w:r/>
            <w:r>
              <w:rPr>
                <w:b w:val="0"/>
                <w:i w:val="0"/>
                <w:sz w:val="15"/>
              </w:rPr>
              <w:t>Each LPAC member</w:t>
            </w:r>
          </w:p>
        </w:tc>
        <w:tc>
          <w:tcPr>
            <w:tcW w:type="dxa" w:w="1656"/>
            <w:shd w:val="clear" w:color="auto" w:fill="F2F4F7"/>
          </w:tcPr>
          <w:p>
            <w:pPr>
              <w:spacing w:after="0" w:before="0"/>
            </w:pPr>
            <w:r/>
            <w:r>
              <w:rPr>
                <w:b w:val="0"/>
                <w:i w:val="0"/>
                <w:sz w:val="15"/>
              </w:rPr>
              <w:t>90 calendar days after end of each Fiscal Year.</w:t>
            </w:r>
          </w:p>
        </w:tc>
        <w:tc>
          <w:tcPr>
            <w:tcW w:type="dxa" w:w="1512"/>
            <w:shd w:val="clear" w:color="auto" w:fill="F2F4F7"/>
          </w:tcPr>
          <w:p>
            <w:pPr>
              <w:spacing w:after="0" w:before="0"/>
            </w:pPr>
            <w:r/>
            <w:r>
              <w:rPr>
                <w:b w:val="0"/>
                <w:i w:val="0"/>
                <w:sz w:val="15"/>
              </w:rPr>
              <w:t>Not specified.</w:t>
            </w:r>
          </w:p>
        </w:tc>
        <w:tc>
          <w:tcPr>
            <w:tcW w:type="dxa" w:w="1512"/>
            <w:shd w:val="clear" w:color="auto" w:fill="F2F4F7"/>
          </w:tcPr>
          <w:p>
            <w:pPr>
              <w:spacing w:after="0" w:before="0"/>
            </w:pPr>
            <w:r/>
            <w:r>
              <w:rPr>
                <w:b w:val="0"/>
                <w:i w:val="0"/>
                <w:sz w:val="15"/>
              </w:rPr>
              <w:t>FY2024: Mon Mar 31, 2025.</w:t>
            </w:r>
          </w:p>
        </w:tc>
        <w:tc>
          <w:tcPr>
            <w:tcW w:type="dxa" w:w="2736"/>
            <w:shd w:val="clear" w:color="auto" w:fill="F2F4F7"/>
          </w:tcPr>
          <w:p>
            <w:pPr>
              <w:spacing w:after="0" w:before="0"/>
            </w:pPr>
            <w:r/>
            <w:r>
              <w:rPr>
                <w:b w:val="0"/>
                <w:i w:val="0"/>
                <w:sz w:val="15"/>
              </w:rPr>
              <w:t>Coordinate with Rule 206(4)-7 annual review cycle; same-day cluster with Items 30, 33, 35.</w:t>
            </w:r>
          </w:p>
        </w:tc>
      </w:tr>
      <w:tr>
        <w:tc>
          <w:tcPr>
            <w:tcW w:type="dxa" w:w="432"/>
          </w:tcPr>
          <w:p>
            <w:pPr>
              <w:spacing w:after="0" w:before="0"/>
            </w:pPr>
            <w:r/>
            <w:r>
              <w:rPr>
                <w:b/>
                <w:i w:val="0"/>
                <w:sz w:val="15"/>
              </w:rPr>
              <w:t>18</w:t>
            </w:r>
          </w:p>
        </w:tc>
        <w:tc>
          <w:tcPr>
            <w:tcW w:type="dxa" w:w="864"/>
          </w:tcPr>
          <w:p>
            <w:pPr>
              <w:spacing w:after="0" w:before="0"/>
            </w:pPr>
            <w:r/>
            <w:r>
              <w:rPr>
                <w:b w:val="0"/>
                <w:i w:val="0"/>
                <w:sz w:val="15"/>
              </w:rPr>
              <w:t>Ex. C §6</w:t>
            </w:r>
          </w:p>
        </w:tc>
        <w:tc>
          <w:tcPr>
            <w:tcW w:type="dxa" w:w="3384"/>
          </w:tcPr>
          <w:p>
            <w:pPr>
              <w:spacing w:after="0" w:before="0"/>
            </w:pPr>
            <w:r/>
            <w:r>
              <w:rPr>
                <w:b w:val="0"/>
                <w:i w:val="0"/>
                <w:sz w:val="15"/>
              </w:rPr>
              <w:t>Concentration limit notification: if any single investment exceeds 15% of Total Commitments, written notice to LPAC plus written investment memorandum (description, rationale for exceeding limit, risk assessment, mitigants). No LPAC approval required.</w:t>
            </w:r>
          </w:p>
        </w:tc>
        <w:tc>
          <w:tcPr>
            <w:tcW w:type="dxa" w:w="936"/>
          </w:tcPr>
          <w:p>
            <w:pPr>
              <w:spacing w:after="0" w:before="0"/>
            </w:pPr>
            <w:r/>
            <w:r>
              <w:rPr>
                <w:b w:val="0"/>
                <w:i w:val="0"/>
                <w:sz w:val="15"/>
              </w:rPr>
              <w:t>Event-driven</w:t>
            </w:r>
          </w:p>
        </w:tc>
        <w:tc>
          <w:tcPr>
            <w:tcW w:type="dxa" w:w="1368"/>
          </w:tcPr>
          <w:p>
            <w:pPr>
              <w:spacing w:after="0" w:before="0"/>
            </w:pPr>
            <w:r/>
            <w:r>
              <w:rPr>
                <w:b w:val="0"/>
                <w:i w:val="0"/>
                <w:sz w:val="15"/>
              </w:rPr>
              <w:t>LPAC</w:t>
            </w:r>
          </w:p>
        </w:tc>
        <w:tc>
          <w:tcPr>
            <w:tcW w:type="dxa" w:w="1656"/>
          </w:tcPr>
          <w:p>
            <w:pPr>
              <w:spacing w:after="0" w:before="0"/>
            </w:pPr>
            <w:r/>
            <w:r>
              <w:rPr>
                <w:b w:val="0"/>
                <w:i w:val="0"/>
                <w:sz w:val="15"/>
              </w:rPr>
              <w:t>Notice within 5 Business Days of the date the investment is made; memorandum — no deadline stated. Lead-in language requires ‘prior notification’.</w:t>
            </w:r>
          </w:p>
        </w:tc>
        <w:tc>
          <w:tcPr>
            <w:tcW w:type="dxa" w:w="1512"/>
          </w:tcPr>
          <w:p>
            <w:pPr>
              <w:spacing w:after="0" w:before="0"/>
            </w:pPr>
            <w:r/>
            <w:r>
              <w:rPr>
                <w:b w:val="0"/>
                <w:i w:val="0"/>
                <w:sz w:val="15"/>
              </w:rPr>
              <w:t>Written notice and written memorandum.</w:t>
            </w:r>
          </w:p>
        </w:tc>
        <w:tc>
          <w:tcPr>
            <w:tcW w:type="dxa" w:w="1512"/>
          </w:tcPr>
          <w:p>
            <w:pPr>
              <w:spacing w:after="0" w:before="0"/>
            </w:pPr>
            <w:r/>
            <w:r>
              <w:rPr>
                <w:b w:val="0"/>
                <w:i w:val="0"/>
                <w:sz w:val="15"/>
              </w:rPr>
              <w:t>As triggered. At current Total Commitments of $412,000,000, threshold is $61,800,000 (below the $75,000,000 top of the Ex. C §5 target range).</w:t>
            </w:r>
          </w:p>
        </w:tc>
        <w:tc>
          <w:tcPr>
            <w:tcW w:type="dxa" w:w="2736"/>
          </w:tcPr>
          <w:p>
            <w:pPr>
              <w:spacing w:after="0" w:before="0"/>
            </w:pPr>
            <w:r/>
            <w:r>
              <w:rPr>
                <w:b w:val="0"/>
                <w:i w:val="0"/>
                <w:sz w:val="15"/>
              </w:rPr>
              <w:t>Issue 13: ‘prior’ vs. post-closing notice; moving denominator as commitments grow toward $750,000,000.</w:t>
            </w:r>
          </w:p>
        </w:tc>
      </w:tr>
      <w:tr>
        <w:tc>
          <w:tcPr>
            <w:tcW w:type="dxa" w:w="432"/>
            <w:shd w:val="clear" w:color="auto" w:fill="F2F4F7"/>
          </w:tcPr>
          <w:p>
            <w:pPr>
              <w:spacing w:after="0" w:before="0"/>
            </w:pPr>
            <w:r/>
            <w:r>
              <w:rPr>
                <w:b/>
                <w:i w:val="0"/>
                <w:sz w:val="15"/>
              </w:rPr>
              <w:t>19</w:t>
            </w:r>
          </w:p>
        </w:tc>
        <w:tc>
          <w:tcPr>
            <w:tcW w:type="dxa" w:w="864"/>
            <w:shd w:val="clear" w:color="auto" w:fill="F2F4F7"/>
          </w:tcPr>
          <w:p>
            <w:pPr>
              <w:spacing w:after="0" w:before="0"/>
            </w:pPr>
            <w:r/>
            <w:r>
              <w:rPr>
                <w:b w:val="0"/>
                <w:i w:val="0"/>
                <w:sz w:val="15"/>
              </w:rPr>
              <w:t>§9.1</w:t>
            </w:r>
          </w:p>
        </w:tc>
        <w:tc>
          <w:tcPr>
            <w:tcW w:type="dxa" w:w="3384"/>
            <w:shd w:val="clear" w:color="auto" w:fill="F2F4F7"/>
          </w:tcPr>
          <w:p>
            <w:pPr>
              <w:spacing w:after="0" w:before="0"/>
            </w:pPr>
            <w:r/>
            <w:r>
              <w:rPr>
                <w:b w:val="0"/>
                <w:i w:val="0"/>
                <w:sz w:val="15"/>
              </w:rPr>
              <w:t>Notice of any material changes to the Adviser’s compliance program (Rule 206(4)-7 policies and procedures).</w:t>
            </w:r>
          </w:p>
        </w:tc>
        <w:tc>
          <w:tcPr>
            <w:tcW w:type="dxa" w:w="936"/>
            <w:shd w:val="clear" w:color="auto" w:fill="F2F4F7"/>
          </w:tcPr>
          <w:p>
            <w:pPr>
              <w:spacing w:after="0" w:before="0"/>
            </w:pPr>
            <w:r/>
            <w:r>
              <w:rPr>
                <w:b w:val="0"/>
                <w:i w:val="0"/>
                <w:sz w:val="15"/>
              </w:rPr>
              <w:t>Event-driven</w:t>
            </w:r>
          </w:p>
        </w:tc>
        <w:tc>
          <w:tcPr>
            <w:tcW w:type="dxa" w:w="1368"/>
            <w:shd w:val="clear" w:color="auto" w:fill="F2F4F7"/>
          </w:tcPr>
          <w:p>
            <w:pPr>
              <w:spacing w:after="0" w:before="0"/>
            </w:pPr>
            <w:r/>
            <w:r>
              <w:rPr>
                <w:b w:val="0"/>
                <w:i w:val="0"/>
                <w:sz w:val="15"/>
              </w:rPr>
              <w:t>Fund and LPAC</w:t>
            </w:r>
          </w:p>
        </w:tc>
        <w:tc>
          <w:tcPr>
            <w:tcW w:type="dxa" w:w="1656"/>
            <w:shd w:val="clear" w:color="auto" w:fill="F2F4F7"/>
          </w:tcPr>
          <w:p>
            <w:pPr>
              <w:spacing w:after="0" w:before="0"/>
            </w:pPr>
            <w:r/>
            <w:r>
              <w:rPr>
                <w:b w:val="0"/>
                <w:i w:val="0"/>
                <w:sz w:val="15"/>
              </w:rPr>
              <w:t>30 calendar days after such change.</w:t>
            </w:r>
          </w:p>
        </w:tc>
        <w:tc>
          <w:tcPr>
            <w:tcW w:type="dxa" w:w="1512"/>
            <w:shd w:val="clear" w:color="auto" w:fill="F2F4F7"/>
          </w:tcPr>
          <w:p>
            <w:pPr>
              <w:spacing w:after="0" w:before="0"/>
            </w:pPr>
            <w:r/>
            <w:r>
              <w:rPr>
                <w:b w:val="0"/>
                <w:i w:val="0"/>
                <w:sz w:val="15"/>
              </w:rPr>
              <w:t>Notice (written per §12.1 for the Fund).</w:t>
            </w:r>
          </w:p>
        </w:tc>
        <w:tc>
          <w:tcPr>
            <w:tcW w:type="dxa" w:w="1512"/>
            <w:shd w:val="clear" w:color="auto" w:fill="F2F4F7"/>
          </w:tcPr>
          <w:p>
            <w:pPr>
              <w:spacing w:after="0" w:before="0"/>
            </w:pPr>
            <w:r/>
            <w:r>
              <w:rPr>
                <w:b w:val="0"/>
                <w:i w:val="0"/>
                <w:sz w:val="15"/>
              </w:rPr>
              <w:t>As triggered.</w:t>
            </w:r>
          </w:p>
        </w:tc>
        <w:tc>
          <w:tcPr>
            <w:tcW w:type="dxa" w:w="2736"/>
            <w:shd w:val="clear" w:color="auto" w:fill="F2F4F7"/>
          </w:tcPr>
          <w:p>
            <w:pPr>
              <w:spacing w:after="0" w:before="0"/>
            </w:pPr>
            <w:r/>
            <w:r>
              <w:rPr>
                <w:b w:val="0"/>
                <w:i w:val="0"/>
                <w:sz w:val="15"/>
              </w:rPr>
              <w:t>‘Material’ undefined. Annual review changes should be captured.</w:t>
            </w:r>
          </w:p>
        </w:tc>
      </w:tr>
      <w:tr>
        <w:tc>
          <w:tcPr>
            <w:tcW w:type="dxa" w:w="432"/>
          </w:tcPr>
          <w:p>
            <w:pPr>
              <w:spacing w:after="0" w:before="0"/>
            </w:pPr>
            <w:r/>
            <w:r>
              <w:rPr>
                <w:b/>
                <w:i w:val="0"/>
                <w:sz w:val="15"/>
              </w:rPr>
              <w:t>20</w:t>
            </w:r>
          </w:p>
        </w:tc>
        <w:tc>
          <w:tcPr>
            <w:tcW w:type="dxa" w:w="864"/>
          </w:tcPr>
          <w:p>
            <w:pPr>
              <w:spacing w:after="0" w:before="0"/>
            </w:pPr>
            <w:r/>
            <w:r>
              <w:rPr>
                <w:b w:val="0"/>
                <w:i w:val="0"/>
                <w:sz w:val="15"/>
              </w:rPr>
              <w:t>§9.4</w:t>
            </w:r>
          </w:p>
        </w:tc>
        <w:tc>
          <w:tcPr>
            <w:tcW w:type="dxa" w:w="3384"/>
          </w:tcPr>
          <w:p>
            <w:pPr>
              <w:spacing w:after="0" w:before="0"/>
            </w:pPr>
            <w:r/>
            <w:r>
              <w:rPr>
                <w:b w:val="0"/>
                <w:i w:val="0"/>
                <w:sz w:val="15"/>
              </w:rPr>
              <w:t>Notice of any circumstance that could jeopardize the Fund’s Section 3(c)(7) exclusion from the Investment Company Act.</w:t>
            </w:r>
          </w:p>
        </w:tc>
        <w:tc>
          <w:tcPr>
            <w:tcW w:type="dxa" w:w="936"/>
          </w:tcPr>
          <w:p>
            <w:pPr>
              <w:spacing w:after="0" w:before="0"/>
            </w:pPr>
            <w:r/>
            <w:r>
              <w:rPr>
                <w:b w:val="0"/>
                <w:i w:val="0"/>
                <w:sz w:val="15"/>
              </w:rPr>
              <w:t>Event-driven</w:t>
            </w:r>
          </w:p>
        </w:tc>
        <w:tc>
          <w:tcPr>
            <w:tcW w:type="dxa" w:w="1368"/>
          </w:tcPr>
          <w:p>
            <w:pPr>
              <w:spacing w:after="0" w:before="0"/>
            </w:pPr>
            <w:r/>
            <w:r>
              <w:rPr>
                <w:b w:val="0"/>
                <w:i w:val="0"/>
                <w:sz w:val="15"/>
              </w:rPr>
              <w:t>LPAC</w:t>
            </w:r>
          </w:p>
        </w:tc>
        <w:tc>
          <w:tcPr>
            <w:tcW w:type="dxa" w:w="1656"/>
          </w:tcPr>
          <w:p>
            <w:pPr>
              <w:spacing w:after="0" w:before="0"/>
            </w:pPr>
            <w:r/>
            <w:r>
              <w:rPr>
                <w:b w:val="0"/>
                <w:i w:val="0"/>
                <w:sz w:val="15"/>
              </w:rPr>
              <w:t>Promptly (no fixed period).</w:t>
            </w:r>
          </w:p>
        </w:tc>
        <w:tc>
          <w:tcPr>
            <w:tcW w:type="dxa" w:w="1512"/>
          </w:tcPr>
          <w:p>
            <w:pPr>
              <w:spacing w:after="0" w:before="0"/>
            </w:pPr>
            <w:r/>
            <w:r>
              <w:rPr>
                <w:b w:val="0"/>
                <w:i w:val="0"/>
                <w:sz w:val="15"/>
              </w:rPr>
              <w:t>Not specified.</w:t>
            </w:r>
          </w:p>
        </w:tc>
        <w:tc>
          <w:tcPr>
            <w:tcW w:type="dxa" w:w="1512"/>
          </w:tcPr>
          <w:p>
            <w:pPr>
              <w:spacing w:after="0" w:before="0"/>
            </w:pPr>
            <w:r/>
            <w:r>
              <w:rPr>
                <w:b w:val="0"/>
                <w:i w:val="0"/>
                <w:sz w:val="15"/>
              </w:rPr>
              <w:t>As triggered (heightened relevance at each subsequent closing and LP transfer).</w:t>
            </w:r>
          </w:p>
        </w:tc>
        <w:tc>
          <w:tcPr>
            <w:tcW w:type="dxa" w:w="2736"/>
          </w:tcPr>
          <w:p>
            <w:pPr>
              <w:spacing w:after="0" w:before="0"/>
            </w:pPr>
            <w:r/>
            <w:r>
              <w:rPr>
                <w:b w:val="0"/>
                <w:i w:val="0"/>
                <w:sz w:val="15"/>
              </w:rPr>
              <w:t>Undefined ‘promptly’ (Issue 12).</w:t>
            </w:r>
          </w:p>
        </w:tc>
      </w:tr>
      <w:tr>
        <w:tc>
          <w:tcPr>
            <w:tcW w:type="dxa" w:w="432"/>
            <w:shd w:val="clear" w:color="auto" w:fill="F2F4F7"/>
          </w:tcPr>
          <w:p>
            <w:pPr>
              <w:spacing w:after="0" w:before="0"/>
            </w:pPr>
            <w:r/>
            <w:r>
              <w:rPr>
                <w:b/>
                <w:i w:val="0"/>
                <w:sz w:val="15"/>
              </w:rPr>
              <w:t>21</w:t>
            </w:r>
          </w:p>
        </w:tc>
        <w:tc>
          <w:tcPr>
            <w:tcW w:type="dxa" w:w="864"/>
            <w:shd w:val="clear" w:color="auto" w:fill="F2F4F7"/>
          </w:tcPr>
          <w:p>
            <w:pPr>
              <w:spacing w:after="0" w:before="0"/>
            </w:pPr>
            <w:r/>
            <w:r>
              <w:rPr>
                <w:b w:val="0"/>
                <w:i w:val="0"/>
                <w:sz w:val="15"/>
              </w:rPr>
              <w:t>Art. 6</w:t>
            </w:r>
          </w:p>
        </w:tc>
        <w:tc>
          <w:tcPr>
            <w:tcW w:type="dxa" w:w="3384"/>
            <w:shd w:val="clear" w:color="auto" w:fill="F2F4F7"/>
          </w:tcPr>
          <w:p>
            <w:pPr>
              <w:spacing w:after="0" w:before="0"/>
            </w:pPr>
            <w:r/>
            <w:r>
              <w:rPr>
                <w:b w:val="0"/>
                <w:i w:val="0"/>
                <w:sz w:val="15"/>
              </w:rPr>
              <w:t>Notice of any actual or suspected misappropriation of Fund assets.</w:t>
            </w:r>
          </w:p>
        </w:tc>
        <w:tc>
          <w:tcPr>
            <w:tcW w:type="dxa" w:w="936"/>
            <w:shd w:val="clear" w:color="auto" w:fill="F2F4F7"/>
          </w:tcPr>
          <w:p>
            <w:pPr>
              <w:spacing w:after="0" w:before="0"/>
            </w:pPr>
            <w:r/>
            <w:r>
              <w:rPr>
                <w:b w:val="0"/>
                <w:i w:val="0"/>
                <w:sz w:val="15"/>
              </w:rPr>
              <w:t>Event-driven</w:t>
            </w:r>
          </w:p>
        </w:tc>
        <w:tc>
          <w:tcPr>
            <w:tcW w:type="dxa" w:w="1368"/>
            <w:shd w:val="clear" w:color="auto" w:fill="F2F4F7"/>
          </w:tcPr>
          <w:p>
            <w:pPr>
              <w:spacing w:after="0" w:before="0"/>
            </w:pPr>
            <w:r/>
            <w:r>
              <w:rPr>
                <w:b w:val="0"/>
                <w:i w:val="0"/>
                <w:sz w:val="15"/>
              </w:rPr>
              <w:t>Fund and LPAC</w:t>
            </w:r>
          </w:p>
        </w:tc>
        <w:tc>
          <w:tcPr>
            <w:tcW w:type="dxa" w:w="1656"/>
            <w:shd w:val="clear" w:color="auto" w:fill="F2F4F7"/>
          </w:tcPr>
          <w:p>
            <w:pPr>
              <w:spacing w:after="0" w:before="0"/>
            </w:pPr>
            <w:r/>
            <w:r>
              <w:rPr>
                <w:b w:val="0"/>
                <w:i w:val="0"/>
                <w:sz w:val="15"/>
              </w:rPr>
              <w:t>Promptly.</w:t>
            </w:r>
          </w:p>
        </w:tc>
        <w:tc>
          <w:tcPr>
            <w:tcW w:type="dxa" w:w="1512"/>
            <w:shd w:val="clear" w:color="auto" w:fill="F2F4F7"/>
          </w:tcPr>
          <w:p>
            <w:pPr>
              <w:spacing w:after="0" w:before="0"/>
            </w:pPr>
            <w:r/>
            <w:r>
              <w:rPr>
                <w:b w:val="0"/>
                <w:i w:val="0"/>
                <w:sz w:val="15"/>
              </w:rPr>
              <w:t>Not specified.</w:t>
            </w:r>
          </w:p>
        </w:tc>
        <w:tc>
          <w:tcPr>
            <w:tcW w:type="dxa" w:w="1512"/>
            <w:shd w:val="clear" w:color="auto" w:fill="F2F4F7"/>
          </w:tcPr>
          <w:p>
            <w:pPr>
              <w:spacing w:after="0" w:before="0"/>
            </w:pPr>
            <w:r/>
            <w:r>
              <w:rPr>
                <w:b w:val="0"/>
                <w:i w:val="0"/>
                <w:sz w:val="15"/>
              </w:rPr>
              <w:t>As triggered.</w:t>
            </w:r>
          </w:p>
        </w:tc>
        <w:tc>
          <w:tcPr>
            <w:tcW w:type="dxa" w:w="2736"/>
            <w:shd w:val="clear" w:color="auto" w:fill="F2F4F7"/>
          </w:tcPr>
          <w:p>
            <w:pPr>
              <w:spacing w:after="0" w:before="0"/>
            </w:pPr>
            <w:r/>
            <w:r>
              <w:rPr>
                <w:b w:val="0"/>
                <w:i w:val="0"/>
                <w:sz w:val="15"/>
              </w:rPr>
              <w:t>Overlaps §8.3(a)/(c)/(e) 10-Business-Day all-LP notice (Issue 12).</w:t>
            </w:r>
          </w:p>
        </w:tc>
      </w:tr>
      <w:tr>
        <w:tc>
          <w:tcPr>
            <w:tcW w:type="dxa" w:w="432"/>
          </w:tcPr>
          <w:p>
            <w:pPr>
              <w:spacing w:after="0" w:before="0"/>
            </w:pPr>
            <w:r/>
            <w:r>
              <w:rPr>
                <w:b/>
                <w:i w:val="0"/>
                <w:sz w:val="15"/>
              </w:rPr>
              <w:t>22</w:t>
            </w:r>
          </w:p>
        </w:tc>
        <w:tc>
          <w:tcPr>
            <w:tcW w:type="dxa" w:w="864"/>
          </w:tcPr>
          <w:p>
            <w:pPr>
              <w:spacing w:after="0" w:before="0"/>
            </w:pPr>
            <w:r/>
            <w:r>
              <w:rPr>
                <w:b w:val="0"/>
                <w:i w:val="0"/>
                <w:sz w:val="15"/>
              </w:rPr>
              <w:t>§8.1(f)</w:t>
            </w:r>
          </w:p>
        </w:tc>
        <w:tc>
          <w:tcPr>
            <w:tcW w:type="dxa" w:w="3384"/>
          </w:tcPr>
          <w:p>
            <w:pPr>
              <w:spacing w:after="0" w:before="0"/>
            </w:pPr>
            <w:r/>
            <w:r>
              <w:rPr>
                <w:b w:val="0"/>
                <w:i w:val="0"/>
                <w:sz w:val="15"/>
              </w:rPr>
              <w:t>Notice of any event or circumstance that could reasonably be expected to have a material adverse effect on the Adviser’s ability to perform its obligations.</w:t>
            </w:r>
          </w:p>
        </w:tc>
        <w:tc>
          <w:tcPr>
            <w:tcW w:type="dxa" w:w="936"/>
          </w:tcPr>
          <w:p>
            <w:pPr>
              <w:spacing w:after="0" w:before="0"/>
            </w:pPr>
            <w:r/>
            <w:r>
              <w:rPr>
                <w:b w:val="0"/>
                <w:i w:val="0"/>
                <w:sz w:val="15"/>
              </w:rPr>
              <w:t>Event-driven</w:t>
            </w:r>
          </w:p>
        </w:tc>
        <w:tc>
          <w:tcPr>
            <w:tcW w:type="dxa" w:w="1368"/>
          </w:tcPr>
          <w:p>
            <w:pPr>
              <w:spacing w:after="0" w:before="0"/>
            </w:pPr>
            <w:r/>
            <w:r>
              <w:rPr>
                <w:b w:val="0"/>
                <w:i w:val="0"/>
                <w:sz w:val="15"/>
              </w:rPr>
              <w:t>Fund and LPAC</w:t>
            </w:r>
          </w:p>
        </w:tc>
        <w:tc>
          <w:tcPr>
            <w:tcW w:type="dxa" w:w="1656"/>
          </w:tcPr>
          <w:p>
            <w:pPr>
              <w:spacing w:after="0" w:before="0"/>
            </w:pPr>
            <w:r/>
            <w:r>
              <w:rPr>
                <w:b w:val="0"/>
                <w:i w:val="0"/>
                <w:sz w:val="15"/>
              </w:rPr>
              <w:t>Promptly.</w:t>
            </w:r>
          </w:p>
        </w:tc>
        <w:tc>
          <w:tcPr>
            <w:tcW w:type="dxa" w:w="1512"/>
          </w:tcPr>
          <w:p>
            <w:pPr>
              <w:spacing w:after="0" w:before="0"/>
            </w:pPr>
            <w:r/>
            <w:r>
              <w:rPr>
                <w:b w:val="0"/>
                <w:i w:val="0"/>
                <w:sz w:val="15"/>
              </w:rPr>
              <w:t>Not specified.</w:t>
            </w:r>
          </w:p>
        </w:tc>
        <w:tc>
          <w:tcPr>
            <w:tcW w:type="dxa" w:w="1512"/>
          </w:tcPr>
          <w:p>
            <w:pPr>
              <w:spacing w:after="0" w:before="0"/>
            </w:pPr>
            <w:r/>
            <w:r>
              <w:rPr>
                <w:b w:val="0"/>
                <w:i w:val="0"/>
                <w:sz w:val="15"/>
              </w:rPr>
              <w:t>As triggered.</w:t>
            </w:r>
          </w:p>
        </w:tc>
        <w:tc>
          <w:tcPr>
            <w:tcW w:type="dxa" w:w="2736"/>
          </w:tcPr>
          <w:p>
            <w:pPr>
              <w:spacing w:after="0" w:before="0"/>
            </w:pPr>
            <w:r/>
            <w:r>
              <w:rPr>
                <w:b w:val="0"/>
                <w:i w:val="0"/>
                <w:sz w:val="15"/>
              </w:rPr>
              <w:t>Overlaps §8.3(a) (10 Business Days to all LPs) — LPAC notice ‘promptly’ may be earlier (Issue 12).</w:t>
            </w:r>
          </w:p>
        </w:tc>
      </w:tr>
      <w:tr>
        <w:tc>
          <w:tcPr>
            <w:tcW w:type="dxa" w:w="432"/>
            <w:shd w:val="clear" w:color="auto" w:fill="F2F4F7"/>
          </w:tcPr>
          <w:p>
            <w:pPr>
              <w:spacing w:after="0" w:before="0"/>
            </w:pPr>
            <w:r/>
            <w:r>
              <w:rPr>
                <w:b/>
                <w:i w:val="0"/>
                <w:sz w:val="15"/>
              </w:rPr>
              <w:t>23</w:t>
            </w:r>
          </w:p>
        </w:tc>
        <w:tc>
          <w:tcPr>
            <w:tcW w:type="dxa" w:w="864"/>
            <w:shd w:val="clear" w:color="auto" w:fill="F2F4F7"/>
          </w:tcPr>
          <w:p>
            <w:pPr>
              <w:spacing w:after="0" w:before="0"/>
            </w:pPr>
            <w:r/>
            <w:r>
              <w:rPr>
                <w:b w:val="0"/>
                <w:i w:val="0"/>
                <w:sz w:val="15"/>
              </w:rPr>
              <w:t>§7.2</w:t>
            </w:r>
          </w:p>
        </w:tc>
        <w:tc>
          <w:tcPr>
            <w:tcW w:type="dxa" w:w="3384"/>
            <w:shd w:val="clear" w:color="auto" w:fill="F2F4F7"/>
          </w:tcPr>
          <w:p>
            <w:pPr>
              <w:spacing w:after="0" w:before="0"/>
            </w:pPr>
            <w:r/>
            <w:r>
              <w:rPr>
                <w:b w:val="0"/>
                <w:i w:val="0"/>
                <w:sz w:val="15"/>
              </w:rPr>
              <w:t>Commercially reasonable efforts to cause the Auditor to provide its management letter, if any.</w:t>
            </w:r>
          </w:p>
        </w:tc>
        <w:tc>
          <w:tcPr>
            <w:tcW w:type="dxa" w:w="936"/>
            <w:shd w:val="clear" w:color="auto" w:fill="F2F4F7"/>
          </w:tcPr>
          <w:p>
            <w:pPr>
              <w:spacing w:after="0" w:before="0"/>
            </w:pPr>
            <w:r/>
            <w:r>
              <w:rPr>
                <w:b w:val="0"/>
                <w:i w:val="0"/>
                <w:sz w:val="15"/>
              </w:rPr>
              <w:t>Annual (if any)</w:t>
            </w:r>
          </w:p>
        </w:tc>
        <w:tc>
          <w:tcPr>
            <w:tcW w:type="dxa" w:w="1368"/>
            <w:shd w:val="clear" w:color="auto" w:fill="F2F4F7"/>
          </w:tcPr>
          <w:p>
            <w:pPr>
              <w:spacing w:after="0" w:before="0"/>
            </w:pPr>
            <w:r/>
            <w:r>
              <w:rPr>
                <w:b w:val="0"/>
                <w:i w:val="0"/>
                <w:sz w:val="15"/>
              </w:rPr>
              <w:t>LPAC</w:t>
            </w:r>
          </w:p>
        </w:tc>
        <w:tc>
          <w:tcPr>
            <w:tcW w:type="dxa" w:w="1656"/>
            <w:shd w:val="clear" w:color="auto" w:fill="F2F4F7"/>
          </w:tcPr>
          <w:p>
            <w:pPr>
              <w:spacing w:after="0" w:before="0"/>
            </w:pPr>
            <w:r/>
            <w:r>
              <w:rPr>
                <w:b w:val="0"/>
                <w:i w:val="0"/>
                <w:sz w:val="15"/>
              </w:rPr>
              <w:t>Within a reasonable time after completion of the audit.</w:t>
            </w:r>
          </w:p>
        </w:tc>
        <w:tc>
          <w:tcPr>
            <w:tcW w:type="dxa" w:w="1512"/>
            <w:shd w:val="clear" w:color="auto" w:fill="F2F4F7"/>
          </w:tcPr>
          <w:p>
            <w:pPr>
              <w:spacing w:after="0" w:before="0"/>
            </w:pPr>
            <w:r/>
            <w:r>
              <w:rPr>
                <w:b w:val="0"/>
                <w:i w:val="0"/>
                <w:sz w:val="15"/>
              </w:rPr>
              <w:t>Not specified.</w:t>
            </w:r>
          </w:p>
        </w:tc>
        <w:tc>
          <w:tcPr>
            <w:tcW w:type="dxa" w:w="1512"/>
            <w:shd w:val="clear" w:color="auto" w:fill="F2F4F7"/>
          </w:tcPr>
          <w:p>
            <w:pPr>
              <w:spacing w:after="0" w:before="0"/>
            </w:pPr>
            <w:r/>
            <w:r>
              <w:rPr>
                <w:b w:val="0"/>
                <w:i w:val="0"/>
                <w:sz w:val="15"/>
              </w:rPr>
              <w:t>FY2024: following audit completion (on or before Apr 30, 2025).</w:t>
            </w:r>
          </w:p>
        </w:tc>
        <w:tc>
          <w:tcPr>
            <w:tcW w:type="dxa" w:w="2736"/>
            <w:shd w:val="clear" w:color="auto" w:fill="F2F4F7"/>
          </w:tcPr>
          <w:p>
            <w:pPr>
              <w:spacing w:after="0" w:before="0"/>
            </w:pPr>
            <w:r/>
            <w:r>
              <w:rPr>
                <w:b w:val="0"/>
                <w:i w:val="0"/>
                <w:sz w:val="15"/>
              </w:rPr>
              <w:t>Requires Ridgeline consent; address in audit engagement letter.</w:t>
            </w:r>
          </w:p>
        </w:tc>
      </w:tr>
    </w:tbl>
    <w:p>
      <w:pPr>
        <w:spacing w:after="40"/>
      </w:pPr>
    </w:p>
    <w:p>
      <w:pPr>
        <w:pStyle w:val="Heading2"/>
      </w:pPr>
      <w:r>
        <w:rPr>
          <w:color w:val="1F2A44"/>
        </w:rPr>
        <w:t>D. Event-Driven Notices and Disclosures to All Limited Partners</w:t>
      </w:r>
    </w:p>
    <w:tbl>
      <w:tblPr>
        <w:tblStyle w:val="TableGrid"/>
        <w:tblW w:type="auto" w:w="0"/>
        <w:jc w:val="center"/>
        <w:tblLayout w:type="fixed"/>
        <w:tblLook w:firstColumn="1" w:firstRow="1" w:lastColumn="0" w:lastRow="0" w:noHBand="0" w:noVBand="1" w:val="04A0"/>
      </w:tblPr>
      <w:tblGrid>
        <w:gridCol w:w="432"/>
        <w:gridCol w:w="864"/>
        <w:gridCol w:w="3384"/>
        <w:gridCol w:w="936"/>
        <w:gridCol w:w="1368"/>
        <w:gridCol w:w="1655"/>
        <w:gridCol w:w="1512"/>
        <w:gridCol w:w="1512"/>
        <w:gridCol w:w="2736"/>
      </w:tblGrid>
      <w:tr>
        <w:trPr>
          <w:tblHeader w:val="true"/>
        </w:trPr>
        <w:tc>
          <w:tcPr>
            <w:tcW w:type="dxa" w:w="432"/>
            <w:shd w:val="clear" w:color="auto" w:fill="1F2A44"/>
          </w:tcPr>
          <w:p>
            <w:pPr>
              <w:spacing w:after="0" w:before="0"/>
            </w:pPr>
            <w:r/>
            <w:r>
              <w:rPr>
                <w:b/>
                <w:i w:val="0"/>
                <w:color w:val="FFFFFF"/>
                <w:sz w:val="15"/>
              </w:rPr>
              <w:t>#</w:t>
            </w:r>
          </w:p>
        </w:tc>
        <w:tc>
          <w:tcPr>
            <w:tcW w:type="dxa" w:w="864"/>
            <w:shd w:val="clear" w:color="auto" w:fill="1F2A44"/>
          </w:tcPr>
          <w:p>
            <w:pPr>
              <w:spacing w:after="0" w:before="0"/>
            </w:pPr>
            <w:r/>
            <w:r>
              <w:rPr>
                <w:b/>
                <w:i w:val="0"/>
                <w:color w:val="FFFFFF"/>
                <w:sz w:val="15"/>
              </w:rPr>
              <w:t>IAA Ref.</w:t>
            </w:r>
          </w:p>
        </w:tc>
        <w:tc>
          <w:tcPr>
            <w:tcW w:type="dxa" w:w="3384"/>
            <w:shd w:val="clear" w:color="auto" w:fill="1F2A44"/>
          </w:tcPr>
          <w:p>
            <w:pPr>
              <w:spacing w:after="0" w:before="0"/>
            </w:pPr>
            <w:r/>
            <w:r>
              <w:rPr>
                <w:b/>
                <w:i w:val="0"/>
                <w:color w:val="FFFFFF"/>
                <w:sz w:val="15"/>
              </w:rPr>
              <w:t>Obligation / Required Content</w:t>
            </w:r>
          </w:p>
        </w:tc>
        <w:tc>
          <w:tcPr>
            <w:tcW w:type="dxa" w:w="936"/>
            <w:shd w:val="clear" w:color="auto" w:fill="1F2A44"/>
          </w:tcPr>
          <w:p>
            <w:pPr>
              <w:spacing w:after="0" w:before="0"/>
            </w:pPr>
            <w:r/>
            <w:r>
              <w:rPr>
                <w:b/>
                <w:i w:val="0"/>
                <w:color w:val="FFFFFF"/>
                <w:sz w:val="15"/>
              </w:rPr>
              <w:t>Frequency</w:t>
            </w:r>
          </w:p>
        </w:tc>
        <w:tc>
          <w:tcPr>
            <w:tcW w:type="dxa" w:w="1368"/>
            <w:shd w:val="clear" w:color="auto" w:fill="1F2A44"/>
          </w:tcPr>
          <w:p>
            <w:pPr>
              <w:spacing w:after="0" w:before="0"/>
            </w:pPr>
            <w:r/>
            <w:r>
              <w:rPr>
                <w:b/>
                <w:i w:val="0"/>
                <w:color w:val="FFFFFF"/>
                <w:sz w:val="15"/>
              </w:rPr>
              <w:t>Recipient(s)</w:t>
            </w:r>
          </w:p>
        </w:tc>
        <w:tc>
          <w:tcPr>
            <w:tcW w:type="dxa" w:w="1656"/>
            <w:shd w:val="clear" w:color="auto" w:fill="1F2A44"/>
          </w:tcPr>
          <w:p>
            <w:pPr>
              <w:spacing w:after="0" w:before="0"/>
            </w:pPr>
            <w:r/>
            <w:r>
              <w:rPr>
                <w:b/>
                <w:i w:val="0"/>
                <w:color w:val="FFFFFF"/>
                <w:sz w:val="15"/>
              </w:rPr>
              <w:t>Deadline &amp; Trigger</w:t>
            </w:r>
          </w:p>
        </w:tc>
        <w:tc>
          <w:tcPr>
            <w:tcW w:type="dxa" w:w="1512"/>
            <w:shd w:val="clear" w:color="auto" w:fill="1F2A44"/>
          </w:tcPr>
          <w:p>
            <w:pPr>
              <w:spacing w:after="0" w:before="0"/>
            </w:pPr>
            <w:r/>
            <w:r>
              <w:rPr>
                <w:b/>
                <w:i w:val="0"/>
                <w:color w:val="FFFFFF"/>
                <w:sz w:val="15"/>
              </w:rPr>
              <w:t>Format / Delivery</w:t>
            </w:r>
          </w:p>
        </w:tc>
        <w:tc>
          <w:tcPr>
            <w:tcW w:type="dxa" w:w="1512"/>
            <w:shd w:val="clear" w:color="auto" w:fill="1F2A44"/>
          </w:tcPr>
          <w:p>
            <w:pPr>
              <w:spacing w:after="0" w:before="0"/>
            </w:pPr>
            <w:r/>
            <w:r>
              <w:rPr>
                <w:b/>
                <w:i w:val="0"/>
                <w:color w:val="FFFFFF"/>
                <w:sz w:val="15"/>
              </w:rPr>
              <w:t>First Due (FY2024 cycle)</w:t>
            </w:r>
          </w:p>
        </w:tc>
        <w:tc>
          <w:tcPr>
            <w:tcW w:type="dxa" w:w="2736"/>
            <w:shd w:val="clear" w:color="auto" w:fill="1F2A44"/>
          </w:tcPr>
          <w:p>
            <w:pPr>
              <w:spacing w:after="0" w:before="0"/>
            </w:pPr>
            <w:r/>
            <w:r>
              <w:rPr>
                <w:b/>
                <w:i w:val="0"/>
                <w:color w:val="FFFFFF"/>
                <w:sz w:val="15"/>
              </w:rPr>
              <w:t>Issues / Flags</w:t>
            </w:r>
          </w:p>
        </w:tc>
      </w:tr>
      <w:tr>
        <w:tc>
          <w:tcPr>
            <w:tcW w:type="dxa" w:w="432"/>
          </w:tcPr>
          <w:p>
            <w:pPr>
              <w:spacing w:after="0" w:before="0"/>
            </w:pPr>
            <w:r/>
            <w:r>
              <w:rPr>
                <w:b/>
                <w:i w:val="0"/>
                <w:sz w:val="15"/>
              </w:rPr>
              <w:t>24</w:t>
            </w:r>
          </w:p>
        </w:tc>
        <w:tc>
          <w:tcPr>
            <w:tcW w:type="dxa" w:w="864"/>
          </w:tcPr>
          <w:p>
            <w:pPr>
              <w:spacing w:after="0" w:before="0"/>
            </w:pPr>
            <w:r/>
            <w:r>
              <w:rPr>
                <w:b w:val="0"/>
                <w:i w:val="0"/>
                <w:sz w:val="15"/>
              </w:rPr>
              <w:t>§8.3(a)–(e); Ex. C §7</w:t>
            </w:r>
          </w:p>
        </w:tc>
        <w:tc>
          <w:tcPr>
            <w:tcW w:type="dxa" w:w="3384"/>
          </w:tcPr>
          <w:p>
            <w:pPr>
              <w:spacing w:after="0" w:before="0"/>
            </w:pPr>
            <w:r/>
            <w:r>
              <w:rPr>
                <w:b w:val="0"/>
                <w:i w:val="0"/>
                <w:sz w:val="15"/>
              </w:rPr>
              <w:t>Written notice of: (a) material adverse change in Adviser’s financial condition; (b) any change in Key Persons (Derek Yuen, Margaret Pallister) or other material change in senior personnel; (c) material litigation, arbitration, regulatory action or investigation involving Adviser, GP or Fund, and any settlement/final disposition; (d) material breach of Investment Guidelines, including nature/extent and remediation plan; (e) material cybersecurity incident affecting Adviser, Administrator or Fund data/systems.</w:t>
            </w:r>
          </w:p>
        </w:tc>
        <w:tc>
          <w:tcPr>
            <w:tcW w:type="dxa" w:w="936"/>
          </w:tcPr>
          <w:p>
            <w:pPr>
              <w:spacing w:after="0" w:before="0"/>
            </w:pPr>
            <w:r/>
            <w:r>
              <w:rPr>
                <w:b w:val="0"/>
                <w:i w:val="0"/>
                <w:sz w:val="15"/>
              </w:rPr>
              <w:t>Event-driven</w:t>
            </w:r>
          </w:p>
        </w:tc>
        <w:tc>
          <w:tcPr>
            <w:tcW w:type="dxa" w:w="1368"/>
          </w:tcPr>
          <w:p>
            <w:pPr>
              <w:spacing w:after="0" w:before="0"/>
            </w:pPr>
            <w:r/>
            <w:r>
              <w:rPr>
                <w:b w:val="0"/>
                <w:i w:val="0"/>
                <w:sz w:val="15"/>
              </w:rPr>
              <w:t>All Limited Partners (necessarily including LPAC members)</w:t>
            </w:r>
          </w:p>
        </w:tc>
        <w:tc>
          <w:tcPr>
            <w:tcW w:type="dxa" w:w="1656"/>
          </w:tcPr>
          <w:p>
            <w:pPr>
              <w:spacing w:after="0" w:before="0"/>
            </w:pPr>
            <w:r/>
            <w:r>
              <w:rPr>
                <w:b w:val="0"/>
                <w:i w:val="0"/>
                <w:sz w:val="15"/>
              </w:rPr>
              <w:t>10 Business Days after the occurrence of the event (not discovery).</w:t>
            </w:r>
          </w:p>
        </w:tc>
        <w:tc>
          <w:tcPr>
            <w:tcW w:type="dxa" w:w="1512"/>
          </w:tcPr>
          <w:p>
            <w:pPr>
              <w:spacing w:after="0" w:before="0"/>
            </w:pPr>
            <w:r/>
            <w:r>
              <w:rPr>
                <w:b w:val="0"/>
                <w:i w:val="0"/>
                <w:sz w:val="15"/>
              </w:rPr>
              <w:t>BOTH e-mail to address on file AND posting on the Investor Portal.</w:t>
            </w:r>
          </w:p>
        </w:tc>
        <w:tc>
          <w:tcPr>
            <w:tcW w:type="dxa" w:w="1512"/>
          </w:tcPr>
          <w:p>
            <w:pPr>
              <w:spacing w:after="0" w:before="0"/>
            </w:pPr>
            <w:r/>
            <w:r>
              <w:rPr>
                <w:b w:val="0"/>
                <w:i w:val="0"/>
                <w:sz w:val="15"/>
              </w:rPr>
              <w:t>As triggered.</w:t>
            </w:r>
          </w:p>
        </w:tc>
        <w:tc>
          <w:tcPr>
            <w:tcW w:type="dxa" w:w="2736"/>
          </w:tcPr>
          <w:p>
            <w:pPr>
              <w:spacing w:after="0" w:before="0"/>
            </w:pPr>
            <w:r/>
            <w:r>
              <w:rPr>
                <w:b w:val="0"/>
                <w:i w:val="0"/>
                <w:sz w:val="15"/>
              </w:rPr>
              <w:t>Trigger is ‘occurrence’ — clock may start before Adviser learns of an Administrator cyber incident; Pinnacle SLA has no incident-notice commitment (Issue 12). Passive guideline breaches excluded by Ex. C §7.</w:t>
            </w:r>
          </w:p>
        </w:tc>
      </w:tr>
      <w:tr>
        <w:tc>
          <w:tcPr>
            <w:tcW w:type="dxa" w:w="432"/>
            <w:shd w:val="clear" w:color="auto" w:fill="F2F4F7"/>
          </w:tcPr>
          <w:p>
            <w:pPr>
              <w:spacing w:after="0" w:before="0"/>
            </w:pPr>
            <w:r/>
            <w:r>
              <w:rPr>
                <w:b/>
                <w:i w:val="0"/>
                <w:sz w:val="15"/>
              </w:rPr>
              <w:t>25</w:t>
            </w:r>
          </w:p>
        </w:tc>
        <w:tc>
          <w:tcPr>
            <w:tcW w:type="dxa" w:w="864"/>
            <w:shd w:val="clear" w:color="auto" w:fill="F2F4F7"/>
          </w:tcPr>
          <w:p>
            <w:pPr>
              <w:spacing w:after="0" w:before="0"/>
            </w:pPr>
            <w:r/>
            <w:r>
              <w:rPr>
                <w:b w:val="0"/>
                <w:i w:val="0"/>
                <w:sz w:val="15"/>
              </w:rPr>
              <w:t>Ex. D §2(a)</w:t>
            </w:r>
          </w:p>
        </w:tc>
        <w:tc>
          <w:tcPr>
            <w:tcW w:type="dxa" w:w="3384"/>
            <w:shd w:val="clear" w:color="auto" w:fill="F2F4F7"/>
          </w:tcPr>
          <w:p>
            <w:pPr>
              <w:spacing w:after="0" w:before="0"/>
            </w:pPr>
            <w:r/>
            <w:r>
              <w:rPr>
                <w:b w:val="0"/>
                <w:i w:val="0"/>
                <w:sz w:val="15"/>
              </w:rPr>
              <w:t>MFN disclosure: copies of all Side Letter provisions (excluding commercially sensitive fee terms designated confidential by the LP) sufficient to permit MFN elections under the LPA.</w:t>
            </w:r>
          </w:p>
        </w:tc>
        <w:tc>
          <w:tcPr>
            <w:tcW w:type="dxa" w:w="936"/>
            <w:shd w:val="clear" w:color="auto" w:fill="F2F4F7"/>
          </w:tcPr>
          <w:p>
            <w:pPr>
              <w:spacing w:after="0" w:before="0"/>
            </w:pPr>
            <w:r/>
            <w:r>
              <w:rPr>
                <w:b w:val="0"/>
                <w:i w:val="0"/>
                <w:sz w:val="15"/>
              </w:rPr>
              <w:t>One-time</w:t>
            </w:r>
          </w:p>
        </w:tc>
        <w:tc>
          <w:tcPr>
            <w:tcW w:type="dxa" w:w="1368"/>
            <w:shd w:val="clear" w:color="auto" w:fill="F2F4F7"/>
          </w:tcPr>
          <w:p>
            <w:pPr>
              <w:spacing w:after="0" w:before="0"/>
            </w:pPr>
            <w:r/>
            <w:r>
              <w:rPr>
                <w:b w:val="0"/>
                <w:i w:val="0"/>
                <w:sz w:val="15"/>
              </w:rPr>
              <w:t>Each Limited Partner</w:t>
            </w:r>
          </w:p>
        </w:tc>
        <w:tc>
          <w:tcPr>
            <w:tcW w:type="dxa" w:w="1656"/>
            <w:shd w:val="clear" w:color="auto" w:fill="F2F4F7"/>
          </w:tcPr>
          <w:p>
            <w:pPr>
              <w:spacing w:after="0" w:before="0"/>
            </w:pPr>
            <w:r/>
            <w:r>
              <w:rPr>
                <w:b w:val="0"/>
                <w:i w:val="0"/>
                <w:sz w:val="15"/>
              </w:rPr>
              <w:t>30 calendar days after the Final Close.</w:t>
            </w:r>
          </w:p>
        </w:tc>
        <w:tc>
          <w:tcPr>
            <w:tcW w:type="dxa" w:w="1512"/>
            <w:shd w:val="clear" w:color="auto" w:fill="F2F4F7"/>
          </w:tcPr>
          <w:p>
            <w:pPr>
              <w:spacing w:after="0" w:before="0"/>
            </w:pPr>
            <w:r/>
            <w:r>
              <w:rPr>
                <w:b w:val="0"/>
                <w:i w:val="0"/>
                <w:sz w:val="15"/>
              </w:rPr>
              <w:t>Not specified.</w:t>
            </w:r>
          </w:p>
        </w:tc>
        <w:tc>
          <w:tcPr>
            <w:tcW w:type="dxa" w:w="1512"/>
            <w:shd w:val="clear" w:color="auto" w:fill="F2F4F7"/>
          </w:tcPr>
          <w:p>
            <w:pPr>
              <w:spacing w:after="0" w:before="0"/>
            </w:pPr>
            <w:r/>
            <w:r>
              <w:rPr>
                <w:b w:val="0"/>
                <w:i w:val="0"/>
                <w:sz w:val="15"/>
              </w:rPr>
              <w:t>If Final Close occurs Mar 31, 2025: Wed Apr 30, 2025 (date moves if GP extends Final Close).</w:t>
            </w:r>
          </w:p>
        </w:tc>
        <w:tc>
          <w:tcPr>
            <w:tcW w:type="dxa" w:w="2736"/>
            <w:shd w:val="clear" w:color="auto" w:fill="F2F4F7"/>
          </w:tcPr>
          <w:p>
            <w:pPr>
              <w:spacing w:after="0" w:before="0"/>
            </w:pPr>
            <w:r/>
            <w:r>
              <w:rPr>
                <w:b w:val="0"/>
                <w:i w:val="0"/>
                <w:sz w:val="15"/>
              </w:rPr>
              <w:t>Exhibit D is not a complete summary; actual Side Letters control (Issue 9). Sovereign/Apex enhanced reporting may be elected by others (Issue 25).</w:t>
            </w:r>
          </w:p>
        </w:tc>
      </w:tr>
      <w:tr>
        <w:tc>
          <w:tcPr>
            <w:tcW w:type="dxa" w:w="432"/>
          </w:tcPr>
          <w:p>
            <w:pPr>
              <w:spacing w:after="0" w:before="0"/>
            </w:pPr>
            <w:r/>
            <w:r>
              <w:rPr>
                <w:b/>
                <w:i w:val="0"/>
                <w:sz w:val="15"/>
              </w:rPr>
              <w:t>26</w:t>
            </w:r>
          </w:p>
        </w:tc>
        <w:tc>
          <w:tcPr>
            <w:tcW w:type="dxa" w:w="864"/>
          </w:tcPr>
          <w:p>
            <w:pPr>
              <w:spacing w:after="0" w:before="0"/>
            </w:pPr>
            <w:r/>
            <w:r>
              <w:rPr>
                <w:b w:val="0"/>
                <w:i w:val="0"/>
                <w:sz w:val="15"/>
              </w:rPr>
              <w:t>Ex. D §2(b)</w:t>
            </w:r>
          </w:p>
        </w:tc>
        <w:tc>
          <w:tcPr>
            <w:tcW w:type="dxa" w:w="3384"/>
          </w:tcPr>
          <w:p>
            <w:pPr>
              <w:spacing w:after="0" w:before="0"/>
            </w:pPr>
            <w:r/>
            <w:r>
              <w:rPr>
                <w:b w:val="0"/>
                <w:i w:val="0"/>
                <w:sz w:val="15"/>
              </w:rPr>
              <w:t>Disclosure of any Side Letter entered into after the Final Close: summary of material terms (excluding sensitive fee terms) and statement of each LP’s election right, if any.</w:t>
            </w:r>
          </w:p>
        </w:tc>
        <w:tc>
          <w:tcPr>
            <w:tcW w:type="dxa" w:w="936"/>
          </w:tcPr>
          <w:p>
            <w:pPr>
              <w:spacing w:after="0" w:before="0"/>
            </w:pPr>
            <w:r/>
            <w:r>
              <w:rPr>
                <w:b w:val="0"/>
                <w:i w:val="0"/>
                <w:sz w:val="15"/>
              </w:rPr>
              <w:t>Event-driven</w:t>
            </w:r>
          </w:p>
        </w:tc>
        <w:tc>
          <w:tcPr>
            <w:tcW w:type="dxa" w:w="1368"/>
          </w:tcPr>
          <w:p>
            <w:pPr>
              <w:spacing w:after="0" w:before="0"/>
            </w:pPr>
            <w:r/>
            <w:r>
              <w:rPr>
                <w:b w:val="0"/>
                <w:i w:val="0"/>
                <w:sz w:val="15"/>
              </w:rPr>
              <w:t>All Limited Partners</w:t>
            </w:r>
          </w:p>
        </w:tc>
        <w:tc>
          <w:tcPr>
            <w:tcW w:type="dxa" w:w="1656"/>
          </w:tcPr>
          <w:p>
            <w:pPr>
              <w:spacing w:after="0" w:before="0"/>
            </w:pPr>
            <w:r/>
            <w:r>
              <w:rPr>
                <w:b w:val="0"/>
                <w:i w:val="0"/>
                <w:sz w:val="15"/>
              </w:rPr>
              <w:t>15 Business Days after execution of the Side Letter.</w:t>
            </w:r>
          </w:p>
        </w:tc>
        <w:tc>
          <w:tcPr>
            <w:tcW w:type="dxa" w:w="1512"/>
          </w:tcPr>
          <w:p>
            <w:pPr>
              <w:spacing w:after="0" w:before="0"/>
            </w:pPr>
            <w:r/>
            <w:r>
              <w:rPr>
                <w:b w:val="0"/>
                <w:i w:val="0"/>
                <w:sz w:val="15"/>
              </w:rPr>
              <w:t>Not specified.</w:t>
            </w:r>
          </w:p>
        </w:tc>
        <w:tc>
          <w:tcPr>
            <w:tcW w:type="dxa" w:w="1512"/>
          </w:tcPr>
          <w:p>
            <w:pPr>
              <w:spacing w:after="0" w:before="0"/>
            </w:pPr>
            <w:r/>
            <w:r>
              <w:rPr>
                <w:b w:val="0"/>
                <w:i w:val="0"/>
                <w:sz w:val="15"/>
              </w:rPr>
              <w:t>Post-Final Close, as triggered.</w:t>
            </w:r>
          </w:p>
        </w:tc>
        <w:tc>
          <w:tcPr>
            <w:tcW w:type="dxa" w:w="2736"/>
          </w:tcPr>
          <w:p>
            <w:pPr>
              <w:spacing w:after="0" w:before="0"/>
            </w:pPr>
            <w:r/>
            <w:r>
              <w:rPr>
                <w:b w:val="0"/>
                <w:i w:val="0"/>
                <w:sz w:val="15"/>
              </w:rPr>
              <w:t>Side Letters signed between First Close and Final Close are covered by Item 25.</w:t>
            </w:r>
          </w:p>
        </w:tc>
      </w:tr>
      <w:tr>
        <w:tc>
          <w:tcPr>
            <w:tcW w:type="dxa" w:w="432"/>
            <w:shd w:val="clear" w:color="auto" w:fill="F2F4F7"/>
          </w:tcPr>
          <w:p>
            <w:pPr>
              <w:spacing w:after="0" w:before="0"/>
            </w:pPr>
            <w:r/>
            <w:r>
              <w:rPr>
                <w:b/>
                <w:i w:val="0"/>
                <w:sz w:val="15"/>
              </w:rPr>
              <w:t>27</w:t>
            </w:r>
          </w:p>
        </w:tc>
        <w:tc>
          <w:tcPr>
            <w:tcW w:type="dxa" w:w="864"/>
            <w:shd w:val="clear" w:color="auto" w:fill="F2F4F7"/>
          </w:tcPr>
          <w:p>
            <w:pPr>
              <w:spacing w:after="0" w:before="0"/>
            </w:pPr>
            <w:r/>
            <w:r>
              <w:rPr>
                <w:b w:val="0"/>
                <w:i w:val="0"/>
                <w:sz w:val="15"/>
              </w:rPr>
              <w:t>§7.7</w:t>
            </w:r>
          </w:p>
        </w:tc>
        <w:tc>
          <w:tcPr>
            <w:tcW w:type="dxa" w:w="3384"/>
            <w:shd w:val="clear" w:color="auto" w:fill="F2F4F7"/>
          </w:tcPr>
          <w:p>
            <w:pPr>
              <w:spacing w:after="0" w:before="0"/>
            </w:pPr>
            <w:r/>
            <w:r>
              <w:rPr>
                <w:b w:val="0"/>
                <w:i w:val="0"/>
                <w:sz w:val="15"/>
              </w:rPr>
              <w:t>Cause Administrator to provide Investor Portal login credentials to each LP; maintain security (encryption, multi-factor authentication).</w:t>
            </w:r>
          </w:p>
        </w:tc>
        <w:tc>
          <w:tcPr>
            <w:tcW w:type="dxa" w:w="936"/>
            <w:shd w:val="clear" w:color="auto" w:fill="F2F4F7"/>
          </w:tcPr>
          <w:p>
            <w:pPr>
              <w:spacing w:after="0" w:before="0"/>
            </w:pPr>
            <w:r/>
            <w:r>
              <w:rPr>
                <w:b w:val="0"/>
                <w:i w:val="0"/>
                <w:sz w:val="15"/>
              </w:rPr>
              <w:t>Event-driven (each admission)</w:t>
            </w:r>
          </w:p>
        </w:tc>
        <w:tc>
          <w:tcPr>
            <w:tcW w:type="dxa" w:w="1368"/>
            <w:shd w:val="clear" w:color="auto" w:fill="F2F4F7"/>
          </w:tcPr>
          <w:p>
            <w:pPr>
              <w:spacing w:after="0" w:before="0"/>
            </w:pPr>
            <w:r/>
            <w:r>
              <w:rPr>
                <w:b w:val="0"/>
                <w:i w:val="0"/>
                <w:sz w:val="15"/>
              </w:rPr>
              <w:t>Each newly admitted Limited Partner</w:t>
            </w:r>
          </w:p>
        </w:tc>
        <w:tc>
          <w:tcPr>
            <w:tcW w:type="dxa" w:w="1656"/>
            <w:shd w:val="clear" w:color="auto" w:fill="F2F4F7"/>
          </w:tcPr>
          <w:p>
            <w:pPr>
              <w:spacing w:after="0" w:before="0"/>
            </w:pPr>
            <w:r/>
            <w:r>
              <w:rPr>
                <w:b w:val="0"/>
                <w:i w:val="0"/>
                <w:sz w:val="15"/>
              </w:rPr>
              <w:t>10 Business Days after the LP’s admission to the Fund.</w:t>
            </w:r>
          </w:p>
        </w:tc>
        <w:tc>
          <w:tcPr>
            <w:tcW w:type="dxa" w:w="1512"/>
            <w:shd w:val="clear" w:color="auto" w:fill="F2F4F7"/>
          </w:tcPr>
          <w:p>
            <w:pPr>
              <w:spacing w:after="0" w:before="0"/>
            </w:pPr>
            <w:r/>
            <w:r>
              <w:rPr>
                <w:b w:val="0"/>
                <w:i w:val="0"/>
                <w:sz w:val="15"/>
              </w:rPr>
              <w:t>Electronic (Portal credentials).</w:t>
            </w:r>
          </w:p>
        </w:tc>
        <w:tc>
          <w:tcPr>
            <w:tcW w:type="dxa" w:w="1512"/>
            <w:shd w:val="clear" w:color="auto" w:fill="F2F4F7"/>
          </w:tcPr>
          <w:p>
            <w:pPr>
              <w:spacing w:after="0" w:before="0"/>
            </w:pPr>
            <w:r/>
            <w:r>
              <w:rPr>
                <w:b w:val="0"/>
                <w:i w:val="0"/>
                <w:sz w:val="15"/>
              </w:rPr>
              <w:t>First Close LPs (admitted Oct 1, 2024): Tue Oct 15 or Wed Oct 16, 2024 depending on Columbus Day treatment — confirm completed. Subsequent closings through Final Close.</w:t>
            </w:r>
          </w:p>
        </w:tc>
        <w:tc>
          <w:tcPr>
            <w:tcW w:type="dxa" w:w="2736"/>
            <w:shd w:val="clear" w:color="auto" w:fill="F2F4F7"/>
          </w:tcPr>
          <w:p>
            <w:pPr>
              <w:spacing w:after="0" w:before="0"/>
            </w:pPr>
            <w:r/>
            <w:r>
              <w:rPr>
                <w:b w:val="0"/>
                <w:i w:val="0"/>
                <w:sz w:val="15"/>
              </w:rPr>
              <w:t>Pinnacle needs 3 Business Days after receipt of completed onboarding documents; Adviser must deliver onboarding package within ~7 Business Days of admission (Issue 15).</w:t>
            </w:r>
          </w:p>
        </w:tc>
      </w:tr>
      <w:tr>
        <w:tc>
          <w:tcPr>
            <w:tcW w:type="dxa" w:w="432"/>
          </w:tcPr>
          <w:p>
            <w:pPr>
              <w:spacing w:after="0" w:before="0"/>
            </w:pPr>
            <w:r/>
            <w:r>
              <w:rPr>
                <w:b/>
                <w:i w:val="0"/>
                <w:sz w:val="15"/>
              </w:rPr>
              <w:t>28</w:t>
            </w:r>
          </w:p>
        </w:tc>
        <w:tc>
          <w:tcPr>
            <w:tcW w:type="dxa" w:w="864"/>
          </w:tcPr>
          <w:p>
            <w:pPr>
              <w:spacing w:after="0" w:before="0"/>
            </w:pPr>
            <w:r/>
            <w:r>
              <w:rPr>
                <w:b w:val="0"/>
                <w:i w:val="0"/>
                <w:sz w:val="15"/>
              </w:rPr>
              <w:t>§3.1</w:t>
            </w:r>
          </w:p>
        </w:tc>
        <w:tc>
          <w:tcPr>
            <w:tcW w:type="dxa" w:w="3384"/>
          </w:tcPr>
          <w:p>
            <w:pPr>
              <w:spacing w:after="0" w:before="0"/>
            </w:pPr>
            <w:r/>
            <w:r>
              <w:rPr>
                <w:b w:val="0"/>
                <w:i w:val="0"/>
                <w:sz w:val="15"/>
              </w:rPr>
              <w:t>Written notice of exercise of either one-year extension of the Fund term.</w:t>
            </w:r>
          </w:p>
        </w:tc>
        <w:tc>
          <w:tcPr>
            <w:tcW w:type="dxa" w:w="936"/>
          </w:tcPr>
          <w:p>
            <w:pPr>
              <w:spacing w:after="0" w:before="0"/>
            </w:pPr>
            <w:r/>
            <w:r>
              <w:rPr>
                <w:b w:val="0"/>
                <w:i w:val="0"/>
                <w:sz w:val="15"/>
              </w:rPr>
              <w:t>Event-driven</w:t>
            </w:r>
          </w:p>
        </w:tc>
        <w:tc>
          <w:tcPr>
            <w:tcW w:type="dxa" w:w="1368"/>
          </w:tcPr>
          <w:p>
            <w:pPr>
              <w:spacing w:after="0" w:before="0"/>
            </w:pPr>
            <w:r/>
            <w:r>
              <w:rPr>
                <w:b w:val="0"/>
                <w:i w:val="0"/>
                <w:sz w:val="15"/>
              </w:rPr>
              <w:t>All Limited Partners</w:t>
            </w:r>
          </w:p>
        </w:tc>
        <w:tc>
          <w:tcPr>
            <w:tcW w:type="dxa" w:w="1656"/>
          </w:tcPr>
          <w:p>
            <w:pPr>
              <w:spacing w:after="0" w:before="0"/>
            </w:pPr>
            <w:r/>
            <w:r>
              <w:rPr>
                <w:b w:val="0"/>
                <w:i w:val="0"/>
                <w:sz w:val="15"/>
              </w:rPr>
              <w:t>At least 90 calendar days before expiration of the then-current term (term: 8 years from Final Close).</w:t>
            </w:r>
          </w:p>
        </w:tc>
        <w:tc>
          <w:tcPr>
            <w:tcW w:type="dxa" w:w="1512"/>
          </w:tcPr>
          <w:p>
            <w:pPr>
              <w:spacing w:after="0" w:before="0"/>
            </w:pPr>
            <w:r/>
            <w:r>
              <w:rPr>
                <w:b w:val="0"/>
                <w:i w:val="0"/>
                <w:sz w:val="15"/>
              </w:rPr>
              <w:t>Written notice.</w:t>
            </w:r>
          </w:p>
        </w:tc>
        <w:tc>
          <w:tcPr>
            <w:tcW w:type="dxa" w:w="1512"/>
          </w:tcPr>
          <w:p>
            <w:pPr>
              <w:spacing w:after="0" w:before="0"/>
            </w:pPr>
            <w:r/>
            <w:r>
              <w:rPr>
                <w:b w:val="0"/>
                <w:i w:val="0"/>
                <w:sz w:val="15"/>
              </w:rPr>
              <w:t>Not before ~2032–2033.</w:t>
            </w:r>
          </w:p>
        </w:tc>
        <w:tc>
          <w:tcPr>
            <w:tcW w:type="dxa" w:w="2736"/>
          </w:tcPr>
          <w:p>
            <w:pPr>
              <w:spacing w:after="0" w:before="0"/>
            </w:pPr>
            <w:r/>
            <w:r>
              <w:rPr>
                <w:b w:val="0"/>
                <w:i w:val="0"/>
                <w:sz w:val="15"/>
              </w:rPr>
              <w:t>Long-dated; include in perpetual calendar.</w:t>
            </w:r>
          </w:p>
        </w:tc>
      </w:tr>
      <w:tr>
        <w:tc>
          <w:tcPr>
            <w:tcW w:type="dxa" w:w="432"/>
            <w:shd w:val="clear" w:color="auto" w:fill="F2F4F7"/>
          </w:tcPr>
          <w:p>
            <w:pPr>
              <w:spacing w:after="0" w:before="0"/>
            </w:pPr>
            <w:r/>
            <w:r>
              <w:rPr>
                <w:b/>
                <w:i w:val="0"/>
                <w:sz w:val="15"/>
              </w:rPr>
              <w:t>29</w:t>
            </w:r>
          </w:p>
        </w:tc>
        <w:tc>
          <w:tcPr>
            <w:tcW w:type="dxa" w:w="864"/>
            <w:shd w:val="clear" w:color="auto" w:fill="F2F4F7"/>
          </w:tcPr>
          <w:p>
            <w:pPr>
              <w:spacing w:after="0" w:before="0"/>
            </w:pPr>
            <w:r/>
            <w:r>
              <w:rPr>
                <w:b w:val="0"/>
                <w:i w:val="0"/>
                <w:sz w:val="15"/>
              </w:rPr>
              <w:t>§8.5</w:t>
            </w:r>
          </w:p>
        </w:tc>
        <w:tc>
          <w:tcPr>
            <w:tcW w:type="dxa" w:w="3384"/>
            <w:shd w:val="clear" w:color="auto" w:fill="F2F4F7"/>
          </w:tcPr>
          <w:p>
            <w:pPr>
              <w:spacing w:after="0" w:before="0"/>
            </w:pPr>
            <w:r/>
            <w:r>
              <w:rPr>
                <w:b w:val="0"/>
                <w:i w:val="0"/>
                <w:sz w:val="15"/>
              </w:rPr>
              <w:t>Make books and records available for inspection; retain for at least 5 years from end of the relevant Fiscal Year.</w:t>
            </w:r>
          </w:p>
        </w:tc>
        <w:tc>
          <w:tcPr>
            <w:tcW w:type="dxa" w:w="936"/>
            <w:shd w:val="clear" w:color="auto" w:fill="F2F4F7"/>
          </w:tcPr>
          <w:p>
            <w:pPr>
              <w:spacing w:after="0" w:before="0"/>
            </w:pPr>
            <w:r/>
            <w:r>
              <w:rPr>
                <w:b w:val="0"/>
                <w:i w:val="0"/>
                <w:sz w:val="15"/>
              </w:rPr>
              <w:t>On request</w:t>
            </w:r>
          </w:p>
        </w:tc>
        <w:tc>
          <w:tcPr>
            <w:tcW w:type="dxa" w:w="1368"/>
            <w:shd w:val="clear" w:color="auto" w:fill="F2F4F7"/>
          </w:tcPr>
          <w:p>
            <w:pPr>
              <w:spacing w:after="0" w:before="0"/>
            </w:pPr>
            <w:r/>
            <w:r>
              <w:rPr>
                <w:b w:val="0"/>
                <w:i w:val="0"/>
                <w:sz w:val="15"/>
              </w:rPr>
              <w:t>Limited Partners or authorized representatives</w:t>
            </w:r>
          </w:p>
        </w:tc>
        <w:tc>
          <w:tcPr>
            <w:tcW w:type="dxa" w:w="1656"/>
            <w:shd w:val="clear" w:color="auto" w:fill="F2F4F7"/>
          </w:tcPr>
          <w:p>
            <w:pPr>
              <w:spacing w:after="0" w:before="0"/>
            </w:pPr>
            <w:r/>
            <w:r>
              <w:rPr>
                <w:b w:val="0"/>
                <w:i w:val="0"/>
                <w:sz w:val="15"/>
              </w:rPr>
              <w:t>Upon reasonable prior written notice, during normal business hours.</w:t>
            </w:r>
          </w:p>
        </w:tc>
        <w:tc>
          <w:tcPr>
            <w:tcW w:type="dxa" w:w="1512"/>
            <w:shd w:val="clear" w:color="auto" w:fill="F2F4F7"/>
          </w:tcPr>
          <w:p>
            <w:pPr>
              <w:spacing w:after="0" w:before="0"/>
            </w:pPr>
            <w:r/>
            <w:r>
              <w:rPr>
                <w:b w:val="0"/>
                <w:i w:val="0"/>
                <w:sz w:val="15"/>
              </w:rPr>
              <w:t>Inspection.</w:t>
            </w:r>
          </w:p>
        </w:tc>
        <w:tc>
          <w:tcPr>
            <w:tcW w:type="dxa" w:w="1512"/>
            <w:shd w:val="clear" w:color="auto" w:fill="F2F4F7"/>
          </w:tcPr>
          <w:p>
            <w:pPr>
              <w:spacing w:after="0" w:before="0"/>
            </w:pPr>
            <w:r/>
            <w:r>
              <w:rPr>
                <w:b w:val="0"/>
                <w:i w:val="0"/>
                <w:sz w:val="15"/>
              </w:rPr>
              <w:t>As requested.</w:t>
            </w:r>
          </w:p>
        </w:tc>
        <w:tc>
          <w:tcPr>
            <w:tcW w:type="dxa" w:w="2736"/>
            <w:shd w:val="clear" w:color="auto" w:fill="F2F4F7"/>
          </w:tcPr>
          <w:p>
            <w:pPr>
              <w:spacing w:after="0" w:before="0"/>
            </w:pPr>
            <w:r/>
            <w:r>
              <w:rPr>
                <w:b w:val="0"/>
                <w:i w:val="0"/>
                <w:sz w:val="15"/>
              </w:rPr>
              <w:t>Retention period should be reconciled with Rule 204-2 (generally five years, first two in an appropriate office of the adviser).</w:t>
            </w:r>
          </w:p>
        </w:tc>
      </w:tr>
    </w:tbl>
    <w:p>
      <w:pPr>
        <w:spacing w:after="40"/>
      </w:pPr>
    </w:p>
    <w:p>
      <w:pPr>
        <w:pStyle w:val="Heading2"/>
      </w:pPr>
      <w:r>
        <w:rPr>
          <w:color w:val="1F2A44"/>
        </w:rPr>
        <w:t>E. Regulatory, ERISA and Cross-Border Tax Reporting</w:t>
      </w:r>
    </w:p>
    <w:tbl>
      <w:tblPr>
        <w:tblStyle w:val="TableGrid"/>
        <w:tblW w:type="auto" w:w="0"/>
        <w:jc w:val="center"/>
        <w:tblLayout w:type="fixed"/>
        <w:tblLook w:firstColumn="1" w:firstRow="1" w:lastColumn="0" w:lastRow="0" w:noHBand="0" w:noVBand="1" w:val="04A0"/>
      </w:tblPr>
      <w:tblGrid>
        <w:gridCol w:w="432"/>
        <w:gridCol w:w="864"/>
        <w:gridCol w:w="3384"/>
        <w:gridCol w:w="936"/>
        <w:gridCol w:w="1368"/>
        <w:gridCol w:w="1655"/>
        <w:gridCol w:w="1512"/>
        <w:gridCol w:w="1512"/>
        <w:gridCol w:w="2736"/>
      </w:tblGrid>
      <w:tr>
        <w:trPr>
          <w:tblHeader w:val="true"/>
        </w:trPr>
        <w:tc>
          <w:tcPr>
            <w:tcW w:type="dxa" w:w="432"/>
            <w:shd w:val="clear" w:color="auto" w:fill="1F2A44"/>
          </w:tcPr>
          <w:p>
            <w:pPr>
              <w:spacing w:after="0" w:before="0"/>
            </w:pPr>
            <w:r/>
            <w:r>
              <w:rPr>
                <w:b/>
                <w:i w:val="0"/>
                <w:color w:val="FFFFFF"/>
                <w:sz w:val="15"/>
              </w:rPr>
              <w:t>#</w:t>
            </w:r>
          </w:p>
        </w:tc>
        <w:tc>
          <w:tcPr>
            <w:tcW w:type="dxa" w:w="864"/>
            <w:shd w:val="clear" w:color="auto" w:fill="1F2A44"/>
          </w:tcPr>
          <w:p>
            <w:pPr>
              <w:spacing w:after="0" w:before="0"/>
            </w:pPr>
            <w:r/>
            <w:r>
              <w:rPr>
                <w:b/>
                <w:i w:val="0"/>
                <w:color w:val="FFFFFF"/>
                <w:sz w:val="15"/>
              </w:rPr>
              <w:t>IAA Ref.</w:t>
            </w:r>
          </w:p>
        </w:tc>
        <w:tc>
          <w:tcPr>
            <w:tcW w:type="dxa" w:w="3384"/>
            <w:shd w:val="clear" w:color="auto" w:fill="1F2A44"/>
          </w:tcPr>
          <w:p>
            <w:pPr>
              <w:spacing w:after="0" w:before="0"/>
            </w:pPr>
            <w:r/>
            <w:r>
              <w:rPr>
                <w:b/>
                <w:i w:val="0"/>
                <w:color w:val="FFFFFF"/>
                <w:sz w:val="15"/>
              </w:rPr>
              <w:t>Obligation / Required Content</w:t>
            </w:r>
          </w:p>
        </w:tc>
        <w:tc>
          <w:tcPr>
            <w:tcW w:type="dxa" w:w="936"/>
            <w:shd w:val="clear" w:color="auto" w:fill="1F2A44"/>
          </w:tcPr>
          <w:p>
            <w:pPr>
              <w:spacing w:after="0" w:before="0"/>
            </w:pPr>
            <w:r/>
            <w:r>
              <w:rPr>
                <w:b/>
                <w:i w:val="0"/>
                <w:color w:val="FFFFFF"/>
                <w:sz w:val="15"/>
              </w:rPr>
              <w:t>Frequency</w:t>
            </w:r>
          </w:p>
        </w:tc>
        <w:tc>
          <w:tcPr>
            <w:tcW w:type="dxa" w:w="1368"/>
            <w:shd w:val="clear" w:color="auto" w:fill="1F2A44"/>
          </w:tcPr>
          <w:p>
            <w:pPr>
              <w:spacing w:after="0" w:before="0"/>
            </w:pPr>
            <w:r/>
            <w:r>
              <w:rPr>
                <w:b/>
                <w:i w:val="0"/>
                <w:color w:val="FFFFFF"/>
                <w:sz w:val="15"/>
              </w:rPr>
              <w:t>Recipient(s)</w:t>
            </w:r>
          </w:p>
        </w:tc>
        <w:tc>
          <w:tcPr>
            <w:tcW w:type="dxa" w:w="1656"/>
            <w:shd w:val="clear" w:color="auto" w:fill="1F2A44"/>
          </w:tcPr>
          <w:p>
            <w:pPr>
              <w:spacing w:after="0" w:before="0"/>
            </w:pPr>
            <w:r/>
            <w:r>
              <w:rPr>
                <w:b/>
                <w:i w:val="0"/>
                <w:color w:val="FFFFFF"/>
                <w:sz w:val="15"/>
              </w:rPr>
              <w:t>Deadline &amp; Trigger</w:t>
            </w:r>
          </w:p>
        </w:tc>
        <w:tc>
          <w:tcPr>
            <w:tcW w:type="dxa" w:w="1512"/>
            <w:shd w:val="clear" w:color="auto" w:fill="1F2A44"/>
          </w:tcPr>
          <w:p>
            <w:pPr>
              <w:spacing w:after="0" w:before="0"/>
            </w:pPr>
            <w:r/>
            <w:r>
              <w:rPr>
                <w:b/>
                <w:i w:val="0"/>
                <w:color w:val="FFFFFF"/>
                <w:sz w:val="15"/>
              </w:rPr>
              <w:t>Format / Delivery</w:t>
            </w:r>
          </w:p>
        </w:tc>
        <w:tc>
          <w:tcPr>
            <w:tcW w:type="dxa" w:w="1512"/>
            <w:shd w:val="clear" w:color="auto" w:fill="1F2A44"/>
          </w:tcPr>
          <w:p>
            <w:pPr>
              <w:spacing w:after="0" w:before="0"/>
            </w:pPr>
            <w:r/>
            <w:r>
              <w:rPr>
                <w:b/>
                <w:i w:val="0"/>
                <w:color w:val="FFFFFF"/>
                <w:sz w:val="15"/>
              </w:rPr>
              <w:t>First Due (FY2024 cycle)</w:t>
            </w:r>
          </w:p>
        </w:tc>
        <w:tc>
          <w:tcPr>
            <w:tcW w:type="dxa" w:w="2736"/>
            <w:shd w:val="clear" w:color="auto" w:fill="1F2A44"/>
          </w:tcPr>
          <w:p>
            <w:pPr>
              <w:spacing w:after="0" w:before="0"/>
            </w:pPr>
            <w:r/>
            <w:r>
              <w:rPr>
                <w:b/>
                <w:i w:val="0"/>
                <w:color w:val="FFFFFF"/>
                <w:sz w:val="15"/>
              </w:rPr>
              <w:t>Issues / Flags</w:t>
            </w:r>
          </w:p>
        </w:tc>
      </w:tr>
      <w:tr>
        <w:tc>
          <w:tcPr>
            <w:tcW w:type="dxa" w:w="432"/>
          </w:tcPr>
          <w:p>
            <w:pPr>
              <w:spacing w:after="0" w:before="0"/>
            </w:pPr>
            <w:r/>
            <w:r>
              <w:rPr>
                <w:b/>
                <w:i w:val="0"/>
                <w:sz w:val="15"/>
              </w:rPr>
              <w:t>30</w:t>
            </w:r>
          </w:p>
        </w:tc>
        <w:tc>
          <w:tcPr>
            <w:tcW w:type="dxa" w:w="864"/>
          </w:tcPr>
          <w:p>
            <w:pPr>
              <w:spacing w:after="0" w:before="0"/>
            </w:pPr>
            <w:r/>
            <w:r>
              <w:rPr>
                <w:b w:val="0"/>
                <w:i w:val="0"/>
                <w:sz w:val="15"/>
              </w:rPr>
              <w:t>§9.2(a)</w:t>
            </w:r>
          </w:p>
        </w:tc>
        <w:tc>
          <w:tcPr>
            <w:tcW w:type="dxa" w:w="3384"/>
          </w:tcPr>
          <w:p>
            <w:pPr>
              <w:spacing w:after="0" w:before="0"/>
            </w:pPr>
            <w:r/>
            <w:r>
              <w:rPr>
                <w:b w:val="0"/>
                <w:i w:val="0"/>
                <w:sz w:val="15"/>
              </w:rPr>
              <w:t>Quarterly calculation of the Fund’s Benefit Plan Investor percentage by class of equity interest, applying Plan Asset Regulation exemptions and exclusions.</w:t>
            </w:r>
          </w:p>
        </w:tc>
        <w:tc>
          <w:tcPr>
            <w:tcW w:type="dxa" w:w="936"/>
          </w:tcPr>
          <w:p>
            <w:pPr>
              <w:spacing w:after="0" w:before="0"/>
            </w:pPr>
            <w:r/>
            <w:r>
              <w:rPr>
                <w:b w:val="0"/>
                <w:i w:val="0"/>
                <w:sz w:val="15"/>
              </w:rPr>
              <w:t>Quarterly</w:t>
            </w:r>
          </w:p>
        </w:tc>
        <w:tc>
          <w:tcPr>
            <w:tcW w:type="dxa" w:w="1368"/>
          </w:tcPr>
          <w:p>
            <w:pPr>
              <w:spacing w:after="0" w:before="0"/>
            </w:pPr>
            <w:r/>
            <w:r>
              <w:rPr>
                <w:b w:val="0"/>
                <w:i w:val="0"/>
                <w:sz w:val="15"/>
              </w:rPr>
              <w:t>Each Benefit Plan Investor and the LPAC</w:t>
            </w:r>
          </w:p>
        </w:tc>
        <w:tc>
          <w:tcPr>
            <w:tcW w:type="dxa" w:w="1656"/>
          </w:tcPr>
          <w:p>
            <w:pPr>
              <w:spacing w:after="0" w:before="0"/>
            </w:pPr>
            <w:r/>
            <w:r>
              <w:rPr>
                <w:b w:val="0"/>
                <w:i w:val="0"/>
                <w:sz w:val="15"/>
              </w:rPr>
              <w:t>30 calendar days after end of each fiscal quarter.</w:t>
            </w:r>
          </w:p>
        </w:tc>
        <w:tc>
          <w:tcPr>
            <w:tcW w:type="dxa" w:w="1512"/>
          </w:tcPr>
          <w:p>
            <w:pPr>
              <w:spacing w:after="0" w:before="0"/>
            </w:pPr>
            <w:r/>
            <w:r>
              <w:rPr>
                <w:b w:val="0"/>
                <w:i w:val="0"/>
                <w:sz w:val="15"/>
              </w:rPr>
              <w:t>Not specified.</w:t>
            </w:r>
          </w:p>
        </w:tc>
        <w:tc>
          <w:tcPr>
            <w:tcW w:type="dxa" w:w="1512"/>
          </w:tcPr>
          <w:p>
            <w:pPr>
              <w:spacing w:after="0" w:before="0"/>
            </w:pPr>
            <w:r/>
            <w:r>
              <w:rPr>
                <w:b w:val="0"/>
                <w:i w:val="0"/>
                <w:sz w:val="15"/>
              </w:rPr>
              <w:t>Q4 2024: Thu Jan 30, 2025.</w:t>
            </w:r>
          </w:p>
        </w:tc>
        <w:tc>
          <w:tcPr>
            <w:tcW w:type="dxa" w:w="2736"/>
          </w:tcPr>
          <w:p>
            <w:pPr>
              <w:spacing w:after="0" w:before="0"/>
            </w:pPr>
            <w:r/>
            <w:r>
              <w:rPr>
                <w:b w:val="0"/>
                <w:i w:val="0"/>
                <w:sz w:val="15"/>
              </w:rPr>
              <w:t>HIGH. Pinnacle delivers BPI calculation only within the Day 35 package (Day 40 for initial quarter) (Issue 5). Whether any BPIs exist must be confirmed (Issue 18).</w:t>
            </w:r>
          </w:p>
        </w:tc>
      </w:tr>
      <w:tr>
        <w:tc>
          <w:tcPr>
            <w:tcW w:type="dxa" w:w="432"/>
            <w:shd w:val="clear" w:color="auto" w:fill="F2F4F7"/>
          </w:tcPr>
          <w:p>
            <w:pPr>
              <w:spacing w:after="0" w:before="0"/>
            </w:pPr>
            <w:r/>
            <w:r>
              <w:rPr>
                <w:b/>
                <w:i w:val="0"/>
                <w:sz w:val="15"/>
              </w:rPr>
              <w:t>31</w:t>
            </w:r>
          </w:p>
        </w:tc>
        <w:tc>
          <w:tcPr>
            <w:tcW w:type="dxa" w:w="864"/>
            <w:shd w:val="clear" w:color="auto" w:fill="F2F4F7"/>
          </w:tcPr>
          <w:p>
            <w:pPr>
              <w:spacing w:after="0" w:before="0"/>
            </w:pPr>
            <w:r/>
            <w:r>
              <w:rPr>
                <w:b w:val="0"/>
                <w:i w:val="0"/>
                <w:sz w:val="15"/>
              </w:rPr>
              <w:t>§9.2(b)</w:t>
            </w:r>
          </w:p>
        </w:tc>
        <w:tc>
          <w:tcPr>
            <w:tcW w:type="dxa" w:w="3384"/>
            <w:shd w:val="clear" w:color="auto" w:fill="F2F4F7"/>
          </w:tcPr>
          <w:p>
            <w:pPr>
              <w:spacing w:after="0" w:before="0"/>
            </w:pPr>
            <w:r/>
            <w:r>
              <w:rPr>
                <w:b w:val="0"/>
                <w:i w:val="0"/>
                <w:sz w:val="15"/>
              </w:rPr>
              <w:t>Written notice if BPI percentage exceeds 25% of any class of equity interest, describing circumstances and proposed remedial actions.</w:t>
            </w:r>
          </w:p>
        </w:tc>
        <w:tc>
          <w:tcPr>
            <w:tcW w:type="dxa" w:w="936"/>
            <w:shd w:val="clear" w:color="auto" w:fill="F2F4F7"/>
          </w:tcPr>
          <w:p>
            <w:pPr>
              <w:spacing w:after="0" w:before="0"/>
            </w:pPr>
            <w:r/>
            <w:r>
              <w:rPr>
                <w:b w:val="0"/>
                <w:i w:val="0"/>
                <w:sz w:val="15"/>
              </w:rPr>
              <w:t>Event-driven</w:t>
            </w:r>
          </w:p>
        </w:tc>
        <w:tc>
          <w:tcPr>
            <w:tcW w:type="dxa" w:w="1368"/>
            <w:shd w:val="clear" w:color="auto" w:fill="F2F4F7"/>
          </w:tcPr>
          <w:p>
            <w:pPr>
              <w:spacing w:after="0" w:before="0"/>
            </w:pPr>
            <w:r/>
            <w:r>
              <w:rPr>
                <w:b w:val="0"/>
                <w:i w:val="0"/>
                <w:sz w:val="15"/>
              </w:rPr>
              <w:t>Each Benefit Plan Investor and the LPAC</w:t>
            </w:r>
          </w:p>
        </w:tc>
        <w:tc>
          <w:tcPr>
            <w:tcW w:type="dxa" w:w="1656"/>
            <w:shd w:val="clear" w:color="auto" w:fill="F2F4F7"/>
          </w:tcPr>
          <w:p>
            <w:pPr>
              <w:spacing w:after="0" w:before="0"/>
            </w:pPr>
            <w:r/>
            <w:r>
              <w:rPr>
                <w:b w:val="0"/>
                <w:i w:val="0"/>
                <w:sz w:val="15"/>
              </w:rPr>
              <w:t>10 Business Days (trigger not stated — occurrence vs. identification).</w:t>
            </w:r>
          </w:p>
        </w:tc>
        <w:tc>
          <w:tcPr>
            <w:tcW w:type="dxa" w:w="1512"/>
            <w:shd w:val="clear" w:color="auto" w:fill="F2F4F7"/>
          </w:tcPr>
          <w:p>
            <w:pPr>
              <w:spacing w:after="0" w:before="0"/>
            </w:pPr>
            <w:r/>
            <w:r>
              <w:rPr>
                <w:b w:val="0"/>
                <w:i w:val="0"/>
                <w:sz w:val="15"/>
              </w:rPr>
              <w:t>Written notice.</w:t>
            </w:r>
          </w:p>
        </w:tc>
        <w:tc>
          <w:tcPr>
            <w:tcW w:type="dxa" w:w="1512"/>
            <w:shd w:val="clear" w:color="auto" w:fill="F2F4F7"/>
          </w:tcPr>
          <w:p>
            <w:pPr>
              <w:spacing w:after="0" w:before="0"/>
            </w:pPr>
            <w:r/>
            <w:r>
              <w:rPr>
                <w:b w:val="0"/>
                <w:i w:val="0"/>
                <w:sz w:val="15"/>
              </w:rPr>
              <w:t>Test at each subsequent closing and transfer through Final Close (Mar 31, 2025 target).</w:t>
            </w:r>
          </w:p>
        </w:tc>
        <w:tc>
          <w:tcPr>
            <w:tcW w:type="dxa" w:w="2736"/>
            <w:shd w:val="clear" w:color="auto" w:fill="F2F4F7"/>
          </w:tcPr>
          <w:p>
            <w:pPr>
              <w:spacing w:after="0" w:before="0"/>
            </w:pPr>
            <w:r/>
            <w:r>
              <w:rPr>
                <w:b w:val="0"/>
                <w:i w:val="0"/>
                <w:sz w:val="15"/>
              </w:rPr>
              <w:t>Issue 18: after-the-fact notice is not a substitute for pre-closing testing; plan-asset status consequences.</w:t>
            </w:r>
          </w:p>
        </w:tc>
      </w:tr>
      <w:tr>
        <w:tc>
          <w:tcPr>
            <w:tcW w:type="dxa" w:w="432"/>
          </w:tcPr>
          <w:p>
            <w:pPr>
              <w:spacing w:after="0" w:before="0"/>
            </w:pPr>
            <w:r/>
            <w:r>
              <w:rPr>
                <w:b/>
                <w:i w:val="0"/>
                <w:sz w:val="15"/>
              </w:rPr>
              <w:t>32</w:t>
            </w:r>
          </w:p>
        </w:tc>
        <w:tc>
          <w:tcPr>
            <w:tcW w:type="dxa" w:w="864"/>
          </w:tcPr>
          <w:p>
            <w:pPr>
              <w:spacing w:after="0" w:before="0"/>
            </w:pPr>
            <w:r/>
            <w:r>
              <w:rPr>
                <w:b w:val="0"/>
                <w:i w:val="0"/>
                <w:sz w:val="15"/>
              </w:rPr>
              <w:t>§9.2 (final para.); Ex. D §7</w:t>
            </w:r>
          </w:p>
        </w:tc>
        <w:tc>
          <w:tcPr>
            <w:tcW w:type="dxa" w:w="3384"/>
          </w:tcPr>
          <w:p>
            <w:pPr>
              <w:spacing w:after="0" w:before="0"/>
            </w:pPr>
            <w:r/>
            <w:r>
              <w:rPr>
                <w:b w:val="0"/>
                <w:i w:val="0"/>
                <w:sz w:val="15"/>
              </w:rPr>
              <w:t>Cooperate with BPI requests for information necessary for ERISA compliance; maintain BPI tracking records.</w:t>
            </w:r>
          </w:p>
        </w:tc>
        <w:tc>
          <w:tcPr>
            <w:tcW w:type="dxa" w:w="936"/>
          </w:tcPr>
          <w:p>
            <w:pPr>
              <w:spacing w:after="0" w:before="0"/>
            </w:pPr>
            <w:r/>
            <w:r>
              <w:rPr>
                <w:b w:val="0"/>
                <w:i w:val="0"/>
                <w:sz w:val="15"/>
              </w:rPr>
              <w:t>On request / ongoing</w:t>
            </w:r>
          </w:p>
        </w:tc>
        <w:tc>
          <w:tcPr>
            <w:tcW w:type="dxa" w:w="1368"/>
          </w:tcPr>
          <w:p>
            <w:pPr>
              <w:spacing w:after="0" w:before="0"/>
            </w:pPr>
            <w:r/>
            <w:r>
              <w:rPr>
                <w:b w:val="0"/>
                <w:i w:val="0"/>
                <w:sz w:val="15"/>
              </w:rPr>
              <w:t>Benefit Plan Investors</w:t>
            </w:r>
          </w:p>
        </w:tc>
        <w:tc>
          <w:tcPr>
            <w:tcW w:type="dxa" w:w="1656"/>
          </w:tcPr>
          <w:p>
            <w:pPr>
              <w:spacing w:after="0" w:before="0"/>
            </w:pPr>
            <w:r/>
            <w:r>
              <w:rPr>
                <w:b w:val="0"/>
                <w:i w:val="0"/>
                <w:sz w:val="15"/>
              </w:rPr>
              <w:t>No deadline.</w:t>
            </w:r>
          </w:p>
        </w:tc>
        <w:tc>
          <w:tcPr>
            <w:tcW w:type="dxa" w:w="1512"/>
          </w:tcPr>
          <w:p>
            <w:pPr>
              <w:spacing w:after="0" w:before="0"/>
            </w:pPr>
            <w:r/>
            <w:r>
              <w:rPr>
                <w:b w:val="0"/>
                <w:i w:val="0"/>
                <w:sz w:val="15"/>
              </w:rPr>
              <w:t>Not specified.</w:t>
            </w:r>
          </w:p>
        </w:tc>
        <w:tc>
          <w:tcPr>
            <w:tcW w:type="dxa" w:w="1512"/>
          </w:tcPr>
          <w:p>
            <w:pPr>
              <w:spacing w:after="0" w:before="0"/>
            </w:pPr>
            <w:r/>
            <w:r>
              <w:rPr>
                <w:b w:val="0"/>
                <w:i w:val="0"/>
                <w:sz w:val="15"/>
              </w:rPr>
              <w:t>Ongoing.</w:t>
            </w:r>
          </w:p>
        </w:tc>
        <w:tc>
          <w:tcPr>
            <w:tcW w:type="dxa" w:w="2736"/>
          </w:tcPr>
          <w:p>
            <w:pPr>
              <w:spacing w:after="0" w:before="0"/>
            </w:pPr>
            <w:r/>
            <w:r>
              <w:rPr>
                <w:b w:val="0"/>
                <w:i w:val="0"/>
                <w:sz w:val="15"/>
              </w:rPr>
              <w:t>Duplicative of Ex. D §7; no conflict.</w:t>
            </w:r>
          </w:p>
        </w:tc>
      </w:tr>
      <w:tr>
        <w:tc>
          <w:tcPr>
            <w:tcW w:type="dxa" w:w="432"/>
            <w:shd w:val="clear" w:color="auto" w:fill="F2F4F7"/>
          </w:tcPr>
          <w:p>
            <w:pPr>
              <w:spacing w:after="0" w:before="0"/>
            </w:pPr>
            <w:r/>
            <w:r>
              <w:rPr>
                <w:b/>
                <w:i w:val="0"/>
                <w:sz w:val="15"/>
              </w:rPr>
              <w:t>33</w:t>
            </w:r>
          </w:p>
        </w:tc>
        <w:tc>
          <w:tcPr>
            <w:tcW w:type="dxa" w:w="864"/>
            <w:shd w:val="clear" w:color="auto" w:fill="F2F4F7"/>
          </w:tcPr>
          <w:p>
            <w:pPr>
              <w:spacing w:after="0" w:before="0"/>
            </w:pPr>
            <w:r/>
            <w:r>
              <w:rPr>
                <w:b w:val="0"/>
                <w:i w:val="0"/>
                <w:sz w:val="15"/>
              </w:rPr>
              <w:t>§9.2(c)</w:t>
            </w:r>
          </w:p>
        </w:tc>
        <w:tc>
          <w:tcPr>
            <w:tcW w:type="dxa" w:w="3384"/>
            <w:shd w:val="clear" w:color="auto" w:fill="F2F4F7"/>
          </w:tcPr>
          <w:p>
            <w:pPr>
              <w:spacing w:after="0" w:before="0"/>
            </w:pPr>
            <w:r/>
            <w:r>
              <w:rPr>
                <w:b w:val="0"/>
                <w:i w:val="0"/>
                <w:sz w:val="15"/>
              </w:rPr>
              <w:t>Annual ERISA compliance certificate certifying Adviser’s compliance with applicable ERISA and Plan Asset Regulation provisions during preceding Fiscal Year.</w:t>
            </w:r>
          </w:p>
        </w:tc>
        <w:tc>
          <w:tcPr>
            <w:tcW w:type="dxa" w:w="936"/>
            <w:shd w:val="clear" w:color="auto" w:fill="F2F4F7"/>
          </w:tcPr>
          <w:p>
            <w:pPr>
              <w:spacing w:after="0" w:before="0"/>
            </w:pPr>
            <w:r/>
            <w:r>
              <w:rPr>
                <w:b w:val="0"/>
                <w:i w:val="0"/>
                <w:sz w:val="15"/>
              </w:rPr>
              <w:t>Annual</w:t>
            </w:r>
          </w:p>
        </w:tc>
        <w:tc>
          <w:tcPr>
            <w:tcW w:type="dxa" w:w="1368"/>
            <w:shd w:val="clear" w:color="auto" w:fill="F2F4F7"/>
          </w:tcPr>
          <w:p>
            <w:pPr>
              <w:spacing w:after="0" w:before="0"/>
            </w:pPr>
            <w:r/>
            <w:r>
              <w:rPr>
                <w:b w:val="0"/>
                <w:i w:val="0"/>
                <w:sz w:val="15"/>
              </w:rPr>
              <w:t>Each Benefit Plan Investor</w:t>
            </w:r>
          </w:p>
        </w:tc>
        <w:tc>
          <w:tcPr>
            <w:tcW w:type="dxa" w:w="1656"/>
            <w:shd w:val="clear" w:color="auto" w:fill="F2F4F7"/>
          </w:tcPr>
          <w:p>
            <w:pPr>
              <w:spacing w:after="0" w:before="0"/>
            </w:pPr>
            <w:r/>
            <w:r>
              <w:rPr>
                <w:b w:val="0"/>
                <w:i w:val="0"/>
                <w:sz w:val="15"/>
              </w:rPr>
              <w:t>90 calendar days after end of each Fiscal Year.</w:t>
            </w:r>
          </w:p>
        </w:tc>
        <w:tc>
          <w:tcPr>
            <w:tcW w:type="dxa" w:w="1512"/>
            <w:shd w:val="clear" w:color="auto" w:fill="F2F4F7"/>
          </w:tcPr>
          <w:p>
            <w:pPr>
              <w:spacing w:after="0" w:before="0"/>
            </w:pPr>
            <w:r/>
            <w:r>
              <w:rPr>
                <w:b w:val="0"/>
                <w:i w:val="0"/>
                <w:sz w:val="15"/>
              </w:rPr>
              <w:t>Certificate (form not specified).</w:t>
            </w:r>
          </w:p>
        </w:tc>
        <w:tc>
          <w:tcPr>
            <w:tcW w:type="dxa" w:w="1512"/>
            <w:shd w:val="clear" w:color="auto" w:fill="F2F4F7"/>
          </w:tcPr>
          <w:p>
            <w:pPr>
              <w:spacing w:after="0" w:before="0"/>
            </w:pPr>
            <w:r/>
            <w:r>
              <w:rPr>
                <w:b w:val="0"/>
                <w:i w:val="0"/>
                <w:sz w:val="15"/>
              </w:rPr>
              <w:t>FY2024: Mon Mar 31, 2025.</w:t>
            </w:r>
          </w:p>
        </w:tc>
        <w:tc>
          <w:tcPr>
            <w:tcW w:type="dxa" w:w="2736"/>
            <w:shd w:val="clear" w:color="auto" w:fill="F2F4F7"/>
          </w:tcPr>
          <w:p>
            <w:pPr>
              <w:spacing w:after="0" w:before="0"/>
            </w:pPr>
            <w:r/>
            <w:r>
              <w:rPr>
                <w:b w:val="0"/>
                <w:i w:val="0"/>
                <w:sz w:val="15"/>
              </w:rPr>
              <w:t>Substance unclear if the Fund is not holding plan assets (Issue 18).</w:t>
            </w:r>
          </w:p>
        </w:tc>
      </w:tr>
      <w:tr>
        <w:tc>
          <w:tcPr>
            <w:tcW w:type="dxa" w:w="432"/>
          </w:tcPr>
          <w:p>
            <w:pPr>
              <w:spacing w:after="0" w:before="0"/>
            </w:pPr>
            <w:r/>
            <w:r>
              <w:rPr>
                <w:b/>
                <w:i w:val="0"/>
                <w:sz w:val="15"/>
              </w:rPr>
              <w:t>34</w:t>
            </w:r>
          </w:p>
        </w:tc>
        <w:tc>
          <w:tcPr>
            <w:tcW w:type="dxa" w:w="864"/>
          </w:tcPr>
          <w:p>
            <w:pPr>
              <w:spacing w:after="0" w:before="0"/>
            </w:pPr>
            <w:r/>
            <w:r>
              <w:rPr>
                <w:b w:val="0"/>
                <w:i w:val="0"/>
                <w:sz w:val="15"/>
              </w:rPr>
              <w:t>§8.4(a)</w:t>
            </w:r>
          </w:p>
        </w:tc>
        <w:tc>
          <w:tcPr>
            <w:tcW w:type="dxa" w:w="3384"/>
          </w:tcPr>
          <w:p>
            <w:pPr>
              <w:spacing w:after="0" w:before="0"/>
            </w:pPr>
            <w:r/>
            <w:r>
              <w:rPr>
                <w:b w:val="0"/>
                <w:i w:val="0"/>
                <w:sz w:val="15"/>
              </w:rPr>
              <w:t>File Form PF with the SEC as required.</w:t>
            </w:r>
          </w:p>
        </w:tc>
        <w:tc>
          <w:tcPr>
            <w:tcW w:type="dxa" w:w="936"/>
          </w:tcPr>
          <w:p>
            <w:pPr>
              <w:spacing w:after="0" w:before="0"/>
            </w:pPr>
            <w:r/>
            <w:r>
              <w:rPr>
                <w:b w:val="0"/>
                <w:i w:val="0"/>
                <w:sz w:val="15"/>
              </w:rPr>
              <w:t>Per SEC rules (annual or quarterly depending on filer category)</w:t>
            </w:r>
          </w:p>
        </w:tc>
        <w:tc>
          <w:tcPr>
            <w:tcW w:type="dxa" w:w="1368"/>
          </w:tcPr>
          <w:p>
            <w:pPr>
              <w:spacing w:after="0" w:before="0"/>
            </w:pPr>
            <w:r/>
            <w:r>
              <w:rPr>
                <w:b w:val="0"/>
                <w:i w:val="0"/>
                <w:sz w:val="15"/>
              </w:rPr>
              <w:t>SEC</w:t>
            </w:r>
          </w:p>
        </w:tc>
        <w:tc>
          <w:tcPr>
            <w:tcW w:type="dxa" w:w="1656"/>
          </w:tcPr>
          <w:p>
            <w:pPr>
              <w:spacing w:after="0" w:before="0"/>
            </w:pPr>
            <w:r/>
            <w:r>
              <w:rPr>
                <w:b w:val="0"/>
                <w:i w:val="0"/>
                <w:sz w:val="15"/>
              </w:rPr>
              <w:t>Per Form PF instructions (e.g., annual filers: within 120 days of Adviser fiscal year-end; large hedge fund advisers: within 60 days of quarter-end; event-driven current/quarterly event reports where applicable).</w:t>
            </w:r>
          </w:p>
        </w:tc>
        <w:tc>
          <w:tcPr>
            <w:tcW w:type="dxa" w:w="1512"/>
          </w:tcPr>
          <w:p>
            <w:pPr>
              <w:spacing w:after="0" w:before="0"/>
            </w:pPr>
            <w:r/>
            <w:r>
              <w:rPr>
                <w:b w:val="0"/>
                <w:i w:val="0"/>
                <w:sz w:val="15"/>
              </w:rPr>
              <w:t>Electronic filing via PFRD.</w:t>
            </w:r>
          </w:p>
        </w:tc>
        <w:tc>
          <w:tcPr>
            <w:tcW w:type="dxa" w:w="1512"/>
          </w:tcPr>
          <w:p>
            <w:pPr>
              <w:spacing w:after="0" w:before="0"/>
            </w:pPr>
            <w:r/>
            <w:r>
              <w:rPr>
                <w:b w:val="0"/>
                <w:i w:val="0"/>
                <w:sz w:val="15"/>
              </w:rPr>
              <w:t>FY2024 annual (if annual filer): Wed Apr 30, 2025. Pinnacle data inputs: Day 30 (Jan 30, 2025).</w:t>
            </w:r>
          </w:p>
        </w:tc>
        <w:tc>
          <w:tcPr>
            <w:tcW w:type="dxa" w:w="2736"/>
          </w:tcPr>
          <w:p>
            <w:pPr>
              <w:spacing w:after="0" w:before="0"/>
            </w:pPr>
            <w:r/>
            <w:r>
              <w:rPr>
                <w:b w:val="0"/>
                <w:i w:val="0"/>
                <w:sz w:val="15"/>
              </w:rPr>
              <w:t>Fund classification for Form PF purposes should be confirmed given leverage of up to 1.0x commitments (Issue 20).</w:t>
            </w:r>
          </w:p>
        </w:tc>
      </w:tr>
      <w:tr>
        <w:tc>
          <w:tcPr>
            <w:tcW w:type="dxa" w:w="432"/>
            <w:shd w:val="clear" w:color="auto" w:fill="F2F4F7"/>
          </w:tcPr>
          <w:p>
            <w:pPr>
              <w:spacing w:after="0" w:before="0"/>
            </w:pPr>
            <w:r/>
            <w:r>
              <w:rPr>
                <w:b/>
                <w:i w:val="0"/>
                <w:sz w:val="15"/>
              </w:rPr>
              <w:t>35</w:t>
            </w:r>
          </w:p>
        </w:tc>
        <w:tc>
          <w:tcPr>
            <w:tcW w:type="dxa" w:w="864"/>
            <w:shd w:val="clear" w:color="auto" w:fill="F2F4F7"/>
          </w:tcPr>
          <w:p>
            <w:pPr>
              <w:spacing w:after="0" w:before="0"/>
            </w:pPr>
            <w:r/>
            <w:r>
              <w:rPr>
                <w:b w:val="0"/>
                <w:i w:val="0"/>
                <w:sz w:val="15"/>
              </w:rPr>
              <w:t>§9.5; Ex. D §6</w:t>
            </w:r>
          </w:p>
        </w:tc>
        <w:tc>
          <w:tcPr>
            <w:tcW w:type="dxa" w:w="3384"/>
            <w:shd w:val="clear" w:color="auto" w:fill="F2F4F7"/>
          </w:tcPr>
          <w:p>
            <w:pPr>
              <w:spacing w:after="0" w:before="0"/>
            </w:pPr>
            <w:r/>
            <w:r>
              <w:rPr>
                <w:b w:val="0"/>
                <w:i w:val="0"/>
                <w:sz w:val="15"/>
              </w:rPr>
              <w:t>Annual tax information statement to each non-U.S. LP sufficient for FATCA/CRS/IGA reporting; Fund-level FATCA/CRS compliance; cooperation with non-U.S. LP information requests.</w:t>
            </w:r>
          </w:p>
        </w:tc>
        <w:tc>
          <w:tcPr>
            <w:tcW w:type="dxa" w:w="936"/>
            <w:shd w:val="clear" w:color="auto" w:fill="F2F4F7"/>
          </w:tcPr>
          <w:p>
            <w:pPr>
              <w:spacing w:after="0" w:before="0"/>
            </w:pPr>
            <w:r/>
            <w:r>
              <w:rPr>
                <w:b w:val="0"/>
                <w:i w:val="0"/>
                <w:sz w:val="15"/>
              </w:rPr>
              <w:t>Annual (plus on request)</w:t>
            </w:r>
          </w:p>
        </w:tc>
        <w:tc>
          <w:tcPr>
            <w:tcW w:type="dxa" w:w="1368"/>
            <w:shd w:val="clear" w:color="auto" w:fill="F2F4F7"/>
          </w:tcPr>
          <w:p>
            <w:pPr>
              <w:spacing w:after="0" w:before="0"/>
            </w:pPr>
            <w:r/>
            <w:r>
              <w:rPr>
                <w:b w:val="0"/>
                <w:i w:val="0"/>
                <w:sz w:val="15"/>
              </w:rPr>
              <w:t>Each non-U.S. Limited Partner</w:t>
            </w:r>
          </w:p>
        </w:tc>
        <w:tc>
          <w:tcPr>
            <w:tcW w:type="dxa" w:w="1656"/>
            <w:shd w:val="clear" w:color="auto" w:fill="F2F4F7"/>
          </w:tcPr>
          <w:p>
            <w:pPr>
              <w:spacing w:after="0" w:before="0"/>
            </w:pPr>
            <w:r/>
            <w:r>
              <w:rPr>
                <w:b w:val="0"/>
                <w:i w:val="0"/>
                <w:sz w:val="15"/>
              </w:rPr>
              <w:t>90 calendar days after end of each Fiscal Year.</w:t>
            </w:r>
          </w:p>
        </w:tc>
        <w:tc>
          <w:tcPr>
            <w:tcW w:type="dxa" w:w="1512"/>
            <w:shd w:val="clear" w:color="auto" w:fill="F2F4F7"/>
          </w:tcPr>
          <w:p>
            <w:pPr>
              <w:spacing w:after="0" w:before="0"/>
            </w:pPr>
            <w:r/>
            <w:r>
              <w:rPr>
                <w:b w:val="0"/>
                <w:i w:val="0"/>
                <w:sz w:val="15"/>
              </w:rPr>
              <w:t>Form reasonably designed to allow LP compliance.</w:t>
            </w:r>
          </w:p>
        </w:tc>
        <w:tc>
          <w:tcPr>
            <w:tcW w:type="dxa" w:w="1512"/>
            <w:shd w:val="clear" w:color="auto" w:fill="F2F4F7"/>
          </w:tcPr>
          <w:p>
            <w:pPr>
              <w:spacing w:after="0" w:before="0"/>
            </w:pPr>
            <w:r/>
            <w:r>
              <w:rPr>
                <w:b w:val="0"/>
                <w:i w:val="0"/>
                <w:sz w:val="15"/>
              </w:rPr>
              <w:t>FY2024: Mon Mar 31, 2025.</w:t>
            </w:r>
          </w:p>
        </w:tc>
        <w:tc>
          <w:tcPr>
            <w:tcW w:type="dxa" w:w="2736"/>
            <w:shd w:val="clear" w:color="auto" w:fill="F2F4F7"/>
          </w:tcPr>
          <w:p>
            <w:pPr>
              <w:spacing w:after="0" w:before="0"/>
            </w:pPr>
            <w:r/>
            <w:r>
              <w:rPr>
                <w:b w:val="0"/>
                <w:i w:val="0"/>
                <w:sz w:val="15"/>
              </w:rPr>
              <w:t>Pinnacle FATCA/CRS data Day 45 (Feb 14) leaves ~6 weeks; feasible. Confirm whether any non-U.S. LPs exist; IRS withholding-agent filings are outside the IAA (Issue 22).</w:t>
            </w:r>
          </w:p>
        </w:tc>
      </w:tr>
      <w:tr>
        <w:tc>
          <w:tcPr>
            <w:tcW w:type="dxa" w:w="432"/>
          </w:tcPr>
          <w:p>
            <w:pPr>
              <w:spacing w:after="0" w:before="0"/>
            </w:pPr>
            <w:r/>
            <w:r>
              <w:rPr>
                <w:b/>
                <w:i w:val="0"/>
                <w:sz w:val="15"/>
              </w:rPr>
              <w:t>36</w:t>
            </w:r>
          </w:p>
        </w:tc>
        <w:tc>
          <w:tcPr>
            <w:tcW w:type="dxa" w:w="864"/>
          </w:tcPr>
          <w:p>
            <w:pPr>
              <w:spacing w:after="0" w:before="0"/>
            </w:pPr>
            <w:r/>
            <w:r>
              <w:rPr>
                <w:b w:val="0"/>
                <w:i w:val="0"/>
                <w:sz w:val="15"/>
              </w:rPr>
              <w:t>§8.4(d)</w:t>
            </w:r>
          </w:p>
        </w:tc>
        <w:tc>
          <w:tcPr>
            <w:tcW w:type="dxa" w:w="3384"/>
          </w:tcPr>
          <w:p>
            <w:pPr>
              <w:spacing w:after="0" w:before="0"/>
            </w:pPr>
            <w:r/>
            <w:r>
              <w:rPr>
                <w:b w:val="0"/>
                <w:i w:val="0"/>
                <w:sz w:val="15"/>
              </w:rPr>
              <w:t>Prepare and file all other regulatory filings, including Form D (Regulation D) and state blue sky notice filings.</w:t>
            </w:r>
          </w:p>
        </w:tc>
        <w:tc>
          <w:tcPr>
            <w:tcW w:type="dxa" w:w="936"/>
          </w:tcPr>
          <w:p>
            <w:pPr>
              <w:spacing w:after="0" w:before="0"/>
            </w:pPr>
            <w:r/>
            <w:r>
              <w:rPr>
                <w:b w:val="0"/>
                <w:i w:val="0"/>
                <w:sz w:val="15"/>
              </w:rPr>
              <w:t>Event-driven / annual</w:t>
            </w:r>
          </w:p>
        </w:tc>
        <w:tc>
          <w:tcPr>
            <w:tcW w:type="dxa" w:w="1368"/>
          </w:tcPr>
          <w:p>
            <w:pPr>
              <w:spacing w:after="0" w:before="0"/>
            </w:pPr>
            <w:r/>
            <w:r>
              <w:rPr>
                <w:b w:val="0"/>
                <w:i w:val="0"/>
                <w:sz w:val="15"/>
              </w:rPr>
              <w:t>SEC; state securities regulators</w:t>
            </w:r>
          </w:p>
        </w:tc>
        <w:tc>
          <w:tcPr>
            <w:tcW w:type="dxa" w:w="1656"/>
          </w:tcPr>
          <w:p>
            <w:pPr>
              <w:spacing w:after="0" w:before="0"/>
            </w:pPr>
            <w:r/>
            <w:r>
              <w:rPr>
                <w:b w:val="0"/>
                <w:i w:val="0"/>
                <w:sz w:val="15"/>
              </w:rPr>
              <w:t>Form D: within 15 calendar days after first sale (and amendments, including annual amendment while offering continues); state notice filings per each state’s rules.</w:t>
            </w:r>
          </w:p>
        </w:tc>
        <w:tc>
          <w:tcPr>
            <w:tcW w:type="dxa" w:w="1512"/>
          </w:tcPr>
          <w:p>
            <w:pPr>
              <w:spacing w:after="0" w:before="0"/>
            </w:pPr>
            <w:r/>
            <w:r>
              <w:rPr>
                <w:b w:val="0"/>
                <w:i w:val="0"/>
                <w:sz w:val="15"/>
              </w:rPr>
              <w:t>Electronic (EDGAR / NASAA EFD).</w:t>
            </w:r>
          </w:p>
        </w:tc>
        <w:tc>
          <w:tcPr>
            <w:tcW w:type="dxa" w:w="1512"/>
          </w:tcPr>
          <w:p>
            <w:pPr>
              <w:spacing w:after="0" w:before="0"/>
            </w:pPr>
            <w:r/>
            <w:r>
              <w:rPr>
                <w:b w:val="0"/>
                <w:i w:val="0"/>
                <w:sz w:val="15"/>
              </w:rPr>
              <w:t>Initial Form D: Wed Oct 16, 2024 (first sale Oct 1, 2024) — confirm filed. Amendments for subsequent closings / material changes as required.</w:t>
            </w:r>
          </w:p>
        </w:tc>
        <w:tc>
          <w:tcPr>
            <w:tcW w:type="dxa" w:w="2736"/>
          </w:tcPr>
          <w:p>
            <w:pPr>
              <w:spacing w:after="0" w:before="0"/>
            </w:pPr>
            <w:r/>
            <w:r>
              <w:rPr>
                <w:b w:val="0"/>
                <w:i w:val="0"/>
                <w:sz w:val="15"/>
              </w:rPr>
              <w:t>Confirm filing status immediately; not an LP deliverable but within the IAA covenant.</w:t>
            </w:r>
          </w:p>
        </w:tc>
      </w:tr>
    </w:tbl>
    <w:p>
      <w:pPr>
        <w:spacing w:after="40"/>
      </w:pPr>
    </w:p>
    <w:p>
      <w:pPr>
        <w:pStyle w:val="Heading2"/>
      </w:pPr>
      <w:r>
        <w:rPr>
          <w:color w:val="1F2A44"/>
        </w:rPr>
        <w:t>F. Investor-Specific Side Letter Reporting (Exhibit D)</w:t>
      </w:r>
    </w:p>
    <w:tbl>
      <w:tblPr>
        <w:tblStyle w:val="TableGrid"/>
        <w:tblW w:type="auto" w:w="0"/>
        <w:jc w:val="center"/>
        <w:tblLayout w:type="fixed"/>
        <w:tblLook w:firstColumn="1" w:firstRow="1" w:lastColumn="0" w:lastRow="0" w:noHBand="0" w:noVBand="1" w:val="04A0"/>
      </w:tblPr>
      <w:tblGrid>
        <w:gridCol w:w="432"/>
        <w:gridCol w:w="864"/>
        <w:gridCol w:w="3384"/>
        <w:gridCol w:w="936"/>
        <w:gridCol w:w="1368"/>
        <w:gridCol w:w="1655"/>
        <w:gridCol w:w="1512"/>
        <w:gridCol w:w="1512"/>
        <w:gridCol w:w="2736"/>
      </w:tblGrid>
      <w:tr>
        <w:trPr>
          <w:tblHeader w:val="true"/>
        </w:trPr>
        <w:tc>
          <w:tcPr>
            <w:tcW w:type="dxa" w:w="432"/>
            <w:shd w:val="clear" w:color="auto" w:fill="1F2A44"/>
          </w:tcPr>
          <w:p>
            <w:pPr>
              <w:spacing w:after="0" w:before="0"/>
            </w:pPr>
            <w:r/>
            <w:r>
              <w:rPr>
                <w:b/>
                <w:i w:val="0"/>
                <w:color w:val="FFFFFF"/>
                <w:sz w:val="15"/>
              </w:rPr>
              <w:t>#</w:t>
            </w:r>
          </w:p>
        </w:tc>
        <w:tc>
          <w:tcPr>
            <w:tcW w:type="dxa" w:w="864"/>
            <w:shd w:val="clear" w:color="auto" w:fill="1F2A44"/>
          </w:tcPr>
          <w:p>
            <w:pPr>
              <w:spacing w:after="0" w:before="0"/>
            </w:pPr>
            <w:r/>
            <w:r>
              <w:rPr>
                <w:b/>
                <w:i w:val="0"/>
                <w:color w:val="FFFFFF"/>
                <w:sz w:val="15"/>
              </w:rPr>
              <w:t>IAA Ref.</w:t>
            </w:r>
          </w:p>
        </w:tc>
        <w:tc>
          <w:tcPr>
            <w:tcW w:type="dxa" w:w="3384"/>
            <w:shd w:val="clear" w:color="auto" w:fill="1F2A44"/>
          </w:tcPr>
          <w:p>
            <w:pPr>
              <w:spacing w:after="0" w:before="0"/>
            </w:pPr>
            <w:r/>
            <w:r>
              <w:rPr>
                <w:b/>
                <w:i w:val="0"/>
                <w:color w:val="FFFFFF"/>
                <w:sz w:val="15"/>
              </w:rPr>
              <w:t>Obligation / Required Content</w:t>
            </w:r>
          </w:p>
        </w:tc>
        <w:tc>
          <w:tcPr>
            <w:tcW w:type="dxa" w:w="936"/>
            <w:shd w:val="clear" w:color="auto" w:fill="1F2A44"/>
          </w:tcPr>
          <w:p>
            <w:pPr>
              <w:spacing w:after="0" w:before="0"/>
            </w:pPr>
            <w:r/>
            <w:r>
              <w:rPr>
                <w:b/>
                <w:i w:val="0"/>
                <w:color w:val="FFFFFF"/>
                <w:sz w:val="15"/>
              </w:rPr>
              <w:t>Frequency</w:t>
            </w:r>
          </w:p>
        </w:tc>
        <w:tc>
          <w:tcPr>
            <w:tcW w:type="dxa" w:w="1368"/>
            <w:shd w:val="clear" w:color="auto" w:fill="1F2A44"/>
          </w:tcPr>
          <w:p>
            <w:pPr>
              <w:spacing w:after="0" w:before="0"/>
            </w:pPr>
            <w:r/>
            <w:r>
              <w:rPr>
                <w:b/>
                <w:i w:val="0"/>
                <w:color w:val="FFFFFF"/>
                <w:sz w:val="15"/>
              </w:rPr>
              <w:t>Recipient(s)</w:t>
            </w:r>
          </w:p>
        </w:tc>
        <w:tc>
          <w:tcPr>
            <w:tcW w:type="dxa" w:w="1656"/>
            <w:shd w:val="clear" w:color="auto" w:fill="1F2A44"/>
          </w:tcPr>
          <w:p>
            <w:pPr>
              <w:spacing w:after="0" w:before="0"/>
            </w:pPr>
            <w:r/>
            <w:r>
              <w:rPr>
                <w:b/>
                <w:i w:val="0"/>
                <w:color w:val="FFFFFF"/>
                <w:sz w:val="15"/>
              </w:rPr>
              <w:t>Deadline &amp; Trigger</w:t>
            </w:r>
          </w:p>
        </w:tc>
        <w:tc>
          <w:tcPr>
            <w:tcW w:type="dxa" w:w="1512"/>
            <w:shd w:val="clear" w:color="auto" w:fill="1F2A44"/>
          </w:tcPr>
          <w:p>
            <w:pPr>
              <w:spacing w:after="0" w:before="0"/>
            </w:pPr>
            <w:r/>
            <w:r>
              <w:rPr>
                <w:b/>
                <w:i w:val="0"/>
                <w:color w:val="FFFFFF"/>
                <w:sz w:val="15"/>
              </w:rPr>
              <w:t>Format / Delivery</w:t>
            </w:r>
          </w:p>
        </w:tc>
        <w:tc>
          <w:tcPr>
            <w:tcW w:type="dxa" w:w="1512"/>
            <w:shd w:val="clear" w:color="auto" w:fill="1F2A44"/>
          </w:tcPr>
          <w:p>
            <w:pPr>
              <w:spacing w:after="0" w:before="0"/>
            </w:pPr>
            <w:r/>
            <w:r>
              <w:rPr>
                <w:b/>
                <w:i w:val="0"/>
                <w:color w:val="FFFFFF"/>
                <w:sz w:val="15"/>
              </w:rPr>
              <w:t>First Due (FY2024 cycle)</w:t>
            </w:r>
          </w:p>
        </w:tc>
        <w:tc>
          <w:tcPr>
            <w:tcW w:type="dxa" w:w="2736"/>
            <w:shd w:val="clear" w:color="auto" w:fill="1F2A44"/>
          </w:tcPr>
          <w:p>
            <w:pPr>
              <w:spacing w:after="0" w:before="0"/>
            </w:pPr>
            <w:r/>
            <w:r>
              <w:rPr>
                <w:b/>
                <w:i w:val="0"/>
                <w:color w:val="FFFFFF"/>
                <w:sz w:val="15"/>
              </w:rPr>
              <w:t>Issues / Flags</w:t>
            </w:r>
          </w:p>
        </w:tc>
      </w:tr>
      <w:tr>
        <w:tc>
          <w:tcPr>
            <w:tcW w:type="dxa" w:w="432"/>
          </w:tcPr>
          <w:p>
            <w:pPr>
              <w:spacing w:after="0" w:before="0"/>
            </w:pPr>
            <w:r/>
            <w:r>
              <w:rPr>
                <w:b/>
                <w:i w:val="0"/>
                <w:sz w:val="15"/>
              </w:rPr>
              <w:t>37</w:t>
            </w:r>
          </w:p>
        </w:tc>
        <w:tc>
          <w:tcPr>
            <w:tcW w:type="dxa" w:w="864"/>
          </w:tcPr>
          <w:p>
            <w:pPr>
              <w:spacing w:after="0" w:before="0"/>
            </w:pPr>
            <w:r/>
            <w:r>
              <w:rPr>
                <w:b w:val="0"/>
                <w:i w:val="0"/>
                <w:sz w:val="15"/>
              </w:rPr>
              <w:t>Ex. D §5(a)</w:t>
            </w:r>
          </w:p>
        </w:tc>
        <w:tc>
          <w:tcPr>
            <w:tcW w:type="dxa" w:w="3384"/>
          </w:tcPr>
          <w:p>
            <w:pPr>
              <w:spacing w:after="0" w:before="0"/>
            </w:pPr>
            <w:r/>
            <w:r>
              <w:rPr>
                <w:b w:val="0"/>
                <w:i w:val="0"/>
                <w:sz w:val="15"/>
              </w:rPr>
              <w:t>Monthly NAV estimate for Sovereign Bridge Insurance Co.: estimated NAV as of month-end (available data and reasonable estimates) plus summary of material changes in portfolio composition since prior month-end. Preliminary; subject to revision on completion of quarterly financial statements.</w:t>
            </w:r>
          </w:p>
        </w:tc>
        <w:tc>
          <w:tcPr>
            <w:tcW w:type="dxa" w:w="936"/>
          </w:tcPr>
          <w:p>
            <w:pPr>
              <w:spacing w:after="0" w:before="0"/>
            </w:pPr>
            <w:r/>
            <w:r>
              <w:rPr>
                <w:b w:val="0"/>
                <w:i w:val="0"/>
                <w:sz w:val="15"/>
              </w:rPr>
              <w:t>Monthly</w:t>
            </w:r>
          </w:p>
        </w:tc>
        <w:tc>
          <w:tcPr>
            <w:tcW w:type="dxa" w:w="1368"/>
          </w:tcPr>
          <w:p>
            <w:pPr>
              <w:spacing w:after="0" w:before="0"/>
            </w:pPr>
            <w:r/>
            <w:r>
              <w:rPr>
                <w:b w:val="0"/>
                <w:i w:val="0"/>
                <w:sz w:val="15"/>
              </w:rPr>
              <w:t>Sovereign Bridge Insurance Co.</w:t>
            </w:r>
          </w:p>
        </w:tc>
        <w:tc>
          <w:tcPr>
            <w:tcW w:type="dxa" w:w="1656"/>
          </w:tcPr>
          <w:p>
            <w:pPr>
              <w:spacing w:after="0" w:before="0"/>
            </w:pPr>
            <w:r/>
            <w:r>
              <w:rPr>
                <w:b w:val="0"/>
                <w:i w:val="0"/>
                <w:sz w:val="15"/>
              </w:rPr>
              <w:t>20 calendar days after end of each calendar month.</w:t>
            </w:r>
          </w:p>
        </w:tc>
        <w:tc>
          <w:tcPr>
            <w:tcW w:type="dxa" w:w="1512"/>
          </w:tcPr>
          <w:p>
            <w:pPr>
              <w:spacing w:after="0" w:before="0"/>
            </w:pPr>
            <w:r/>
            <w:r>
              <w:rPr>
                <w:b w:val="0"/>
                <w:i w:val="0"/>
                <w:sz w:val="15"/>
              </w:rPr>
              <w:t>Not specified.</w:t>
            </w:r>
          </w:p>
        </w:tc>
        <w:tc>
          <w:tcPr>
            <w:tcW w:type="dxa" w:w="1512"/>
          </w:tcPr>
          <w:p>
            <w:pPr>
              <w:spacing w:after="0" w:before="0"/>
            </w:pPr>
            <w:r/>
            <w:r>
              <w:rPr>
                <w:b w:val="0"/>
                <w:i w:val="0"/>
                <w:sz w:val="15"/>
              </w:rPr>
              <w:t>Oct 2024: Wed Nov 20, 2024. Nov 2024: Fri Dec 20, 2024. Dec 2024: Mon Jan 20, 2025 (MLK Day).</w:t>
            </w:r>
          </w:p>
        </w:tc>
        <w:tc>
          <w:tcPr>
            <w:tcW w:type="dxa" w:w="2736"/>
          </w:tcPr>
          <w:p>
            <w:pPr>
              <w:spacing w:after="0" w:before="0"/>
            </w:pPr>
            <w:r/>
            <w:r>
              <w:rPr>
                <w:b w:val="0"/>
                <w:i w:val="0"/>
                <w:sz w:val="15"/>
              </w:rPr>
              <w:t>CRITICAL. Pinnacle monthly NAV estimate is Day 25 — 5 days after the Sovereign deadline (Issue 3). First deliveries due now.</w:t>
            </w:r>
          </w:p>
        </w:tc>
      </w:tr>
      <w:tr>
        <w:tc>
          <w:tcPr>
            <w:tcW w:type="dxa" w:w="432"/>
            <w:shd w:val="clear" w:color="auto" w:fill="F2F4F7"/>
          </w:tcPr>
          <w:p>
            <w:pPr>
              <w:spacing w:after="0" w:before="0"/>
            </w:pPr>
            <w:r/>
            <w:r>
              <w:rPr>
                <w:b/>
                <w:i w:val="0"/>
                <w:sz w:val="15"/>
              </w:rPr>
              <w:t>38</w:t>
            </w:r>
          </w:p>
        </w:tc>
        <w:tc>
          <w:tcPr>
            <w:tcW w:type="dxa" w:w="864"/>
            <w:shd w:val="clear" w:color="auto" w:fill="F2F4F7"/>
          </w:tcPr>
          <w:p>
            <w:pPr>
              <w:spacing w:after="0" w:before="0"/>
            </w:pPr>
            <w:r/>
            <w:r>
              <w:rPr>
                <w:b w:val="0"/>
                <w:i w:val="0"/>
                <w:sz w:val="15"/>
              </w:rPr>
              <w:t>Ex. D §5(b)</w:t>
            </w:r>
          </w:p>
        </w:tc>
        <w:tc>
          <w:tcPr>
            <w:tcW w:type="dxa" w:w="3384"/>
            <w:shd w:val="clear" w:color="auto" w:fill="F2F4F7"/>
          </w:tcPr>
          <w:p>
            <w:pPr>
              <w:spacing w:after="0" w:before="0"/>
            </w:pPr>
            <w:r/>
            <w:r>
              <w:rPr>
                <w:b w:val="0"/>
                <w:i w:val="0"/>
                <w:sz w:val="15"/>
              </w:rPr>
              <w:t>Quarterly regulatory capital impact analysis: data sufficient for Sovereign to assess statutory capital and RBC impact — asset classification data, NAIC designations (to the extent available), credit quality assessments and other reasonably requested information.</w:t>
            </w:r>
          </w:p>
        </w:tc>
        <w:tc>
          <w:tcPr>
            <w:tcW w:type="dxa" w:w="936"/>
            <w:shd w:val="clear" w:color="auto" w:fill="F2F4F7"/>
          </w:tcPr>
          <w:p>
            <w:pPr>
              <w:spacing w:after="0" w:before="0"/>
            </w:pPr>
            <w:r/>
            <w:r>
              <w:rPr>
                <w:b w:val="0"/>
                <w:i w:val="0"/>
                <w:sz w:val="15"/>
              </w:rPr>
              <w:t>Quarterly</w:t>
            </w:r>
          </w:p>
        </w:tc>
        <w:tc>
          <w:tcPr>
            <w:tcW w:type="dxa" w:w="1368"/>
            <w:shd w:val="clear" w:color="auto" w:fill="F2F4F7"/>
          </w:tcPr>
          <w:p>
            <w:pPr>
              <w:spacing w:after="0" w:before="0"/>
            </w:pPr>
            <w:r/>
            <w:r>
              <w:rPr>
                <w:b w:val="0"/>
                <w:i w:val="0"/>
                <w:sz w:val="15"/>
              </w:rPr>
              <w:t>Sovereign Bridge Insurance Co.</w:t>
            </w:r>
          </w:p>
        </w:tc>
        <w:tc>
          <w:tcPr>
            <w:tcW w:type="dxa" w:w="1656"/>
            <w:shd w:val="clear" w:color="auto" w:fill="F2F4F7"/>
          </w:tcPr>
          <w:p>
            <w:pPr>
              <w:spacing w:after="0" w:before="0"/>
            </w:pPr>
            <w:r/>
            <w:r>
              <w:rPr>
                <w:b w:val="0"/>
                <w:i w:val="0"/>
                <w:sz w:val="15"/>
              </w:rPr>
              <w:t>60 calendar days after end of each fiscal quarter.</w:t>
            </w:r>
          </w:p>
        </w:tc>
        <w:tc>
          <w:tcPr>
            <w:tcW w:type="dxa" w:w="1512"/>
            <w:shd w:val="clear" w:color="auto" w:fill="F2F4F7"/>
          </w:tcPr>
          <w:p>
            <w:pPr>
              <w:spacing w:after="0" w:before="0"/>
            </w:pPr>
            <w:r/>
            <w:r>
              <w:rPr>
                <w:b w:val="0"/>
                <w:i w:val="0"/>
                <w:sz w:val="15"/>
              </w:rPr>
              <w:t>Format reasonably acceptable to Sovereign Bridge.</w:t>
            </w:r>
          </w:p>
        </w:tc>
        <w:tc>
          <w:tcPr>
            <w:tcW w:type="dxa" w:w="1512"/>
            <w:shd w:val="clear" w:color="auto" w:fill="F2F4F7"/>
          </w:tcPr>
          <w:p>
            <w:pPr>
              <w:spacing w:after="0" w:before="0"/>
            </w:pPr>
            <w:r/>
            <w:r>
              <w:rPr>
                <w:b w:val="0"/>
                <w:i w:val="0"/>
                <w:sz w:val="15"/>
              </w:rPr>
              <w:t>Q4 2024: Sat Mar 1, 2025 (operative Fri Feb 28).</w:t>
            </w:r>
          </w:p>
        </w:tc>
        <w:tc>
          <w:tcPr>
            <w:tcW w:type="dxa" w:w="2736"/>
            <w:shd w:val="clear" w:color="auto" w:fill="F2F4F7"/>
          </w:tcPr>
          <w:p>
            <w:pPr>
              <w:spacing w:after="0" w:before="0"/>
            </w:pPr>
            <w:r/>
            <w:r>
              <w:rPr>
                <w:b w:val="0"/>
                <w:i w:val="0"/>
                <w:sz w:val="15"/>
              </w:rPr>
              <w:t>Same day as §7.1 statements; template not yet agreed; open-ended ‘other information’ (Issue 21).</w:t>
            </w:r>
          </w:p>
        </w:tc>
      </w:tr>
      <w:tr>
        <w:tc>
          <w:tcPr>
            <w:tcW w:type="dxa" w:w="432"/>
          </w:tcPr>
          <w:p>
            <w:pPr>
              <w:spacing w:after="0" w:before="0"/>
            </w:pPr>
            <w:r/>
            <w:r>
              <w:rPr>
                <w:b/>
                <w:i w:val="0"/>
                <w:sz w:val="15"/>
              </w:rPr>
              <w:t>39</w:t>
            </w:r>
          </w:p>
        </w:tc>
        <w:tc>
          <w:tcPr>
            <w:tcW w:type="dxa" w:w="864"/>
          </w:tcPr>
          <w:p>
            <w:pPr>
              <w:spacing w:after="0" w:before="0"/>
            </w:pPr>
            <w:r/>
            <w:r>
              <w:rPr>
                <w:b w:val="0"/>
                <w:i w:val="0"/>
                <w:sz w:val="15"/>
              </w:rPr>
              <w:t>Ex. D §8(a)</w:t>
            </w:r>
          </w:p>
        </w:tc>
        <w:tc>
          <w:tcPr>
            <w:tcW w:type="dxa" w:w="3384"/>
          </w:tcPr>
          <w:p>
            <w:pPr>
              <w:spacing w:after="0" w:before="0"/>
            </w:pPr>
            <w:r/>
            <w:r>
              <w:rPr>
                <w:b w:val="0"/>
                <w:i w:val="0"/>
                <w:sz w:val="15"/>
              </w:rPr>
              <w:t>Quarterly placement agent disclosure certificate certifying compliance with the Adviser’s representations regarding placement agents and political contributions in connection with the Fund, covering the quarter then ended.</w:t>
            </w:r>
          </w:p>
        </w:tc>
        <w:tc>
          <w:tcPr>
            <w:tcW w:type="dxa" w:w="936"/>
          </w:tcPr>
          <w:p>
            <w:pPr>
              <w:spacing w:after="0" w:before="0"/>
            </w:pPr>
            <w:r/>
            <w:r>
              <w:rPr>
                <w:b w:val="0"/>
                <w:i w:val="0"/>
                <w:sz w:val="15"/>
              </w:rPr>
              <w:t>Quarterly</w:t>
            </w:r>
          </w:p>
        </w:tc>
        <w:tc>
          <w:tcPr>
            <w:tcW w:type="dxa" w:w="1368"/>
          </w:tcPr>
          <w:p>
            <w:pPr>
              <w:spacing w:after="0" w:before="0"/>
            </w:pPr>
            <w:r/>
            <w:r>
              <w:rPr>
                <w:b w:val="0"/>
                <w:i w:val="0"/>
                <w:sz w:val="15"/>
              </w:rPr>
              <w:t>Apex State Pension System (designated contact)</w:t>
            </w:r>
          </w:p>
        </w:tc>
        <w:tc>
          <w:tcPr>
            <w:tcW w:type="dxa" w:w="1656"/>
          </w:tcPr>
          <w:p>
            <w:pPr>
              <w:spacing w:after="0" w:before="0"/>
            </w:pPr>
            <w:r/>
            <w:r>
              <w:rPr>
                <w:b w:val="0"/>
                <w:i w:val="0"/>
                <w:sz w:val="15"/>
              </w:rPr>
              <w:t>30 calendar days after end of each fiscal quarter.</w:t>
            </w:r>
          </w:p>
        </w:tc>
        <w:tc>
          <w:tcPr>
            <w:tcW w:type="dxa" w:w="1512"/>
          </w:tcPr>
          <w:p>
            <w:pPr>
              <w:spacing w:after="0" w:before="0"/>
            </w:pPr>
            <w:r/>
            <w:r>
              <w:rPr>
                <w:b w:val="0"/>
                <w:i w:val="0"/>
                <w:sz w:val="15"/>
              </w:rPr>
              <w:t>Form reasonably acceptable to Apex; Investor Portal or e-mail to Apex’s designated contact.</w:t>
            </w:r>
          </w:p>
        </w:tc>
        <w:tc>
          <w:tcPr>
            <w:tcW w:type="dxa" w:w="1512"/>
          </w:tcPr>
          <w:p>
            <w:pPr>
              <w:spacing w:after="0" w:before="0"/>
            </w:pPr>
            <w:r/>
            <w:r>
              <w:rPr>
                <w:b w:val="0"/>
                <w:i w:val="0"/>
                <w:sz w:val="15"/>
              </w:rPr>
              <w:t>Q4 2024: Thu Jan 30, 2025.</w:t>
            </w:r>
          </w:p>
        </w:tc>
        <w:tc>
          <w:tcPr>
            <w:tcW w:type="dxa" w:w="2736"/>
          </w:tcPr>
          <w:p>
            <w:pPr>
              <w:spacing w:after="0" w:before="0"/>
            </w:pPr>
            <w:r/>
            <w:r>
              <w:rPr>
                <w:b w:val="0"/>
                <w:i w:val="0"/>
                <w:sz w:val="15"/>
              </w:rPr>
              <w:t>HIGH. The referenced ‘representations’ do not appear in the IAA (undefined); no placement agent was used, so the certificate is a negative certification plus pay-to-play compliance (Issue 8).</w:t>
            </w:r>
          </w:p>
        </w:tc>
      </w:tr>
      <w:tr>
        <w:tc>
          <w:tcPr>
            <w:tcW w:type="dxa" w:w="432"/>
            <w:shd w:val="clear" w:color="auto" w:fill="F2F4F7"/>
          </w:tcPr>
          <w:p>
            <w:pPr>
              <w:spacing w:after="0" w:before="0"/>
            </w:pPr>
            <w:r/>
            <w:r>
              <w:rPr>
                <w:b/>
                <w:i w:val="0"/>
                <w:sz w:val="15"/>
              </w:rPr>
              <w:t>40</w:t>
            </w:r>
          </w:p>
        </w:tc>
        <w:tc>
          <w:tcPr>
            <w:tcW w:type="dxa" w:w="864"/>
            <w:shd w:val="clear" w:color="auto" w:fill="F2F4F7"/>
          </w:tcPr>
          <w:p>
            <w:pPr>
              <w:spacing w:after="0" w:before="0"/>
            </w:pPr>
            <w:r/>
            <w:r>
              <w:rPr>
                <w:b w:val="0"/>
                <w:i w:val="0"/>
                <w:sz w:val="15"/>
              </w:rPr>
              <w:t>Ex. D §8(b)</w:t>
            </w:r>
          </w:p>
        </w:tc>
        <w:tc>
          <w:tcPr>
            <w:tcW w:type="dxa" w:w="3384"/>
            <w:shd w:val="clear" w:color="auto" w:fill="F2F4F7"/>
          </w:tcPr>
          <w:p>
            <w:pPr>
              <w:spacing w:after="0" w:before="0"/>
            </w:pPr>
            <w:r/>
            <w:r>
              <w:rPr>
                <w:b w:val="0"/>
                <w:i w:val="0"/>
                <w:sz w:val="15"/>
              </w:rPr>
              <w:t>Annual ‘Freedom of Information Act’ compliance certificate: confirms Adviser’s awareness that Apex may be subject to public records requests, and certifies that the Adviser has identified all information provided to Apex during the preceding Fiscal Year that it considers confidential, proprietary or exempt from disclosure.</w:t>
            </w:r>
          </w:p>
        </w:tc>
        <w:tc>
          <w:tcPr>
            <w:tcW w:type="dxa" w:w="936"/>
            <w:shd w:val="clear" w:color="auto" w:fill="F2F4F7"/>
          </w:tcPr>
          <w:p>
            <w:pPr>
              <w:spacing w:after="0" w:before="0"/>
            </w:pPr>
            <w:r/>
            <w:r>
              <w:rPr>
                <w:b w:val="0"/>
                <w:i w:val="0"/>
                <w:sz w:val="15"/>
              </w:rPr>
              <w:t>Annual</w:t>
            </w:r>
          </w:p>
        </w:tc>
        <w:tc>
          <w:tcPr>
            <w:tcW w:type="dxa" w:w="1368"/>
            <w:shd w:val="clear" w:color="auto" w:fill="F2F4F7"/>
          </w:tcPr>
          <w:p>
            <w:pPr>
              <w:spacing w:after="0" w:before="0"/>
            </w:pPr>
            <w:r/>
            <w:r>
              <w:rPr>
                <w:b w:val="0"/>
                <w:i w:val="0"/>
                <w:sz w:val="15"/>
              </w:rPr>
              <w:t>Apex State Pension System</w:t>
            </w:r>
          </w:p>
        </w:tc>
        <w:tc>
          <w:tcPr>
            <w:tcW w:type="dxa" w:w="1656"/>
            <w:shd w:val="clear" w:color="auto" w:fill="F2F4F7"/>
          </w:tcPr>
          <w:p>
            <w:pPr>
              <w:spacing w:after="0" w:before="0"/>
            </w:pPr>
            <w:r/>
            <w:r>
              <w:rPr>
                <w:b w:val="0"/>
                <w:i w:val="0"/>
                <w:sz w:val="15"/>
              </w:rPr>
              <w:t>90 calendar days after end of each Fiscal Year.</w:t>
            </w:r>
          </w:p>
        </w:tc>
        <w:tc>
          <w:tcPr>
            <w:tcW w:type="dxa" w:w="1512"/>
            <w:shd w:val="clear" w:color="auto" w:fill="F2F4F7"/>
          </w:tcPr>
          <w:p>
            <w:pPr>
              <w:spacing w:after="0" w:before="0"/>
            </w:pPr>
            <w:r/>
            <w:r>
              <w:rPr>
                <w:b w:val="0"/>
                <w:i w:val="0"/>
                <w:sz w:val="15"/>
              </w:rPr>
              <w:t>Certificate (form not specified).</w:t>
            </w:r>
          </w:p>
        </w:tc>
        <w:tc>
          <w:tcPr>
            <w:tcW w:type="dxa" w:w="1512"/>
            <w:shd w:val="clear" w:color="auto" w:fill="F2F4F7"/>
          </w:tcPr>
          <w:p>
            <w:pPr>
              <w:spacing w:after="0" w:before="0"/>
            </w:pPr>
            <w:r/>
            <w:r>
              <w:rPr>
                <w:b w:val="0"/>
                <w:i w:val="0"/>
                <w:sz w:val="15"/>
              </w:rPr>
              <w:t>FY2024: Mon Mar 31, 2025.</w:t>
            </w:r>
          </w:p>
        </w:tc>
        <w:tc>
          <w:tcPr>
            <w:tcW w:type="dxa" w:w="2736"/>
            <w:shd w:val="clear" w:color="auto" w:fill="F2F4F7"/>
          </w:tcPr>
          <w:p>
            <w:pPr>
              <w:spacing w:after="0" w:before="0"/>
            </w:pPr>
            <w:r/>
            <w:r>
              <w:rPr>
                <w:b w:val="0"/>
                <w:i w:val="0"/>
                <w:sz w:val="15"/>
              </w:rPr>
              <w:t>Requires a contemporaneous log of every item delivered to Apex (including Portal postings and LPAC materials) (Issue 17).</w:t>
            </w:r>
          </w:p>
        </w:tc>
      </w:tr>
    </w:tbl>
    <w:p>
      <w:pPr>
        <w:spacing w:after="40"/>
      </w:pPr>
    </w:p>
    <w:p>
      <w:pPr>
        <w:pStyle w:val="Heading1"/>
      </w:pPr>
      <w:r>
        <w:rPr>
          <w:color w:val="1F2A44"/>
        </w:rPr>
        <w:t>IV. Consolidated Compliance Calendar — First Reporting Cycle (Oct 2024 – Jun 2025)</w:t>
      </w:r>
    </w:p>
    <w:p>
      <w:pPr>
        <w:spacing w:after="120"/>
      </w:pPr>
      <w:r>
        <w:rPr>
          <w:b w:val="0"/>
          <w:i w:val="0"/>
          <w:sz w:val="17"/>
        </w:rPr>
        <w:t>Matrix item numbers are in brackets. Pinnacle internal milestones (SLA) are shown as “Pinnacle:” entries so the Adviser’s internal deadlines can be set ahead of them. Dates falling on weekends/holidays are flagged; calendar the preceding Business Day.</w:t>
      </w:r>
    </w:p>
    <w:tbl>
      <w:tblPr>
        <w:tblStyle w:val="TableGrid"/>
        <w:tblW w:type="auto" w:w="0"/>
        <w:jc w:val="center"/>
        <w:tblLayout w:type="fixed"/>
        <w:tblLook w:firstColumn="1" w:firstRow="1" w:lastColumn="0" w:lastRow="0" w:noHBand="0" w:noVBand="1" w:val="04A0"/>
      </w:tblPr>
      <w:tblGrid>
        <w:gridCol w:w="2304"/>
        <w:gridCol w:w="9072"/>
        <w:gridCol w:w="3024"/>
      </w:tblGrid>
      <w:tr>
        <w:trPr>
          <w:tblHeader w:val="true"/>
        </w:trPr>
        <w:tc>
          <w:tcPr>
            <w:tcW w:type="dxa" w:w="2304"/>
            <w:shd w:val="clear" w:color="auto" w:fill="1F2A44"/>
          </w:tcPr>
          <w:p>
            <w:pPr>
              <w:spacing w:after="0" w:before="0"/>
            </w:pPr>
            <w:r/>
            <w:r>
              <w:rPr>
                <w:b/>
                <w:i w:val="0"/>
                <w:color w:val="FFFFFF"/>
                <w:sz w:val="16"/>
              </w:rPr>
              <w:t>Date</w:t>
            </w:r>
          </w:p>
        </w:tc>
        <w:tc>
          <w:tcPr>
            <w:tcW w:type="dxa" w:w="9072"/>
            <w:shd w:val="clear" w:color="auto" w:fill="1F2A44"/>
          </w:tcPr>
          <w:p>
            <w:pPr>
              <w:spacing w:after="0" w:before="0"/>
            </w:pPr>
            <w:r/>
            <w:r>
              <w:rPr>
                <w:b/>
                <w:i w:val="0"/>
                <w:color w:val="FFFFFF"/>
                <w:sz w:val="16"/>
              </w:rPr>
              <w:t>Deliverable(s) [matrix #]</w:t>
            </w:r>
          </w:p>
        </w:tc>
        <w:tc>
          <w:tcPr>
            <w:tcW w:type="dxa" w:w="3024"/>
            <w:shd w:val="clear" w:color="auto" w:fill="1F2A44"/>
          </w:tcPr>
          <w:p>
            <w:pPr>
              <w:spacing w:after="0" w:before="0"/>
            </w:pPr>
            <w:r/>
            <w:r>
              <w:rPr>
                <w:b/>
                <w:i w:val="0"/>
                <w:color w:val="FFFFFF"/>
                <w:sz w:val="16"/>
              </w:rPr>
              <w:t>Note</w:t>
            </w:r>
          </w:p>
        </w:tc>
      </w:tr>
      <w:tr>
        <w:tc>
          <w:tcPr>
            <w:tcW w:type="dxa" w:w="2304"/>
          </w:tcPr>
          <w:p>
            <w:pPr>
              <w:spacing w:after="0" w:before="0"/>
            </w:pPr>
            <w:r/>
            <w:r>
              <w:rPr>
                <w:b/>
                <w:i w:val="0"/>
                <w:sz w:val="16"/>
              </w:rPr>
              <w:t>Tue Oct 15 / Wed Oct 16, 2024</w:t>
            </w:r>
          </w:p>
        </w:tc>
        <w:tc>
          <w:tcPr>
            <w:tcW w:type="dxa" w:w="9072"/>
          </w:tcPr>
          <w:p>
            <w:pPr>
              <w:spacing w:after="0" w:before="0"/>
            </w:pPr>
            <w:r/>
            <w:r>
              <w:rPr>
                <w:b w:val="0"/>
                <w:i w:val="0"/>
                <w:sz w:val="16"/>
              </w:rPr>
              <w:t>Portal credentials to First Close LPs (10 BD after Oct 1) [27]; Form D due (15 days after first sale) [36]</w:t>
            </w:r>
          </w:p>
        </w:tc>
        <w:tc>
          <w:tcPr>
            <w:tcW w:type="dxa" w:w="3024"/>
          </w:tcPr>
          <w:p>
            <w:pPr>
              <w:spacing w:after="0" w:before="0"/>
            </w:pPr>
            <w:r/>
            <w:r>
              <w:rPr>
                <w:b w:val="0"/>
                <w:i w:val="0"/>
                <w:sz w:val="16"/>
              </w:rPr>
              <w:t>Confirm completed</w:t>
            </w:r>
          </w:p>
        </w:tc>
      </w:tr>
      <w:tr>
        <w:tc>
          <w:tcPr>
            <w:tcW w:type="dxa" w:w="2304"/>
            <w:shd w:val="clear" w:color="auto" w:fill="F2F4F7"/>
          </w:tcPr>
          <w:p>
            <w:pPr>
              <w:spacing w:after="0" w:before="0"/>
            </w:pPr>
            <w:r/>
            <w:r>
              <w:rPr>
                <w:b/>
                <w:i w:val="0"/>
                <w:sz w:val="16"/>
              </w:rPr>
              <w:t>Wed Nov 20, 2024</w:t>
            </w:r>
          </w:p>
        </w:tc>
        <w:tc>
          <w:tcPr>
            <w:tcW w:type="dxa" w:w="9072"/>
            <w:shd w:val="clear" w:color="auto" w:fill="F2F4F7"/>
          </w:tcPr>
          <w:p>
            <w:pPr>
              <w:spacing w:after="0" w:before="0"/>
            </w:pPr>
            <w:r/>
            <w:r>
              <w:rPr>
                <w:b w:val="0"/>
                <w:i w:val="0"/>
                <w:sz w:val="16"/>
              </w:rPr>
              <w:t>Sovereign Bridge October monthly NAV estimate [37]</w:t>
            </w:r>
          </w:p>
        </w:tc>
        <w:tc>
          <w:tcPr>
            <w:tcW w:type="dxa" w:w="3024"/>
            <w:shd w:val="clear" w:color="auto" w:fill="F2F4F7"/>
          </w:tcPr>
          <w:p>
            <w:pPr>
              <w:spacing w:after="0" w:before="0"/>
            </w:pPr>
            <w:r/>
            <w:r>
              <w:rPr>
                <w:b w:val="0"/>
                <w:i w:val="0"/>
                <w:sz w:val="16"/>
              </w:rPr>
              <w:t>PAST DUE if not sent — send immediately</w:t>
            </w:r>
          </w:p>
        </w:tc>
      </w:tr>
      <w:tr>
        <w:tc>
          <w:tcPr>
            <w:tcW w:type="dxa" w:w="2304"/>
          </w:tcPr>
          <w:p>
            <w:pPr>
              <w:spacing w:after="0" w:before="0"/>
            </w:pPr>
            <w:r/>
            <w:r>
              <w:rPr>
                <w:b/>
                <w:i w:val="0"/>
                <w:sz w:val="16"/>
              </w:rPr>
              <w:t>Mon Nov 25, 2024</w:t>
            </w:r>
          </w:p>
        </w:tc>
        <w:tc>
          <w:tcPr>
            <w:tcW w:type="dxa" w:w="9072"/>
          </w:tcPr>
          <w:p>
            <w:pPr>
              <w:spacing w:after="0" w:before="0"/>
            </w:pPr>
            <w:r/>
            <w:r>
              <w:rPr>
                <w:b w:val="0"/>
                <w:i w:val="0"/>
                <w:sz w:val="16"/>
              </w:rPr>
              <w:t>Pinnacle: October monthly NAV estimate (Day 25)</w:t>
            </w:r>
          </w:p>
        </w:tc>
        <w:tc>
          <w:tcPr>
            <w:tcW w:type="dxa" w:w="3024"/>
          </w:tcPr>
          <w:p>
            <w:pPr>
              <w:spacing w:after="0" w:before="0"/>
            </w:pPr>
            <w:r/>
            <w:r>
              <w:rPr>
                <w:b w:val="0"/>
                <w:i w:val="0"/>
                <w:sz w:val="16"/>
              </w:rPr>
              <w:t>Arrives after Sovereign deadline</w:t>
            </w:r>
          </w:p>
        </w:tc>
      </w:tr>
      <w:tr>
        <w:tc>
          <w:tcPr>
            <w:tcW w:type="dxa" w:w="2304"/>
            <w:shd w:val="clear" w:color="auto" w:fill="F2F4F7"/>
          </w:tcPr>
          <w:p>
            <w:pPr>
              <w:spacing w:after="0" w:before="0"/>
            </w:pPr>
            <w:r/>
            <w:r>
              <w:rPr>
                <w:b/>
                <w:i w:val="0"/>
                <w:sz w:val="16"/>
              </w:rPr>
              <w:t>Sat Nov 30, 2024</w:t>
            </w:r>
          </w:p>
        </w:tc>
        <w:tc>
          <w:tcPr>
            <w:tcW w:type="dxa" w:w="9072"/>
            <w:shd w:val="clear" w:color="auto" w:fill="F2F4F7"/>
          </w:tcPr>
          <w:p>
            <w:pPr>
              <w:spacing w:after="0" w:before="0"/>
            </w:pPr>
            <w:r/>
            <w:r>
              <w:rPr>
                <w:b w:val="0"/>
                <w:i w:val="0"/>
                <w:sz w:val="16"/>
              </w:rPr>
              <w:t>LPAC October monthly portfolio summary [12]</w:t>
            </w:r>
          </w:p>
        </w:tc>
        <w:tc>
          <w:tcPr>
            <w:tcW w:type="dxa" w:w="3024"/>
            <w:shd w:val="clear" w:color="auto" w:fill="F2F4F7"/>
          </w:tcPr>
          <w:p>
            <w:pPr>
              <w:spacing w:after="0" w:before="0"/>
            </w:pPr>
            <w:r/>
            <w:r>
              <w:rPr>
                <w:b w:val="0"/>
                <w:i w:val="0"/>
                <w:sz w:val="16"/>
              </w:rPr>
              <w:t>Operative date Fri Nov 29</w:t>
            </w:r>
          </w:p>
        </w:tc>
      </w:tr>
      <w:tr>
        <w:tc>
          <w:tcPr>
            <w:tcW w:type="dxa" w:w="2304"/>
          </w:tcPr>
          <w:p>
            <w:pPr>
              <w:spacing w:after="0" w:before="0"/>
            </w:pPr>
            <w:r/>
            <w:r>
              <w:rPr>
                <w:b/>
                <w:i w:val="0"/>
                <w:sz w:val="16"/>
              </w:rPr>
              <w:t>Early Dec 2024</w:t>
            </w:r>
          </w:p>
        </w:tc>
        <w:tc>
          <w:tcPr>
            <w:tcW w:type="dxa" w:w="9072"/>
          </w:tcPr>
          <w:p>
            <w:pPr>
              <w:spacing w:after="0" w:before="0"/>
            </w:pPr>
            <w:r/>
            <w:r>
              <w:rPr>
                <w:b w:val="0"/>
                <w:i w:val="0"/>
                <w:sz w:val="16"/>
              </w:rPr>
              <w:t>Send Pinnacle custom-format requests (15 BD notice) for LPAC/Sovereign templates; agree templates with LPAC, Sovereign, Apex</w:t>
            </w:r>
          </w:p>
        </w:tc>
        <w:tc>
          <w:tcPr>
            <w:tcW w:type="dxa" w:w="3024"/>
          </w:tcPr>
          <w:p>
            <w:pPr>
              <w:spacing w:after="0" w:before="0"/>
            </w:pPr>
            <w:r/>
            <w:r>
              <w:rPr>
                <w:b w:val="0"/>
                <w:i w:val="0"/>
                <w:sz w:val="16"/>
              </w:rPr>
              <w:t>Internal</w:t>
            </w:r>
          </w:p>
        </w:tc>
      </w:tr>
      <w:tr>
        <w:tc>
          <w:tcPr>
            <w:tcW w:type="dxa" w:w="2304"/>
            <w:shd w:val="clear" w:color="auto" w:fill="F2F4F7"/>
          </w:tcPr>
          <w:p>
            <w:pPr>
              <w:spacing w:after="0" w:before="0"/>
            </w:pPr>
            <w:r/>
            <w:r>
              <w:rPr>
                <w:b/>
                <w:i w:val="0"/>
                <w:sz w:val="16"/>
              </w:rPr>
              <w:t>Fri Dec 20, 2024</w:t>
            </w:r>
          </w:p>
        </w:tc>
        <w:tc>
          <w:tcPr>
            <w:tcW w:type="dxa" w:w="9072"/>
            <w:shd w:val="clear" w:color="auto" w:fill="F2F4F7"/>
          </w:tcPr>
          <w:p>
            <w:pPr>
              <w:spacing w:after="0" w:before="0"/>
            </w:pPr>
            <w:r/>
            <w:r>
              <w:rPr>
                <w:b w:val="0"/>
                <w:i w:val="0"/>
                <w:sz w:val="16"/>
              </w:rPr>
              <w:t>Sovereign November monthly NAV estimate [37]</w:t>
            </w:r>
          </w:p>
        </w:tc>
        <w:tc>
          <w:tcPr>
            <w:tcW w:type="dxa" w:w="3024"/>
            <w:shd w:val="clear" w:color="auto" w:fill="F2F4F7"/>
          </w:tcPr>
          <w:p>
            <w:pPr>
              <w:spacing w:after="0" w:before="0"/>
            </w:pPr>
            <w:r/>
            <w:r>
              <w:rPr>
                <w:b w:val="0"/>
                <w:i w:val="0"/>
                <w:sz w:val="16"/>
              </w:rPr>
              <w:t>Pinnacle Nov estimate not until Dec 25</w:t>
            </w:r>
          </w:p>
        </w:tc>
      </w:tr>
      <w:tr>
        <w:tc>
          <w:tcPr>
            <w:tcW w:type="dxa" w:w="2304"/>
          </w:tcPr>
          <w:p>
            <w:pPr>
              <w:spacing w:after="0" w:before="0"/>
            </w:pPr>
            <w:r/>
            <w:r>
              <w:rPr>
                <w:b/>
                <w:i w:val="0"/>
                <w:sz w:val="16"/>
              </w:rPr>
              <w:t>Mon Dec 30, 2024</w:t>
            </w:r>
          </w:p>
        </w:tc>
        <w:tc>
          <w:tcPr>
            <w:tcW w:type="dxa" w:w="9072"/>
          </w:tcPr>
          <w:p>
            <w:pPr>
              <w:spacing w:after="0" w:before="0"/>
            </w:pPr>
            <w:r/>
            <w:r>
              <w:rPr>
                <w:b w:val="0"/>
                <w:i w:val="0"/>
                <w:sz w:val="16"/>
              </w:rPr>
              <w:t>LPAC November monthly portfolio summary [12]</w:t>
            </w:r>
          </w:p>
        </w:tc>
        <w:tc>
          <w:tcPr>
            <w:tcW w:type="dxa" w:w="3024"/>
          </w:tcPr>
          <w:p>
            <w:pPr>
              <w:spacing w:after="0" w:before="0"/>
            </w:pPr>
            <w:r/>
            <w:r>
              <w:rPr>
                <w:b w:val="0"/>
                <w:i w:val="0"/>
                <w:sz w:val="16"/>
              </w:rPr>
            </w:r>
          </w:p>
        </w:tc>
      </w:tr>
      <w:tr>
        <w:tc>
          <w:tcPr>
            <w:tcW w:type="dxa" w:w="2304"/>
            <w:shd w:val="clear" w:color="auto" w:fill="F2F4F7"/>
          </w:tcPr>
          <w:p>
            <w:pPr>
              <w:spacing w:after="0" w:before="0"/>
            </w:pPr>
            <w:r/>
            <w:r>
              <w:rPr>
                <w:b/>
                <w:i w:val="0"/>
                <w:sz w:val="16"/>
              </w:rPr>
              <w:t>Tue Dec 31, 2024</w:t>
            </w:r>
          </w:p>
        </w:tc>
        <w:tc>
          <w:tcPr>
            <w:tcW w:type="dxa" w:w="9072"/>
            <w:shd w:val="clear" w:color="auto" w:fill="F2F4F7"/>
          </w:tcPr>
          <w:p>
            <w:pPr>
              <w:spacing w:after="0" w:before="0"/>
            </w:pPr>
            <w:r/>
            <w:r>
              <w:rPr>
                <w:b w:val="0"/>
                <w:i w:val="0"/>
                <w:sz w:val="16"/>
              </w:rPr>
              <w:t>Q4 2024 quarter-end and FY2024 year-end (triggers all Q4/annual items)</w:t>
            </w:r>
          </w:p>
        </w:tc>
        <w:tc>
          <w:tcPr>
            <w:tcW w:type="dxa" w:w="3024"/>
            <w:shd w:val="clear" w:color="auto" w:fill="F2F4F7"/>
          </w:tcPr>
          <w:p>
            <w:pPr>
              <w:spacing w:after="0" w:before="0"/>
            </w:pPr>
            <w:r/>
            <w:r>
              <w:rPr>
                <w:b w:val="0"/>
                <w:i w:val="0"/>
                <w:sz w:val="16"/>
              </w:rPr>
            </w:r>
          </w:p>
        </w:tc>
      </w:tr>
      <w:tr>
        <w:tc>
          <w:tcPr>
            <w:tcW w:type="dxa" w:w="2304"/>
          </w:tcPr>
          <w:p>
            <w:pPr>
              <w:spacing w:after="0" w:before="0"/>
            </w:pPr>
            <w:r/>
            <w:r>
              <w:rPr>
                <w:b/>
                <w:i w:val="0"/>
                <w:sz w:val="16"/>
              </w:rPr>
              <w:t>Mon Jan 20, 2025</w:t>
            </w:r>
          </w:p>
        </w:tc>
        <w:tc>
          <w:tcPr>
            <w:tcW w:type="dxa" w:w="9072"/>
          </w:tcPr>
          <w:p>
            <w:pPr>
              <w:spacing w:after="0" w:before="0"/>
            </w:pPr>
            <w:r/>
            <w:r>
              <w:rPr>
                <w:b w:val="0"/>
                <w:i w:val="0"/>
                <w:sz w:val="16"/>
              </w:rPr>
              <w:t>Sovereign December monthly NAV estimate [37]</w:t>
            </w:r>
          </w:p>
        </w:tc>
        <w:tc>
          <w:tcPr>
            <w:tcW w:type="dxa" w:w="3024"/>
          </w:tcPr>
          <w:p>
            <w:pPr>
              <w:spacing w:after="0" w:before="0"/>
            </w:pPr>
            <w:r/>
            <w:r>
              <w:rPr>
                <w:b w:val="0"/>
                <w:i w:val="0"/>
                <w:sz w:val="16"/>
              </w:rPr>
              <w:t>MLK Day — operative Fri Jan 17</w:t>
            </w:r>
          </w:p>
        </w:tc>
      </w:tr>
      <w:tr>
        <w:tc>
          <w:tcPr>
            <w:tcW w:type="dxa" w:w="2304"/>
            <w:shd w:val="clear" w:color="auto" w:fill="F2F4F7"/>
          </w:tcPr>
          <w:p>
            <w:pPr>
              <w:spacing w:after="0" w:before="0"/>
            </w:pPr>
            <w:r/>
            <w:r>
              <w:rPr>
                <w:b/>
                <w:i w:val="0"/>
                <w:sz w:val="16"/>
              </w:rPr>
              <w:t>Sat Jan 25, 2025</w:t>
            </w:r>
          </w:p>
        </w:tc>
        <w:tc>
          <w:tcPr>
            <w:tcW w:type="dxa" w:w="9072"/>
            <w:shd w:val="clear" w:color="auto" w:fill="F2F4F7"/>
          </w:tcPr>
          <w:p>
            <w:pPr>
              <w:spacing w:after="0" w:before="0"/>
            </w:pPr>
            <w:r/>
            <w:r>
              <w:rPr>
                <w:b w:val="0"/>
                <w:i w:val="0"/>
                <w:sz w:val="16"/>
              </w:rPr>
              <w:t>Pinnacle: Adviser Q4 final fair value marks due (Day 25); Pinnacle December monthly NAV</w:t>
            </w:r>
          </w:p>
        </w:tc>
        <w:tc>
          <w:tcPr>
            <w:tcW w:type="dxa" w:w="3024"/>
            <w:shd w:val="clear" w:color="auto" w:fill="F2F4F7"/>
          </w:tcPr>
          <w:p>
            <w:pPr>
              <w:spacing w:after="0" w:before="0"/>
            </w:pPr>
            <w:r/>
            <w:r>
              <w:rPr>
                <w:b w:val="0"/>
                <w:i w:val="0"/>
                <w:sz w:val="16"/>
              </w:rPr>
              <w:t>Operative Fri Jan 24</w:t>
            </w:r>
          </w:p>
        </w:tc>
      </w:tr>
      <w:tr>
        <w:tc>
          <w:tcPr>
            <w:tcW w:type="dxa" w:w="2304"/>
          </w:tcPr>
          <w:p>
            <w:pPr>
              <w:spacing w:after="0" w:before="0"/>
            </w:pPr>
            <w:r/>
            <w:r>
              <w:rPr>
                <w:b/>
                <w:i w:val="0"/>
                <w:sz w:val="16"/>
              </w:rPr>
              <w:t>Thu Jan 30, 2025</w:t>
            </w:r>
          </w:p>
        </w:tc>
        <w:tc>
          <w:tcPr>
            <w:tcW w:type="dxa" w:w="9072"/>
          </w:tcPr>
          <w:p>
            <w:pPr>
              <w:spacing w:after="0" w:before="0"/>
            </w:pPr>
            <w:r/>
            <w:r>
              <w:rPr>
                <w:b w:val="0"/>
                <w:i w:val="0"/>
                <w:sz w:val="16"/>
              </w:rPr>
              <w:t>UBTI estimates to tax-exempt LPs [6]; quarterly BPI calculation to BPIs and LPAC [30]; Apex placement agent certificate (Q4) [39]; LPAC December monthly summary [12]. Pinnacle: Form PF data inputs; Adviser tax characterization inputs due to Pinnacle (Day 30)</w:t>
            </w:r>
          </w:p>
        </w:tc>
        <w:tc>
          <w:tcPr>
            <w:tcW w:type="dxa" w:w="3024"/>
          </w:tcPr>
          <w:p>
            <w:pPr>
              <w:spacing w:after="0" w:before="0"/>
            </w:pPr>
            <w:r/>
            <w:r>
              <w:rPr>
                <w:b w:val="0"/>
                <w:i w:val="0"/>
                <w:sz w:val="16"/>
              </w:rPr>
              <w:t>Heavy cluster — UBTI and BPI must be in-house</w:t>
            </w:r>
          </w:p>
        </w:tc>
      </w:tr>
      <w:tr>
        <w:tc>
          <w:tcPr>
            <w:tcW w:type="dxa" w:w="2304"/>
            <w:shd w:val="clear" w:color="auto" w:fill="F2F4F7"/>
          </w:tcPr>
          <w:p>
            <w:pPr>
              <w:spacing w:after="0" w:before="0"/>
            </w:pPr>
            <w:r/>
            <w:r>
              <w:rPr>
                <w:b/>
                <w:i w:val="0"/>
                <w:sz w:val="16"/>
              </w:rPr>
              <w:t>Sun Feb 9 / Mon Feb 10, 2025</w:t>
            </w:r>
          </w:p>
        </w:tc>
        <w:tc>
          <w:tcPr>
            <w:tcW w:type="dxa" w:w="9072"/>
            <w:shd w:val="clear" w:color="auto" w:fill="F2F4F7"/>
          </w:tcPr>
          <w:p>
            <w:pPr>
              <w:spacing w:after="0" w:before="0"/>
            </w:pPr>
            <w:r/>
            <w:r>
              <w:rPr>
                <w:b w:val="0"/>
                <w:i w:val="0"/>
                <w:sz w:val="16"/>
              </w:rPr>
              <w:t>Pinnacle: preliminary Q4 NAV (Day 40, initial quarter); ERISA BPI calculation in package</w:t>
            </w:r>
          </w:p>
        </w:tc>
        <w:tc>
          <w:tcPr>
            <w:tcW w:type="dxa" w:w="3024"/>
            <w:shd w:val="clear" w:color="auto" w:fill="F2F4F7"/>
          </w:tcPr>
          <w:p>
            <w:pPr>
              <w:spacing w:after="0" w:before="0"/>
            </w:pPr>
            <w:r/>
            <w:r>
              <w:rPr>
                <w:b w:val="0"/>
                <w:i w:val="0"/>
                <w:sz w:val="16"/>
              </w:rPr>
            </w:r>
          </w:p>
        </w:tc>
      </w:tr>
      <w:tr>
        <w:tc>
          <w:tcPr>
            <w:tcW w:type="dxa" w:w="2304"/>
          </w:tcPr>
          <w:p>
            <w:pPr>
              <w:spacing w:after="0" w:before="0"/>
            </w:pPr>
            <w:r/>
            <w:r>
              <w:rPr>
                <w:b/>
                <w:i w:val="0"/>
                <w:sz w:val="16"/>
              </w:rPr>
              <w:t>Fri Feb 14, 2025</w:t>
            </w:r>
          </w:p>
        </w:tc>
        <w:tc>
          <w:tcPr>
            <w:tcW w:type="dxa" w:w="9072"/>
          </w:tcPr>
          <w:p>
            <w:pPr>
              <w:spacing w:after="0" w:before="0"/>
            </w:pPr>
            <w:r/>
            <w:r>
              <w:rPr>
                <w:b w:val="0"/>
                <w:i w:val="0"/>
                <w:sz w:val="16"/>
              </w:rPr>
              <w:t>LP capital account statements [2]; LPAC quarterly valuation report incl. Exhibit B content [13, 14]. Pinnacle: annual tax data package incl. UBTI/FATCA/CRS data (Day 45)</w:t>
            </w:r>
          </w:p>
        </w:tc>
        <w:tc>
          <w:tcPr>
            <w:tcW w:type="dxa" w:w="3024"/>
          </w:tcPr>
          <w:p>
            <w:pPr>
              <w:spacing w:after="0" w:before="0"/>
            </w:pPr>
            <w:r/>
            <w:r>
              <w:rPr>
                <w:b w:val="0"/>
                <w:i w:val="0"/>
                <w:sz w:val="16"/>
              </w:rPr>
              <w:t>Capital account statements at risk (Issue 1)</w:t>
            </w:r>
          </w:p>
        </w:tc>
      </w:tr>
      <w:tr>
        <w:tc>
          <w:tcPr>
            <w:tcW w:type="dxa" w:w="2304"/>
            <w:shd w:val="clear" w:color="auto" w:fill="F2F4F7"/>
          </w:tcPr>
          <w:p>
            <w:pPr>
              <w:spacing w:after="0" w:before="0"/>
            </w:pPr>
            <w:r/>
            <w:r>
              <w:rPr>
                <w:b/>
                <w:i w:val="0"/>
                <w:sz w:val="16"/>
              </w:rPr>
              <w:t>Tue Feb 18, 2025</w:t>
            </w:r>
          </w:p>
        </w:tc>
        <w:tc>
          <w:tcPr>
            <w:tcW w:type="dxa" w:w="9072"/>
            <w:shd w:val="clear" w:color="auto" w:fill="F2F4F7"/>
          </w:tcPr>
          <w:p>
            <w:pPr>
              <w:spacing w:after="0" w:before="0"/>
            </w:pPr>
            <w:r/>
            <w:r>
              <w:rPr>
                <w:b w:val="0"/>
                <w:i w:val="0"/>
                <w:sz w:val="16"/>
              </w:rPr>
              <w:t>Internal decision point: will K-1s be delivered by March 15?</w:t>
            </w:r>
          </w:p>
        </w:tc>
        <w:tc>
          <w:tcPr>
            <w:tcW w:type="dxa" w:w="3024"/>
            <w:shd w:val="clear" w:color="auto" w:fill="F2F4F7"/>
          </w:tcPr>
          <w:p>
            <w:pPr>
              <w:spacing w:after="0" w:before="0"/>
            </w:pPr>
            <w:r/>
            <w:r>
              <w:rPr>
                <w:b w:val="0"/>
                <w:i w:val="0"/>
                <w:sz w:val="16"/>
              </w:rPr>
              <w:t>Internal</w:t>
            </w:r>
          </w:p>
        </w:tc>
      </w:tr>
      <w:tr>
        <w:tc>
          <w:tcPr>
            <w:tcW w:type="dxa" w:w="2304"/>
          </w:tcPr>
          <w:p>
            <w:pPr>
              <w:spacing w:after="0" w:before="0"/>
            </w:pPr>
            <w:r/>
            <w:r>
              <w:rPr>
                <w:b/>
                <w:i w:val="0"/>
                <w:sz w:val="16"/>
              </w:rPr>
              <w:t>Thu Feb 20, 2025</w:t>
            </w:r>
          </w:p>
        </w:tc>
        <w:tc>
          <w:tcPr>
            <w:tcW w:type="dxa" w:w="9072"/>
          </w:tcPr>
          <w:p>
            <w:pPr>
              <w:spacing w:after="0" w:before="0"/>
            </w:pPr>
            <w:r/>
            <w:r>
              <w:rPr>
                <w:b w:val="0"/>
                <w:i w:val="0"/>
                <w:sz w:val="16"/>
              </w:rPr>
              <w:t>Sovereign January monthly NAV estimate [37]</w:t>
            </w:r>
          </w:p>
        </w:tc>
        <w:tc>
          <w:tcPr>
            <w:tcW w:type="dxa" w:w="3024"/>
          </w:tcPr>
          <w:p>
            <w:pPr>
              <w:spacing w:after="0" w:before="0"/>
            </w:pPr>
            <w:r/>
            <w:r>
              <w:rPr>
                <w:b w:val="0"/>
                <w:i w:val="0"/>
                <w:sz w:val="16"/>
              </w:rPr>
            </w:r>
          </w:p>
        </w:tc>
      </w:tr>
      <w:tr>
        <w:tc>
          <w:tcPr>
            <w:tcW w:type="dxa" w:w="2304"/>
            <w:shd w:val="clear" w:color="auto" w:fill="F2F4F7"/>
          </w:tcPr>
          <w:p>
            <w:pPr>
              <w:spacing w:after="0" w:before="0"/>
            </w:pPr>
            <w:r/>
            <w:r>
              <w:rPr>
                <w:b/>
                <w:i w:val="0"/>
                <w:sz w:val="16"/>
              </w:rPr>
              <w:t>Fri Feb 28, 2025</w:t>
            </w:r>
          </w:p>
        </w:tc>
        <w:tc>
          <w:tcPr>
            <w:tcW w:type="dxa" w:w="9072"/>
            <w:shd w:val="clear" w:color="auto" w:fill="F2F4F7"/>
          </w:tcPr>
          <w:p>
            <w:pPr>
              <w:spacing w:after="0" w:before="0"/>
            </w:pPr>
            <w:r/>
            <w:r>
              <w:rPr>
                <w:b w:val="0"/>
                <w:i w:val="0"/>
                <w:sz w:val="16"/>
              </w:rPr>
              <w:t>K-1 delay notice and tax estimates to all LPs (if K-1s will miss Mar 15) [5]</w:t>
            </w:r>
          </w:p>
        </w:tc>
        <w:tc>
          <w:tcPr>
            <w:tcW w:type="dxa" w:w="3024"/>
            <w:shd w:val="clear" w:color="auto" w:fill="F2F4F7"/>
          </w:tcPr>
          <w:p>
            <w:pPr>
              <w:spacing w:after="0" w:before="0"/>
            </w:pPr>
            <w:r/>
            <w:r>
              <w:rPr>
                <w:b w:val="0"/>
                <w:i w:val="0"/>
                <w:sz w:val="16"/>
              </w:rPr>
            </w:r>
          </w:p>
        </w:tc>
      </w:tr>
      <w:tr>
        <w:tc>
          <w:tcPr>
            <w:tcW w:type="dxa" w:w="2304"/>
          </w:tcPr>
          <w:p>
            <w:pPr>
              <w:spacing w:after="0" w:before="0"/>
            </w:pPr>
            <w:r/>
            <w:r>
              <w:rPr>
                <w:b/>
                <w:i w:val="0"/>
                <w:sz w:val="16"/>
              </w:rPr>
              <w:t>Sat Mar 1, 2025</w:t>
            </w:r>
          </w:p>
        </w:tc>
        <w:tc>
          <w:tcPr>
            <w:tcW w:type="dxa" w:w="9072"/>
          </w:tcPr>
          <w:p>
            <w:pPr>
              <w:spacing w:after="0" w:before="0"/>
            </w:pPr>
            <w:r/>
            <w:r>
              <w:rPr>
                <w:b w:val="0"/>
                <w:i w:val="0"/>
                <w:sz w:val="16"/>
              </w:rPr>
              <w:t>Q4 unaudited quarterly financial statements [1]; Sovereign Q4 regulatory capital impact analysis [38]</w:t>
            </w:r>
          </w:p>
        </w:tc>
        <w:tc>
          <w:tcPr>
            <w:tcW w:type="dxa" w:w="3024"/>
          </w:tcPr>
          <w:p>
            <w:pPr>
              <w:spacing w:after="0" w:before="0"/>
            </w:pPr>
            <w:r/>
            <w:r>
              <w:rPr>
                <w:b w:val="0"/>
                <w:i w:val="0"/>
                <w:sz w:val="16"/>
              </w:rPr>
              <w:t>Operative Fri Feb 28</w:t>
            </w:r>
          </w:p>
        </w:tc>
      </w:tr>
      <w:tr>
        <w:tc>
          <w:tcPr>
            <w:tcW w:type="dxa" w:w="2304"/>
            <w:shd w:val="clear" w:color="auto" w:fill="F2F4F7"/>
          </w:tcPr>
          <w:p>
            <w:pPr>
              <w:spacing w:after="0" w:before="0"/>
            </w:pPr>
            <w:r/>
            <w:r>
              <w:rPr>
                <w:b/>
                <w:i w:val="0"/>
                <w:sz w:val="16"/>
              </w:rPr>
              <w:t>Sun Mar 2, 2025</w:t>
            </w:r>
          </w:p>
        </w:tc>
        <w:tc>
          <w:tcPr>
            <w:tcW w:type="dxa" w:w="9072"/>
            <w:shd w:val="clear" w:color="auto" w:fill="F2F4F7"/>
          </w:tcPr>
          <w:p>
            <w:pPr>
              <w:spacing w:after="0" w:before="0"/>
            </w:pPr>
            <w:r/>
            <w:r>
              <w:rPr>
                <w:b w:val="0"/>
                <w:i w:val="0"/>
                <w:sz w:val="16"/>
              </w:rPr>
              <w:t>LPAC January monthly portfolio summary [12]</w:t>
            </w:r>
          </w:p>
        </w:tc>
        <w:tc>
          <w:tcPr>
            <w:tcW w:type="dxa" w:w="3024"/>
            <w:shd w:val="clear" w:color="auto" w:fill="F2F4F7"/>
          </w:tcPr>
          <w:p>
            <w:pPr>
              <w:spacing w:after="0" w:before="0"/>
            </w:pPr>
            <w:r/>
            <w:r>
              <w:rPr>
                <w:b w:val="0"/>
                <w:i w:val="0"/>
                <w:sz w:val="16"/>
              </w:rPr>
              <w:t>Operative Fri Feb 28</w:t>
            </w:r>
          </w:p>
        </w:tc>
      </w:tr>
      <w:tr>
        <w:tc>
          <w:tcPr>
            <w:tcW w:type="dxa" w:w="2304"/>
          </w:tcPr>
          <w:p>
            <w:pPr>
              <w:spacing w:after="0" w:before="0"/>
            </w:pPr>
            <w:r/>
            <w:r>
              <w:rPr>
                <w:b/>
                <w:i w:val="0"/>
                <w:sz w:val="16"/>
              </w:rPr>
              <w:t>Fri Mar 7, 2025</w:t>
            </w:r>
          </w:p>
        </w:tc>
        <w:tc>
          <w:tcPr>
            <w:tcW w:type="dxa" w:w="9072"/>
          </w:tcPr>
          <w:p>
            <w:pPr>
              <w:spacing w:after="0" w:before="0"/>
            </w:pPr>
            <w:r/>
            <w:r>
              <w:rPr>
                <w:b w:val="0"/>
                <w:i w:val="0"/>
                <w:sz w:val="16"/>
              </w:rPr>
              <w:t>Exhibit B §4 valuation summary date as drafted (45 BD) — superseded by Feb 14 (Issue 2)</w:t>
            </w:r>
          </w:p>
        </w:tc>
        <w:tc>
          <w:tcPr>
            <w:tcW w:type="dxa" w:w="3024"/>
          </w:tcPr>
          <w:p>
            <w:pPr>
              <w:spacing w:after="0" w:before="0"/>
            </w:pPr>
            <w:r/>
            <w:r>
              <w:rPr>
                <w:b w:val="0"/>
                <w:i w:val="0"/>
                <w:sz w:val="16"/>
              </w:rPr>
              <w:t>Do not rely on</w:t>
            </w:r>
          </w:p>
        </w:tc>
      </w:tr>
      <w:tr>
        <w:tc>
          <w:tcPr>
            <w:tcW w:type="dxa" w:w="2304"/>
            <w:shd w:val="clear" w:color="auto" w:fill="F2F4F7"/>
          </w:tcPr>
          <w:p>
            <w:pPr>
              <w:spacing w:after="0" w:before="0"/>
            </w:pPr>
            <w:r/>
            <w:r>
              <w:rPr>
                <w:b/>
                <w:i w:val="0"/>
                <w:sz w:val="16"/>
              </w:rPr>
              <w:t>Mon Mar 10 – Mon Mar 17, 2025</w:t>
            </w:r>
          </w:p>
        </w:tc>
        <w:tc>
          <w:tcPr>
            <w:tcW w:type="dxa" w:w="9072"/>
            <w:shd w:val="clear" w:color="auto" w:fill="F2F4F7"/>
          </w:tcPr>
          <w:p>
            <w:pPr>
              <w:spacing w:after="0" w:before="0"/>
            </w:pPr>
            <w:r/>
            <w:r>
              <w:rPr>
                <w:b w:val="0"/>
                <w:i w:val="0"/>
                <w:sz w:val="16"/>
              </w:rPr>
              <w:t>Tax preparer draft K-1s (15–20 BD after tax package)</w:t>
            </w:r>
          </w:p>
        </w:tc>
        <w:tc>
          <w:tcPr>
            <w:tcW w:type="dxa" w:w="3024"/>
            <w:shd w:val="clear" w:color="auto" w:fill="F2F4F7"/>
          </w:tcPr>
          <w:p>
            <w:pPr>
              <w:spacing w:after="0" w:before="0"/>
            </w:pPr>
            <w:r/>
            <w:r>
              <w:rPr>
                <w:b w:val="0"/>
                <w:i w:val="0"/>
                <w:sz w:val="16"/>
              </w:rPr>
            </w:r>
          </w:p>
        </w:tc>
      </w:tr>
      <w:tr>
        <w:tc>
          <w:tcPr>
            <w:tcW w:type="dxa" w:w="2304"/>
          </w:tcPr>
          <w:p>
            <w:pPr>
              <w:spacing w:after="0" w:before="0"/>
            </w:pPr>
            <w:r/>
            <w:r>
              <w:rPr>
                <w:b/>
                <w:i w:val="0"/>
                <w:sz w:val="16"/>
              </w:rPr>
              <w:t>Sat Mar 15, 2025</w:t>
            </w:r>
          </w:p>
        </w:tc>
        <w:tc>
          <w:tcPr>
            <w:tcW w:type="dxa" w:w="9072"/>
          </w:tcPr>
          <w:p>
            <w:pPr>
              <w:spacing w:after="0" w:before="0"/>
            </w:pPr>
            <w:r/>
            <w:r>
              <w:rPr>
                <w:b w:val="0"/>
                <w:i w:val="0"/>
                <w:sz w:val="16"/>
              </w:rPr>
              <w:t>K-1 target date (commercially reasonable efforts) [4]</w:t>
            </w:r>
          </w:p>
        </w:tc>
        <w:tc>
          <w:tcPr>
            <w:tcW w:type="dxa" w:w="3024"/>
          </w:tcPr>
          <w:p>
            <w:pPr>
              <w:spacing w:after="0" w:before="0"/>
            </w:pPr>
            <w:r/>
            <w:r>
              <w:rPr>
                <w:b w:val="0"/>
                <w:i w:val="0"/>
                <w:sz w:val="16"/>
              </w:rPr>
              <w:t>Unlikely to be met</w:t>
            </w:r>
          </w:p>
        </w:tc>
      </w:tr>
      <w:tr>
        <w:tc>
          <w:tcPr>
            <w:tcW w:type="dxa" w:w="2304"/>
            <w:shd w:val="clear" w:color="auto" w:fill="F2F4F7"/>
          </w:tcPr>
          <w:p>
            <w:pPr>
              <w:spacing w:after="0" w:before="0"/>
            </w:pPr>
            <w:r/>
            <w:r>
              <w:rPr>
                <w:b/>
                <w:i w:val="0"/>
                <w:sz w:val="16"/>
              </w:rPr>
              <w:t>Mon Mar 17, 2025</w:t>
            </w:r>
          </w:p>
        </w:tc>
        <w:tc>
          <w:tcPr>
            <w:tcW w:type="dxa" w:w="9072"/>
            <w:shd w:val="clear" w:color="auto" w:fill="F2F4F7"/>
          </w:tcPr>
          <w:p>
            <w:pPr>
              <w:spacing w:after="0" w:before="0"/>
            </w:pPr>
            <w:r/>
            <w:r>
              <w:rPr>
                <w:b w:val="0"/>
                <w:i w:val="0"/>
                <w:sz w:val="16"/>
              </w:rPr>
              <w:t>Statutory: Form 1065 due (or extension) — confirm with tax preparer</w:t>
            </w:r>
          </w:p>
        </w:tc>
        <w:tc>
          <w:tcPr>
            <w:tcW w:type="dxa" w:w="3024"/>
            <w:shd w:val="clear" w:color="auto" w:fill="F2F4F7"/>
          </w:tcPr>
          <w:p>
            <w:pPr>
              <w:spacing w:after="0" w:before="0"/>
            </w:pPr>
            <w:r/>
            <w:r>
              <w:rPr>
                <w:b w:val="0"/>
                <w:i w:val="0"/>
                <w:sz w:val="16"/>
              </w:rPr>
              <w:t>Outside IAA</w:t>
            </w:r>
          </w:p>
        </w:tc>
      </w:tr>
      <w:tr>
        <w:tc>
          <w:tcPr>
            <w:tcW w:type="dxa" w:w="2304"/>
          </w:tcPr>
          <w:p>
            <w:pPr>
              <w:spacing w:after="0" w:before="0"/>
            </w:pPr>
            <w:r/>
            <w:r>
              <w:rPr>
                <w:b/>
                <w:i w:val="0"/>
                <w:sz w:val="16"/>
              </w:rPr>
              <w:t>Mon Mar 31, 2025</w:t>
            </w:r>
          </w:p>
        </w:tc>
        <w:tc>
          <w:tcPr>
            <w:tcW w:type="dxa" w:w="9072"/>
          </w:tcPr>
          <w:p>
            <w:pPr>
              <w:spacing w:after="0" w:before="0"/>
            </w:pPr>
            <w:r/>
            <w:r>
              <w:rPr>
                <w:b w:val="0"/>
                <w:i w:val="0"/>
                <w:sz w:val="16"/>
              </w:rPr>
              <w:t>LPAC annual compliance report [17]; ERISA annual certificate [33]; FATCA/CRS statements to non-U.S. LPs [35]; Apex FOIA certificate [40]. Statutory: Form ADV annual updating amendment (90 days after Adviser FYE). Target Final Close; Q1 2025 quarter-end</w:t>
            </w:r>
          </w:p>
        </w:tc>
        <w:tc>
          <w:tcPr>
            <w:tcW w:type="dxa" w:w="3024"/>
          </w:tcPr>
          <w:p>
            <w:pPr>
              <w:spacing w:after="0" w:before="0"/>
            </w:pPr>
            <w:r/>
            <w:r>
              <w:rPr>
                <w:b w:val="0"/>
                <w:i w:val="0"/>
                <w:sz w:val="16"/>
              </w:rPr>
            </w:r>
          </w:p>
        </w:tc>
      </w:tr>
      <w:tr>
        <w:tc>
          <w:tcPr>
            <w:tcW w:type="dxa" w:w="2304"/>
            <w:shd w:val="clear" w:color="auto" w:fill="F2F4F7"/>
          </w:tcPr>
          <w:p>
            <w:pPr>
              <w:spacing w:after="0" w:before="0"/>
            </w:pPr>
            <w:r/>
            <w:r>
              <w:rPr>
                <w:b/>
                <w:i w:val="0"/>
                <w:sz w:val="16"/>
              </w:rPr>
              <w:t>Mon Apr 7, 2025</w:t>
            </w:r>
          </w:p>
        </w:tc>
        <w:tc>
          <w:tcPr>
            <w:tcW w:type="dxa" w:w="9072"/>
            <w:shd w:val="clear" w:color="auto" w:fill="F2F4F7"/>
          </w:tcPr>
          <w:p>
            <w:pPr>
              <w:spacing w:after="0" w:before="0"/>
            </w:pPr>
            <w:r/>
            <w:r>
              <w:rPr>
                <w:b w:val="0"/>
                <w:i w:val="0"/>
                <w:sz w:val="16"/>
              </w:rPr>
              <w:t>Form ADV Part 2A amendment notice and Brochure (5 BD after Mar 31 filing) [10, 11]</w:t>
            </w:r>
          </w:p>
        </w:tc>
        <w:tc>
          <w:tcPr>
            <w:tcW w:type="dxa" w:w="3024"/>
            <w:shd w:val="clear" w:color="auto" w:fill="F2F4F7"/>
          </w:tcPr>
          <w:p>
            <w:pPr>
              <w:spacing w:after="0" w:before="0"/>
            </w:pPr>
            <w:r/>
            <w:r>
              <w:rPr>
                <w:b w:val="0"/>
                <w:i w:val="0"/>
                <w:sz w:val="16"/>
              </w:rPr>
            </w:r>
          </w:p>
        </w:tc>
      </w:tr>
      <w:tr>
        <w:tc>
          <w:tcPr>
            <w:tcW w:type="dxa" w:w="2304"/>
          </w:tcPr>
          <w:p>
            <w:pPr>
              <w:spacing w:after="0" w:before="0"/>
            </w:pPr>
            <w:r/>
            <w:r>
              <w:rPr>
                <w:b/>
                <w:i w:val="0"/>
                <w:sz w:val="16"/>
              </w:rPr>
              <w:t>Tue Apr 15, 2025</w:t>
            </w:r>
          </w:p>
        </w:tc>
        <w:tc>
          <w:tcPr>
            <w:tcW w:type="dxa" w:w="9072"/>
          </w:tcPr>
          <w:p>
            <w:pPr>
              <w:spacing w:after="0" w:before="0"/>
            </w:pPr>
            <w:r/>
            <w:r>
              <w:rPr>
                <w:b w:val="0"/>
                <w:i w:val="0"/>
                <w:sz w:val="16"/>
              </w:rPr>
              <w:t>Final K-1s — hard deadline [4]</w:t>
            </w:r>
          </w:p>
        </w:tc>
        <w:tc>
          <w:tcPr>
            <w:tcW w:type="dxa" w:w="3024"/>
          </w:tcPr>
          <w:p>
            <w:pPr>
              <w:spacing w:after="0" w:before="0"/>
            </w:pPr>
            <w:r/>
            <w:r>
              <w:rPr>
                <w:b w:val="0"/>
                <w:i w:val="0"/>
                <w:sz w:val="16"/>
              </w:rPr>
            </w:r>
          </w:p>
        </w:tc>
      </w:tr>
      <w:tr>
        <w:tc>
          <w:tcPr>
            <w:tcW w:type="dxa" w:w="2304"/>
            <w:shd w:val="clear" w:color="auto" w:fill="F2F4F7"/>
          </w:tcPr>
          <w:p>
            <w:pPr>
              <w:spacing w:after="0" w:before="0"/>
            </w:pPr>
            <w:r/>
            <w:r>
              <w:rPr>
                <w:b/>
                <w:i w:val="0"/>
                <w:sz w:val="16"/>
              </w:rPr>
              <w:t>Wed Apr 30, 2025</w:t>
            </w:r>
          </w:p>
        </w:tc>
        <w:tc>
          <w:tcPr>
            <w:tcW w:type="dxa" w:w="9072"/>
            <w:shd w:val="clear" w:color="auto" w:fill="F2F4F7"/>
          </w:tcPr>
          <w:p>
            <w:pPr>
              <w:spacing w:after="0" w:before="0"/>
            </w:pPr>
            <w:r/>
            <w:r>
              <w:rPr>
                <w:b w:val="0"/>
                <w:i w:val="0"/>
                <w:sz w:val="16"/>
              </w:rPr>
              <w:t>Audited FY2024 financial statements [3]; Form ADV annual delivery outside date [11]; MFN Side Letter disclosure (if Final Close Mar 31) [25]; Form PF annual filing if annual filer [34]; Q1 2025 BPI calculation [30] and Apex certificate [39]</w:t>
            </w:r>
          </w:p>
        </w:tc>
        <w:tc>
          <w:tcPr>
            <w:tcW w:type="dxa" w:w="3024"/>
            <w:shd w:val="clear" w:color="auto" w:fill="F2F4F7"/>
          </w:tcPr>
          <w:p>
            <w:pPr>
              <w:spacing w:after="0" w:before="0"/>
            </w:pPr>
            <w:r/>
            <w:r>
              <w:rPr>
                <w:b w:val="0"/>
                <w:i w:val="0"/>
                <w:sz w:val="16"/>
              </w:rPr>
              <w:t>Custody Rule 120-day date</w:t>
            </w:r>
          </w:p>
        </w:tc>
      </w:tr>
      <w:tr>
        <w:tc>
          <w:tcPr>
            <w:tcW w:type="dxa" w:w="2304"/>
          </w:tcPr>
          <w:p>
            <w:pPr>
              <w:spacing w:after="0" w:before="0"/>
            </w:pPr>
            <w:r/>
            <w:r>
              <w:rPr>
                <w:b/>
                <w:i w:val="0"/>
                <w:sz w:val="16"/>
              </w:rPr>
              <w:t>Thu May 15, 2025</w:t>
            </w:r>
          </w:p>
        </w:tc>
        <w:tc>
          <w:tcPr>
            <w:tcW w:type="dxa" w:w="9072"/>
          </w:tcPr>
          <w:p>
            <w:pPr>
              <w:spacing w:after="0" w:before="0"/>
            </w:pPr>
            <w:r/>
            <w:r>
              <w:rPr>
                <w:b w:val="0"/>
                <w:i w:val="0"/>
                <w:sz w:val="16"/>
              </w:rPr>
              <w:t>Q1 2025 capital account statements [2]; Q1 LPAC valuation report [13, 14]</w:t>
            </w:r>
          </w:p>
        </w:tc>
        <w:tc>
          <w:tcPr>
            <w:tcW w:type="dxa" w:w="3024"/>
          </w:tcPr>
          <w:p>
            <w:pPr>
              <w:spacing w:after="0" w:before="0"/>
            </w:pPr>
            <w:r/>
            <w:r>
              <w:rPr>
                <w:b w:val="0"/>
                <w:i w:val="0"/>
                <w:sz w:val="16"/>
              </w:rPr>
            </w:r>
          </w:p>
        </w:tc>
      </w:tr>
      <w:tr>
        <w:tc>
          <w:tcPr>
            <w:tcW w:type="dxa" w:w="2304"/>
            <w:shd w:val="clear" w:color="auto" w:fill="F2F4F7"/>
          </w:tcPr>
          <w:p>
            <w:pPr>
              <w:spacing w:after="0" w:before="0"/>
            </w:pPr>
            <w:r/>
            <w:r>
              <w:rPr>
                <w:b/>
                <w:i w:val="0"/>
                <w:sz w:val="16"/>
              </w:rPr>
              <w:t>Wed May 28, 2025</w:t>
            </w:r>
          </w:p>
        </w:tc>
        <w:tc>
          <w:tcPr>
            <w:tcW w:type="dxa" w:w="9072"/>
            <w:shd w:val="clear" w:color="auto" w:fill="F2F4F7"/>
          </w:tcPr>
          <w:p>
            <w:pPr>
              <w:spacing w:after="0" w:before="0"/>
            </w:pPr>
            <w:r/>
            <w:r>
              <w:rPr>
                <w:b w:val="0"/>
                <w:i w:val="0"/>
                <w:sz w:val="16"/>
              </w:rPr>
              <w:t>Annual meeting notice with annual report (for a Jun 27 meeting) [8, 9]</w:t>
            </w:r>
          </w:p>
        </w:tc>
        <w:tc>
          <w:tcPr>
            <w:tcW w:type="dxa" w:w="3024"/>
            <w:shd w:val="clear" w:color="auto" w:fill="F2F4F7"/>
          </w:tcPr>
          <w:p>
            <w:pPr>
              <w:spacing w:after="0" w:before="0"/>
            </w:pPr>
            <w:r/>
            <w:r>
              <w:rPr>
                <w:b w:val="0"/>
                <w:i w:val="0"/>
                <w:sz w:val="16"/>
              </w:rPr>
            </w:r>
          </w:p>
        </w:tc>
      </w:tr>
      <w:tr>
        <w:tc>
          <w:tcPr>
            <w:tcW w:type="dxa" w:w="2304"/>
          </w:tcPr>
          <w:p>
            <w:pPr>
              <w:spacing w:after="0" w:before="0"/>
            </w:pPr>
            <w:r/>
            <w:r>
              <w:rPr>
                <w:b/>
                <w:i w:val="0"/>
                <w:sz w:val="16"/>
              </w:rPr>
              <w:t>Fri May 30, 2025</w:t>
            </w:r>
          </w:p>
        </w:tc>
        <w:tc>
          <w:tcPr>
            <w:tcW w:type="dxa" w:w="9072"/>
          </w:tcPr>
          <w:p>
            <w:pPr>
              <w:spacing w:after="0" w:before="0"/>
            </w:pPr>
            <w:r/>
            <w:r>
              <w:rPr>
                <w:b w:val="0"/>
                <w:i w:val="0"/>
                <w:sz w:val="16"/>
              </w:rPr>
              <w:t>Q1 2025 quarterly financial statements [1]; Sovereign Q1 capital impact analysis [38]</w:t>
            </w:r>
          </w:p>
        </w:tc>
        <w:tc>
          <w:tcPr>
            <w:tcW w:type="dxa" w:w="3024"/>
          </w:tcPr>
          <w:p>
            <w:pPr>
              <w:spacing w:after="0" w:before="0"/>
            </w:pPr>
            <w:r/>
            <w:r>
              <w:rPr>
                <w:b w:val="0"/>
                <w:i w:val="0"/>
                <w:sz w:val="16"/>
              </w:rPr>
            </w:r>
          </w:p>
        </w:tc>
      </w:tr>
      <w:tr>
        <w:tc>
          <w:tcPr>
            <w:tcW w:type="dxa" w:w="2304"/>
            <w:shd w:val="clear" w:color="auto" w:fill="F2F4F7"/>
          </w:tcPr>
          <w:p>
            <w:pPr>
              <w:spacing w:after="0" w:before="0"/>
            </w:pPr>
            <w:r/>
            <w:r>
              <w:rPr>
                <w:b/>
                <w:i w:val="0"/>
                <w:sz w:val="16"/>
              </w:rPr>
              <w:t>Thu Jun 5, 2025</w:t>
            </w:r>
          </w:p>
        </w:tc>
        <w:tc>
          <w:tcPr>
            <w:tcW w:type="dxa" w:w="9072"/>
            <w:shd w:val="clear" w:color="auto" w:fill="F2F4F7"/>
          </w:tcPr>
          <w:p>
            <w:pPr>
              <w:spacing w:after="0" w:before="0"/>
            </w:pPr>
            <w:r/>
            <w:r>
              <w:rPr>
                <w:b w:val="0"/>
                <w:i w:val="0"/>
                <w:sz w:val="16"/>
              </w:rPr>
              <w:t>Annual report outside date under 15-BD test (Jun 27 meeting) [9]</w:t>
            </w:r>
          </w:p>
        </w:tc>
        <w:tc>
          <w:tcPr>
            <w:tcW w:type="dxa" w:w="3024"/>
            <w:shd w:val="clear" w:color="auto" w:fill="F2F4F7"/>
          </w:tcPr>
          <w:p>
            <w:pPr>
              <w:spacing w:after="0" w:before="0"/>
            </w:pPr>
            <w:r/>
            <w:r>
              <w:rPr>
                <w:b w:val="0"/>
                <w:i w:val="0"/>
                <w:sz w:val="16"/>
              </w:rPr>
              <w:t>Backstop only (Issue 10)</w:t>
            </w:r>
          </w:p>
        </w:tc>
      </w:tr>
      <w:tr>
        <w:tc>
          <w:tcPr>
            <w:tcW w:type="dxa" w:w="2304"/>
          </w:tcPr>
          <w:p>
            <w:pPr>
              <w:spacing w:after="0" w:before="0"/>
            </w:pPr>
            <w:r/>
            <w:r>
              <w:rPr>
                <w:b/>
                <w:i w:val="0"/>
                <w:sz w:val="16"/>
              </w:rPr>
              <w:t>Sun Jun 29, 2025</w:t>
            </w:r>
          </w:p>
        </w:tc>
        <w:tc>
          <w:tcPr>
            <w:tcW w:type="dxa" w:w="9072"/>
          </w:tcPr>
          <w:p>
            <w:pPr>
              <w:spacing w:after="0" w:before="0"/>
            </w:pPr>
            <w:r/>
            <w:r>
              <w:rPr>
                <w:b w:val="0"/>
                <w:i w:val="0"/>
                <w:sz w:val="16"/>
              </w:rPr>
              <w:t>Annual meeting outside date (180 days) [8]</w:t>
            </w:r>
          </w:p>
        </w:tc>
        <w:tc>
          <w:tcPr>
            <w:tcW w:type="dxa" w:w="3024"/>
          </w:tcPr>
          <w:p>
            <w:pPr>
              <w:spacing w:after="0" w:before="0"/>
            </w:pPr>
            <w:r/>
            <w:r>
              <w:rPr>
                <w:b w:val="0"/>
                <w:i w:val="0"/>
                <w:sz w:val="16"/>
              </w:rPr>
              <w:t>Operative Fri Jun 27</w:t>
            </w:r>
          </w:p>
        </w:tc>
      </w:tr>
    </w:tbl>
    <w:p>
      <w:pPr>
        <w:pStyle w:val="Heading1"/>
      </w:pPr>
      <w:r>
        <w:rPr>
          <w:color w:val="1F2A44"/>
        </w:rPr>
        <w:t>V. Administrator Dependency and Gap Analysis (IAA vs. Pinnacle SLA)</w:t>
      </w:r>
    </w:p>
    <w:p>
      <w:pPr>
        <w:spacing w:after="120"/>
      </w:pPr>
      <w:r>
        <w:rPr>
          <w:b w:val="0"/>
          <w:i w:val="0"/>
          <w:sz w:val="18"/>
        </w:rPr>
        <w:t>Pinnacle’s SLA measures its timelines from period-end, states that they are maximums, warns that deliverables should not be expected materially early in the first fiscal year, and places on the Adviser sole responsibility for meeting IAA deadlines (SLA §8). The table assumes Adviser sign-off on the preliminary NAV within 2–3 Business Days.</w:t>
      </w:r>
    </w:p>
    <w:tbl>
      <w:tblPr>
        <w:tblStyle w:val="TableGrid"/>
        <w:tblW w:type="auto" w:w="0"/>
        <w:jc w:val="center"/>
        <w:tblLayout w:type="fixed"/>
        <w:tblLook w:firstColumn="1" w:firstRow="1" w:lastColumn="0" w:lastRow="0" w:noHBand="0" w:noVBand="1" w:val="04A0"/>
      </w:tblPr>
      <w:tblGrid>
        <w:gridCol w:w="2592"/>
        <w:gridCol w:w="1728"/>
        <w:gridCol w:w="3744"/>
        <w:gridCol w:w="1728"/>
        <w:gridCol w:w="1872"/>
        <w:gridCol w:w="2736"/>
      </w:tblGrid>
      <w:tr>
        <w:trPr>
          <w:tblHeader w:val="true"/>
        </w:trPr>
        <w:tc>
          <w:tcPr>
            <w:tcW w:type="dxa" w:w="2592"/>
            <w:shd w:val="clear" w:color="auto" w:fill="1F2A44"/>
          </w:tcPr>
          <w:p>
            <w:pPr>
              <w:spacing w:after="0" w:before="0"/>
            </w:pPr>
            <w:r/>
            <w:r>
              <w:rPr>
                <w:b/>
                <w:i w:val="0"/>
                <w:color w:val="FFFFFF"/>
                <w:sz w:val="16"/>
              </w:rPr>
              <w:t>IAA deliverable</w:t>
            </w:r>
          </w:p>
        </w:tc>
        <w:tc>
          <w:tcPr>
            <w:tcW w:type="dxa" w:w="1728"/>
            <w:shd w:val="clear" w:color="auto" w:fill="1F2A44"/>
          </w:tcPr>
          <w:p>
            <w:pPr>
              <w:spacing w:after="0" w:before="0"/>
            </w:pPr>
            <w:r/>
            <w:r>
              <w:rPr>
                <w:b/>
                <w:i w:val="0"/>
                <w:color w:val="FFFFFF"/>
                <w:sz w:val="16"/>
              </w:rPr>
              <w:t>IAA deadline</w:t>
            </w:r>
          </w:p>
        </w:tc>
        <w:tc>
          <w:tcPr>
            <w:tcW w:type="dxa" w:w="3744"/>
            <w:shd w:val="clear" w:color="auto" w:fill="1F2A44"/>
          </w:tcPr>
          <w:p>
            <w:pPr>
              <w:spacing w:after="0" w:before="0"/>
            </w:pPr>
            <w:r/>
            <w:r>
              <w:rPr>
                <w:b/>
                <w:i w:val="0"/>
                <w:color w:val="FFFFFF"/>
                <w:sz w:val="16"/>
              </w:rPr>
              <w:t>Pinnacle input / SLA timeline</w:t>
            </w:r>
          </w:p>
        </w:tc>
        <w:tc>
          <w:tcPr>
            <w:tcW w:type="dxa" w:w="1728"/>
            <w:shd w:val="clear" w:color="auto" w:fill="1F2A44"/>
          </w:tcPr>
          <w:p>
            <w:pPr>
              <w:spacing w:after="0" w:before="0"/>
            </w:pPr>
            <w:r/>
            <w:r>
              <w:rPr>
                <w:b/>
                <w:i w:val="0"/>
                <w:color w:val="FFFFFF"/>
                <w:sz w:val="16"/>
              </w:rPr>
              <w:t>Margin</w:t>
            </w:r>
          </w:p>
        </w:tc>
        <w:tc>
          <w:tcPr>
            <w:tcW w:type="dxa" w:w="1872"/>
            <w:shd w:val="clear" w:color="auto" w:fill="1F2A44"/>
          </w:tcPr>
          <w:p>
            <w:pPr>
              <w:spacing w:after="0" w:before="0"/>
            </w:pPr>
            <w:r/>
            <w:r>
              <w:rPr>
                <w:b/>
                <w:i w:val="0"/>
                <w:color w:val="FFFFFF"/>
                <w:sz w:val="16"/>
              </w:rPr>
              <w:t>Feasibility</w:t>
            </w:r>
          </w:p>
        </w:tc>
        <w:tc>
          <w:tcPr>
            <w:tcW w:type="dxa" w:w="2736"/>
            <w:shd w:val="clear" w:color="auto" w:fill="1F2A44"/>
          </w:tcPr>
          <w:p>
            <w:pPr>
              <w:spacing w:after="0" w:before="0"/>
            </w:pPr>
            <w:r/>
            <w:r>
              <w:rPr>
                <w:b/>
                <w:i w:val="0"/>
                <w:color w:val="FFFFFF"/>
                <w:sz w:val="16"/>
              </w:rPr>
              <w:t>Mitigation</w:t>
            </w:r>
          </w:p>
        </w:tc>
      </w:tr>
      <w:tr>
        <w:tc>
          <w:tcPr>
            <w:tcW w:type="dxa" w:w="2592"/>
          </w:tcPr>
          <w:p>
            <w:pPr>
              <w:spacing w:after="0" w:before="0"/>
            </w:pPr>
            <w:r/>
            <w:r>
              <w:rPr>
                <w:b/>
                <w:i w:val="0"/>
                <w:sz w:val="16"/>
              </w:rPr>
              <w:t>Sovereign monthly NAV estimate [37]</w:t>
            </w:r>
          </w:p>
        </w:tc>
        <w:tc>
          <w:tcPr>
            <w:tcW w:type="dxa" w:w="1728"/>
          </w:tcPr>
          <w:p>
            <w:pPr>
              <w:spacing w:after="0" w:before="0"/>
            </w:pPr>
            <w:r/>
            <w:r>
              <w:rPr>
                <w:b w:val="0"/>
                <w:i w:val="0"/>
                <w:sz w:val="16"/>
              </w:rPr>
              <w:t>Day 20 (calendar)</w:t>
            </w:r>
          </w:p>
        </w:tc>
        <w:tc>
          <w:tcPr>
            <w:tcW w:type="dxa" w:w="3744"/>
          </w:tcPr>
          <w:p>
            <w:pPr>
              <w:spacing w:after="0" w:before="0"/>
            </w:pPr>
            <w:r/>
            <w:r>
              <w:rPr>
                <w:b w:val="0"/>
                <w:i w:val="0"/>
                <w:sz w:val="16"/>
              </w:rPr>
              <w:t>Monthly NAV estimate Day 25 (from Adviser marks)</w:t>
            </w:r>
          </w:p>
        </w:tc>
        <w:tc>
          <w:tcPr>
            <w:tcW w:type="dxa" w:w="1728"/>
          </w:tcPr>
          <w:p>
            <w:pPr>
              <w:spacing w:after="0" w:before="0"/>
            </w:pPr>
            <w:r/>
            <w:r>
              <w:rPr>
                <w:b w:val="0"/>
                <w:i w:val="0"/>
                <w:sz w:val="16"/>
              </w:rPr>
              <w:t>−5 days</w:t>
            </w:r>
          </w:p>
        </w:tc>
        <w:tc>
          <w:tcPr>
            <w:tcW w:type="dxa" w:w="1872"/>
          </w:tcPr>
          <w:p>
            <w:pPr>
              <w:spacing w:after="0" w:before="0"/>
            </w:pPr>
            <w:r/>
            <w:r>
              <w:rPr>
                <w:b w:val="0"/>
                <w:i w:val="0"/>
                <w:sz w:val="16"/>
              </w:rPr>
              <w:t>NOT FEASIBLE via Pinnacle</w:t>
            </w:r>
          </w:p>
        </w:tc>
        <w:tc>
          <w:tcPr>
            <w:tcW w:type="dxa" w:w="2736"/>
          </w:tcPr>
          <w:p>
            <w:pPr>
              <w:spacing w:after="0" w:before="0"/>
            </w:pPr>
            <w:r/>
            <w:r>
              <w:rPr>
                <w:b w:val="0"/>
                <w:i w:val="0"/>
                <w:sz w:val="16"/>
              </w:rPr>
              <w:t>Adviser prepares from its own monthly marks; request Day 15–18 flash NAV</w:t>
            </w:r>
          </w:p>
        </w:tc>
      </w:tr>
      <w:tr>
        <w:tc>
          <w:tcPr>
            <w:tcW w:type="dxa" w:w="2592"/>
            <w:shd w:val="clear" w:color="auto" w:fill="F2F4F7"/>
          </w:tcPr>
          <w:p>
            <w:pPr>
              <w:spacing w:after="0" w:before="0"/>
            </w:pPr>
            <w:r/>
            <w:r>
              <w:rPr>
                <w:b/>
                <w:i w:val="0"/>
                <w:sz w:val="16"/>
              </w:rPr>
              <w:t>LPAC monthly portfolio summary [12]</w:t>
            </w:r>
          </w:p>
        </w:tc>
        <w:tc>
          <w:tcPr>
            <w:tcW w:type="dxa" w:w="1728"/>
            <w:shd w:val="clear" w:color="auto" w:fill="F2F4F7"/>
          </w:tcPr>
          <w:p>
            <w:pPr>
              <w:spacing w:after="0" w:before="0"/>
            </w:pPr>
            <w:r/>
            <w:r>
              <w:rPr>
                <w:b w:val="0"/>
                <w:i w:val="0"/>
                <w:sz w:val="16"/>
              </w:rPr>
              <w:t>Day 30</w:t>
            </w:r>
          </w:p>
        </w:tc>
        <w:tc>
          <w:tcPr>
            <w:tcW w:type="dxa" w:w="3744"/>
            <w:shd w:val="clear" w:color="auto" w:fill="F2F4F7"/>
          </w:tcPr>
          <w:p>
            <w:pPr>
              <w:spacing w:after="0" w:before="0"/>
            </w:pPr>
            <w:r/>
            <w:r>
              <w:rPr>
                <w:b w:val="0"/>
                <w:i w:val="0"/>
                <w:sz w:val="16"/>
              </w:rPr>
              <w:t>Monthly NAV estimate Day 25</w:t>
            </w:r>
          </w:p>
        </w:tc>
        <w:tc>
          <w:tcPr>
            <w:tcW w:type="dxa" w:w="1728"/>
            <w:shd w:val="clear" w:color="auto" w:fill="F2F4F7"/>
          </w:tcPr>
          <w:p>
            <w:pPr>
              <w:spacing w:after="0" w:before="0"/>
            </w:pPr>
            <w:r/>
            <w:r>
              <w:rPr>
                <w:b w:val="0"/>
                <w:i w:val="0"/>
                <w:sz w:val="16"/>
              </w:rPr>
              <w:t>+5 days</w:t>
            </w:r>
          </w:p>
        </w:tc>
        <w:tc>
          <w:tcPr>
            <w:tcW w:type="dxa" w:w="1872"/>
            <w:shd w:val="clear" w:color="auto" w:fill="F2F4F7"/>
          </w:tcPr>
          <w:p>
            <w:pPr>
              <w:spacing w:after="0" w:before="0"/>
            </w:pPr>
            <w:r/>
            <w:r>
              <w:rPr>
                <w:b w:val="0"/>
                <w:i w:val="0"/>
                <w:sz w:val="16"/>
              </w:rPr>
              <w:t>Feasible, tight</w:t>
            </w:r>
          </w:p>
        </w:tc>
        <w:tc>
          <w:tcPr>
            <w:tcW w:type="dxa" w:w="2736"/>
            <w:shd w:val="clear" w:color="auto" w:fill="F2F4F7"/>
          </w:tcPr>
          <w:p>
            <w:pPr>
              <w:spacing w:after="0" w:before="0"/>
            </w:pPr>
            <w:r/>
            <w:r>
              <w:rPr>
                <w:b w:val="0"/>
                <w:i w:val="0"/>
                <w:sz w:val="16"/>
              </w:rPr>
              <w:t>Build template; Adviser marks drive both</w:t>
            </w:r>
          </w:p>
        </w:tc>
      </w:tr>
      <w:tr>
        <w:tc>
          <w:tcPr>
            <w:tcW w:type="dxa" w:w="2592"/>
          </w:tcPr>
          <w:p>
            <w:pPr>
              <w:spacing w:after="0" w:before="0"/>
            </w:pPr>
            <w:r/>
            <w:r>
              <w:rPr>
                <w:b/>
                <w:i w:val="0"/>
                <w:sz w:val="16"/>
              </w:rPr>
              <w:t>Quarterly BPI calculation [30]</w:t>
            </w:r>
          </w:p>
        </w:tc>
        <w:tc>
          <w:tcPr>
            <w:tcW w:type="dxa" w:w="1728"/>
          </w:tcPr>
          <w:p>
            <w:pPr>
              <w:spacing w:after="0" w:before="0"/>
            </w:pPr>
            <w:r/>
            <w:r>
              <w:rPr>
                <w:b w:val="0"/>
                <w:i w:val="0"/>
                <w:sz w:val="16"/>
              </w:rPr>
              <w:t>Day 30</w:t>
            </w:r>
          </w:p>
        </w:tc>
        <w:tc>
          <w:tcPr>
            <w:tcW w:type="dxa" w:w="3744"/>
          </w:tcPr>
          <w:p>
            <w:pPr>
              <w:spacing w:after="0" w:before="0"/>
            </w:pPr>
            <w:r/>
            <w:r>
              <w:rPr>
                <w:b w:val="0"/>
                <w:i w:val="0"/>
                <w:sz w:val="16"/>
              </w:rPr>
              <w:t>In quarterly package Day 35 (Day 40 initial quarter)</w:t>
            </w:r>
          </w:p>
        </w:tc>
        <w:tc>
          <w:tcPr>
            <w:tcW w:type="dxa" w:w="1728"/>
          </w:tcPr>
          <w:p>
            <w:pPr>
              <w:spacing w:after="0" w:before="0"/>
            </w:pPr>
            <w:r/>
            <w:r>
              <w:rPr>
                <w:b w:val="0"/>
                <w:i w:val="0"/>
                <w:sz w:val="16"/>
              </w:rPr>
              <w:t>−5 / −10 days</w:t>
            </w:r>
          </w:p>
        </w:tc>
        <w:tc>
          <w:tcPr>
            <w:tcW w:type="dxa" w:w="1872"/>
          </w:tcPr>
          <w:p>
            <w:pPr>
              <w:spacing w:after="0" w:before="0"/>
            </w:pPr>
            <w:r/>
            <w:r>
              <w:rPr>
                <w:b w:val="0"/>
                <w:i w:val="0"/>
                <w:sz w:val="16"/>
              </w:rPr>
              <w:t>NOT FEASIBLE via Pinnacle</w:t>
            </w:r>
          </w:p>
        </w:tc>
        <w:tc>
          <w:tcPr>
            <w:tcW w:type="dxa" w:w="2736"/>
          </w:tcPr>
          <w:p>
            <w:pPr>
              <w:spacing w:after="0" w:before="0"/>
            </w:pPr>
            <w:r/>
            <w:r>
              <w:rPr>
                <w:b w:val="0"/>
                <w:i w:val="0"/>
                <w:sz w:val="16"/>
              </w:rPr>
              <w:t>In-house calculation from investor register</w:t>
            </w:r>
          </w:p>
        </w:tc>
      </w:tr>
      <w:tr>
        <w:tc>
          <w:tcPr>
            <w:tcW w:type="dxa" w:w="2592"/>
            <w:shd w:val="clear" w:color="auto" w:fill="F2F4F7"/>
          </w:tcPr>
          <w:p>
            <w:pPr>
              <w:spacing w:after="0" w:before="0"/>
            </w:pPr>
            <w:r/>
            <w:r>
              <w:rPr>
                <w:b/>
                <w:i w:val="0"/>
                <w:sz w:val="16"/>
              </w:rPr>
              <w:t>Year-end UBTI estimates [6]</w:t>
            </w:r>
          </w:p>
        </w:tc>
        <w:tc>
          <w:tcPr>
            <w:tcW w:type="dxa" w:w="1728"/>
            <w:shd w:val="clear" w:color="auto" w:fill="F2F4F7"/>
          </w:tcPr>
          <w:p>
            <w:pPr>
              <w:spacing w:after="0" w:before="0"/>
            </w:pPr>
            <w:r/>
            <w:r>
              <w:rPr>
                <w:b w:val="0"/>
                <w:i w:val="0"/>
                <w:sz w:val="16"/>
              </w:rPr>
              <w:t>Day 30 after FYE</w:t>
            </w:r>
          </w:p>
        </w:tc>
        <w:tc>
          <w:tcPr>
            <w:tcW w:type="dxa" w:w="3744"/>
            <w:shd w:val="clear" w:color="auto" w:fill="F2F4F7"/>
          </w:tcPr>
          <w:p>
            <w:pPr>
              <w:spacing w:after="0" w:before="0"/>
            </w:pPr>
            <w:r/>
            <w:r>
              <w:rPr>
                <w:b w:val="0"/>
                <w:i w:val="0"/>
                <w:sz w:val="16"/>
              </w:rPr>
              <w:t>UBTI worksheets only in Day 45 tax package; no interim estimates</w:t>
            </w:r>
          </w:p>
        </w:tc>
        <w:tc>
          <w:tcPr>
            <w:tcW w:type="dxa" w:w="1728"/>
            <w:shd w:val="clear" w:color="auto" w:fill="F2F4F7"/>
          </w:tcPr>
          <w:p>
            <w:pPr>
              <w:spacing w:after="0" w:before="0"/>
            </w:pPr>
            <w:r/>
            <w:r>
              <w:rPr>
                <w:b w:val="0"/>
                <w:i w:val="0"/>
                <w:sz w:val="16"/>
              </w:rPr>
              <w:t>−15 days</w:t>
            </w:r>
          </w:p>
        </w:tc>
        <w:tc>
          <w:tcPr>
            <w:tcW w:type="dxa" w:w="1872"/>
            <w:shd w:val="clear" w:color="auto" w:fill="F2F4F7"/>
          </w:tcPr>
          <w:p>
            <w:pPr>
              <w:spacing w:after="0" w:before="0"/>
            </w:pPr>
            <w:r/>
            <w:r>
              <w:rPr>
                <w:b w:val="0"/>
                <w:i w:val="0"/>
                <w:sz w:val="16"/>
              </w:rPr>
              <w:t>NOT FEASIBLE via Pinnacle</w:t>
            </w:r>
          </w:p>
        </w:tc>
        <w:tc>
          <w:tcPr>
            <w:tcW w:type="dxa" w:w="2736"/>
            <w:shd w:val="clear" w:color="auto" w:fill="F2F4F7"/>
          </w:tcPr>
          <w:p>
            <w:pPr>
              <w:spacing w:after="0" w:before="0"/>
            </w:pPr>
            <w:r/>
            <w:r>
              <w:rPr>
                <w:b w:val="0"/>
                <w:i w:val="0"/>
                <w:sz w:val="16"/>
              </w:rPr>
              <w:t>Tax preparer independent estimate; labelled preliminary</w:t>
            </w:r>
          </w:p>
        </w:tc>
      </w:tr>
      <w:tr>
        <w:tc>
          <w:tcPr>
            <w:tcW w:type="dxa" w:w="2592"/>
          </w:tcPr>
          <w:p>
            <w:pPr>
              <w:spacing w:after="0" w:before="0"/>
            </w:pPr>
            <w:r/>
            <w:r>
              <w:rPr>
                <w:b/>
                <w:i w:val="0"/>
                <w:sz w:val="16"/>
              </w:rPr>
              <w:t>Apex placement agent certificate [39]</w:t>
            </w:r>
          </w:p>
        </w:tc>
        <w:tc>
          <w:tcPr>
            <w:tcW w:type="dxa" w:w="1728"/>
          </w:tcPr>
          <w:p>
            <w:pPr>
              <w:spacing w:after="0" w:before="0"/>
            </w:pPr>
            <w:r/>
            <w:r>
              <w:rPr>
                <w:b w:val="0"/>
                <w:i w:val="0"/>
                <w:sz w:val="16"/>
              </w:rPr>
              <w:t>Day 30</w:t>
            </w:r>
          </w:p>
        </w:tc>
        <w:tc>
          <w:tcPr>
            <w:tcW w:type="dxa" w:w="3744"/>
          </w:tcPr>
          <w:p>
            <w:pPr>
              <w:spacing w:after="0" w:before="0"/>
            </w:pPr>
            <w:r/>
            <w:r>
              <w:rPr>
                <w:b w:val="0"/>
                <w:i w:val="0"/>
                <w:sz w:val="16"/>
              </w:rPr>
              <w:t>None (Adviser compliance)</w:t>
            </w:r>
          </w:p>
        </w:tc>
        <w:tc>
          <w:tcPr>
            <w:tcW w:type="dxa" w:w="1728"/>
          </w:tcPr>
          <w:p>
            <w:pPr>
              <w:spacing w:after="0" w:before="0"/>
            </w:pPr>
            <w:r/>
            <w:r>
              <w:rPr>
                <w:b w:val="0"/>
                <w:i w:val="0"/>
                <w:sz w:val="16"/>
              </w:rPr>
              <w:t>n/a</w:t>
            </w:r>
          </w:p>
        </w:tc>
        <w:tc>
          <w:tcPr>
            <w:tcW w:type="dxa" w:w="1872"/>
          </w:tcPr>
          <w:p>
            <w:pPr>
              <w:spacing w:after="0" w:before="0"/>
            </w:pPr>
            <w:r/>
            <w:r>
              <w:rPr>
                <w:b w:val="0"/>
                <w:i w:val="0"/>
                <w:sz w:val="16"/>
              </w:rPr>
              <w:t>Feasible</w:t>
            </w:r>
          </w:p>
        </w:tc>
        <w:tc>
          <w:tcPr>
            <w:tcW w:type="dxa" w:w="2736"/>
          </w:tcPr>
          <w:p>
            <w:pPr>
              <w:spacing w:after="0" w:before="0"/>
            </w:pPr>
            <w:r/>
            <w:r>
              <w:rPr>
                <w:b w:val="0"/>
                <w:i w:val="0"/>
                <w:sz w:val="16"/>
              </w:rPr>
              <w:t>Quarterly covered-associate attestations</w:t>
            </w:r>
          </w:p>
        </w:tc>
      </w:tr>
      <w:tr>
        <w:tc>
          <w:tcPr>
            <w:tcW w:type="dxa" w:w="2592"/>
            <w:shd w:val="clear" w:color="auto" w:fill="F2F4F7"/>
          </w:tcPr>
          <w:p>
            <w:pPr>
              <w:spacing w:after="0" w:before="0"/>
            </w:pPr>
            <w:r/>
            <w:r>
              <w:rPr>
                <w:b/>
                <w:i w:val="0"/>
                <w:sz w:val="16"/>
              </w:rPr>
              <w:t>Quarterly LP capital account statements [2]</w:t>
            </w:r>
          </w:p>
        </w:tc>
        <w:tc>
          <w:tcPr>
            <w:tcW w:type="dxa" w:w="1728"/>
            <w:shd w:val="clear" w:color="auto" w:fill="F2F4F7"/>
          </w:tcPr>
          <w:p>
            <w:pPr>
              <w:spacing w:after="0" w:before="0"/>
            </w:pPr>
            <w:r/>
            <w:r>
              <w:rPr>
                <w:b w:val="0"/>
                <w:i w:val="0"/>
                <w:sz w:val="16"/>
              </w:rPr>
              <w:t>Day 45</w:t>
            </w:r>
          </w:p>
        </w:tc>
        <w:tc>
          <w:tcPr>
            <w:tcW w:type="dxa" w:w="3744"/>
            <w:shd w:val="clear" w:color="auto" w:fill="F2F4F7"/>
          </w:tcPr>
          <w:p>
            <w:pPr>
              <w:spacing w:after="0" w:before="0"/>
            </w:pPr>
            <w:r/>
            <w:r>
              <w:rPr>
                <w:b w:val="0"/>
                <w:i w:val="0"/>
                <w:sz w:val="16"/>
              </w:rPr>
              <w:t>Prelim NAV Day 35/40 → final package +5 BD after sign-off → draft statements +7 BD → upload +2 BD (≈ Day 58; Mar 6, 2025 for Q4 2024)</w:t>
            </w:r>
          </w:p>
        </w:tc>
        <w:tc>
          <w:tcPr>
            <w:tcW w:type="dxa" w:w="1728"/>
            <w:shd w:val="clear" w:color="auto" w:fill="F2F4F7"/>
          </w:tcPr>
          <w:p>
            <w:pPr>
              <w:spacing w:after="0" w:before="0"/>
            </w:pPr>
            <w:r/>
            <w:r>
              <w:rPr>
                <w:b w:val="0"/>
                <w:i w:val="0"/>
                <w:sz w:val="16"/>
              </w:rPr>
              <w:t>≈ −13 days; ≈ −20 days (Q4 2024)</w:t>
            </w:r>
          </w:p>
        </w:tc>
        <w:tc>
          <w:tcPr>
            <w:tcW w:type="dxa" w:w="1872"/>
            <w:shd w:val="clear" w:color="auto" w:fill="F2F4F7"/>
          </w:tcPr>
          <w:p>
            <w:pPr>
              <w:spacing w:after="0" w:before="0"/>
            </w:pPr>
            <w:r/>
            <w:r>
              <w:rPr>
                <w:b w:val="0"/>
                <w:i w:val="0"/>
                <w:sz w:val="16"/>
              </w:rPr>
              <w:t>NOT FEASIBLE (structural)</w:t>
            </w:r>
          </w:p>
        </w:tc>
        <w:tc>
          <w:tcPr>
            <w:tcW w:type="dxa" w:w="2736"/>
            <w:shd w:val="clear" w:color="auto" w:fill="F2F4F7"/>
          </w:tcPr>
          <w:p>
            <w:pPr>
              <w:spacing w:after="0" w:before="0"/>
            </w:pPr>
            <w:r/>
            <w:r>
              <w:rPr>
                <w:b w:val="0"/>
                <w:i w:val="0"/>
                <w:sz w:val="16"/>
              </w:rPr>
              <w:t>Amend §7.4 to Day 60; compress cascade; interim estimated statements</w:t>
            </w:r>
          </w:p>
        </w:tc>
      </w:tr>
      <w:tr>
        <w:tc>
          <w:tcPr>
            <w:tcW w:type="dxa" w:w="2592"/>
          </w:tcPr>
          <w:p>
            <w:pPr>
              <w:spacing w:after="0" w:before="0"/>
            </w:pPr>
            <w:r/>
            <w:r>
              <w:rPr>
                <w:b/>
                <w:i w:val="0"/>
                <w:sz w:val="16"/>
              </w:rPr>
              <w:t>LPAC valuation report [13, 14]</w:t>
            </w:r>
          </w:p>
        </w:tc>
        <w:tc>
          <w:tcPr>
            <w:tcW w:type="dxa" w:w="1728"/>
          </w:tcPr>
          <w:p>
            <w:pPr>
              <w:spacing w:after="0" w:before="0"/>
            </w:pPr>
            <w:r/>
            <w:r>
              <w:rPr>
                <w:b w:val="0"/>
                <w:i w:val="0"/>
                <w:sz w:val="16"/>
              </w:rPr>
              <w:t>Day 45 (calendar; Ex. B says 45 BD)</w:t>
            </w:r>
          </w:p>
        </w:tc>
        <w:tc>
          <w:tcPr>
            <w:tcW w:type="dxa" w:w="3744"/>
          </w:tcPr>
          <w:p>
            <w:pPr>
              <w:spacing w:after="0" w:before="0"/>
            </w:pPr>
            <w:r/>
            <w:r>
              <w:rPr>
                <w:b w:val="0"/>
                <w:i w:val="0"/>
                <w:sz w:val="16"/>
              </w:rPr>
              <w:t>Adviser marks to Pinnacle Day 25; prelim NAV Day 35/40 for Level 3 roll-forward</w:t>
            </w:r>
          </w:p>
        </w:tc>
        <w:tc>
          <w:tcPr>
            <w:tcW w:type="dxa" w:w="1728"/>
          </w:tcPr>
          <w:p>
            <w:pPr>
              <w:spacing w:after="0" w:before="0"/>
            </w:pPr>
            <w:r/>
            <w:r>
              <w:rPr>
                <w:b w:val="0"/>
                <w:i w:val="0"/>
                <w:sz w:val="16"/>
              </w:rPr>
              <w:t>+5 to +10 days</w:t>
            </w:r>
          </w:p>
        </w:tc>
        <w:tc>
          <w:tcPr>
            <w:tcW w:type="dxa" w:w="1872"/>
          </w:tcPr>
          <w:p>
            <w:pPr>
              <w:spacing w:after="0" w:before="0"/>
            </w:pPr>
            <w:r/>
            <w:r>
              <w:rPr>
                <w:b w:val="0"/>
                <w:i w:val="0"/>
                <w:sz w:val="16"/>
              </w:rPr>
              <w:t>Feasible, tight</w:t>
            </w:r>
          </w:p>
        </w:tc>
        <w:tc>
          <w:tcPr>
            <w:tcW w:type="dxa" w:w="2736"/>
          </w:tcPr>
          <w:p>
            <w:pPr>
              <w:spacing w:after="0" w:before="0"/>
            </w:pPr>
            <w:r/>
            <w:r>
              <w:rPr>
                <w:b w:val="0"/>
                <w:i w:val="0"/>
                <w:sz w:val="16"/>
              </w:rPr>
              <w:t>Valuation Committee to finalize by Day 25</w:t>
            </w:r>
          </w:p>
        </w:tc>
      </w:tr>
      <w:tr>
        <w:tc>
          <w:tcPr>
            <w:tcW w:type="dxa" w:w="2592"/>
            <w:shd w:val="clear" w:color="auto" w:fill="F2F4F7"/>
          </w:tcPr>
          <w:p>
            <w:pPr>
              <w:spacing w:after="0" w:before="0"/>
            </w:pPr>
            <w:r/>
            <w:r>
              <w:rPr>
                <w:b/>
                <w:i w:val="0"/>
                <w:sz w:val="16"/>
              </w:rPr>
              <w:t>Quarterly financial statements [1]</w:t>
            </w:r>
          </w:p>
        </w:tc>
        <w:tc>
          <w:tcPr>
            <w:tcW w:type="dxa" w:w="1728"/>
            <w:shd w:val="clear" w:color="auto" w:fill="F2F4F7"/>
          </w:tcPr>
          <w:p>
            <w:pPr>
              <w:spacing w:after="0" w:before="0"/>
            </w:pPr>
            <w:r/>
            <w:r>
              <w:rPr>
                <w:b w:val="0"/>
                <w:i w:val="0"/>
                <w:sz w:val="16"/>
              </w:rPr>
              <w:t>Day 60</w:t>
            </w:r>
          </w:p>
        </w:tc>
        <w:tc>
          <w:tcPr>
            <w:tcW w:type="dxa" w:w="3744"/>
            <w:shd w:val="clear" w:color="auto" w:fill="F2F4F7"/>
          </w:tcPr>
          <w:p>
            <w:pPr>
              <w:spacing w:after="0" w:before="0"/>
            </w:pPr>
            <w:r/>
            <w:r>
              <w:rPr>
                <w:b w:val="0"/>
                <w:i w:val="0"/>
                <w:sz w:val="16"/>
              </w:rPr>
              <w:t>Finalized package ≈ Day 44 (standard) / Feb 21, 2025 (Q4 2024)</w:t>
            </w:r>
          </w:p>
        </w:tc>
        <w:tc>
          <w:tcPr>
            <w:tcW w:type="dxa" w:w="1728"/>
            <w:shd w:val="clear" w:color="auto" w:fill="F2F4F7"/>
          </w:tcPr>
          <w:p>
            <w:pPr>
              <w:spacing w:after="0" w:before="0"/>
            </w:pPr>
            <w:r/>
            <w:r>
              <w:rPr>
                <w:b w:val="0"/>
                <w:i w:val="0"/>
                <w:sz w:val="16"/>
              </w:rPr>
              <w:t>≈ +6 BD (Q4 2024)</w:t>
            </w:r>
          </w:p>
        </w:tc>
        <w:tc>
          <w:tcPr>
            <w:tcW w:type="dxa" w:w="1872"/>
            <w:shd w:val="clear" w:color="auto" w:fill="F2F4F7"/>
          </w:tcPr>
          <w:p>
            <w:pPr>
              <w:spacing w:after="0" w:before="0"/>
            </w:pPr>
            <w:r/>
            <w:r>
              <w:rPr>
                <w:b w:val="0"/>
                <w:i w:val="0"/>
                <w:sz w:val="16"/>
              </w:rPr>
              <w:t>Feasible, tight</w:t>
            </w:r>
          </w:p>
        </w:tc>
        <w:tc>
          <w:tcPr>
            <w:tcW w:type="dxa" w:w="2736"/>
            <w:shd w:val="clear" w:color="auto" w:fill="F2F4F7"/>
          </w:tcPr>
          <w:p>
            <w:pPr>
              <w:spacing w:after="0" w:before="0"/>
            </w:pPr>
            <w:r/>
            <w:r>
              <w:rPr>
                <w:b w:val="0"/>
                <w:i w:val="0"/>
                <w:sz w:val="16"/>
              </w:rPr>
              <w:t>Pre-draft statements from preliminary NAV</w:t>
            </w:r>
          </w:p>
        </w:tc>
      </w:tr>
      <w:tr>
        <w:tc>
          <w:tcPr>
            <w:tcW w:type="dxa" w:w="2592"/>
          </w:tcPr>
          <w:p>
            <w:pPr>
              <w:spacing w:after="0" w:before="0"/>
            </w:pPr>
            <w:r/>
            <w:r>
              <w:rPr>
                <w:b/>
                <w:i w:val="0"/>
                <w:sz w:val="16"/>
              </w:rPr>
              <w:t>Sovereign capital impact analysis [38]</w:t>
            </w:r>
          </w:p>
        </w:tc>
        <w:tc>
          <w:tcPr>
            <w:tcW w:type="dxa" w:w="1728"/>
          </w:tcPr>
          <w:p>
            <w:pPr>
              <w:spacing w:after="0" w:before="0"/>
            </w:pPr>
            <w:r/>
            <w:r>
              <w:rPr>
                <w:b w:val="0"/>
                <w:i w:val="0"/>
                <w:sz w:val="16"/>
              </w:rPr>
              <w:t>Day 60</w:t>
            </w:r>
          </w:p>
        </w:tc>
        <w:tc>
          <w:tcPr>
            <w:tcW w:type="dxa" w:w="3744"/>
          </w:tcPr>
          <w:p>
            <w:pPr>
              <w:spacing w:after="0" w:before="0"/>
            </w:pPr>
            <w:r/>
            <w:r>
              <w:rPr>
                <w:b w:val="0"/>
                <w:i w:val="0"/>
                <w:sz w:val="16"/>
              </w:rPr>
              <w:t>Same as financial statements</w:t>
            </w:r>
          </w:p>
        </w:tc>
        <w:tc>
          <w:tcPr>
            <w:tcW w:type="dxa" w:w="1728"/>
          </w:tcPr>
          <w:p>
            <w:pPr>
              <w:spacing w:after="0" w:before="0"/>
            </w:pPr>
            <w:r/>
            <w:r>
              <w:rPr>
                <w:b w:val="0"/>
                <w:i w:val="0"/>
                <w:sz w:val="16"/>
              </w:rPr>
              <w:t>≈ +6 BD</w:t>
            </w:r>
          </w:p>
        </w:tc>
        <w:tc>
          <w:tcPr>
            <w:tcW w:type="dxa" w:w="1872"/>
          </w:tcPr>
          <w:p>
            <w:pPr>
              <w:spacing w:after="0" w:before="0"/>
            </w:pPr>
            <w:r/>
            <w:r>
              <w:rPr>
                <w:b w:val="0"/>
                <w:i w:val="0"/>
                <w:sz w:val="16"/>
              </w:rPr>
              <w:t>Feasible, tight</w:t>
            </w:r>
          </w:p>
        </w:tc>
        <w:tc>
          <w:tcPr>
            <w:tcW w:type="dxa" w:w="2736"/>
          </w:tcPr>
          <w:p>
            <w:pPr>
              <w:spacing w:after="0" w:before="0"/>
            </w:pPr>
            <w:r/>
            <w:r>
              <w:rPr>
                <w:b w:val="0"/>
                <w:i w:val="0"/>
                <w:sz w:val="16"/>
              </w:rPr>
              <w:t>Agree template early</w:t>
            </w:r>
          </w:p>
        </w:tc>
      </w:tr>
      <w:tr>
        <w:tc>
          <w:tcPr>
            <w:tcW w:type="dxa" w:w="2592"/>
            <w:shd w:val="clear" w:color="auto" w:fill="F2F4F7"/>
          </w:tcPr>
          <w:p>
            <w:pPr>
              <w:spacing w:after="0" w:before="0"/>
            </w:pPr>
            <w:r/>
            <w:r>
              <w:rPr>
                <w:b/>
                <w:i w:val="0"/>
                <w:sz w:val="16"/>
              </w:rPr>
              <w:t>K-1 delay notice + estimates [5]</w:t>
            </w:r>
          </w:p>
        </w:tc>
        <w:tc>
          <w:tcPr>
            <w:tcW w:type="dxa" w:w="1728"/>
            <w:shd w:val="clear" w:color="auto" w:fill="F2F4F7"/>
          </w:tcPr>
          <w:p>
            <w:pPr>
              <w:spacing w:after="0" w:before="0"/>
            </w:pPr>
            <w:r/>
            <w:r>
              <w:rPr>
                <w:b w:val="0"/>
                <w:i w:val="0"/>
                <w:sz w:val="16"/>
              </w:rPr>
              <w:t>Feb 28</w:t>
            </w:r>
          </w:p>
        </w:tc>
        <w:tc>
          <w:tcPr>
            <w:tcW w:type="dxa" w:w="3744"/>
            <w:shd w:val="clear" w:color="auto" w:fill="F2F4F7"/>
          </w:tcPr>
          <w:p>
            <w:pPr>
              <w:spacing w:after="0" w:before="0"/>
            </w:pPr>
            <w:r/>
            <w:r>
              <w:rPr>
                <w:b w:val="0"/>
                <w:i w:val="0"/>
                <w:sz w:val="16"/>
              </w:rPr>
              <w:t>Tax package Feb 14, 2025</w:t>
            </w:r>
          </w:p>
        </w:tc>
        <w:tc>
          <w:tcPr>
            <w:tcW w:type="dxa" w:w="1728"/>
            <w:shd w:val="clear" w:color="auto" w:fill="F2F4F7"/>
          </w:tcPr>
          <w:p>
            <w:pPr>
              <w:spacing w:after="0" w:before="0"/>
            </w:pPr>
            <w:r/>
            <w:r>
              <w:rPr>
                <w:b w:val="0"/>
                <w:i w:val="0"/>
                <w:sz w:val="16"/>
              </w:rPr>
              <w:t>+10 BD</w:t>
            </w:r>
          </w:p>
        </w:tc>
        <w:tc>
          <w:tcPr>
            <w:tcW w:type="dxa" w:w="1872"/>
            <w:shd w:val="clear" w:color="auto" w:fill="F2F4F7"/>
          </w:tcPr>
          <w:p>
            <w:pPr>
              <w:spacing w:after="0" w:before="0"/>
            </w:pPr>
            <w:r/>
            <w:r>
              <w:rPr>
                <w:b w:val="0"/>
                <w:i w:val="0"/>
                <w:sz w:val="16"/>
              </w:rPr>
              <w:t>Feasible, tight</w:t>
            </w:r>
          </w:p>
        </w:tc>
        <w:tc>
          <w:tcPr>
            <w:tcW w:type="dxa" w:w="2736"/>
            <w:shd w:val="clear" w:color="auto" w:fill="F2F4F7"/>
          </w:tcPr>
          <w:p>
            <w:pPr>
              <w:spacing w:after="0" w:before="0"/>
            </w:pPr>
            <w:r/>
            <w:r>
              <w:rPr>
                <w:b w:val="0"/>
                <w:i w:val="0"/>
                <w:sz w:val="16"/>
              </w:rPr>
              <w:t>Estimate template ready in January</w:t>
            </w:r>
          </w:p>
        </w:tc>
      </w:tr>
      <w:tr>
        <w:tc>
          <w:tcPr>
            <w:tcW w:type="dxa" w:w="2592"/>
          </w:tcPr>
          <w:p>
            <w:pPr>
              <w:spacing w:after="0" w:before="0"/>
            </w:pPr>
            <w:r/>
            <w:r>
              <w:rPr>
                <w:b/>
                <w:i w:val="0"/>
                <w:sz w:val="16"/>
              </w:rPr>
              <w:t>Schedule K-1s [4]</w:t>
            </w:r>
          </w:p>
        </w:tc>
        <w:tc>
          <w:tcPr>
            <w:tcW w:type="dxa" w:w="1728"/>
          </w:tcPr>
          <w:p>
            <w:pPr>
              <w:spacing w:after="0" w:before="0"/>
            </w:pPr>
            <w:r/>
            <w:r>
              <w:rPr>
                <w:b w:val="0"/>
                <w:i w:val="0"/>
                <w:sz w:val="16"/>
              </w:rPr>
              <w:t>Mar 15 (efforts) / Apr 15 (hard)</w:t>
            </w:r>
          </w:p>
        </w:tc>
        <w:tc>
          <w:tcPr>
            <w:tcW w:type="dxa" w:w="3744"/>
          </w:tcPr>
          <w:p>
            <w:pPr>
              <w:spacing w:after="0" w:before="0"/>
            </w:pPr>
            <w:r/>
            <w:r>
              <w:rPr>
                <w:b w:val="0"/>
                <w:i w:val="0"/>
                <w:sz w:val="16"/>
              </w:rPr>
              <w:t>Tax package Day 45 + 15–20 BD for drafts (Mar 10–17, 2025)</w:t>
            </w:r>
          </w:p>
        </w:tc>
        <w:tc>
          <w:tcPr>
            <w:tcW w:type="dxa" w:w="1728"/>
          </w:tcPr>
          <w:p>
            <w:pPr>
              <w:spacing w:after="0" w:before="0"/>
            </w:pPr>
            <w:r/>
            <w:r>
              <w:rPr>
                <w:b w:val="0"/>
                <w:i w:val="0"/>
                <w:sz w:val="16"/>
              </w:rPr>
              <w:t>Mar 15: negative; Apr 15: ≈ +4 weeks</w:t>
            </w:r>
          </w:p>
        </w:tc>
        <w:tc>
          <w:tcPr>
            <w:tcW w:type="dxa" w:w="1872"/>
          </w:tcPr>
          <w:p>
            <w:pPr>
              <w:spacing w:after="0" w:before="0"/>
            </w:pPr>
            <w:r/>
            <w:r>
              <w:rPr>
                <w:b w:val="0"/>
                <w:i w:val="0"/>
                <w:sz w:val="16"/>
              </w:rPr>
              <w:t>Mar 15 unlikely; Apr 15 feasible</w:t>
            </w:r>
          </w:p>
        </w:tc>
        <w:tc>
          <w:tcPr>
            <w:tcW w:type="dxa" w:w="2736"/>
          </w:tcPr>
          <w:p>
            <w:pPr>
              <w:spacing w:after="0" w:before="0"/>
            </w:pPr>
            <w:r/>
            <w:r>
              <w:rPr>
                <w:b w:val="0"/>
                <w:i w:val="0"/>
                <w:sz w:val="16"/>
              </w:rPr>
              <w:t>Plan for Feb 28 notice</w:t>
            </w:r>
          </w:p>
        </w:tc>
      </w:tr>
      <w:tr>
        <w:tc>
          <w:tcPr>
            <w:tcW w:type="dxa" w:w="2592"/>
            <w:shd w:val="clear" w:color="auto" w:fill="F2F4F7"/>
          </w:tcPr>
          <w:p>
            <w:pPr>
              <w:spacing w:after="0" w:before="0"/>
            </w:pPr>
            <w:r/>
            <w:r>
              <w:rPr>
                <w:b/>
                <w:i w:val="0"/>
                <w:sz w:val="16"/>
              </w:rPr>
              <w:t>FATCA/CRS statements [35]</w:t>
            </w:r>
          </w:p>
        </w:tc>
        <w:tc>
          <w:tcPr>
            <w:tcW w:type="dxa" w:w="1728"/>
            <w:shd w:val="clear" w:color="auto" w:fill="F2F4F7"/>
          </w:tcPr>
          <w:p>
            <w:pPr>
              <w:spacing w:after="0" w:before="0"/>
            </w:pPr>
            <w:r/>
            <w:r>
              <w:rPr>
                <w:b w:val="0"/>
                <w:i w:val="0"/>
                <w:sz w:val="16"/>
              </w:rPr>
              <w:t>Day 90</w:t>
            </w:r>
          </w:p>
        </w:tc>
        <w:tc>
          <w:tcPr>
            <w:tcW w:type="dxa" w:w="3744"/>
            <w:shd w:val="clear" w:color="auto" w:fill="F2F4F7"/>
          </w:tcPr>
          <w:p>
            <w:pPr>
              <w:spacing w:after="0" w:before="0"/>
            </w:pPr>
            <w:r/>
            <w:r>
              <w:rPr>
                <w:b w:val="0"/>
                <w:i w:val="0"/>
                <w:sz w:val="16"/>
              </w:rPr>
              <w:t>Day 45 in tax package</w:t>
            </w:r>
          </w:p>
        </w:tc>
        <w:tc>
          <w:tcPr>
            <w:tcW w:type="dxa" w:w="1728"/>
            <w:shd w:val="clear" w:color="auto" w:fill="F2F4F7"/>
          </w:tcPr>
          <w:p>
            <w:pPr>
              <w:spacing w:after="0" w:before="0"/>
            </w:pPr>
            <w:r/>
            <w:r>
              <w:rPr>
                <w:b w:val="0"/>
                <w:i w:val="0"/>
                <w:sz w:val="16"/>
              </w:rPr>
              <w:t>+45 days</w:t>
            </w:r>
          </w:p>
        </w:tc>
        <w:tc>
          <w:tcPr>
            <w:tcW w:type="dxa" w:w="1872"/>
            <w:shd w:val="clear" w:color="auto" w:fill="F2F4F7"/>
          </w:tcPr>
          <w:p>
            <w:pPr>
              <w:spacing w:after="0" w:before="0"/>
            </w:pPr>
            <w:r/>
            <w:r>
              <w:rPr>
                <w:b w:val="0"/>
                <w:i w:val="0"/>
                <w:sz w:val="16"/>
              </w:rPr>
              <w:t>Feasible</w:t>
            </w:r>
          </w:p>
        </w:tc>
        <w:tc>
          <w:tcPr>
            <w:tcW w:type="dxa" w:w="2736"/>
            <w:shd w:val="clear" w:color="auto" w:fill="F2F4F7"/>
          </w:tcPr>
          <w:p>
            <w:pPr>
              <w:spacing w:after="0" w:before="0"/>
            </w:pPr>
            <w:r/>
            <w:r>
              <w:rPr>
                <w:b w:val="0"/>
                <w:i w:val="0"/>
                <w:sz w:val="16"/>
              </w:rPr>
              <w:t>—</w:t>
            </w:r>
          </w:p>
        </w:tc>
      </w:tr>
      <w:tr>
        <w:tc>
          <w:tcPr>
            <w:tcW w:type="dxa" w:w="2592"/>
          </w:tcPr>
          <w:p>
            <w:pPr>
              <w:spacing w:after="0" w:before="0"/>
            </w:pPr>
            <w:r/>
            <w:r>
              <w:rPr>
                <w:b/>
                <w:i w:val="0"/>
                <w:sz w:val="16"/>
              </w:rPr>
              <w:t>Form PF [34]</w:t>
            </w:r>
          </w:p>
        </w:tc>
        <w:tc>
          <w:tcPr>
            <w:tcW w:type="dxa" w:w="1728"/>
          </w:tcPr>
          <w:p>
            <w:pPr>
              <w:spacing w:after="0" w:before="0"/>
            </w:pPr>
            <w:r/>
            <w:r>
              <w:rPr>
                <w:b w:val="0"/>
                <w:i w:val="0"/>
                <w:sz w:val="16"/>
              </w:rPr>
              <w:t>Per SEC rules (e.g., Day 60 or Day 120)</w:t>
            </w:r>
          </w:p>
        </w:tc>
        <w:tc>
          <w:tcPr>
            <w:tcW w:type="dxa" w:w="3744"/>
          </w:tcPr>
          <w:p>
            <w:pPr>
              <w:spacing w:after="0" w:before="0"/>
            </w:pPr>
            <w:r/>
            <w:r>
              <w:rPr>
                <w:b w:val="0"/>
                <w:i w:val="0"/>
                <w:sz w:val="16"/>
              </w:rPr>
              <w:t>Data inputs Day 30</w:t>
            </w:r>
          </w:p>
        </w:tc>
        <w:tc>
          <w:tcPr>
            <w:tcW w:type="dxa" w:w="1728"/>
          </w:tcPr>
          <w:p>
            <w:pPr>
              <w:spacing w:after="0" w:before="0"/>
            </w:pPr>
            <w:r/>
            <w:r>
              <w:rPr>
                <w:b w:val="0"/>
                <w:i w:val="0"/>
                <w:sz w:val="16"/>
              </w:rPr>
              <w:t>Positive</w:t>
            </w:r>
          </w:p>
        </w:tc>
        <w:tc>
          <w:tcPr>
            <w:tcW w:type="dxa" w:w="1872"/>
          </w:tcPr>
          <w:p>
            <w:pPr>
              <w:spacing w:after="0" w:before="0"/>
            </w:pPr>
            <w:r/>
            <w:r>
              <w:rPr>
                <w:b w:val="0"/>
                <w:i w:val="0"/>
                <w:sz w:val="16"/>
              </w:rPr>
              <w:t>Feasible</w:t>
            </w:r>
          </w:p>
        </w:tc>
        <w:tc>
          <w:tcPr>
            <w:tcW w:type="dxa" w:w="2736"/>
          </w:tcPr>
          <w:p>
            <w:pPr>
              <w:spacing w:after="0" w:before="0"/>
            </w:pPr>
            <w:r/>
            <w:r>
              <w:rPr>
                <w:b w:val="0"/>
                <w:i w:val="0"/>
                <w:sz w:val="16"/>
              </w:rPr>
              <w:t>Confirm filer category (Issue 20)</w:t>
            </w:r>
          </w:p>
        </w:tc>
      </w:tr>
      <w:tr>
        <w:tc>
          <w:tcPr>
            <w:tcW w:type="dxa" w:w="2592"/>
            <w:shd w:val="clear" w:color="auto" w:fill="F2F4F7"/>
          </w:tcPr>
          <w:p>
            <w:pPr>
              <w:spacing w:after="0" w:before="0"/>
            </w:pPr>
            <w:r/>
            <w:r>
              <w:rPr>
                <w:b/>
                <w:i w:val="0"/>
                <w:sz w:val="16"/>
              </w:rPr>
              <w:t>Audited financial statements [3]</w:t>
            </w:r>
          </w:p>
        </w:tc>
        <w:tc>
          <w:tcPr>
            <w:tcW w:type="dxa" w:w="1728"/>
            <w:shd w:val="clear" w:color="auto" w:fill="F2F4F7"/>
          </w:tcPr>
          <w:p>
            <w:pPr>
              <w:spacing w:after="0" w:before="0"/>
            </w:pPr>
            <w:r/>
            <w:r>
              <w:rPr>
                <w:b w:val="0"/>
                <w:i w:val="0"/>
                <w:sz w:val="16"/>
              </w:rPr>
              <w:t>Day 120 (Custody Rule aligned)</w:t>
            </w:r>
          </w:p>
        </w:tc>
        <w:tc>
          <w:tcPr>
            <w:tcW w:type="dxa" w:w="3744"/>
            <w:shd w:val="clear" w:color="auto" w:fill="F2F4F7"/>
          </w:tcPr>
          <w:p>
            <w:pPr>
              <w:spacing w:after="0" w:before="0"/>
            </w:pPr>
            <w:r/>
            <w:r>
              <w:rPr>
                <w:b w:val="0"/>
                <w:i w:val="0"/>
                <w:sz w:val="16"/>
              </w:rPr>
              <w:t>No audit-support timeline in SLA</w:t>
            </w:r>
          </w:p>
        </w:tc>
        <w:tc>
          <w:tcPr>
            <w:tcW w:type="dxa" w:w="1728"/>
            <w:shd w:val="clear" w:color="auto" w:fill="F2F4F7"/>
          </w:tcPr>
          <w:p>
            <w:pPr>
              <w:spacing w:after="0" w:before="0"/>
            </w:pPr>
            <w:r/>
            <w:r>
              <w:rPr>
                <w:b w:val="0"/>
                <w:i w:val="0"/>
                <w:sz w:val="16"/>
              </w:rPr>
              <w:t>Unknown</w:t>
            </w:r>
          </w:p>
        </w:tc>
        <w:tc>
          <w:tcPr>
            <w:tcW w:type="dxa" w:w="1872"/>
            <w:shd w:val="clear" w:color="auto" w:fill="F2F4F7"/>
          </w:tcPr>
          <w:p>
            <w:pPr>
              <w:spacing w:after="0" w:before="0"/>
            </w:pPr>
            <w:r/>
            <w:r>
              <w:rPr>
                <w:b w:val="0"/>
                <w:i w:val="0"/>
                <w:sz w:val="16"/>
              </w:rPr>
              <w:t>AT RISK</w:t>
            </w:r>
          </w:p>
        </w:tc>
        <w:tc>
          <w:tcPr>
            <w:tcW w:type="dxa" w:w="2736"/>
            <w:shd w:val="clear" w:color="auto" w:fill="F2F4F7"/>
          </w:tcPr>
          <w:p>
            <w:pPr>
              <w:spacing w:after="0" w:before="0"/>
            </w:pPr>
            <w:r/>
            <w:r>
              <w:rPr>
                <w:b w:val="0"/>
                <w:i w:val="0"/>
                <w:sz w:val="16"/>
              </w:rPr>
              <w:t>Fieldwork calendar with Ridgeline and Pinnacle</w:t>
            </w:r>
          </w:p>
        </w:tc>
      </w:tr>
      <w:tr>
        <w:tc>
          <w:tcPr>
            <w:tcW w:type="dxa" w:w="2592"/>
          </w:tcPr>
          <w:p>
            <w:pPr>
              <w:spacing w:after="0" w:before="0"/>
            </w:pPr>
            <w:r/>
            <w:r>
              <w:rPr>
                <w:b/>
                <w:i w:val="0"/>
                <w:sz w:val="16"/>
              </w:rPr>
              <w:t>Portal credentials [27]</w:t>
            </w:r>
          </w:p>
        </w:tc>
        <w:tc>
          <w:tcPr>
            <w:tcW w:type="dxa" w:w="1728"/>
          </w:tcPr>
          <w:p>
            <w:pPr>
              <w:spacing w:after="0" w:before="0"/>
            </w:pPr>
            <w:r/>
            <w:r>
              <w:rPr>
                <w:b w:val="0"/>
                <w:i w:val="0"/>
                <w:sz w:val="16"/>
              </w:rPr>
              <w:t>10 BD after admission</w:t>
            </w:r>
          </w:p>
        </w:tc>
        <w:tc>
          <w:tcPr>
            <w:tcW w:type="dxa" w:w="3744"/>
          </w:tcPr>
          <w:p>
            <w:pPr>
              <w:spacing w:after="0" w:before="0"/>
            </w:pPr>
            <w:r/>
            <w:r>
              <w:rPr>
                <w:b w:val="0"/>
                <w:i w:val="0"/>
                <w:sz w:val="16"/>
              </w:rPr>
              <w:t>3 BD after complete onboarding docs</w:t>
            </w:r>
          </w:p>
        </w:tc>
        <w:tc>
          <w:tcPr>
            <w:tcW w:type="dxa" w:w="1728"/>
          </w:tcPr>
          <w:p>
            <w:pPr>
              <w:spacing w:after="0" w:before="0"/>
            </w:pPr>
            <w:r/>
            <w:r>
              <w:rPr>
                <w:b w:val="0"/>
                <w:i w:val="0"/>
                <w:sz w:val="16"/>
              </w:rPr>
              <w:t>Positive if docs within 7 BD</w:t>
            </w:r>
          </w:p>
        </w:tc>
        <w:tc>
          <w:tcPr>
            <w:tcW w:type="dxa" w:w="1872"/>
          </w:tcPr>
          <w:p>
            <w:pPr>
              <w:spacing w:after="0" w:before="0"/>
            </w:pPr>
            <w:r/>
            <w:r>
              <w:rPr>
                <w:b w:val="0"/>
                <w:i w:val="0"/>
                <w:sz w:val="16"/>
              </w:rPr>
              <w:t>Feasible</w:t>
            </w:r>
          </w:p>
        </w:tc>
        <w:tc>
          <w:tcPr>
            <w:tcW w:type="dxa" w:w="2736"/>
          </w:tcPr>
          <w:p>
            <w:pPr>
              <w:spacing w:after="0" w:before="0"/>
            </w:pPr>
            <w:r/>
            <w:r>
              <w:rPr>
                <w:b w:val="0"/>
                <w:i w:val="0"/>
                <w:sz w:val="16"/>
              </w:rPr>
              <w:t>Deliver onboarding pack at closing</w:t>
            </w:r>
          </w:p>
        </w:tc>
      </w:tr>
      <w:tr>
        <w:tc>
          <w:tcPr>
            <w:tcW w:type="dxa" w:w="2592"/>
            <w:shd w:val="clear" w:color="auto" w:fill="F2F4F7"/>
          </w:tcPr>
          <w:p>
            <w:pPr>
              <w:spacing w:after="0" w:before="0"/>
            </w:pPr>
            <w:r/>
            <w:r>
              <w:rPr>
                <w:b/>
                <w:i w:val="0"/>
                <w:sz w:val="16"/>
              </w:rPr>
              <w:t>Any Portal-delivered report</w:t>
            </w:r>
          </w:p>
        </w:tc>
        <w:tc>
          <w:tcPr>
            <w:tcW w:type="dxa" w:w="1728"/>
            <w:shd w:val="clear" w:color="auto" w:fill="F2F4F7"/>
          </w:tcPr>
          <w:p>
            <w:pPr>
              <w:spacing w:after="0" w:before="0"/>
            </w:pPr>
            <w:r/>
            <w:r>
              <w:rPr>
                <w:b w:val="0"/>
                <w:i w:val="0"/>
                <w:sz w:val="16"/>
              </w:rPr>
              <w:t>Various</w:t>
            </w:r>
          </w:p>
        </w:tc>
        <w:tc>
          <w:tcPr>
            <w:tcW w:type="dxa" w:w="3744"/>
            <w:shd w:val="clear" w:color="auto" w:fill="F2F4F7"/>
          </w:tcPr>
          <w:p>
            <w:pPr>
              <w:spacing w:after="0" w:before="0"/>
            </w:pPr>
            <w:r/>
            <w:r>
              <w:rPr>
                <w:b w:val="0"/>
                <w:i w:val="0"/>
                <w:sz w:val="16"/>
              </w:rPr>
              <w:t>Upload within 2 BD of receipt of final documents</w:t>
            </w:r>
          </w:p>
        </w:tc>
        <w:tc>
          <w:tcPr>
            <w:tcW w:type="dxa" w:w="1728"/>
            <w:shd w:val="clear" w:color="auto" w:fill="F2F4F7"/>
          </w:tcPr>
          <w:p>
            <w:pPr>
              <w:spacing w:after="0" w:before="0"/>
            </w:pPr>
            <w:r/>
            <w:r>
              <w:rPr>
                <w:b w:val="0"/>
                <w:i w:val="0"/>
                <w:sz w:val="16"/>
              </w:rPr>
              <w:t>−2 BD buffer</w:t>
            </w:r>
          </w:p>
        </w:tc>
        <w:tc>
          <w:tcPr>
            <w:tcW w:type="dxa" w:w="1872"/>
            <w:shd w:val="clear" w:color="auto" w:fill="F2F4F7"/>
          </w:tcPr>
          <w:p>
            <w:pPr>
              <w:spacing w:after="0" w:before="0"/>
            </w:pPr>
            <w:r/>
            <w:r>
              <w:rPr>
                <w:b w:val="0"/>
                <w:i w:val="0"/>
                <w:sz w:val="16"/>
              </w:rPr>
              <w:t>Process risk</w:t>
            </w:r>
          </w:p>
        </w:tc>
        <w:tc>
          <w:tcPr>
            <w:tcW w:type="dxa" w:w="2736"/>
            <w:shd w:val="clear" w:color="auto" w:fill="F2F4F7"/>
          </w:tcPr>
          <w:p>
            <w:pPr>
              <w:spacing w:after="0" w:before="0"/>
            </w:pPr>
            <w:r/>
            <w:r>
              <w:rPr>
                <w:b w:val="0"/>
                <w:i w:val="0"/>
                <w:sz w:val="16"/>
              </w:rPr>
              <w:t>Deliver to Pinnacle 2 BD early or e-mail in parallel</w:t>
            </w:r>
          </w:p>
        </w:tc>
      </w:tr>
    </w:tbl>
    <w:p>
      <w:pPr>
        <w:pStyle w:val="Heading1"/>
      </w:pPr>
      <w:r>
        <w:rPr>
          <w:color w:val="1F2A44"/>
        </w:rPr>
        <w:t>VI. Catalog of Conflicts, Ambiguities and Practical Concerns</w:t>
      </w:r>
    </w:p>
    <w:p>
      <w:pPr>
        <w:spacing w:after="120"/>
      </w:pPr>
      <w:r>
        <w:rPr>
          <w:b w:val="0"/>
          <w:i w:val="0"/>
          <w:sz w:val="18"/>
        </w:rPr>
        <w:t>Summary table (severity reflects likelihood and consequence of a missed or defective deliverable in the first reporting cycle). Detailed analysis and recommendations follow the table.</w:t>
      </w:r>
    </w:p>
    <w:tbl>
      <w:tblPr>
        <w:tblStyle w:val="TableGrid"/>
        <w:tblW w:type="auto" w:w="0"/>
        <w:jc w:val="center"/>
        <w:tblLayout w:type="fixed"/>
        <w:tblLook w:firstColumn="1" w:firstRow="1" w:lastColumn="0" w:lastRow="0" w:noHBand="0" w:noVBand="1" w:val="04A0"/>
      </w:tblPr>
      <w:tblGrid>
        <w:gridCol w:w="503"/>
        <w:gridCol w:w="1080"/>
        <w:gridCol w:w="2736"/>
        <w:gridCol w:w="2880"/>
        <w:gridCol w:w="7200"/>
      </w:tblGrid>
      <w:tr>
        <w:trPr>
          <w:tblHeader w:val="true"/>
        </w:trPr>
        <w:tc>
          <w:tcPr>
            <w:tcW w:type="dxa" w:w="504"/>
            <w:shd w:val="clear" w:color="auto" w:fill="1F2A44"/>
          </w:tcPr>
          <w:p>
            <w:pPr>
              <w:spacing w:after="0" w:before="0"/>
            </w:pPr>
            <w:r/>
            <w:r>
              <w:rPr>
                <w:b/>
                <w:i w:val="0"/>
                <w:color w:val="FFFFFF"/>
                <w:sz w:val="16"/>
              </w:rPr>
              <w:t>#</w:t>
            </w:r>
          </w:p>
        </w:tc>
        <w:tc>
          <w:tcPr>
            <w:tcW w:type="dxa" w:w="1080"/>
            <w:shd w:val="clear" w:color="auto" w:fill="1F2A44"/>
          </w:tcPr>
          <w:p>
            <w:pPr>
              <w:spacing w:after="0" w:before="0"/>
            </w:pPr>
            <w:r/>
            <w:r>
              <w:rPr>
                <w:b/>
                <w:i w:val="0"/>
                <w:color w:val="FFFFFF"/>
                <w:sz w:val="16"/>
              </w:rPr>
              <w:t>Severity</w:t>
            </w:r>
          </w:p>
        </w:tc>
        <w:tc>
          <w:tcPr>
            <w:tcW w:type="dxa" w:w="2736"/>
            <w:shd w:val="clear" w:color="auto" w:fill="1F2A44"/>
          </w:tcPr>
          <w:p>
            <w:pPr>
              <w:spacing w:after="0" w:before="0"/>
            </w:pPr>
            <w:r/>
            <w:r>
              <w:rPr>
                <w:b/>
                <w:i w:val="0"/>
                <w:color w:val="FFFFFF"/>
                <w:sz w:val="16"/>
              </w:rPr>
              <w:t>Category</w:t>
            </w:r>
          </w:p>
        </w:tc>
        <w:tc>
          <w:tcPr>
            <w:tcW w:type="dxa" w:w="2880"/>
            <w:shd w:val="clear" w:color="auto" w:fill="1F2A44"/>
          </w:tcPr>
          <w:p>
            <w:pPr>
              <w:spacing w:after="0" w:before="0"/>
            </w:pPr>
            <w:r/>
            <w:r>
              <w:rPr>
                <w:b/>
                <w:i w:val="0"/>
                <w:color w:val="FFFFFF"/>
                <w:sz w:val="16"/>
              </w:rPr>
              <w:t>References</w:t>
            </w:r>
          </w:p>
        </w:tc>
        <w:tc>
          <w:tcPr>
            <w:tcW w:type="dxa" w:w="7200"/>
            <w:shd w:val="clear" w:color="auto" w:fill="1F2A44"/>
          </w:tcPr>
          <w:p>
            <w:pPr>
              <w:spacing w:after="0" w:before="0"/>
            </w:pPr>
            <w:r/>
            <w:r>
              <w:rPr>
                <w:b/>
                <w:i w:val="0"/>
                <w:color w:val="FFFFFF"/>
                <w:sz w:val="16"/>
              </w:rPr>
              <w:t>Issue</w:t>
            </w:r>
          </w:p>
        </w:tc>
      </w:tr>
      <w:tr>
        <w:tc>
          <w:tcPr>
            <w:tcW w:type="dxa" w:w="504"/>
          </w:tcPr>
          <w:p>
            <w:pPr>
              <w:spacing w:after="0" w:before="0"/>
            </w:pPr>
            <w:r/>
            <w:r>
              <w:rPr>
                <w:b/>
                <w:i w:val="0"/>
                <w:sz w:val="16"/>
              </w:rPr>
              <w:t>1</w:t>
            </w:r>
          </w:p>
        </w:tc>
        <w:tc>
          <w:tcPr>
            <w:tcW w:type="dxa" w:w="1080"/>
            <w:shd w:val="clear" w:color="auto" w:fill="F4C7C3"/>
          </w:tcPr>
          <w:p>
            <w:pPr>
              <w:spacing w:after="0" w:before="0"/>
            </w:pPr>
            <w:r/>
            <w:r>
              <w:rPr>
                <w:b w:val="0"/>
                <w:i w:val="0"/>
                <w:sz w:val="16"/>
              </w:rPr>
              <w:t>Critical</w:t>
            </w:r>
          </w:p>
        </w:tc>
        <w:tc>
          <w:tcPr>
            <w:tcW w:type="dxa" w:w="2736"/>
          </w:tcPr>
          <w:p>
            <w:pPr>
              <w:spacing w:after="0" w:before="0"/>
            </w:pPr>
            <w:r/>
            <w:r>
              <w:rPr>
                <w:b w:val="0"/>
                <w:i w:val="0"/>
                <w:sz w:val="16"/>
              </w:rPr>
              <w:t>Sequencing / Administrator feasibility</w:t>
            </w:r>
          </w:p>
        </w:tc>
        <w:tc>
          <w:tcPr>
            <w:tcW w:type="dxa" w:w="2880"/>
          </w:tcPr>
          <w:p>
            <w:pPr>
              <w:spacing w:after="0" w:before="0"/>
            </w:pPr>
            <w:r/>
            <w:r>
              <w:rPr>
                <w:b w:val="0"/>
                <w:i w:val="0"/>
                <w:sz w:val="16"/>
              </w:rPr>
              <w:t>§7.4 vs. §7.1; SLA §§2, 3, 7</w:t>
            </w:r>
          </w:p>
        </w:tc>
        <w:tc>
          <w:tcPr>
            <w:tcW w:type="dxa" w:w="7200"/>
          </w:tcPr>
          <w:p>
            <w:pPr>
              <w:spacing w:after="0" w:before="0"/>
            </w:pPr>
            <w:r/>
            <w:r>
              <w:rPr>
                <w:b w:val="0"/>
                <w:i w:val="0"/>
                <w:sz w:val="16"/>
              </w:rPr>
              <w:t>Quarterly capital account statements (45 days) cannot be produced on Pinnacle’s SLA and are due before the financial statements on which they depend</w:t>
            </w:r>
          </w:p>
        </w:tc>
      </w:tr>
      <w:tr>
        <w:tc>
          <w:tcPr>
            <w:tcW w:type="dxa" w:w="504"/>
            <w:shd w:val="clear" w:color="auto" w:fill="F2F4F7"/>
          </w:tcPr>
          <w:p>
            <w:pPr>
              <w:spacing w:after="0" w:before="0"/>
            </w:pPr>
            <w:r/>
            <w:r>
              <w:rPr>
                <w:b/>
                <w:i w:val="0"/>
                <w:sz w:val="16"/>
              </w:rPr>
              <w:t>2</w:t>
            </w:r>
          </w:p>
        </w:tc>
        <w:tc>
          <w:tcPr>
            <w:tcW w:type="dxa" w:w="1080"/>
            <w:shd w:val="clear" w:color="auto" w:fill="F2F4F7"/>
            <w:shd w:val="clear" w:color="auto" w:fill="FCE5CD"/>
          </w:tcPr>
          <w:p>
            <w:pPr>
              <w:spacing w:after="0" w:before="0"/>
            </w:pPr>
            <w:r/>
            <w:r>
              <w:rPr>
                <w:b w:val="0"/>
                <w:i w:val="0"/>
                <w:sz w:val="16"/>
              </w:rPr>
              <w:t>High</w:t>
            </w:r>
          </w:p>
        </w:tc>
        <w:tc>
          <w:tcPr>
            <w:tcW w:type="dxa" w:w="2736"/>
            <w:shd w:val="clear" w:color="auto" w:fill="F2F4F7"/>
          </w:tcPr>
          <w:p>
            <w:pPr>
              <w:spacing w:after="0" w:before="0"/>
            </w:pPr>
            <w:r/>
            <w:r>
              <w:rPr>
                <w:b w:val="0"/>
                <w:i w:val="0"/>
                <w:sz w:val="16"/>
              </w:rPr>
              <w:t>Body vs. exhibit deadline conflict</w:t>
            </w:r>
          </w:p>
        </w:tc>
        <w:tc>
          <w:tcPr>
            <w:tcW w:type="dxa" w:w="2880"/>
            <w:shd w:val="clear" w:color="auto" w:fill="F2F4F7"/>
          </w:tcPr>
          <w:p>
            <w:pPr>
              <w:spacing w:after="0" w:before="0"/>
            </w:pPr>
            <w:r/>
            <w:r>
              <w:rPr>
                <w:b w:val="0"/>
                <w:i w:val="0"/>
                <w:sz w:val="16"/>
              </w:rPr>
              <w:t>§7.6(b) vs. Ex. B §4; §12.9</w:t>
            </w:r>
          </w:p>
        </w:tc>
        <w:tc>
          <w:tcPr>
            <w:tcW w:type="dxa" w:w="7200"/>
            <w:shd w:val="clear" w:color="auto" w:fill="F2F4F7"/>
          </w:tcPr>
          <w:p>
            <w:pPr>
              <w:spacing w:after="0" w:before="0"/>
            </w:pPr>
            <w:r/>
            <w:r>
              <w:rPr>
                <w:b w:val="0"/>
                <w:i w:val="0"/>
                <w:sz w:val="16"/>
              </w:rPr>
              <w:t>Quarterly valuation reporting to the LPAC: 45 calendar days (body) vs. 45 Business Days (Exhibit B), with differing content</w:t>
            </w:r>
          </w:p>
        </w:tc>
      </w:tr>
      <w:tr>
        <w:tc>
          <w:tcPr>
            <w:tcW w:type="dxa" w:w="504"/>
          </w:tcPr>
          <w:p>
            <w:pPr>
              <w:spacing w:after="0" w:before="0"/>
            </w:pPr>
            <w:r/>
            <w:r>
              <w:rPr>
                <w:b/>
                <w:i w:val="0"/>
                <w:sz w:val="16"/>
              </w:rPr>
              <w:t>3</w:t>
            </w:r>
          </w:p>
        </w:tc>
        <w:tc>
          <w:tcPr>
            <w:tcW w:type="dxa" w:w="1080"/>
            <w:shd w:val="clear" w:color="auto" w:fill="F4C7C3"/>
          </w:tcPr>
          <w:p>
            <w:pPr>
              <w:spacing w:after="0" w:before="0"/>
            </w:pPr>
            <w:r/>
            <w:r>
              <w:rPr>
                <w:b w:val="0"/>
                <w:i w:val="0"/>
                <w:sz w:val="16"/>
              </w:rPr>
              <w:t>Critical</w:t>
            </w:r>
          </w:p>
        </w:tc>
        <w:tc>
          <w:tcPr>
            <w:tcW w:type="dxa" w:w="2736"/>
          </w:tcPr>
          <w:p>
            <w:pPr>
              <w:spacing w:after="0" w:before="0"/>
            </w:pPr>
            <w:r/>
            <w:r>
              <w:rPr>
                <w:b w:val="0"/>
                <w:i w:val="0"/>
                <w:sz w:val="16"/>
              </w:rPr>
              <w:t>Administrator feasibility / immediate deadline</w:t>
            </w:r>
          </w:p>
        </w:tc>
        <w:tc>
          <w:tcPr>
            <w:tcW w:type="dxa" w:w="2880"/>
          </w:tcPr>
          <w:p>
            <w:pPr>
              <w:spacing w:after="0" w:before="0"/>
            </w:pPr>
            <w:r/>
            <w:r>
              <w:rPr>
                <w:b w:val="0"/>
                <w:i w:val="0"/>
                <w:sz w:val="16"/>
              </w:rPr>
              <w:t>Ex. D §5(a); §7.6(a); SLA §2</w:t>
            </w:r>
          </w:p>
        </w:tc>
        <w:tc>
          <w:tcPr>
            <w:tcW w:type="dxa" w:w="7200"/>
          </w:tcPr>
          <w:p>
            <w:pPr>
              <w:spacing w:after="0" w:before="0"/>
            </w:pPr>
            <w:r/>
            <w:r>
              <w:rPr>
                <w:b w:val="0"/>
                <w:i w:val="0"/>
                <w:sz w:val="16"/>
              </w:rPr>
              <w:t>Sovereign Bridge monthly NAV estimates are due at Day 20; Pinnacle’s monthly NAV estimate is not available until Day 25 — and the October and November 2024 estimates are due now</w:t>
            </w:r>
          </w:p>
        </w:tc>
      </w:tr>
      <w:tr>
        <w:tc>
          <w:tcPr>
            <w:tcW w:type="dxa" w:w="504"/>
            <w:shd w:val="clear" w:color="auto" w:fill="F2F4F7"/>
          </w:tcPr>
          <w:p>
            <w:pPr>
              <w:spacing w:after="0" w:before="0"/>
            </w:pPr>
            <w:r/>
            <w:r>
              <w:rPr>
                <w:b/>
                <w:i w:val="0"/>
                <w:sz w:val="16"/>
              </w:rPr>
              <w:t>4</w:t>
            </w:r>
          </w:p>
        </w:tc>
        <w:tc>
          <w:tcPr>
            <w:tcW w:type="dxa" w:w="1080"/>
            <w:shd w:val="clear" w:color="auto" w:fill="F2F4F7"/>
            <w:shd w:val="clear" w:color="auto" w:fill="F4C7C3"/>
          </w:tcPr>
          <w:p>
            <w:pPr>
              <w:spacing w:after="0" w:before="0"/>
            </w:pPr>
            <w:r/>
            <w:r>
              <w:rPr>
                <w:b w:val="0"/>
                <w:i w:val="0"/>
                <w:sz w:val="16"/>
              </w:rPr>
              <w:t>Critical</w:t>
            </w:r>
          </w:p>
        </w:tc>
        <w:tc>
          <w:tcPr>
            <w:tcW w:type="dxa" w:w="2736"/>
            <w:shd w:val="clear" w:color="auto" w:fill="F2F4F7"/>
          </w:tcPr>
          <w:p>
            <w:pPr>
              <w:spacing w:after="0" w:before="0"/>
            </w:pPr>
            <w:r/>
            <w:r>
              <w:rPr>
                <w:b w:val="0"/>
                <w:i w:val="0"/>
                <w:sz w:val="16"/>
              </w:rPr>
              <w:t>Administrator feasibility / undefined term</w:t>
            </w:r>
          </w:p>
        </w:tc>
        <w:tc>
          <w:tcPr>
            <w:tcW w:type="dxa" w:w="2880"/>
            <w:shd w:val="clear" w:color="auto" w:fill="F2F4F7"/>
          </w:tcPr>
          <w:p>
            <w:pPr>
              <w:spacing w:after="0" w:before="0"/>
            </w:pPr>
            <w:r/>
            <w:r>
              <w:rPr>
                <w:b w:val="0"/>
                <w:i w:val="0"/>
                <w:sz w:val="16"/>
              </w:rPr>
              <w:t>§7.5(b); Ex. D §4; SLA §4</w:t>
            </w:r>
          </w:p>
        </w:tc>
        <w:tc>
          <w:tcPr>
            <w:tcW w:type="dxa" w:w="7200"/>
            <w:shd w:val="clear" w:color="auto" w:fill="F2F4F7"/>
          </w:tcPr>
          <w:p>
            <w:pPr>
              <w:spacing w:after="0" w:before="0"/>
            </w:pPr>
            <w:r/>
            <w:r>
              <w:rPr>
                <w:b w:val="0"/>
                <w:i w:val="0"/>
                <w:sz w:val="16"/>
              </w:rPr>
              <w:t>UBTI estimates due Day 30, but Pinnacle provides UBTI data only on Day 45 and will not prepare interim estimates</w:t>
            </w:r>
          </w:p>
        </w:tc>
      </w:tr>
      <w:tr>
        <w:tc>
          <w:tcPr>
            <w:tcW w:type="dxa" w:w="504"/>
          </w:tcPr>
          <w:p>
            <w:pPr>
              <w:spacing w:after="0" w:before="0"/>
            </w:pPr>
            <w:r/>
            <w:r>
              <w:rPr>
                <w:b/>
                <w:i w:val="0"/>
                <w:sz w:val="16"/>
              </w:rPr>
              <w:t>5</w:t>
            </w:r>
          </w:p>
        </w:tc>
        <w:tc>
          <w:tcPr>
            <w:tcW w:type="dxa" w:w="1080"/>
            <w:shd w:val="clear" w:color="auto" w:fill="FCE5CD"/>
          </w:tcPr>
          <w:p>
            <w:pPr>
              <w:spacing w:after="0" w:before="0"/>
            </w:pPr>
            <w:r/>
            <w:r>
              <w:rPr>
                <w:b w:val="0"/>
                <w:i w:val="0"/>
                <w:sz w:val="16"/>
              </w:rPr>
              <w:t>High</w:t>
            </w:r>
          </w:p>
        </w:tc>
        <w:tc>
          <w:tcPr>
            <w:tcW w:type="dxa" w:w="2736"/>
          </w:tcPr>
          <w:p>
            <w:pPr>
              <w:spacing w:after="0" w:before="0"/>
            </w:pPr>
            <w:r/>
            <w:r>
              <w:rPr>
                <w:b w:val="0"/>
                <w:i w:val="0"/>
                <w:sz w:val="16"/>
              </w:rPr>
              <w:t>Administrator feasibility</w:t>
            </w:r>
          </w:p>
        </w:tc>
        <w:tc>
          <w:tcPr>
            <w:tcW w:type="dxa" w:w="2880"/>
          </w:tcPr>
          <w:p>
            <w:pPr>
              <w:spacing w:after="0" w:before="0"/>
            </w:pPr>
            <w:r/>
            <w:r>
              <w:rPr>
                <w:b w:val="0"/>
                <w:i w:val="0"/>
                <w:sz w:val="16"/>
              </w:rPr>
              <w:t>§9.2(a); SLA §§6, 7</w:t>
            </w:r>
          </w:p>
        </w:tc>
        <w:tc>
          <w:tcPr>
            <w:tcW w:type="dxa" w:w="7200"/>
          </w:tcPr>
          <w:p>
            <w:pPr>
              <w:spacing w:after="0" w:before="0"/>
            </w:pPr>
            <w:r/>
            <w:r>
              <w:rPr>
                <w:b w:val="0"/>
                <w:i w:val="0"/>
                <w:sz w:val="16"/>
              </w:rPr>
              <w:t>Quarterly BPI calculation due Day 30, but Pinnacle provides it only in the Day 35 (Day 40 initial quarter) package</w:t>
            </w:r>
          </w:p>
        </w:tc>
      </w:tr>
      <w:tr>
        <w:tc>
          <w:tcPr>
            <w:tcW w:type="dxa" w:w="504"/>
            <w:shd w:val="clear" w:color="auto" w:fill="F2F4F7"/>
          </w:tcPr>
          <w:p>
            <w:pPr>
              <w:spacing w:after="0" w:before="0"/>
            </w:pPr>
            <w:r/>
            <w:r>
              <w:rPr>
                <w:b/>
                <w:i w:val="0"/>
                <w:sz w:val="16"/>
              </w:rPr>
              <w:t>6</w:t>
            </w:r>
          </w:p>
        </w:tc>
        <w:tc>
          <w:tcPr>
            <w:tcW w:type="dxa" w:w="1080"/>
            <w:shd w:val="clear" w:color="auto" w:fill="F2F4F7"/>
            <w:shd w:val="clear" w:color="auto" w:fill="FCE5CD"/>
          </w:tcPr>
          <w:p>
            <w:pPr>
              <w:spacing w:after="0" w:before="0"/>
            </w:pPr>
            <w:r/>
            <w:r>
              <w:rPr>
                <w:b w:val="0"/>
                <w:i w:val="0"/>
                <w:sz w:val="16"/>
              </w:rPr>
              <w:t>High</w:t>
            </w:r>
          </w:p>
        </w:tc>
        <w:tc>
          <w:tcPr>
            <w:tcW w:type="dxa" w:w="2736"/>
            <w:shd w:val="clear" w:color="auto" w:fill="F2F4F7"/>
          </w:tcPr>
          <w:p>
            <w:pPr>
              <w:spacing w:after="0" w:before="0"/>
            </w:pPr>
            <w:r/>
            <w:r>
              <w:rPr>
                <w:b w:val="0"/>
                <w:i w:val="0"/>
                <w:sz w:val="16"/>
              </w:rPr>
              <w:t>Sequencing / Administrator feasibility</w:t>
            </w:r>
          </w:p>
        </w:tc>
        <w:tc>
          <w:tcPr>
            <w:tcW w:type="dxa" w:w="2880"/>
            <w:shd w:val="clear" w:color="auto" w:fill="F2F4F7"/>
          </w:tcPr>
          <w:p>
            <w:pPr>
              <w:spacing w:after="0" w:before="0"/>
            </w:pPr>
            <w:r/>
            <w:r>
              <w:rPr>
                <w:b w:val="0"/>
                <w:i w:val="0"/>
                <w:sz w:val="16"/>
              </w:rPr>
              <w:t>§7.5(a); SLA §4</w:t>
            </w:r>
          </w:p>
        </w:tc>
        <w:tc>
          <w:tcPr>
            <w:tcW w:type="dxa" w:w="7200"/>
            <w:shd w:val="clear" w:color="auto" w:fill="F2F4F7"/>
          </w:tcPr>
          <w:p>
            <w:pPr>
              <w:spacing w:after="0" w:before="0"/>
            </w:pPr>
            <w:r/>
            <w:r>
              <w:rPr>
                <w:b w:val="0"/>
                <w:i w:val="0"/>
                <w:sz w:val="16"/>
              </w:rPr>
              <w:t>K-1 timeline: the March 15 target is unlikely to be met and the February 28 notice-and-estimate obligation will likely be triggered</w:t>
            </w:r>
          </w:p>
        </w:tc>
      </w:tr>
      <w:tr>
        <w:tc>
          <w:tcPr>
            <w:tcW w:type="dxa" w:w="504"/>
          </w:tcPr>
          <w:p>
            <w:pPr>
              <w:spacing w:after="0" w:before="0"/>
            </w:pPr>
            <w:r/>
            <w:r>
              <w:rPr>
                <w:b/>
                <w:i w:val="0"/>
                <w:sz w:val="16"/>
              </w:rPr>
              <w:t>7</w:t>
            </w:r>
          </w:p>
        </w:tc>
        <w:tc>
          <w:tcPr>
            <w:tcW w:type="dxa" w:w="1080"/>
            <w:shd w:val="clear" w:color="auto" w:fill="F4C7C3"/>
          </w:tcPr>
          <w:p>
            <w:pPr>
              <w:spacing w:after="0" w:before="0"/>
            </w:pPr>
            <w:r/>
            <w:r>
              <w:rPr>
                <w:b w:val="0"/>
                <w:i w:val="0"/>
                <w:sz w:val="16"/>
              </w:rPr>
              <w:t>Critical</w:t>
            </w:r>
          </w:p>
        </w:tc>
        <w:tc>
          <w:tcPr>
            <w:tcW w:type="dxa" w:w="2736"/>
          </w:tcPr>
          <w:p>
            <w:pPr>
              <w:spacing w:after="0" w:before="0"/>
            </w:pPr>
            <w:r/>
            <w:r>
              <w:rPr>
                <w:b w:val="0"/>
                <w:i w:val="0"/>
                <w:sz w:val="16"/>
              </w:rPr>
              <w:t>Immediate deadlines</w:t>
            </w:r>
          </w:p>
        </w:tc>
        <w:tc>
          <w:tcPr>
            <w:tcW w:type="dxa" w:w="2880"/>
          </w:tcPr>
          <w:p>
            <w:pPr>
              <w:spacing w:after="0" w:before="0"/>
            </w:pPr>
            <w:r/>
            <w:r>
              <w:rPr>
                <w:b w:val="0"/>
                <w:i w:val="0"/>
                <w:sz w:val="16"/>
              </w:rPr>
              <w:t>§7.6(a); Ex. D §5(a); §7.7; §8.4(d)</w:t>
            </w:r>
          </w:p>
        </w:tc>
        <w:tc>
          <w:tcPr>
            <w:tcW w:type="dxa" w:w="7200"/>
          </w:tcPr>
          <w:p>
            <w:pPr>
              <w:spacing w:after="0" w:before="0"/>
            </w:pPr>
            <w:r/>
            <w:r>
              <w:rPr>
                <w:b w:val="0"/>
                <w:i w:val="0"/>
                <w:sz w:val="16"/>
              </w:rPr>
              <w:t>Several obligations were triggered before the first quarter-end and are due (or past due) before this matrix can be calendared</w:t>
            </w:r>
          </w:p>
        </w:tc>
      </w:tr>
      <w:tr>
        <w:tc>
          <w:tcPr>
            <w:tcW w:type="dxa" w:w="504"/>
            <w:shd w:val="clear" w:color="auto" w:fill="F2F4F7"/>
          </w:tcPr>
          <w:p>
            <w:pPr>
              <w:spacing w:after="0" w:before="0"/>
            </w:pPr>
            <w:r/>
            <w:r>
              <w:rPr>
                <w:b/>
                <w:i w:val="0"/>
                <w:sz w:val="16"/>
              </w:rPr>
              <w:t>8</w:t>
            </w:r>
          </w:p>
        </w:tc>
        <w:tc>
          <w:tcPr>
            <w:tcW w:type="dxa" w:w="1080"/>
            <w:shd w:val="clear" w:color="auto" w:fill="F2F4F7"/>
            <w:shd w:val="clear" w:color="auto" w:fill="FCE5CD"/>
          </w:tcPr>
          <w:p>
            <w:pPr>
              <w:spacing w:after="0" w:before="0"/>
            </w:pPr>
            <w:r/>
            <w:r>
              <w:rPr>
                <w:b w:val="0"/>
                <w:i w:val="0"/>
                <w:sz w:val="16"/>
              </w:rPr>
              <w:t>High</w:t>
            </w:r>
          </w:p>
        </w:tc>
        <w:tc>
          <w:tcPr>
            <w:tcW w:type="dxa" w:w="2736"/>
            <w:shd w:val="clear" w:color="auto" w:fill="F2F4F7"/>
          </w:tcPr>
          <w:p>
            <w:pPr>
              <w:spacing w:after="0" w:before="0"/>
            </w:pPr>
            <w:r/>
            <w:r>
              <w:rPr>
                <w:b w:val="0"/>
                <w:i w:val="0"/>
                <w:sz w:val="16"/>
              </w:rPr>
              <w:t>Undefined term / substance</w:t>
            </w:r>
          </w:p>
        </w:tc>
        <w:tc>
          <w:tcPr>
            <w:tcW w:type="dxa" w:w="2880"/>
            <w:shd w:val="clear" w:color="auto" w:fill="F2F4F7"/>
          </w:tcPr>
          <w:p>
            <w:pPr>
              <w:spacing w:after="0" w:before="0"/>
            </w:pPr>
            <w:r/>
            <w:r>
              <w:rPr>
                <w:b w:val="0"/>
                <w:i w:val="0"/>
                <w:sz w:val="16"/>
              </w:rPr>
              <w:t>Ex. D §8(a); Rule 206(4)-5</w:t>
            </w:r>
          </w:p>
        </w:tc>
        <w:tc>
          <w:tcPr>
            <w:tcW w:type="dxa" w:w="7200"/>
            <w:shd w:val="clear" w:color="auto" w:fill="F2F4F7"/>
          </w:tcPr>
          <w:p>
            <w:pPr>
              <w:spacing w:after="0" w:before="0"/>
            </w:pPr>
            <w:r/>
            <w:r>
              <w:rPr>
                <w:b w:val="0"/>
                <w:i w:val="0"/>
                <w:sz w:val="16"/>
              </w:rPr>
              <w:t>Apex placement agent certificates reference ‘representations regarding placement agents and political contributions’ that do not appear in the IAA</w:t>
            </w:r>
          </w:p>
        </w:tc>
      </w:tr>
      <w:tr>
        <w:tc>
          <w:tcPr>
            <w:tcW w:type="dxa" w:w="504"/>
          </w:tcPr>
          <w:p>
            <w:pPr>
              <w:spacing w:after="0" w:before="0"/>
            </w:pPr>
            <w:r/>
            <w:r>
              <w:rPr>
                <w:b/>
                <w:i w:val="0"/>
                <w:sz w:val="16"/>
              </w:rPr>
              <w:t>9</w:t>
            </w:r>
          </w:p>
        </w:tc>
        <w:tc>
          <w:tcPr>
            <w:tcW w:type="dxa" w:w="1080"/>
            <w:shd w:val="clear" w:color="auto" w:fill="FCE5CD"/>
          </w:tcPr>
          <w:p>
            <w:pPr>
              <w:spacing w:after="0" w:before="0"/>
            </w:pPr>
            <w:r/>
            <w:r>
              <w:rPr>
                <w:b w:val="0"/>
                <w:i w:val="0"/>
                <w:sz w:val="16"/>
              </w:rPr>
              <w:t>High</w:t>
            </w:r>
          </w:p>
        </w:tc>
        <w:tc>
          <w:tcPr>
            <w:tcW w:type="dxa" w:w="2736"/>
          </w:tcPr>
          <w:p>
            <w:pPr>
              <w:spacing w:after="0" w:before="0"/>
            </w:pPr>
            <w:r/>
            <w:r>
              <w:rPr>
                <w:b w:val="0"/>
                <w:i w:val="0"/>
                <w:sz w:val="16"/>
              </w:rPr>
              <w:t>Completeness</w:t>
            </w:r>
          </w:p>
        </w:tc>
        <w:tc>
          <w:tcPr>
            <w:tcW w:type="dxa" w:w="2880"/>
          </w:tcPr>
          <w:p>
            <w:pPr>
              <w:spacing w:after="0" w:before="0"/>
            </w:pPr>
            <w:r/>
            <w:r>
              <w:rPr>
                <w:b w:val="0"/>
                <w:i w:val="0"/>
                <w:sz w:val="16"/>
              </w:rPr>
              <w:t>Ex. D §1; §12.7; §12.9</w:t>
            </w:r>
          </w:p>
        </w:tc>
        <w:tc>
          <w:tcPr>
            <w:tcW w:type="dxa" w:w="7200"/>
          </w:tcPr>
          <w:p>
            <w:pPr>
              <w:spacing w:after="0" w:before="0"/>
            </w:pPr>
            <w:r/>
            <w:r>
              <w:rPr>
                <w:b w:val="0"/>
                <w:i w:val="0"/>
                <w:sz w:val="16"/>
              </w:rPr>
              <w:t>Exhibit D is expressly not a complete summary — the actual Side Letters control and may contain further reporting obligations</w:t>
            </w:r>
          </w:p>
        </w:tc>
      </w:tr>
      <w:tr>
        <w:tc>
          <w:tcPr>
            <w:tcW w:type="dxa" w:w="504"/>
            <w:shd w:val="clear" w:color="auto" w:fill="F2F4F7"/>
          </w:tcPr>
          <w:p>
            <w:pPr>
              <w:spacing w:after="0" w:before="0"/>
            </w:pPr>
            <w:r/>
            <w:r>
              <w:rPr>
                <w:b/>
                <w:i w:val="0"/>
                <w:sz w:val="16"/>
              </w:rPr>
              <w:t>10</w:t>
            </w:r>
          </w:p>
        </w:tc>
        <w:tc>
          <w:tcPr>
            <w:tcW w:type="dxa" w:w="1080"/>
            <w:shd w:val="clear" w:color="auto" w:fill="F2F4F7"/>
            <w:shd w:val="clear" w:color="auto" w:fill="FFF2CC"/>
          </w:tcPr>
          <w:p>
            <w:pPr>
              <w:spacing w:after="0" w:before="0"/>
            </w:pPr>
            <w:r/>
            <w:r>
              <w:rPr>
                <w:b w:val="0"/>
                <w:i w:val="0"/>
                <w:sz w:val="16"/>
              </w:rPr>
              <w:t>Medium</w:t>
            </w:r>
          </w:p>
        </w:tc>
        <w:tc>
          <w:tcPr>
            <w:tcW w:type="dxa" w:w="2736"/>
            <w:shd w:val="clear" w:color="auto" w:fill="F2F4F7"/>
          </w:tcPr>
          <w:p>
            <w:pPr>
              <w:spacing w:after="0" w:before="0"/>
            </w:pPr>
            <w:r/>
            <w:r>
              <w:rPr>
                <w:b w:val="0"/>
                <w:i w:val="0"/>
                <w:sz w:val="16"/>
              </w:rPr>
              <w:t>Internal inconsistency</w:t>
            </w:r>
          </w:p>
        </w:tc>
        <w:tc>
          <w:tcPr>
            <w:tcW w:type="dxa" w:w="2880"/>
            <w:shd w:val="clear" w:color="auto" w:fill="F2F4F7"/>
          </w:tcPr>
          <w:p>
            <w:pPr>
              <w:spacing w:after="0" w:before="0"/>
            </w:pPr>
            <w:r/>
            <w:r>
              <w:rPr>
                <w:b w:val="0"/>
                <w:i w:val="0"/>
                <w:sz w:val="16"/>
              </w:rPr>
              <w:t>§7.3</w:t>
            </w:r>
          </w:p>
        </w:tc>
        <w:tc>
          <w:tcPr>
            <w:tcW w:type="dxa" w:w="7200"/>
            <w:shd w:val="clear" w:color="auto" w:fill="F2F4F7"/>
          </w:tcPr>
          <w:p>
            <w:pPr>
              <w:spacing w:after="0" w:before="0"/>
            </w:pPr>
            <w:r/>
            <w:r>
              <w:rPr>
                <w:b w:val="0"/>
                <w:i w:val="0"/>
                <w:sz w:val="16"/>
              </w:rPr>
              <w:t>Annual report must both ‘accompany the meeting notice’ (≥30 calendar days before the meeting) and be delivered ‘no later than 15 Business Days’ before it</w:t>
            </w:r>
          </w:p>
        </w:tc>
      </w:tr>
      <w:tr>
        <w:tc>
          <w:tcPr>
            <w:tcW w:type="dxa" w:w="504"/>
          </w:tcPr>
          <w:p>
            <w:pPr>
              <w:spacing w:after="0" w:before="0"/>
            </w:pPr>
            <w:r/>
            <w:r>
              <w:rPr>
                <w:b/>
                <w:i w:val="0"/>
                <w:sz w:val="16"/>
              </w:rPr>
              <w:t>11</w:t>
            </w:r>
          </w:p>
        </w:tc>
        <w:tc>
          <w:tcPr>
            <w:tcW w:type="dxa" w:w="1080"/>
            <w:shd w:val="clear" w:color="auto" w:fill="FFF2CC"/>
          </w:tcPr>
          <w:p>
            <w:pPr>
              <w:spacing w:after="0" w:before="0"/>
            </w:pPr>
            <w:r/>
            <w:r>
              <w:rPr>
                <w:b w:val="0"/>
                <w:i w:val="0"/>
                <w:sz w:val="16"/>
              </w:rPr>
              <w:t>Medium</w:t>
            </w:r>
          </w:p>
        </w:tc>
        <w:tc>
          <w:tcPr>
            <w:tcW w:type="dxa" w:w="2736"/>
          </w:tcPr>
          <w:p>
            <w:pPr>
              <w:spacing w:after="0" w:before="0"/>
            </w:pPr>
            <w:r/>
            <w:r>
              <w:rPr>
                <w:b w:val="0"/>
                <w:i w:val="0"/>
                <w:sz w:val="16"/>
              </w:rPr>
              <w:t>Overlapping / internally inconsistent provisions</w:t>
            </w:r>
          </w:p>
        </w:tc>
        <w:tc>
          <w:tcPr>
            <w:tcW w:type="dxa" w:w="2880"/>
          </w:tcPr>
          <w:p>
            <w:pPr>
              <w:spacing w:after="0" w:before="0"/>
            </w:pPr>
            <w:r/>
            <w:r>
              <w:rPr>
                <w:b w:val="0"/>
                <w:i w:val="0"/>
                <w:sz w:val="16"/>
              </w:rPr>
              <w:t>§8.4(b) vs. §8.4(c); Rule 204-3</w:t>
            </w:r>
          </w:p>
        </w:tc>
        <w:tc>
          <w:tcPr>
            <w:tcW w:type="dxa" w:w="7200"/>
          </w:tcPr>
          <w:p>
            <w:pPr>
              <w:spacing w:after="0" w:before="0"/>
            </w:pPr>
            <w:r/>
            <w:r>
              <w:rPr>
                <w:b w:val="0"/>
                <w:i w:val="0"/>
                <w:sz w:val="16"/>
              </w:rPr>
              <w:t>Form ADV Part 2A: 5-Business-Day notice of ‘any amendment’ vs. annual delivery within 120 days ‘or promptly upon any material amendment, whichever is earlier’</w:t>
            </w:r>
          </w:p>
        </w:tc>
      </w:tr>
      <w:tr>
        <w:tc>
          <w:tcPr>
            <w:tcW w:type="dxa" w:w="504"/>
            <w:shd w:val="clear" w:color="auto" w:fill="F2F4F7"/>
          </w:tcPr>
          <w:p>
            <w:pPr>
              <w:spacing w:after="0" w:before="0"/>
            </w:pPr>
            <w:r/>
            <w:r>
              <w:rPr>
                <w:b/>
                <w:i w:val="0"/>
                <w:sz w:val="16"/>
              </w:rPr>
              <w:t>12</w:t>
            </w:r>
          </w:p>
        </w:tc>
        <w:tc>
          <w:tcPr>
            <w:tcW w:type="dxa" w:w="1080"/>
            <w:shd w:val="clear" w:color="auto" w:fill="F2F4F7"/>
            <w:shd w:val="clear" w:color="auto" w:fill="FFF2CC"/>
          </w:tcPr>
          <w:p>
            <w:pPr>
              <w:spacing w:after="0" w:before="0"/>
            </w:pPr>
            <w:r/>
            <w:r>
              <w:rPr>
                <w:b w:val="0"/>
                <w:i w:val="0"/>
                <w:sz w:val="16"/>
              </w:rPr>
              <w:t>Medium</w:t>
            </w:r>
          </w:p>
        </w:tc>
        <w:tc>
          <w:tcPr>
            <w:tcW w:type="dxa" w:w="2736"/>
            <w:shd w:val="clear" w:color="auto" w:fill="F2F4F7"/>
          </w:tcPr>
          <w:p>
            <w:pPr>
              <w:spacing w:after="0" w:before="0"/>
            </w:pPr>
            <w:r/>
            <w:r>
              <w:rPr>
                <w:b w:val="0"/>
                <w:i w:val="0"/>
                <w:sz w:val="16"/>
              </w:rPr>
              <w:t>Overlapping triggers / Administrator dependency</w:t>
            </w:r>
          </w:p>
        </w:tc>
        <w:tc>
          <w:tcPr>
            <w:tcW w:type="dxa" w:w="2880"/>
            <w:shd w:val="clear" w:color="auto" w:fill="F2F4F7"/>
          </w:tcPr>
          <w:p>
            <w:pPr>
              <w:spacing w:after="0" w:before="0"/>
            </w:pPr>
            <w:r/>
            <w:r>
              <w:rPr>
                <w:b w:val="0"/>
                <w:i w:val="0"/>
                <w:sz w:val="16"/>
              </w:rPr>
              <w:t>§8.3; §8.1(f); Art. 6; §9.4; SLA §5</w:t>
            </w:r>
          </w:p>
        </w:tc>
        <w:tc>
          <w:tcPr>
            <w:tcW w:type="dxa" w:w="7200"/>
            <w:shd w:val="clear" w:color="auto" w:fill="F2F4F7"/>
          </w:tcPr>
          <w:p>
            <w:pPr>
              <w:spacing w:after="0" w:before="0"/>
            </w:pPr>
            <w:r/>
            <w:r>
              <w:rPr>
                <w:b w:val="0"/>
                <w:i w:val="0"/>
                <w:sz w:val="16"/>
              </w:rPr>
              <w:t>Overlapping event-notice provisions with different recipients, clocks and triggers; Administrator cyber incidents</w:t>
            </w:r>
          </w:p>
        </w:tc>
      </w:tr>
      <w:tr>
        <w:tc>
          <w:tcPr>
            <w:tcW w:type="dxa" w:w="504"/>
          </w:tcPr>
          <w:p>
            <w:pPr>
              <w:spacing w:after="0" w:before="0"/>
            </w:pPr>
            <w:r/>
            <w:r>
              <w:rPr>
                <w:b/>
                <w:i w:val="0"/>
                <w:sz w:val="16"/>
              </w:rPr>
              <w:t>13</w:t>
            </w:r>
          </w:p>
        </w:tc>
        <w:tc>
          <w:tcPr>
            <w:tcW w:type="dxa" w:w="1080"/>
            <w:shd w:val="clear" w:color="auto" w:fill="FFF2CC"/>
          </w:tcPr>
          <w:p>
            <w:pPr>
              <w:spacing w:after="0" w:before="0"/>
            </w:pPr>
            <w:r/>
            <w:r>
              <w:rPr>
                <w:b w:val="0"/>
                <w:i w:val="0"/>
                <w:sz w:val="16"/>
              </w:rPr>
              <w:t>Medium</w:t>
            </w:r>
          </w:p>
        </w:tc>
        <w:tc>
          <w:tcPr>
            <w:tcW w:type="dxa" w:w="2736"/>
          </w:tcPr>
          <w:p>
            <w:pPr>
              <w:spacing w:after="0" w:before="0"/>
            </w:pPr>
            <w:r/>
            <w:r>
              <w:rPr>
                <w:b w:val="0"/>
                <w:i w:val="0"/>
                <w:sz w:val="16"/>
              </w:rPr>
              <w:t>Internal inconsistency / moving threshold</w:t>
            </w:r>
          </w:p>
        </w:tc>
        <w:tc>
          <w:tcPr>
            <w:tcW w:type="dxa" w:w="2880"/>
          </w:tcPr>
          <w:p>
            <w:pPr>
              <w:spacing w:after="0" w:before="0"/>
            </w:pPr>
            <w:r/>
            <w:r>
              <w:rPr>
                <w:b w:val="0"/>
                <w:i w:val="0"/>
                <w:sz w:val="16"/>
              </w:rPr>
              <w:t>Ex. C §6; Ex. C §5; §8.3(d)</w:t>
            </w:r>
          </w:p>
        </w:tc>
        <w:tc>
          <w:tcPr>
            <w:tcW w:type="dxa" w:w="7200"/>
          </w:tcPr>
          <w:p>
            <w:pPr>
              <w:spacing w:after="0" w:before="0"/>
            </w:pPr>
            <w:r/>
            <w:r>
              <w:rPr>
                <w:b w:val="0"/>
                <w:i w:val="0"/>
                <w:sz w:val="16"/>
              </w:rPr>
              <w:t>Concentration limit: ‘prior notification’ language vs. 5-Business-Day post-investment notice; denominator moves with closings</w:t>
            </w:r>
          </w:p>
        </w:tc>
      </w:tr>
      <w:tr>
        <w:tc>
          <w:tcPr>
            <w:tcW w:type="dxa" w:w="504"/>
            <w:shd w:val="clear" w:color="auto" w:fill="F2F4F7"/>
          </w:tcPr>
          <w:p>
            <w:pPr>
              <w:spacing w:after="0" w:before="0"/>
            </w:pPr>
            <w:r/>
            <w:r>
              <w:rPr>
                <w:b/>
                <w:i w:val="0"/>
                <w:sz w:val="16"/>
              </w:rPr>
              <w:t>14</w:t>
            </w:r>
          </w:p>
        </w:tc>
        <w:tc>
          <w:tcPr>
            <w:tcW w:type="dxa" w:w="1080"/>
            <w:shd w:val="clear" w:color="auto" w:fill="F2F4F7"/>
            <w:shd w:val="clear" w:color="auto" w:fill="FFF2CC"/>
          </w:tcPr>
          <w:p>
            <w:pPr>
              <w:spacing w:after="0" w:before="0"/>
            </w:pPr>
            <w:r/>
            <w:r>
              <w:rPr>
                <w:b w:val="0"/>
                <w:i w:val="0"/>
                <w:sz w:val="16"/>
              </w:rPr>
              <w:t>Medium</w:t>
            </w:r>
          </w:p>
        </w:tc>
        <w:tc>
          <w:tcPr>
            <w:tcW w:type="dxa" w:w="2736"/>
            <w:shd w:val="clear" w:color="auto" w:fill="F2F4F7"/>
          </w:tcPr>
          <w:p>
            <w:pPr>
              <w:spacing w:after="0" w:before="0"/>
            </w:pPr>
            <w:r/>
            <w:r>
              <w:rPr>
                <w:b w:val="0"/>
                <w:i w:val="0"/>
                <w:sz w:val="16"/>
              </w:rPr>
              <w:t>Calendar convention</w:t>
            </w:r>
          </w:p>
        </w:tc>
        <w:tc>
          <w:tcPr>
            <w:tcW w:type="dxa" w:w="2880"/>
            <w:shd w:val="clear" w:color="auto" w:fill="F2F4F7"/>
          </w:tcPr>
          <w:p>
            <w:pPr>
              <w:spacing w:after="0" w:before="0"/>
            </w:pPr>
            <w:r/>
            <w:r>
              <w:rPr>
                <w:b w:val="0"/>
                <w:i w:val="0"/>
                <w:sz w:val="16"/>
              </w:rPr>
              <w:t>§§7.1, 7.2, 7.6, 9.2, 9.5; Ex. D; SLA §5</w:t>
            </w:r>
          </w:p>
        </w:tc>
        <w:tc>
          <w:tcPr>
            <w:tcW w:type="dxa" w:w="7200"/>
            <w:shd w:val="clear" w:color="auto" w:fill="F2F4F7"/>
          </w:tcPr>
          <w:p>
            <w:pPr>
              <w:spacing w:after="0" w:before="0"/>
            </w:pPr>
            <w:r/>
            <w:r>
              <w:rPr>
                <w:b w:val="0"/>
                <w:i w:val="0"/>
                <w:sz w:val="16"/>
              </w:rPr>
              <w:t>No weekend/holiday roll convention for calendar-day deadlines; Portal upload lead time</w:t>
            </w:r>
          </w:p>
        </w:tc>
      </w:tr>
      <w:tr>
        <w:tc>
          <w:tcPr>
            <w:tcW w:type="dxa" w:w="504"/>
          </w:tcPr>
          <w:p>
            <w:pPr>
              <w:spacing w:after="0" w:before="0"/>
            </w:pPr>
            <w:r/>
            <w:r>
              <w:rPr>
                <w:b/>
                <w:i w:val="0"/>
                <w:sz w:val="16"/>
              </w:rPr>
              <w:t>15</w:t>
            </w:r>
          </w:p>
        </w:tc>
        <w:tc>
          <w:tcPr>
            <w:tcW w:type="dxa" w:w="1080"/>
            <w:shd w:val="clear" w:color="auto" w:fill="D9EAD3"/>
          </w:tcPr>
          <w:p>
            <w:pPr>
              <w:spacing w:after="0" w:before="0"/>
            </w:pPr>
            <w:r/>
            <w:r>
              <w:rPr>
                <w:b w:val="0"/>
                <w:i w:val="0"/>
                <w:sz w:val="16"/>
              </w:rPr>
              <w:t>Low</w:t>
            </w:r>
          </w:p>
        </w:tc>
        <w:tc>
          <w:tcPr>
            <w:tcW w:type="dxa" w:w="2736"/>
          </w:tcPr>
          <w:p>
            <w:pPr>
              <w:spacing w:after="0" w:before="0"/>
            </w:pPr>
            <w:r/>
            <w:r>
              <w:rPr>
                <w:b w:val="0"/>
                <w:i w:val="0"/>
                <w:sz w:val="16"/>
              </w:rPr>
              <w:t>Definition</w:t>
            </w:r>
          </w:p>
        </w:tc>
        <w:tc>
          <w:tcPr>
            <w:tcW w:type="dxa" w:w="2880"/>
          </w:tcPr>
          <w:p>
            <w:pPr>
              <w:spacing w:after="0" w:before="0"/>
            </w:pPr>
            <w:r/>
            <w:r>
              <w:rPr>
                <w:b w:val="0"/>
                <w:i w:val="0"/>
                <w:sz w:val="16"/>
              </w:rPr>
              <w:t>§1.1 ‘Business Day’; §7.7</w:t>
            </w:r>
          </w:p>
        </w:tc>
        <w:tc>
          <w:tcPr>
            <w:tcW w:type="dxa" w:w="7200"/>
          </w:tcPr>
          <w:p>
            <w:pPr>
              <w:spacing w:after="0" w:before="0"/>
            </w:pPr>
            <w:r/>
            <w:r>
              <w:rPr>
                <w:b w:val="0"/>
                <w:i w:val="0"/>
                <w:sz w:val="16"/>
              </w:rPr>
              <w:t>‘Business Day’ ambiguity for Federal Reserve holidays on which many Denver banks open</w:t>
            </w:r>
          </w:p>
        </w:tc>
      </w:tr>
      <w:tr>
        <w:tc>
          <w:tcPr>
            <w:tcW w:type="dxa" w:w="504"/>
            <w:shd w:val="clear" w:color="auto" w:fill="F2F4F7"/>
          </w:tcPr>
          <w:p>
            <w:pPr>
              <w:spacing w:after="0" w:before="0"/>
            </w:pPr>
            <w:r/>
            <w:r>
              <w:rPr>
                <w:b/>
                <w:i w:val="0"/>
                <w:sz w:val="16"/>
              </w:rPr>
              <w:t>16</w:t>
            </w:r>
          </w:p>
        </w:tc>
        <w:tc>
          <w:tcPr>
            <w:tcW w:type="dxa" w:w="1080"/>
            <w:shd w:val="clear" w:color="auto" w:fill="F2F4F7"/>
            <w:shd w:val="clear" w:color="auto" w:fill="D9EAD3"/>
          </w:tcPr>
          <w:p>
            <w:pPr>
              <w:spacing w:after="0" w:before="0"/>
            </w:pPr>
            <w:r/>
            <w:r>
              <w:rPr>
                <w:b w:val="0"/>
                <w:i w:val="0"/>
                <w:sz w:val="16"/>
              </w:rPr>
              <w:t>Low</w:t>
            </w:r>
          </w:p>
        </w:tc>
        <w:tc>
          <w:tcPr>
            <w:tcW w:type="dxa" w:w="2736"/>
            <w:shd w:val="clear" w:color="auto" w:fill="F2F4F7"/>
          </w:tcPr>
          <w:p>
            <w:pPr>
              <w:spacing w:after="0" w:before="0"/>
            </w:pPr>
            <w:r/>
            <w:r>
              <w:rPr>
                <w:b w:val="0"/>
                <w:i w:val="0"/>
                <w:sz w:val="16"/>
              </w:rPr>
              <w:t>Undefined / inconsistent terms</w:t>
            </w:r>
          </w:p>
        </w:tc>
        <w:tc>
          <w:tcPr>
            <w:tcW w:type="dxa" w:w="2880"/>
            <w:shd w:val="clear" w:color="auto" w:fill="F2F4F7"/>
          </w:tcPr>
          <w:p>
            <w:pPr>
              <w:spacing w:after="0" w:before="0"/>
            </w:pPr>
            <w:r/>
            <w:r>
              <w:rPr>
                <w:b w:val="0"/>
                <w:i w:val="0"/>
                <w:sz w:val="16"/>
              </w:rPr>
              <w:t>Various</w:t>
            </w:r>
          </w:p>
        </w:tc>
        <w:tc>
          <w:tcPr>
            <w:tcW w:type="dxa" w:w="7200"/>
            <w:shd w:val="clear" w:color="auto" w:fill="F2F4F7"/>
          </w:tcPr>
          <w:p>
            <w:pPr>
              <w:spacing w:after="0" w:before="0"/>
            </w:pPr>
            <w:r/>
            <w:r>
              <w:rPr>
                <w:b w:val="0"/>
                <w:i w:val="0"/>
                <w:sz w:val="16"/>
              </w:rPr>
              <w:t>Terms used in reporting provisions that are undefined or defined only in exhibits</w:t>
            </w:r>
          </w:p>
        </w:tc>
      </w:tr>
      <w:tr>
        <w:tc>
          <w:tcPr>
            <w:tcW w:type="dxa" w:w="504"/>
          </w:tcPr>
          <w:p>
            <w:pPr>
              <w:spacing w:after="0" w:before="0"/>
            </w:pPr>
            <w:r/>
            <w:r>
              <w:rPr>
                <w:b/>
                <w:i w:val="0"/>
                <w:sz w:val="16"/>
              </w:rPr>
              <w:t>17</w:t>
            </w:r>
          </w:p>
        </w:tc>
        <w:tc>
          <w:tcPr>
            <w:tcW w:type="dxa" w:w="1080"/>
            <w:shd w:val="clear" w:color="auto" w:fill="FFF2CC"/>
          </w:tcPr>
          <w:p>
            <w:pPr>
              <w:spacing w:after="0" w:before="0"/>
            </w:pPr>
            <w:r/>
            <w:r>
              <w:rPr>
                <w:b w:val="0"/>
                <w:i w:val="0"/>
                <w:sz w:val="16"/>
              </w:rPr>
              <w:t>Medium</w:t>
            </w:r>
          </w:p>
        </w:tc>
        <w:tc>
          <w:tcPr>
            <w:tcW w:type="dxa" w:w="2736"/>
          </w:tcPr>
          <w:p>
            <w:pPr>
              <w:spacing w:after="0" w:before="0"/>
            </w:pPr>
            <w:r/>
            <w:r>
              <w:rPr>
                <w:b w:val="0"/>
                <w:i w:val="0"/>
                <w:sz w:val="16"/>
              </w:rPr>
              <w:t>Practical / undefined</w:t>
            </w:r>
          </w:p>
        </w:tc>
        <w:tc>
          <w:tcPr>
            <w:tcW w:type="dxa" w:w="2880"/>
          </w:tcPr>
          <w:p>
            <w:pPr>
              <w:spacing w:after="0" w:before="0"/>
            </w:pPr>
            <w:r/>
            <w:r>
              <w:rPr>
                <w:b w:val="0"/>
                <w:i w:val="0"/>
                <w:sz w:val="16"/>
              </w:rPr>
              <w:t>Ex. D §8(b); §8.2(c)</w:t>
            </w:r>
          </w:p>
        </w:tc>
        <w:tc>
          <w:tcPr>
            <w:tcW w:type="dxa" w:w="7200"/>
          </w:tcPr>
          <w:p>
            <w:pPr>
              <w:spacing w:after="0" w:before="0"/>
            </w:pPr>
            <w:r/>
            <w:r>
              <w:rPr>
                <w:b w:val="0"/>
                <w:i w:val="0"/>
                <w:sz w:val="16"/>
              </w:rPr>
              <w:t>Apex ‘FOIA’ certificate requires the Adviser to have identified everything delivered to Apex during the year that it considers confidential</w:t>
            </w:r>
          </w:p>
        </w:tc>
      </w:tr>
      <w:tr>
        <w:tc>
          <w:tcPr>
            <w:tcW w:type="dxa" w:w="504"/>
            <w:shd w:val="clear" w:color="auto" w:fill="F2F4F7"/>
          </w:tcPr>
          <w:p>
            <w:pPr>
              <w:spacing w:after="0" w:before="0"/>
            </w:pPr>
            <w:r/>
            <w:r>
              <w:rPr>
                <w:b/>
                <w:i w:val="0"/>
                <w:sz w:val="16"/>
              </w:rPr>
              <w:t>18</w:t>
            </w:r>
          </w:p>
        </w:tc>
        <w:tc>
          <w:tcPr>
            <w:tcW w:type="dxa" w:w="1080"/>
            <w:shd w:val="clear" w:color="auto" w:fill="F2F4F7"/>
            <w:shd w:val="clear" w:color="auto" w:fill="FFF2CC"/>
          </w:tcPr>
          <w:p>
            <w:pPr>
              <w:spacing w:after="0" w:before="0"/>
            </w:pPr>
            <w:r/>
            <w:r>
              <w:rPr>
                <w:b w:val="0"/>
                <w:i w:val="0"/>
                <w:sz w:val="16"/>
              </w:rPr>
              <w:t>Medium</w:t>
            </w:r>
          </w:p>
        </w:tc>
        <w:tc>
          <w:tcPr>
            <w:tcW w:type="dxa" w:w="2736"/>
            <w:shd w:val="clear" w:color="auto" w:fill="F2F4F7"/>
          </w:tcPr>
          <w:p>
            <w:pPr>
              <w:spacing w:after="0" w:before="0"/>
            </w:pPr>
            <w:r/>
            <w:r>
              <w:rPr>
                <w:b w:val="0"/>
                <w:i w:val="0"/>
                <w:sz w:val="16"/>
              </w:rPr>
              <w:t>ERISA substance / trigger</w:t>
            </w:r>
          </w:p>
        </w:tc>
        <w:tc>
          <w:tcPr>
            <w:tcW w:type="dxa" w:w="2880"/>
            <w:shd w:val="clear" w:color="auto" w:fill="F2F4F7"/>
          </w:tcPr>
          <w:p>
            <w:pPr>
              <w:spacing w:after="0" w:before="0"/>
            </w:pPr>
            <w:r/>
            <w:r>
              <w:rPr>
                <w:b w:val="0"/>
                <w:i w:val="0"/>
                <w:sz w:val="16"/>
              </w:rPr>
              <w:t>§9.2(a)–(c); Ex. D §7</w:t>
            </w:r>
          </w:p>
        </w:tc>
        <w:tc>
          <w:tcPr>
            <w:tcW w:type="dxa" w:w="7200"/>
            <w:shd w:val="clear" w:color="auto" w:fill="F2F4F7"/>
          </w:tcPr>
          <w:p>
            <w:pPr>
              <w:spacing w:after="0" w:before="0"/>
            </w:pPr>
            <w:r/>
            <w:r>
              <w:rPr>
                <w:b w:val="0"/>
                <w:i w:val="0"/>
                <w:sz w:val="16"/>
              </w:rPr>
              <w:t>ERISA reporting: whether any Benefit Plan Investors exist; threshold-notice trigger; meaning of the annual certificate</w:t>
            </w:r>
          </w:p>
        </w:tc>
      </w:tr>
      <w:tr>
        <w:tc>
          <w:tcPr>
            <w:tcW w:type="dxa" w:w="504"/>
          </w:tcPr>
          <w:p>
            <w:pPr>
              <w:spacing w:after="0" w:before="0"/>
            </w:pPr>
            <w:r/>
            <w:r>
              <w:rPr>
                <w:b/>
                <w:i w:val="0"/>
                <w:sz w:val="16"/>
              </w:rPr>
              <w:t>19</w:t>
            </w:r>
          </w:p>
        </w:tc>
        <w:tc>
          <w:tcPr>
            <w:tcW w:type="dxa" w:w="1080"/>
            <w:shd w:val="clear" w:color="auto" w:fill="FFF2CC"/>
          </w:tcPr>
          <w:p>
            <w:pPr>
              <w:spacing w:after="0" w:before="0"/>
            </w:pPr>
            <w:r/>
            <w:r>
              <w:rPr>
                <w:b w:val="0"/>
                <w:i w:val="0"/>
                <w:sz w:val="16"/>
              </w:rPr>
              <w:t>Medium</w:t>
            </w:r>
          </w:p>
        </w:tc>
        <w:tc>
          <w:tcPr>
            <w:tcW w:type="dxa" w:w="2736"/>
          </w:tcPr>
          <w:p>
            <w:pPr>
              <w:spacing w:after="0" w:before="0"/>
            </w:pPr>
            <w:r/>
            <w:r>
              <w:rPr>
                <w:b w:val="0"/>
                <w:i w:val="0"/>
                <w:sz w:val="16"/>
              </w:rPr>
              <w:t>First-year anomalies / drafting</w:t>
            </w:r>
          </w:p>
        </w:tc>
        <w:tc>
          <w:tcPr>
            <w:tcW w:type="dxa" w:w="2880"/>
          </w:tcPr>
          <w:p>
            <w:pPr>
              <w:spacing w:after="0" w:before="0"/>
            </w:pPr>
            <w:r/>
            <w:r>
              <w:rPr>
                <w:b w:val="0"/>
                <w:i w:val="0"/>
                <w:sz w:val="16"/>
              </w:rPr>
              <w:t>§1.1 ‘Fiscal Year’; Recitals; §5.1(c); §7.3; Ex. B §5</w:t>
            </w:r>
          </w:p>
        </w:tc>
        <w:tc>
          <w:tcPr>
            <w:tcW w:type="dxa" w:w="7200"/>
          </w:tcPr>
          <w:p>
            <w:pPr>
              <w:spacing w:after="0" w:before="0"/>
            </w:pPr>
            <w:r/>
            <w:r>
              <w:rPr>
                <w:b w:val="0"/>
                <w:i w:val="0"/>
                <w:sz w:val="16"/>
              </w:rPr>
              <w:t>Initial Fiscal Year and launch-period issues</w:t>
            </w:r>
          </w:p>
        </w:tc>
      </w:tr>
      <w:tr>
        <w:tc>
          <w:tcPr>
            <w:tcW w:type="dxa" w:w="504"/>
            <w:shd w:val="clear" w:color="auto" w:fill="F2F4F7"/>
          </w:tcPr>
          <w:p>
            <w:pPr>
              <w:spacing w:after="0" w:before="0"/>
            </w:pPr>
            <w:r/>
            <w:r>
              <w:rPr>
                <w:b/>
                <w:i w:val="0"/>
                <w:sz w:val="16"/>
              </w:rPr>
              <w:t>20</w:t>
            </w:r>
          </w:p>
        </w:tc>
        <w:tc>
          <w:tcPr>
            <w:tcW w:type="dxa" w:w="1080"/>
            <w:shd w:val="clear" w:color="auto" w:fill="F2F4F7"/>
            <w:shd w:val="clear" w:color="auto" w:fill="FFF2CC"/>
          </w:tcPr>
          <w:p>
            <w:pPr>
              <w:spacing w:after="0" w:before="0"/>
            </w:pPr>
            <w:r/>
            <w:r>
              <w:rPr>
                <w:b w:val="0"/>
                <w:i w:val="0"/>
                <w:sz w:val="16"/>
              </w:rPr>
              <w:t>Medium</w:t>
            </w:r>
          </w:p>
        </w:tc>
        <w:tc>
          <w:tcPr>
            <w:tcW w:type="dxa" w:w="2736"/>
            <w:shd w:val="clear" w:color="auto" w:fill="F2F4F7"/>
          </w:tcPr>
          <w:p>
            <w:pPr>
              <w:spacing w:after="0" w:before="0"/>
            </w:pPr>
            <w:r/>
            <w:r>
              <w:rPr>
                <w:b w:val="0"/>
                <w:i w:val="0"/>
                <w:sz w:val="16"/>
              </w:rPr>
              <w:t>Regulatory</w:t>
            </w:r>
          </w:p>
        </w:tc>
        <w:tc>
          <w:tcPr>
            <w:tcW w:type="dxa" w:w="2880"/>
            <w:shd w:val="clear" w:color="auto" w:fill="F2F4F7"/>
          </w:tcPr>
          <w:p>
            <w:pPr>
              <w:spacing w:after="0" w:before="0"/>
            </w:pPr>
            <w:r/>
            <w:r>
              <w:rPr>
                <w:b w:val="0"/>
                <w:i w:val="0"/>
                <w:sz w:val="16"/>
              </w:rPr>
              <w:t>§8.4(a); Ex. C §4; SLA §6</w:t>
            </w:r>
          </w:p>
        </w:tc>
        <w:tc>
          <w:tcPr>
            <w:tcW w:type="dxa" w:w="7200"/>
            <w:shd w:val="clear" w:color="auto" w:fill="F2F4F7"/>
          </w:tcPr>
          <w:p>
            <w:pPr>
              <w:spacing w:after="0" w:before="0"/>
            </w:pPr>
            <w:r/>
            <w:r>
              <w:rPr>
                <w:b w:val="0"/>
                <w:i w:val="0"/>
                <w:sz w:val="16"/>
              </w:rPr>
              <w:t>Form PF has no IAA deadline; the Fund’s Form PF category and the Adviser’s filing frequency must be confirmed</w:t>
            </w:r>
          </w:p>
        </w:tc>
      </w:tr>
      <w:tr>
        <w:tc>
          <w:tcPr>
            <w:tcW w:type="dxa" w:w="504"/>
          </w:tcPr>
          <w:p>
            <w:pPr>
              <w:spacing w:after="0" w:before="0"/>
            </w:pPr>
            <w:r/>
            <w:r>
              <w:rPr>
                <w:b/>
                <w:i w:val="0"/>
                <w:sz w:val="16"/>
              </w:rPr>
              <w:t>21</w:t>
            </w:r>
          </w:p>
        </w:tc>
        <w:tc>
          <w:tcPr>
            <w:tcW w:type="dxa" w:w="1080"/>
            <w:shd w:val="clear" w:color="auto" w:fill="FFF2CC"/>
          </w:tcPr>
          <w:p>
            <w:pPr>
              <w:spacing w:after="0" w:before="0"/>
            </w:pPr>
            <w:r/>
            <w:r>
              <w:rPr>
                <w:b w:val="0"/>
                <w:i w:val="0"/>
                <w:sz w:val="16"/>
              </w:rPr>
              <w:t>Medium</w:t>
            </w:r>
          </w:p>
        </w:tc>
        <w:tc>
          <w:tcPr>
            <w:tcW w:type="dxa" w:w="2736"/>
          </w:tcPr>
          <w:p>
            <w:pPr>
              <w:spacing w:after="0" w:before="0"/>
            </w:pPr>
            <w:r/>
            <w:r>
              <w:rPr>
                <w:b w:val="0"/>
                <w:i w:val="0"/>
                <w:sz w:val="16"/>
              </w:rPr>
              <w:t>Practical / format</w:t>
            </w:r>
          </w:p>
        </w:tc>
        <w:tc>
          <w:tcPr>
            <w:tcW w:type="dxa" w:w="2880"/>
          </w:tcPr>
          <w:p>
            <w:pPr>
              <w:spacing w:after="0" w:before="0"/>
            </w:pPr>
            <w:r/>
            <w:r>
              <w:rPr>
                <w:b w:val="0"/>
                <w:i w:val="0"/>
                <w:sz w:val="16"/>
              </w:rPr>
              <w:t>Ex. D §5(b)</w:t>
            </w:r>
          </w:p>
        </w:tc>
        <w:tc>
          <w:tcPr>
            <w:tcW w:type="dxa" w:w="7200"/>
          </w:tcPr>
          <w:p>
            <w:pPr>
              <w:spacing w:after="0" w:before="0"/>
            </w:pPr>
            <w:r/>
            <w:r>
              <w:rPr>
                <w:b w:val="0"/>
                <w:i w:val="0"/>
                <w:sz w:val="16"/>
              </w:rPr>
              <w:t>Sovereign quarterly regulatory capital impact analysis: open-ended content and timing pressure at year-end</w:t>
            </w:r>
          </w:p>
        </w:tc>
      </w:tr>
      <w:tr>
        <w:tc>
          <w:tcPr>
            <w:tcW w:type="dxa" w:w="504"/>
            <w:shd w:val="clear" w:color="auto" w:fill="F2F4F7"/>
          </w:tcPr>
          <w:p>
            <w:pPr>
              <w:spacing w:after="0" w:before="0"/>
            </w:pPr>
            <w:r/>
            <w:r>
              <w:rPr>
                <w:b/>
                <w:i w:val="0"/>
                <w:sz w:val="16"/>
              </w:rPr>
              <w:t>22</w:t>
            </w:r>
          </w:p>
        </w:tc>
        <w:tc>
          <w:tcPr>
            <w:tcW w:type="dxa" w:w="1080"/>
            <w:shd w:val="clear" w:color="auto" w:fill="F2F4F7"/>
            <w:shd w:val="clear" w:color="auto" w:fill="D9EAD3"/>
          </w:tcPr>
          <w:p>
            <w:pPr>
              <w:spacing w:after="0" w:before="0"/>
            </w:pPr>
            <w:r/>
            <w:r>
              <w:rPr>
                <w:b w:val="0"/>
                <w:i w:val="0"/>
                <w:sz w:val="16"/>
              </w:rPr>
              <w:t>Low</w:t>
            </w:r>
          </w:p>
        </w:tc>
        <w:tc>
          <w:tcPr>
            <w:tcW w:type="dxa" w:w="2736"/>
            <w:shd w:val="clear" w:color="auto" w:fill="F2F4F7"/>
          </w:tcPr>
          <w:p>
            <w:pPr>
              <w:spacing w:after="0" w:before="0"/>
            </w:pPr>
            <w:r/>
            <w:r>
              <w:rPr>
                <w:b w:val="0"/>
                <w:i w:val="0"/>
                <w:sz w:val="16"/>
              </w:rPr>
              <w:t>Regulatory / scope</w:t>
            </w:r>
          </w:p>
        </w:tc>
        <w:tc>
          <w:tcPr>
            <w:tcW w:type="dxa" w:w="2880"/>
            <w:shd w:val="clear" w:color="auto" w:fill="F2F4F7"/>
          </w:tcPr>
          <w:p>
            <w:pPr>
              <w:spacing w:after="0" w:before="0"/>
            </w:pPr>
            <w:r/>
            <w:r>
              <w:rPr>
                <w:b w:val="0"/>
                <w:i w:val="0"/>
                <w:sz w:val="16"/>
              </w:rPr>
              <w:t>§9.5; Ex. D §6; SLA §§4, 6</w:t>
            </w:r>
          </w:p>
        </w:tc>
        <w:tc>
          <w:tcPr>
            <w:tcW w:type="dxa" w:w="7200"/>
            <w:shd w:val="clear" w:color="auto" w:fill="F2F4F7"/>
          </w:tcPr>
          <w:p>
            <w:pPr>
              <w:spacing w:after="0" w:before="0"/>
            </w:pPr>
            <w:r/>
            <w:r>
              <w:rPr>
                <w:b w:val="0"/>
                <w:i w:val="0"/>
                <w:sz w:val="16"/>
              </w:rPr>
              <w:t>FATCA/CRS: feasible on Pinnacle’s timeline, but withholding-agent filings are not in the IAA</w:t>
            </w:r>
          </w:p>
        </w:tc>
      </w:tr>
      <w:tr>
        <w:tc>
          <w:tcPr>
            <w:tcW w:type="dxa" w:w="504"/>
          </w:tcPr>
          <w:p>
            <w:pPr>
              <w:spacing w:after="0" w:before="0"/>
            </w:pPr>
            <w:r/>
            <w:r>
              <w:rPr>
                <w:b/>
                <w:i w:val="0"/>
                <w:sz w:val="16"/>
              </w:rPr>
              <w:t>23</w:t>
            </w:r>
          </w:p>
        </w:tc>
        <w:tc>
          <w:tcPr>
            <w:tcW w:type="dxa" w:w="1080"/>
            <w:shd w:val="clear" w:color="auto" w:fill="D9EAD3"/>
          </w:tcPr>
          <w:p>
            <w:pPr>
              <w:spacing w:after="0" w:before="0"/>
            </w:pPr>
            <w:r/>
            <w:r>
              <w:rPr>
                <w:b w:val="0"/>
                <w:i w:val="0"/>
                <w:sz w:val="16"/>
              </w:rPr>
              <w:t>Low</w:t>
            </w:r>
          </w:p>
        </w:tc>
        <w:tc>
          <w:tcPr>
            <w:tcW w:type="dxa" w:w="2736"/>
          </w:tcPr>
          <w:p>
            <w:pPr>
              <w:spacing w:after="0" w:before="0"/>
            </w:pPr>
            <w:r/>
            <w:r>
              <w:rPr>
                <w:b w:val="0"/>
                <w:i w:val="0"/>
                <w:sz w:val="16"/>
              </w:rPr>
              <w:t>Notice mechanics</w:t>
            </w:r>
          </w:p>
        </w:tc>
        <w:tc>
          <w:tcPr>
            <w:tcW w:type="dxa" w:w="2880"/>
          </w:tcPr>
          <w:p>
            <w:pPr>
              <w:spacing w:after="0" w:before="0"/>
            </w:pPr>
            <w:r/>
            <w:r>
              <w:rPr>
                <w:b w:val="0"/>
                <w:i w:val="0"/>
                <w:sz w:val="16"/>
              </w:rPr>
              <w:t>§12.1</w:t>
            </w:r>
          </w:p>
        </w:tc>
        <w:tc>
          <w:tcPr>
            <w:tcW w:type="dxa" w:w="7200"/>
          </w:tcPr>
          <w:p>
            <w:pPr>
              <w:spacing w:after="0" w:before="0"/>
            </w:pPr>
            <w:r/>
            <w:r>
              <w:rPr>
                <w:b w:val="0"/>
                <w:i w:val="0"/>
                <w:sz w:val="16"/>
              </w:rPr>
              <w:t>Fund Counsel notice e-mail address in §12.1 appears misspelled</w:t>
            </w:r>
          </w:p>
        </w:tc>
      </w:tr>
      <w:tr>
        <w:tc>
          <w:tcPr>
            <w:tcW w:type="dxa" w:w="504"/>
            <w:shd w:val="clear" w:color="auto" w:fill="F2F4F7"/>
          </w:tcPr>
          <w:p>
            <w:pPr>
              <w:spacing w:after="0" w:before="0"/>
            </w:pPr>
            <w:r/>
            <w:r>
              <w:rPr>
                <w:b/>
                <w:i w:val="0"/>
                <w:sz w:val="16"/>
              </w:rPr>
              <w:t>24</w:t>
            </w:r>
          </w:p>
        </w:tc>
        <w:tc>
          <w:tcPr>
            <w:tcW w:type="dxa" w:w="1080"/>
            <w:shd w:val="clear" w:color="auto" w:fill="F2F4F7"/>
            <w:shd w:val="clear" w:color="auto" w:fill="FFF2CC"/>
          </w:tcPr>
          <w:p>
            <w:pPr>
              <w:spacing w:after="0" w:before="0"/>
            </w:pPr>
            <w:r/>
            <w:r>
              <w:rPr>
                <w:b w:val="0"/>
                <w:i w:val="0"/>
                <w:sz w:val="16"/>
              </w:rPr>
              <w:t>Medium</w:t>
            </w:r>
          </w:p>
        </w:tc>
        <w:tc>
          <w:tcPr>
            <w:tcW w:type="dxa" w:w="2736"/>
            <w:shd w:val="clear" w:color="auto" w:fill="F2F4F7"/>
          </w:tcPr>
          <w:p>
            <w:pPr>
              <w:spacing w:after="0" w:before="0"/>
            </w:pPr>
            <w:r/>
            <w:r>
              <w:rPr>
                <w:b w:val="0"/>
                <w:i w:val="0"/>
                <w:sz w:val="16"/>
              </w:rPr>
              <w:t>Confidentiality / sharing</w:t>
            </w:r>
          </w:p>
        </w:tc>
        <w:tc>
          <w:tcPr>
            <w:tcW w:type="dxa" w:w="2880"/>
            <w:shd w:val="clear" w:color="auto" w:fill="F2F4F7"/>
          </w:tcPr>
          <w:p>
            <w:pPr>
              <w:spacing w:after="0" w:before="0"/>
            </w:pPr>
            <w:r/>
            <w:r>
              <w:rPr>
                <w:b w:val="0"/>
                <w:i w:val="0"/>
                <w:sz w:val="16"/>
              </w:rPr>
              <w:t>§8.2; §8.2(c); SLA final paragraph</w:t>
            </w:r>
          </w:p>
        </w:tc>
        <w:tc>
          <w:tcPr>
            <w:tcW w:type="dxa" w:w="7200"/>
            <w:shd w:val="clear" w:color="auto" w:fill="F2F4F7"/>
          </w:tcPr>
          <w:p>
            <w:pPr>
              <w:spacing w:after="0" w:before="0"/>
            </w:pPr>
            <w:r/>
            <w:r>
              <w:rPr>
                <w:b w:val="0"/>
                <w:i w:val="0"/>
                <w:sz w:val="16"/>
              </w:rPr>
              <w:t>Sharing this matrix with Pinnacle and the LPAC raises confidentiality constraints</w:t>
            </w:r>
          </w:p>
        </w:tc>
      </w:tr>
      <w:tr>
        <w:tc>
          <w:tcPr>
            <w:tcW w:type="dxa" w:w="504"/>
          </w:tcPr>
          <w:p>
            <w:pPr>
              <w:spacing w:after="0" w:before="0"/>
            </w:pPr>
            <w:r/>
            <w:r>
              <w:rPr>
                <w:b/>
                <w:i w:val="0"/>
                <w:sz w:val="16"/>
              </w:rPr>
              <w:t>25</w:t>
            </w:r>
          </w:p>
        </w:tc>
        <w:tc>
          <w:tcPr>
            <w:tcW w:type="dxa" w:w="1080"/>
            <w:shd w:val="clear" w:color="auto" w:fill="FFF2CC"/>
          </w:tcPr>
          <w:p>
            <w:pPr>
              <w:spacing w:after="0" w:before="0"/>
            </w:pPr>
            <w:r/>
            <w:r>
              <w:rPr>
                <w:b w:val="0"/>
                <w:i w:val="0"/>
                <w:sz w:val="16"/>
              </w:rPr>
              <w:t>Medium</w:t>
            </w:r>
          </w:p>
        </w:tc>
        <w:tc>
          <w:tcPr>
            <w:tcW w:type="dxa" w:w="2736"/>
          </w:tcPr>
          <w:p>
            <w:pPr>
              <w:spacing w:after="0" w:before="0"/>
            </w:pPr>
            <w:r/>
            <w:r>
              <w:rPr>
                <w:b w:val="0"/>
                <w:i w:val="0"/>
                <w:sz w:val="16"/>
              </w:rPr>
              <w:t>MFN / fairness</w:t>
            </w:r>
          </w:p>
        </w:tc>
        <w:tc>
          <w:tcPr>
            <w:tcW w:type="dxa" w:w="2880"/>
          </w:tcPr>
          <w:p>
            <w:pPr>
              <w:spacing w:after="0" w:before="0"/>
            </w:pPr>
            <w:r/>
            <w:r>
              <w:rPr>
                <w:b w:val="0"/>
                <w:i w:val="0"/>
                <w:sz w:val="16"/>
              </w:rPr>
              <w:t>Ex. D §2; Ex. D §5; §2.3</w:t>
            </w:r>
          </w:p>
        </w:tc>
        <w:tc>
          <w:tcPr>
            <w:tcW w:type="dxa" w:w="7200"/>
          </w:tcPr>
          <w:p>
            <w:pPr>
              <w:spacing w:after="0" w:before="0"/>
            </w:pPr>
            <w:r/>
            <w:r>
              <w:rPr>
                <w:b w:val="0"/>
                <w:i w:val="0"/>
                <w:sz w:val="16"/>
              </w:rPr>
              <w:t>Investor-specific reporting may propagate through MFN elections, multiplying obligations after Final Close</w:t>
            </w:r>
          </w:p>
        </w:tc>
      </w:tr>
      <w:tr>
        <w:tc>
          <w:tcPr>
            <w:tcW w:type="dxa" w:w="504"/>
            <w:shd w:val="clear" w:color="auto" w:fill="F2F4F7"/>
          </w:tcPr>
          <w:p>
            <w:pPr>
              <w:spacing w:after="0" w:before="0"/>
            </w:pPr>
            <w:r/>
            <w:r>
              <w:rPr>
                <w:b/>
                <w:i w:val="0"/>
                <w:sz w:val="16"/>
              </w:rPr>
              <w:t>26</w:t>
            </w:r>
          </w:p>
        </w:tc>
        <w:tc>
          <w:tcPr>
            <w:tcW w:type="dxa" w:w="1080"/>
            <w:shd w:val="clear" w:color="auto" w:fill="F2F4F7"/>
            <w:shd w:val="clear" w:color="auto" w:fill="D9EAD3"/>
          </w:tcPr>
          <w:p>
            <w:pPr>
              <w:spacing w:after="0" w:before="0"/>
            </w:pPr>
            <w:r/>
            <w:r>
              <w:rPr>
                <w:b w:val="0"/>
                <w:i w:val="0"/>
                <w:sz w:val="16"/>
              </w:rPr>
              <w:t>Low</w:t>
            </w:r>
          </w:p>
        </w:tc>
        <w:tc>
          <w:tcPr>
            <w:tcW w:type="dxa" w:w="2736"/>
            <w:shd w:val="clear" w:color="auto" w:fill="F2F4F7"/>
          </w:tcPr>
          <w:p>
            <w:pPr>
              <w:spacing w:after="0" w:before="0"/>
            </w:pPr>
            <w:r/>
            <w:r>
              <w:rPr>
                <w:b w:val="0"/>
                <w:i w:val="0"/>
                <w:sz w:val="16"/>
              </w:rPr>
              <w:t>Delivery mechanics</w:t>
            </w:r>
          </w:p>
        </w:tc>
        <w:tc>
          <w:tcPr>
            <w:tcW w:type="dxa" w:w="2880"/>
            <w:shd w:val="clear" w:color="auto" w:fill="F2F4F7"/>
          </w:tcPr>
          <w:p>
            <w:pPr>
              <w:spacing w:after="0" w:before="0"/>
            </w:pPr>
            <w:r/>
            <w:r>
              <w:rPr>
                <w:b w:val="0"/>
                <w:i w:val="0"/>
                <w:sz w:val="16"/>
              </w:rPr>
              <w:t>§§7.1, 7.2, 7.7, 8.3, 8.4(c); SLA §§3, 5</w:t>
            </w:r>
          </w:p>
        </w:tc>
        <w:tc>
          <w:tcPr>
            <w:tcW w:type="dxa" w:w="7200"/>
            <w:shd w:val="clear" w:color="auto" w:fill="F2F4F7"/>
          </w:tcPr>
          <w:p>
            <w:pPr>
              <w:spacing w:after="0" w:before="0"/>
            </w:pPr>
            <w:r/>
            <w:r>
              <w:rPr>
                <w:b w:val="0"/>
                <w:i w:val="0"/>
                <w:sz w:val="16"/>
              </w:rPr>
              <w:t>Hard copy and custom-format deliveries are outside Pinnacle’s scope</w:t>
            </w:r>
          </w:p>
        </w:tc>
      </w:tr>
      <w:tr>
        <w:tc>
          <w:tcPr>
            <w:tcW w:type="dxa" w:w="504"/>
          </w:tcPr>
          <w:p>
            <w:pPr>
              <w:spacing w:after="0" w:before="0"/>
            </w:pPr>
            <w:r/>
            <w:r>
              <w:rPr>
                <w:b/>
                <w:i w:val="0"/>
                <w:sz w:val="16"/>
              </w:rPr>
              <w:t>27</w:t>
            </w:r>
          </w:p>
        </w:tc>
        <w:tc>
          <w:tcPr>
            <w:tcW w:type="dxa" w:w="1080"/>
            <w:shd w:val="clear" w:color="auto" w:fill="FCE5CD"/>
          </w:tcPr>
          <w:p>
            <w:pPr>
              <w:spacing w:after="0" w:before="0"/>
            </w:pPr>
            <w:r/>
            <w:r>
              <w:rPr>
                <w:b w:val="0"/>
                <w:i w:val="0"/>
                <w:sz w:val="16"/>
              </w:rPr>
              <w:t>High</w:t>
            </w:r>
          </w:p>
        </w:tc>
        <w:tc>
          <w:tcPr>
            <w:tcW w:type="dxa" w:w="2736"/>
          </w:tcPr>
          <w:p>
            <w:pPr>
              <w:spacing w:after="0" w:before="0"/>
            </w:pPr>
            <w:r/>
            <w:r>
              <w:rPr>
                <w:b w:val="0"/>
                <w:i w:val="0"/>
                <w:sz w:val="16"/>
              </w:rPr>
              <w:t>Sequencing / regulatory</w:t>
            </w:r>
          </w:p>
        </w:tc>
        <w:tc>
          <w:tcPr>
            <w:tcW w:type="dxa" w:w="2880"/>
          </w:tcPr>
          <w:p>
            <w:pPr>
              <w:spacing w:after="0" w:before="0"/>
            </w:pPr>
            <w:r/>
            <w:r>
              <w:rPr>
                <w:b w:val="0"/>
                <w:i w:val="0"/>
                <w:sz w:val="16"/>
              </w:rPr>
              <w:t>§7.2; Art. 6; Ex. B §5; §8.1(d)</w:t>
            </w:r>
          </w:p>
        </w:tc>
        <w:tc>
          <w:tcPr>
            <w:tcW w:type="dxa" w:w="7200"/>
          </w:tcPr>
          <w:p>
            <w:pPr>
              <w:spacing w:after="0" w:before="0"/>
            </w:pPr>
            <w:r/>
            <w:r>
              <w:rPr>
                <w:b w:val="0"/>
                <w:i w:val="0"/>
                <w:sz w:val="16"/>
              </w:rPr>
              <w:t>Annual audit at 120 days carries Custody Rule consequences and depends on items with no committed timeline</w:t>
            </w:r>
          </w:p>
        </w:tc>
      </w:tr>
    </w:tbl>
    <w:p>
      <w:pPr>
        <w:spacing w:after="80"/>
      </w:pPr>
    </w:p>
    <w:p>
      <w:pPr>
        <w:pStyle w:val="Heading3"/>
      </w:pPr>
      <w:r>
        <w:rPr>
          <w:color w:val="1F2A44"/>
        </w:rPr>
        <w:t>Issue 1 — Quarterly capital account statements (45 days) cannot be produced on Pinnacle’s SLA and are due before the financial statements on which they depend</w:t>
      </w:r>
    </w:p>
    <w:p>
      <w:pPr>
        <w:spacing w:after="40"/>
      </w:pPr>
      <w:r>
        <w:rPr>
          <w:b/>
          <w:i w:val="0"/>
          <w:sz w:val="18"/>
        </w:rPr>
        <w:t>Severity:</w:t>
      </w:r>
      <w:r>
        <w:rPr>
          <w:b w:val="0"/>
          <w:i w:val="0"/>
          <w:sz w:val="18"/>
        </w:rPr>
        <w:t xml:space="preserve"> Critical   |   </w:t>
      </w:r>
      <w:r>
        <w:rPr>
          <w:b/>
          <w:i w:val="0"/>
          <w:sz w:val="18"/>
        </w:rPr>
        <w:t>Category:</w:t>
      </w:r>
      <w:r>
        <w:rPr>
          <w:b w:val="0"/>
          <w:i w:val="0"/>
          <w:sz w:val="18"/>
        </w:rPr>
        <w:t xml:space="preserve"> Sequencing / Administrator feasibility   |   </w:t>
      </w:r>
      <w:r>
        <w:rPr>
          <w:b/>
          <w:i w:val="0"/>
          <w:sz w:val="18"/>
        </w:rPr>
        <w:t>References:</w:t>
      </w:r>
      <w:r>
        <w:rPr>
          <w:b w:val="0"/>
          <w:i w:val="0"/>
          <w:sz w:val="18"/>
        </w:rPr>
        <w:t xml:space="preserve"> §7.4 vs. §7.1; SLA §§2, 3, 7</w:t>
      </w:r>
    </w:p>
    <w:p>
      <w:pPr>
        <w:spacing w:after="40"/>
      </w:pPr>
      <w:r>
        <w:rPr>
          <w:b/>
          <w:i w:val="0"/>
          <w:sz w:val="18"/>
        </w:rPr>
        <w:t>Analysis.</w:t>
      </w:r>
      <w:r>
        <w:rPr>
          <w:b w:val="0"/>
          <w:i w:val="0"/>
          <w:sz w:val="18"/>
        </w:rPr>
        <w:t xml:space="preserve"> §7.4 requires LP capital account statements within 45 calendar days of quarter-end, while the §7.1 quarterly financial statements (which include the statement of changes in partners’ capital) are due at Day 60. Capital account allocations of income, loss and Management Fee depend on fund-level income and expense determinations — Pinnacle states expressly that capital account statements ‘cannot be finalized until the quarterly financial data package is complete’ (SLA §3). Pinnacle’s cascade is: preliminary NAV at Day 35 (Day 40 for the initial quarter), which itself requires the Adviser’s final marks by Day 25; finalized data package 5 Business Days after Adviser sign-off; draft capital account statements 7 Business Days after that; Adviser review; Portal upload 2 Business Days after receipt of final versions. Assuming a 2–3 Business Day Adviser sign-off, statements reach the Portal around Day 58 in a standard quarter on a Day-35 preliminary NAV and around Thu Mar 6, 2025 for Q4 2024 — roughly three weeks after the Fri Feb 14, 2025 contractual date. The shortfall is structural and recurs every quarter, not only in the launch quarter. The ordering inversion also means LPs would see LP-level figures before the fund-level statements they reconcile to.</w:t>
      </w:r>
    </w:p>
    <w:p>
      <w:pPr>
        <w:spacing w:after="120"/>
      </w:pPr>
      <w:r>
        <w:rPr>
          <w:b/>
          <w:i w:val="0"/>
          <w:sz w:val="18"/>
        </w:rPr>
        <w:t>Recommendation.</w:t>
      </w:r>
      <w:r>
        <w:rPr>
          <w:b w:val="0"/>
          <w:i w:val="0"/>
          <w:sz w:val="18"/>
        </w:rPr>
        <w:t xml:space="preserve"> (a) Seek an amendment aligning §7.4 to 60 calendar days (same day as §7.1), via a written IAA amendment under §12.4 with any LP consent the LPA requires — an LPAC memorandum alone cannot reduce a right owed to every LP (see Part VII). (b) Pending amendment, negotiate with Pinnacle to compress the cascade (Adviser marks by Day 20; preliminary NAV by Day 30; parallel preparation of draft capital statements from the preliminary NAV; sign-off within 2 Business Days). (c) As a fallback for Q4 2024, deliver on Feb 14 an ‘estimated’ capital account statement clearly labelled preliminary and subject to the §7.1 statements and audit, with a cover notice — this mitigates but does not cure a technical breach; disclose proactively to the LPAC.</w:t>
      </w:r>
    </w:p>
    <w:p>
      <w:pPr>
        <w:pStyle w:val="Heading3"/>
      </w:pPr>
      <w:r>
        <w:rPr>
          <w:color w:val="1F2A44"/>
        </w:rPr>
        <w:t>Issue 2 — Quarterly valuation reporting to the LPAC: 45 calendar days (body) vs. 45 Business Days (Exhibit B), with differing content</w:t>
      </w:r>
    </w:p>
    <w:p>
      <w:pPr>
        <w:spacing w:after="40"/>
      </w:pPr>
      <w:r>
        <w:rPr>
          <w:b/>
          <w:i w:val="0"/>
          <w:sz w:val="18"/>
        </w:rPr>
        <w:t>Severity:</w:t>
      </w:r>
      <w:r>
        <w:rPr>
          <w:b w:val="0"/>
          <w:i w:val="0"/>
          <w:sz w:val="18"/>
        </w:rPr>
        <w:t xml:space="preserve"> High   |   </w:t>
      </w:r>
      <w:r>
        <w:rPr>
          <w:b/>
          <w:i w:val="0"/>
          <w:sz w:val="18"/>
        </w:rPr>
        <w:t>Category:</w:t>
      </w:r>
      <w:r>
        <w:rPr>
          <w:b w:val="0"/>
          <w:i w:val="0"/>
          <w:sz w:val="18"/>
        </w:rPr>
        <w:t xml:space="preserve"> Body vs. exhibit deadline conflict   |   </w:t>
      </w:r>
      <w:r>
        <w:rPr>
          <w:b/>
          <w:i w:val="0"/>
          <w:sz w:val="18"/>
        </w:rPr>
        <w:t>References:</w:t>
      </w:r>
      <w:r>
        <w:rPr>
          <w:b w:val="0"/>
          <w:i w:val="0"/>
          <w:sz w:val="18"/>
        </w:rPr>
        <w:t xml:space="preserve"> §7.6(b) vs. Ex. B §4; §12.9</w:t>
      </w:r>
    </w:p>
    <w:p>
      <w:pPr>
        <w:spacing w:after="40"/>
      </w:pPr>
      <w:r>
        <w:rPr>
          <w:b/>
          <w:i w:val="0"/>
          <w:sz w:val="18"/>
        </w:rPr>
        <w:t>Analysis.</w:t>
      </w:r>
      <w:r>
        <w:rPr>
          <w:b w:val="0"/>
          <w:i w:val="0"/>
          <w:sz w:val="18"/>
        </w:rPr>
        <w:t xml:space="preserve"> §7.6(b) requires a Level 3 ‘valuation report’ within 45 calendar days; Ex. B §4 requires a ‘quarterly valuation summary’ within 45 Business Days — roughly 63–65 calendar days (Q4 2024: Fri Feb 14, 2025 vs. Fri Mar 7, 2025; Q1 2025: Thu May 15 vs. Tue Jun 3, 2025). The content also differs: Ex. B adds comparable transaction data, third-party valuation reports and a Level 3 roll-forward reconciliation, while §7.6(b) adds key inputs/assumptions, methodology changes and material adjustments. These are best read as the same underlying obligation described twice. Under §12.9, the body controls over an exhibit in a conflict, so the operative deadline is 45 calendar days; Exhibit B’s content requirements are not inconsistent with the body and should be treated as cumulative. A Level 3 roll-forward at Day 45 depends on Pinnacle data (preliminary NAV Day 35/40), so the window is tight but achievable if the Valuation Committee completes marks by Day 25.</w:t>
      </w:r>
    </w:p>
    <w:p>
      <w:pPr>
        <w:spacing w:after="120"/>
      </w:pPr>
      <w:r>
        <w:rPr>
          <w:b/>
          <w:i w:val="0"/>
          <w:sz w:val="18"/>
        </w:rPr>
        <w:t>Recommendation.</w:t>
      </w:r>
      <w:r>
        <w:rPr>
          <w:b w:val="0"/>
          <w:i w:val="0"/>
          <w:sz w:val="18"/>
        </w:rPr>
        <w:t xml:space="preserve"> Calendar a single combined LPAC valuation report at 45 calendar days containing the union of §7.6(b) and Ex. B §4 content. Correct Ex. B §4 to ‘calendar days’ in a conforming amendment (LPAC approval is required for Valuation Policy amendments per the §1.1 definition). Address in the LPAC clarifying memorandum so no member relies on the later date.</w:t>
      </w:r>
    </w:p>
    <w:p>
      <w:pPr>
        <w:pStyle w:val="Heading3"/>
      </w:pPr>
      <w:r>
        <w:rPr>
          <w:color w:val="1F2A44"/>
        </w:rPr>
        <w:t>Issue 3 — Sovereign Bridge monthly NAV estimates are due at Day 20; Pinnacle’s monthly NAV estimate is not available until Day 25 — and the October and November 2024 estimates are due now</w:t>
      </w:r>
    </w:p>
    <w:p>
      <w:pPr>
        <w:spacing w:after="40"/>
      </w:pPr>
      <w:r>
        <w:rPr>
          <w:b/>
          <w:i w:val="0"/>
          <w:sz w:val="18"/>
        </w:rPr>
        <w:t>Severity:</w:t>
      </w:r>
      <w:r>
        <w:rPr>
          <w:b w:val="0"/>
          <w:i w:val="0"/>
          <w:sz w:val="18"/>
        </w:rPr>
        <w:t xml:space="preserve"> Critical   |   </w:t>
      </w:r>
      <w:r>
        <w:rPr>
          <w:b/>
          <w:i w:val="0"/>
          <w:sz w:val="18"/>
        </w:rPr>
        <w:t>Category:</w:t>
      </w:r>
      <w:r>
        <w:rPr>
          <w:b w:val="0"/>
          <w:i w:val="0"/>
          <w:sz w:val="18"/>
        </w:rPr>
        <w:t xml:space="preserve"> Administrator feasibility / immediate deadline   |   </w:t>
      </w:r>
      <w:r>
        <w:rPr>
          <w:b/>
          <w:i w:val="0"/>
          <w:sz w:val="18"/>
        </w:rPr>
        <w:t>References:</w:t>
      </w:r>
      <w:r>
        <w:rPr>
          <w:b w:val="0"/>
          <w:i w:val="0"/>
          <w:sz w:val="18"/>
        </w:rPr>
        <w:t xml:space="preserve"> Ex. D §5(a); §7.6(a); SLA §2</w:t>
      </w:r>
    </w:p>
    <w:p>
      <w:pPr>
        <w:spacing w:after="40"/>
      </w:pPr>
      <w:r>
        <w:rPr>
          <w:b/>
          <w:i w:val="0"/>
          <w:sz w:val="18"/>
        </w:rPr>
        <w:t>Analysis.</w:t>
      </w:r>
      <w:r>
        <w:rPr>
          <w:b w:val="0"/>
          <w:i w:val="0"/>
          <w:sz w:val="18"/>
        </w:rPr>
        <w:t xml:space="preserve"> Ex. D §5(a) requires monthly NAV estimates within 20 calendar days of month-end. Pinnacle commits only to Day 25 monthly estimates (SLA §2), which are themselves based on Adviser-provided monthly marks. The Adviser therefore must produce the Sovereign estimate itself, from its own marks, before Pinnacle’s figure exists — or renegotiate Pinnacle’s timeline. The first estimate (October 2024) was due Wed Nov 20, 2024, one week after Sovereign’s inquiry; November is due Fri Dec 20, 2024 (Pinnacle’s November estimate would fall on Dec 25); December is due Mon Jan 20, 2025 (a bank holiday), before the Q4 Valuation Committee process and Pinnacle’s Day 25 mark deadline are complete, so the quarter-end estimate will necessarily diverge from the Q4 formal valuation. Sovereign is building regulatory capital models from this data, so revisions should be explained. Ex. D §5(a) also requires a ‘summary of material changes in portfolio composition’, which Pinnacle does not supply.</w:t>
      </w:r>
    </w:p>
    <w:p>
      <w:pPr>
        <w:spacing w:after="120"/>
      </w:pPr>
      <w:r>
        <w:rPr>
          <w:b/>
          <w:i w:val="0"/>
          <w:sz w:val="18"/>
        </w:rPr>
        <w:t>Recommendation.</w:t>
      </w:r>
      <w:r>
        <w:rPr>
          <w:b w:val="0"/>
          <w:i w:val="0"/>
          <w:sz w:val="18"/>
        </w:rPr>
        <w:t xml:space="preserve"> (a) Immediately deliver the October 2024 estimate (late) with a brief cover note, and the November estimate by Dec 20, 2024, prepared in-house from the §7.6(a) monthly marks. (b) Ask Pinnacle for a Day 15–18 ‘flash’ NAV for Sovereign as an SLA amendment (custom formatting needs 15 Business Days’ notice per SLA §3). (c) Standardize a short methodology note and revision reconciliation to the quarterly statements. (d) Respond to Sovereign’s inquiry with the data flow and timeline in Part VIII.</w:t>
      </w:r>
    </w:p>
    <w:p>
      <w:pPr>
        <w:pStyle w:val="Heading3"/>
      </w:pPr>
      <w:r>
        <w:rPr>
          <w:color w:val="1F2A44"/>
        </w:rPr>
        <w:t>Issue 4 — UBTI estimates due Day 30, but Pinnacle provides UBTI data only on Day 45 and will not prepare interim estimates</w:t>
      </w:r>
    </w:p>
    <w:p>
      <w:pPr>
        <w:spacing w:after="40"/>
      </w:pPr>
      <w:r>
        <w:rPr>
          <w:b/>
          <w:i w:val="0"/>
          <w:sz w:val="18"/>
        </w:rPr>
        <w:t>Severity:</w:t>
      </w:r>
      <w:r>
        <w:rPr>
          <w:b w:val="0"/>
          <w:i w:val="0"/>
          <w:sz w:val="18"/>
        </w:rPr>
        <w:t xml:space="preserve"> Critical   |   </w:t>
      </w:r>
      <w:r>
        <w:rPr>
          <w:b/>
          <w:i w:val="0"/>
          <w:sz w:val="18"/>
        </w:rPr>
        <w:t>Category:</w:t>
      </w:r>
      <w:r>
        <w:rPr>
          <w:b w:val="0"/>
          <w:i w:val="0"/>
          <w:sz w:val="18"/>
        </w:rPr>
        <w:t xml:space="preserve"> Administrator feasibility / undefined term   |   </w:t>
      </w:r>
      <w:r>
        <w:rPr>
          <w:b/>
          <w:i w:val="0"/>
          <w:sz w:val="18"/>
        </w:rPr>
        <w:t>References:</w:t>
      </w:r>
      <w:r>
        <w:rPr>
          <w:b w:val="0"/>
          <w:i w:val="0"/>
          <w:sz w:val="18"/>
        </w:rPr>
        <w:t xml:space="preserve"> §7.5(b); Ex. D §4; SLA §4</w:t>
      </w:r>
    </w:p>
    <w:p>
      <w:pPr>
        <w:spacing w:after="40"/>
      </w:pPr>
      <w:r>
        <w:rPr>
          <w:b/>
          <w:i w:val="0"/>
          <w:sz w:val="18"/>
        </w:rPr>
        <w:t>Analysis.</w:t>
      </w:r>
      <w:r>
        <w:rPr>
          <w:b w:val="0"/>
          <w:i w:val="0"/>
          <w:sz w:val="18"/>
        </w:rPr>
        <w:t xml:space="preserve"> §7.5(b) requires UBTI estimates for each tax-exempt LP within 30 calendar days of Fiscal Year-end (Thu Jan 30, 2025). Pinnacle delivers UBTI worksheets only within the Day 45 tax data package (Fri Feb 14, 2025), expressly does not prepare standalone interim UBTI estimates, and for the first partial tax year ‘cannot guarantee earlier delivery of any component, including UBTI data’ (SLA §4). Compounding the problem, the Adviser’s own investment-level tax characterization inputs to Pinnacle (OID, loan modifications, fee income) are due Day 30 — the same day the UBTI estimate is due to LPs. Interpretive gaps: Ex. D §4 calls this ‘enhanced UBTI reporting described in Section 7.5’ but §7.5(b) describes only the standard estimate; Ex. D §4’s tax-exempt definition (501(c)(3), state/local government pension plans, ‘similarly situated entities’) is broader than §7.5(b)’s (501(a) ‘including without limitation’); and ‘if any’ leaves open whether a nil estimate must be sent. For a direct-lending fund, UBTI exposure typically arises from fund-level leverage (debt-financed income) and from any fee or equity-kicker income, so subscription-line borrowings since First Close are relevant.</w:t>
      </w:r>
    </w:p>
    <w:p>
      <w:pPr>
        <w:spacing w:after="120"/>
      </w:pPr>
      <w:r>
        <w:rPr>
          <w:b/>
          <w:i w:val="0"/>
          <w:sz w:val="18"/>
        </w:rPr>
        <w:t>Recommendation.</w:t>
      </w:r>
      <w:r>
        <w:rPr>
          <w:b w:val="0"/>
          <w:i w:val="0"/>
          <w:sz w:val="18"/>
        </w:rPr>
        <w:t xml:space="preserve"> (a) Have the Adviser’s tax preparer produce an independent UBTI estimate by Jan 30, 2025 from Adviser data (borrowing history, fee income), clearly labelled preliminary per §7.5(b). (b) Send a written estimate (including ‘nil’, if so) to every tax-exempt LP identified under the broader Ex. D §4 definition. (c) Clarify ‘enhanced’ and the tax-exempt definition in the LPAC memorandum/side letter amendment. (d) Seek Pinnacle agreement to an interim UBTI schedule by Day 25 going forward.</w:t>
      </w:r>
    </w:p>
    <w:p>
      <w:pPr>
        <w:pStyle w:val="Heading3"/>
      </w:pPr>
      <w:r>
        <w:rPr>
          <w:color w:val="1F2A44"/>
        </w:rPr>
        <w:t>Issue 5 — Quarterly BPI calculation due Day 30, but Pinnacle provides it only in the Day 35 (Day 40 initial quarter) package</w:t>
      </w:r>
    </w:p>
    <w:p>
      <w:pPr>
        <w:spacing w:after="40"/>
      </w:pPr>
      <w:r>
        <w:rPr>
          <w:b/>
          <w:i w:val="0"/>
          <w:sz w:val="18"/>
        </w:rPr>
        <w:t>Severity:</w:t>
      </w:r>
      <w:r>
        <w:rPr>
          <w:b w:val="0"/>
          <w:i w:val="0"/>
          <w:sz w:val="18"/>
        </w:rPr>
        <w:t xml:space="preserve"> High   |   </w:t>
      </w:r>
      <w:r>
        <w:rPr>
          <w:b/>
          <w:i w:val="0"/>
          <w:sz w:val="18"/>
        </w:rPr>
        <w:t>Category:</w:t>
      </w:r>
      <w:r>
        <w:rPr>
          <w:b w:val="0"/>
          <w:i w:val="0"/>
          <w:sz w:val="18"/>
        </w:rPr>
        <w:t xml:space="preserve"> Administrator feasibility   |   </w:t>
      </w:r>
      <w:r>
        <w:rPr>
          <w:b/>
          <w:i w:val="0"/>
          <w:sz w:val="18"/>
        </w:rPr>
        <w:t>References:</w:t>
      </w:r>
      <w:r>
        <w:rPr>
          <w:b w:val="0"/>
          <w:i w:val="0"/>
          <w:sz w:val="18"/>
        </w:rPr>
        <w:t xml:space="preserve"> §9.2(a); SLA §§6, 7</w:t>
      </w:r>
    </w:p>
    <w:p>
      <w:pPr>
        <w:spacing w:after="40"/>
      </w:pPr>
      <w:r>
        <w:rPr>
          <w:b/>
          <w:i w:val="0"/>
          <w:sz w:val="18"/>
        </w:rPr>
        <w:t>Analysis.</w:t>
      </w:r>
      <w:r>
        <w:rPr>
          <w:b w:val="0"/>
          <w:i w:val="0"/>
          <w:sz w:val="18"/>
        </w:rPr>
        <w:t xml:space="preserve"> §9.2(a) requires quarterly Benefit Plan Investor percentage calculations to each BPI and the LPAC within 30 calendar days of quarter-end (Q4 2024: Thu Jan 30, 2025). Pinnacle delivers the calculation as part of the quarterly financial data package at Day 35 (Day 40 for the initial quarter). Because the BPI percentage changes only on closings, transfers and redemptions, not on valuation, the calculation does not need the quarterly NAV and can be performed in-house from subscription data.</w:t>
      </w:r>
    </w:p>
    <w:p>
      <w:pPr>
        <w:spacing w:after="120"/>
      </w:pPr>
      <w:r>
        <w:rPr>
          <w:b/>
          <w:i w:val="0"/>
          <w:sz w:val="18"/>
        </w:rPr>
        <w:t>Recommendation.</w:t>
      </w:r>
      <w:r>
        <w:rPr>
          <w:b w:val="0"/>
          <w:i w:val="0"/>
          <w:sz w:val="18"/>
        </w:rPr>
        <w:t xml:space="preserve"> Prepare the BPI calculation internally from the investor register by Day 25, with Pinnacle’s Day 35 figure used as a reconciliation check; alternatively, amend the SLA to deliver the BPI calculation separately by Day 20. Low-cost fix; no IAA amendment needed.</w:t>
      </w:r>
    </w:p>
    <w:p>
      <w:pPr>
        <w:pStyle w:val="Heading3"/>
      </w:pPr>
      <w:r>
        <w:rPr>
          <w:color w:val="1F2A44"/>
        </w:rPr>
        <w:t>Issue 6 — K-1 timeline: the March 15 target is unlikely to be met and the February 28 notice-and-estimate obligation will likely be triggered</w:t>
      </w:r>
    </w:p>
    <w:p>
      <w:pPr>
        <w:spacing w:after="40"/>
      </w:pPr>
      <w:r>
        <w:rPr>
          <w:b/>
          <w:i w:val="0"/>
          <w:sz w:val="18"/>
        </w:rPr>
        <w:t>Severity:</w:t>
      </w:r>
      <w:r>
        <w:rPr>
          <w:b w:val="0"/>
          <w:i w:val="0"/>
          <w:sz w:val="18"/>
        </w:rPr>
        <w:t xml:space="preserve"> High   |   </w:t>
      </w:r>
      <w:r>
        <w:rPr>
          <w:b/>
          <w:i w:val="0"/>
          <w:sz w:val="18"/>
        </w:rPr>
        <w:t>Category:</w:t>
      </w:r>
      <w:r>
        <w:rPr>
          <w:b w:val="0"/>
          <w:i w:val="0"/>
          <w:sz w:val="18"/>
        </w:rPr>
        <w:t xml:space="preserve"> Sequencing / Administrator feasibility   |   </w:t>
      </w:r>
      <w:r>
        <w:rPr>
          <w:b/>
          <w:i w:val="0"/>
          <w:sz w:val="18"/>
        </w:rPr>
        <w:t>References:</w:t>
      </w:r>
      <w:r>
        <w:rPr>
          <w:b w:val="0"/>
          <w:i w:val="0"/>
          <w:sz w:val="18"/>
        </w:rPr>
        <w:t xml:space="preserve"> §7.5(a); SLA §4</w:t>
      </w:r>
    </w:p>
    <w:p>
      <w:pPr>
        <w:spacing w:after="40"/>
      </w:pPr>
      <w:r>
        <w:rPr>
          <w:b/>
          <w:i w:val="0"/>
          <w:sz w:val="18"/>
        </w:rPr>
        <w:t>Analysis.</w:t>
      </w:r>
      <w:r>
        <w:rPr>
          <w:b w:val="0"/>
          <w:i w:val="0"/>
          <w:sz w:val="18"/>
        </w:rPr>
        <w:t xml:space="preserve"> Pinnacle’s tax data package arrives Day 45 (Fri Feb 14, 2025); the preparer then needs 15–20 Business Days for draft K-1s (Mon Mar 10 – Mon Mar 17, 2025), before Adviser review. Delivery by Sat Mar 15 is therefore improbable, especially given first-year elections (entity classification, §709(b) organizational expense amortization, initial allocation methodology). If March 15 will be missed, §7.5(a) requires written notice plus tax estimates by Fri Feb 28 — just two weeks after the tax package arrives. Final K-1s must be delivered by Tue Apr 15, 2025 without any efforts qualifier. Note the Fund’s Form 1065 is due Mon Mar 17, 2025 (extendable to Sept 15); the contractual April 15 K-1 date is not extended by any filing extension. The February 28 language (‘as promptly as practicable … in each case by February 28’) is also ambiguous as to whether an earlier notice is required once the determination is made.</w:t>
      </w:r>
    </w:p>
    <w:p>
      <w:pPr>
        <w:spacing w:after="120"/>
      </w:pPr>
      <w:r>
        <w:rPr>
          <w:b/>
          <w:i w:val="0"/>
          <w:sz w:val="18"/>
        </w:rPr>
        <w:t>Recommendation.</w:t>
      </w:r>
      <w:r>
        <w:rPr>
          <w:b w:val="0"/>
          <w:i w:val="0"/>
          <w:sz w:val="18"/>
        </w:rPr>
        <w:t xml:space="preserve"> Plan now on the basis that the February 28 notice will be sent: prepare an estimate template with the tax preparer in January, set an internal decision point of Feb 18, 2025, and deliver notice plus estimates by Feb 28. Engage the tax preparer and Ridgeline (Thomas Kwon) now on first-year elections. Lock April 15 as a hard internal deadline with an April 8 target.</w:t>
      </w:r>
    </w:p>
    <w:p>
      <w:pPr>
        <w:pStyle w:val="Heading3"/>
      </w:pPr>
      <w:r>
        <w:rPr>
          <w:color w:val="1F2A44"/>
        </w:rPr>
        <w:t>Issue 7 — Several obligations were triggered before the first quarter-end and are due (or past due) before this matrix can be calendared</w:t>
      </w:r>
    </w:p>
    <w:p>
      <w:pPr>
        <w:spacing w:after="40"/>
      </w:pPr>
      <w:r>
        <w:rPr>
          <w:b/>
          <w:i w:val="0"/>
          <w:sz w:val="18"/>
        </w:rPr>
        <w:t>Severity:</w:t>
      </w:r>
      <w:r>
        <w:rPr>
          <w:b w:val="0"/>
          <w:i w:val="0"/>
          <w:sz w:val="18"/>
        </w:rPr>
        <w:t xml:space="preserve"> Critical   |   </w:t>
      </w:r>
      <w:r>
        <w:rPr>
          <w:b/>
          <w:i w:val="0"/>
          <w:sz w:val="18"/>
        </w:rPr>
        <w:t>Category:</w:t>
      </w:r>
      <w:r>
        <w:rPr>
          <w:b w:val="0"/>
          <w:i w:val="0"/>
          <w:sz w:val="18"/>
        </w:rPr>
        <w:t xml:space="preserve"> Immediate deadlines   |   </w:t>
      </w:r>
      <w:r>
        <w:rPr>
          <w:b/>
          <w:i w:val="0"/>
          <w:sz w:val="18"/>
        </w:rPr>
        <w:t>References:</w:t>
      </w:r>
      <w:r>
        <w:rPr>
          <w:b w:val="0"/>
          <w:i w:val="0"/>
          <w:sz w:val="18"/>
        </w:rPr>
        <w:t xml:space="preserve"> §7.6(a); Ex. D §5(a); §7.7; §8.4(d)</w:t>
      </w:r>
    </w:p>
    <w:p>
      <w:pPr>
        <w:spacing w:after="40"/>
      </w:pPr>
      <w:r>
        <w:rPr>
          <w:b/>
          <w:i w:val="0"/>
          <w:sz w:val="18"/>
        </w:rPr>
        <w:t>Analysis.</w:t>
      </w:r>
      <w:r>
        <w:rPr>
          <w:b w:val="0"/>
          <w:i w:val="0"/>
          <w:sz w:val="18"/>
        </w:rPr>
        <w:t xml:space="preserve"> The compliance calendar cannot start at Dec 31, 2024. Already running: (i) LPAC monthly portfolio summary for October 2024 — due Sat Nov 30, 2024 (Thanksgiving weekend); November 2024 — due Mon Dec 30, 2024; (ii) Sovereign monthly NAV for October — due Wed Nov 20, 2024; November — due Fri Dec 20, 2024; (iii) Investor Portal credentials for First Close LPs — due Oct 15/16, 2024 (10 Business Days after Oct 1); (iv) Form D — due Wed Oct 16, 2024 (15 calendar days after first sale), with state notice filings. Any subsequent closing before Final Close restarts items (iii) and (iv) and requires BPI/3(c)(7) testing.</w:t>
      </w:r>
    </w:p>
    <w:p>
      <w:pPr>
        <w:spacing w:after="120"/>
      </w:pPr>
      <w:r>
        <w:rPr>
          <w:b/>
          <w:i w:val="0"/>
          <w:sz w:val="18"/>
        </w:rPr>
        <w:t>Recommendation.</w:t>
      </w:r>
      <w:r>
        <w:rPr>
          <w:b w:val="0"/>
          <w:i w:val="0"/>
          <w:sz w:val="18"/>
        </w:rPr>
        <w:t xml:space="preserve"> Confirm immediately (a) that the October LPAC report and Sovereign estimate were sent (if not, send now with a short cover note); (b) Portal credential dates for every First Close LP; (c) Form D and blue sky filings. Agree the LPAC monthly template with the LPAC before the November report goes out.</w:t>
      </w:r>
    </w:p>
    <w:p>
      <w:pPr>
        <w:pStyle w:val="Heading3"/>
      </w:pPr>
      <w:r>
        <w:rPr>
          <w:color w:val="1F2A44"/>
        </w:rPr>
        <w:t>Issue 8 — Apex placement agent certificates reference ‘representations regarding placement agents and political contributions’ that do not appear in the IAA</w:t>
      </w:r>
    </w:p>
    <w:p>
      <w:pPr>
        <w:spacing w:after="40"/>
      </w:pPr>
      <w:r>
        <w:rPr>
          <w:b/>
          <w:i w:val="0"/>
          <w:sz w:val="18"/>
        </w:rPr>
        <w:t>Severity:</w:t>
      </w:r>
      <w:r>
        <w:rPr>
          <w:b w:val="0"/>
          <w:i w:val="0"/>
          <w:sz w:val="18"/>
        </w:rPr>
        <w:t xml:space="preserve"> High   |   </w:t>
      </w:r>
      <w:r>
        <w:rPr>
          <w:b/>
          <w:i w:val="0"/>
          <w:sz w:val="18"/>
        </w:rPr>
        <w:t>Category:</w:t>
      </w:r>
      <w:r>
        <w:rPr>
          <w:b w:val="0"/>
          <w:i w:val="0"/>
          <w:sz w:val="18"/>
        </w:rPr>
        <w:t xml:space="preserve"> Undefined term / substance   |   </w:t>
      </w:r>
      <w:r>
        <w:rPr>
          <w:b/>
          <w:i w:val="0"/>
          <w:sz w:val="18"/>
        </w:rPr>
        <w:t>References:</w:t>
      </w:r>
      <w:r>
        <w:rPr>
          <w:b w:val="0"/>
          <w:i w:val="0"/>
          <w:sz w:val="18"/>
        </w:rPr>
        <w:t xml:space="preserve"> Ex. D §8(a); Rule 206(4)-5</w:t>
      </w:r>
    </w:p>
    <w:p>
      <w:pPr>
        <w:spacing w:after="40"/>
      </w:pPr>
      <w:r>
        <w:rPr>
          <w:b/>
          <w:i w:val="0"/>
          <w:sz w:val="18"/>
        </w:rPr>
        <w:t>Analysis.</w:t>
      </w:r>
      <w:r>
        <w:rPr>
          <w:b w:val="0"/>
          <w:i w:val="0"/>
          <w:sz w:val="18"/>
        </w:rPr>
        <w:t xml:space="preserve"> Ex. D §8(a) requires quarterly certificates within 30 calendar days (first: Thu Jan 30, 2025) certifying compliance ‘with the Adviser’s representations regarding placement agents and political contributions’. No such representations appear in the IAA (Article 10 is silent); they are presumably in the Apex Side Letter, its subscription documents or a state-mandated disclosure form, which we have not reviewed. That Whitecap used no placement agent does not eliminate the obligation: the certificate becomes a negative certification. Substantively it should address (i) no placement agent, finder or third-party solicitor was used or compensated in connection with Apex’s investment; (ii) no fees were paid or promised to any person for soliciting Apex; (iii) compliance with Rule 206(4)-5 (pay-to-play), including that no covered associate made political contributions to officials of the government entity that would trigger the two-year time-out, and that the Adviser has not solicited or coordinated contributions; and (iv) any Apex/state-specific statutory disclosure requirements. It is unclear whether the certificate covers the Adviser only or also the GP and covered associates; the form must be ‘reasonably acceptable’ to Apex.</w:t>
      </w:r>
    </w:p>
    <w:p>
      <w:pPr>
        <w:spacing w:after="120"/>
      </w:pPr>
      <w:r>
        <w:rPr>
          <w:b/>
          <w:i w:val="0"/>
          <w:sz w:val="18"/>
        </w:rPr>
        <w:t>Recommendation.</w:t>
      </w:r>
      <w:r>
        <w:rPr>
          <w:b w:val="0"/>
          <w:i w:val="0"/>
          <w:sz w:val="18"/>
        </w:rPr>
        <w:t xml:space="preserve"> Obtain the executed Apex Side Letter and any Apex placement agent policy/disclosure form; draft a certificate template and pre-clear it with Apex’s investment office in December 2024; implement quarterly pre-clearance attestations from covered associates. Respond to Apex in the terms suggested in Part VIII.</w:t>
      </w:r>
    </w:p>
    <w:p>
      <w:pPr>
        <w:pStyle w:val="Heading3"/>
      </w:pPr>
      <w:r>
        <w:rPr>
          <w:color w:val="1F2A44"/>
        </w:rPr>
        <w:t>Issue 9 — Exhibit D is expressly not a complete summary — the actual Side Letters control and may contain further reporting obligations</w:t>
      </w:r>
    </w:p>
    <w:p>
      <w:pPr>
        <w:spacing w:after="40"/>
      </w:pPr>
      <w:r>
        <w:rPr>
          <w:b/>
          <w:i w:val="0"/>
          <w:sz w:val="18"/>
        </w:rPr>
        <w:t>Severity:</w:t>
      </w:r>
      <w:r>
        <w:rPr>
          <w:b w:val="0"/>
          <w:i w:val="0"/>
          <w:sz w:val="18"/>
        </w:rPr>
        <w:t xml:space="preserve"> High   |   </w:t>
      </w:r>
      <w:r>
        <w:rPr>
          <w:b/>
          <w:i w:val="0"/>
          <w:sz w:val="18"/>
        </w:rPr>
        <w:t>Category:</w:t>
      </w:r>
      <w:r>
        <w:rPr>
          <w:b w:val="0"/>
          <w:i w:val="0"/>
          <w:sz w:val="18"/>
        </w:rPr>
        <w:t xml:space="preserve"> Completeness   |   </w:t>
      </w:r>
      <w:r>
        <w:rPr>
          <w:b/>
          <w:i w:val="0"/>
          <w:sz w:val="18"/>
        </w:rPr>
        <w:t>References:</w:t>
      </w:r>
      <w:r>
        <w:rPr>
          <w:b w:val="0"/>
          <w:i w:val="0"/>
          <w:sz w:val="18"/>
        </w:rPr>
        <w:t xml:space="preserve"> Ex. D §1; §12.7; §12.9</w:t>
      </w:r>
    </w:p>
    <w:p>
      <w:pPr>
        <w:spacing w:after="40"/>
      </w:pPr>
      <w:r>
        <w:rPr>
          <w:b/>
          <w:i w:val="0"/>
          <w:sz w:val="18"/>
        </w:rPr>
        <w:t>Analysis.</w:t>
      </w:r>
      <w:r>
        <w:rPr>
          <w:b w:val="0"/>
          <w:i w:val="0"/>
          <w:sz w:val="18"/>
        </w:rPr>
        <w:t xml:space="preserve"> Ex. D §1 states it ‘does not purport to be a complete summary of all Side Letter provisions and is qualified in its entirety by reference to the actual Side Letters’. §12.7 folds ‘any Side Letters’ into the entire agreement, and §12.9 gives Exhibit D precedence only where it ‘expressly modifies’ the IAA. This matrix therefore captures the IAA and Exhibit D only; any additional reporting, format, delivery or notice rights in executed Side Letters (and any granted between First Close and Final Close) are not yet reflected. LPAC members other than Sovereign and Apex are stated to have no enhanced reporting (Ex. D §9), but non-LPAC investors’ Side Letters are not summarized at all.</w:t>
      </w:r>
    </w:p>
    <w:p>
      <w:pPr>
        <w:spacing w:after="120"/>
      </w:pPr>
      <w:r>
        <w:rPr>
          <w:b/>
          <w:i w:val="0"/>
          <w:sz w:val="18"/>
        </w:rPr>
        <w:t>Recommendation.</w:t>
      </w:r>
      <w:r>
        <w:rPr>
          <w:b w:val="0"/>
          <w:i w:val="0"/>
          <w:sz w:val="18"/>
        </w:rPr>
        <w:t xml:space="preserve"> Provide all executed Side Letters (and the Side Letter log) for a supplemental review; we will add any further obligations to this matrix before the Q4 cycle. Maintain a Side Letter obligations register going forward.</w:t>
      </w:r>
    </w:p>
    <w:p>
      <w:pPr>
        <w:pStyle w:val="Heading3"/>
      </w:pPr>
      <w:r>
        <w:rPr>
          <w:color w:val="1F2A44"/>
        </w:rPr>
        <w:t>Issue 10 — Annual report must both ‘accompany the meeting notice’ (≥30 calendar days before the meeting) and be delivered ‘no later than 15 Business Days’ before it</w:t>
      </w:r>
    </w:p>
    <w:p>
      <w:pPr>
        <w:spacing w:after="40"/>
      </w:pPr>
      <w:r>
        <w:rPr>
          <w:b/>
          <w:i w:val="0"/>
          <w:sz w:val="18"/>
        </w:rPr>
        <w:t>Severity:</w:t>
      </w:r>
      <w:r>
        <w:rPr>
          <w:b w:val="0"/>
          <w:i w:val="0"/>
          <w:sz w:val="18"/>
        </w:rPr>
        <w:t xml:space="preserve"> Medium   |   </w:t>
      </w:r>
      <w:r>
        <w:rPr>
          <w:b/>
          <w:i w:val="0"/>
          <w:sz w:val="18"/>
        </w:rPr>
        <w:t>Category:</w:t>
      </w:r>
      <w:r>
        <w:rPr>
          <w:b w:val="0"/>
          <w:i w:val="0"/>
          <w:sz w:val="18"/>
        </w:rPr>
        <w:t xml:space="preserve"> Internal inconsistency   |   </w:t>
      </w:r>
      <w:r>
        <w:rPr>
          <w:b/>
          <w:i w:val="0"/>
          <w:sz w:val="18"/>
        </w:rPr>
        <w:t>References:</w:t>
      </w:r>
      <w:r>
        <w:rPr>
          <w:b w:val="0"/>
          <w:i w:val="0"/>
          <w:sz w:val="18"/>
        </w:rPr>
        <w:t xml:space="preserve"> §7.3</w:t>
      </w:r>
    </w:p>
    <w:p>
      <w:pPr>
        <w:spacing w:after="40"/>
      </w:pPr>
      <w:r>
        <w:rPr>
          <w:b/>
          <w:i w:val="0"/>
          <w:sz w:val="18"/>
        </w:rPr>
        <w:t>Analysis.</w:t>
      </w:r>
      <w:r>
        <w:rPr>
          <w:b w:val="0"/>
          <w:i w:val="0"/>
          <w:sz w:val="18"/>
        </w:rPr>
        <w:t xml:space="preserve"> The two timing rules in §7.3 are not coextensive: the notice must go out at least 30 calendar days before the meeting, and the annual report must accompany it, yet a separate outside date of 15 Business Days (about 21 calendar days) is also stated. Read together, the stricter ‘accompany the notice’ requirement governs; the 15-Business-Day test is only a backstop if the meeting is rescheduled. For FY2024, a meeting on Fri Jun 27, 2025 requires notice and annual report by Wed May 28, 2025. The annual report also requires full-year performance metrics and an ESG report, which compete with the April audit and K-1 workload.</w:t>
      </w:r>
    </w:p>
    <w:p>
      <w:pPr>
        <w:spacing w:after="120"/>
      </w:pPr>
      <w:r>
        <w:rPr>
          <w:b/>
          <w:i w:val="0"/>
          <w:sz w:val="18"/>
        </w:rPr>
        <w:t>Recommendation.</w:t>
      </w:r>
      <w:r>
        <w:rPr>
          <w:b w:val="0"/>
          <w:i w:val="0"/>
          <w:sz w:val="18"/>
        </w:rPr>
        <w:t xml:space="preserve"> Calendar the annual report with the notice (target mid-May 2025). Clarify in the LPAC memorandum that the report will accompany the notice. Consider holding the meeting earlier (e.g., early June) to free up the end-June window.</w:t>
      </w:r>
    </w:p>
    <w:p>
      <w:pPr>
        <w:pStyle w:val="Heading3"/>
      </w:pPr>
      <w:r>
        <w:rPr>
          <w:color w:val="1F2A44"/>
        </w:rPr>
        <w:t>Issue 11 — Form ADV Part 2A: 5-Business-Day notice of ‘any amendment’ vs. annual delivery within 120 days ‘or promptly upon any material amendment, whichever is earlier’</w:t>
      </w:r>
    </w:p>
    <w:p>
      <w:pPr>
        <w:spacing w:after="40"/>
      </w:pPr>
      <w:r>
        <w:rPr>
          <w:b/>
          <w:i w:val="0"/>
          <w:sz w:val="18"/>
        </w:rPr>
        <w:t>Severity:</w:t>
      </w:r>
      <w:r>
        <w:rPr>
          <w:b w:val="0"/>
          <w:i w:val="0"/>
          <w:sz w:val="18"/>
        </w:rPr>
        <w:t xml:space="preserve"> Medium   |   </w:t>
      </w:r>
      <w:r>
        <w:rPr>
          <w:b/>
          <w:i w:val="0"/>
          <w:sz w:val="18"/>
        </w:rPr>
        <w:t>Category:</w:t>
      </w:r>
      <w:r>
        <w:rPr>
          <w:b w:val="0"/>
          <w:i w:val="0"/>
          <w:sz w:val="18"/>
        </w:rPr>
        <w:t xml:space="preserve"> Overlapping / internally inconsistent provisions   |   </w:t>
      </w:r>
      <w:r>
        <w:rPr>
          <w:b/>
          <w:i w:val="0"/>
          <w:sz w:val="18"/>
        </w:rPr>
        <w:t>References:</w:t>
      </w:r>
      <w:r>
        <w:rPr>
          <w:b w:val="0"/>
          <w:i w:val="0"/>
          <w:sz w:val="18"/>
        </w:rPr>
        <w:t xml:space="preserve"> §8.4(b) vs. §8.4(c); Rule 204-3</w:t>
      </w:r>
    </w:p>
    <w:p>
      <w:pPr>
        <w:spacing w:after="40"/>
      </w:pPr>
      <w:r>
        <w:rPr>
          <w:b/>
          <w:i w:val="0"/>
          <w:sz w:val="18"/>
        </w:rPr>
        <w:t>Analysis.</w:t>
      </w:r>
      <w:r>
        <w:rPr>
          <w:b w:val="0"/>
          <w:i w:val="0"/>
          <w:sz w:val="18"/>
        </w:rPr>
        <w:t xml:space="preserve"> §8.4(b) requires notice within 5 Business Days of any Brochure amendment (material or not); §8.4(c) requires annual delivery within 120 days of Fiscal Year-end (day-count basis unstated) or ‘promptly’ upon material amendment, ‘whichever is earlier’. Because the Adviser’s annual updating amendment must be filed within 90 days of its fiscal year-end, §8.4(b) will in practice require delivery within 5 Business Days of that filing (Mon Apr 7, 2025 if filed Mar 31), making the 120-day outside date in §8.4(c) largely illusory and ‘promptly’ superseded by the 5-Business-Day rule. §8.4(c) also measures from the Fund’s Fiscal Year rather than the Adviser’s (Rule 204-3 runs from the adviser’s fiscal year-end). Delivery methods differ (§8.4(c) specifies Portal or e-mail; §8.4(b) is silent).</w:t>
      </w:r>
    </w:p>
    <w:p>
      <w:pPr>
        <w:spacing w:after="120"/>
      </w:pPr>
      <w:r>
        <w:rPr>
          <w:b/>
          <w:i w:val="0"/>
          <w:sz w:val="18"/>
        </w:rPr>
        <w:t>Recommendation.</w:t>
      </w:r>
      <w:r>
        <w:rPr>
          <w:b w:val="0"/>
          <w:i w:val="0"/>
          <w:sz w:val="18"/>
        </w:rPr>
        <w:t xml:space="preserve"> Operate to the strictest reading: deliver the amended Brochure (or summary of material changes) via Portal and e-mail within 5 Business Days of every filing, including other-than-annual amendments. Confirm the Adviser’s fiscal year-end. Address via conforming clarification.</w:t>
      </w:r>
    </w:p>
    <w:p>
      <w:pPr>
        <w:pStyle w:val="Heading3"/>
      </w:pPr>
      <w:r>
        <w:rPr>
          <w:color w:val="1F2A44"/>
        </w:rPr>
        <w:t>Issue 12 — Overlapping event-notice provisions with different recipients, clocks and triggers; Administrator cyber incidents</w:t>
      </w:r>
    </w:p>
    <w:p>
      <w:pPr>
        <w:spacing w:after="40"/>
      </w:pPr>
      <w:r>
        <w:rPr>
          <w:b/>
          <w:i w:val="0"/>
          <w:sz w:val="18"/>
        </w:rPr>
        <w:t>Severity:</w:t>
      </w:r>
      <w:r>
        <w:rPr>
          <w:b w:val="0"/>
          <w:i w:val="0"/>
          <w:sz w:val="18"/>
        </w:rPr>
        <w:t xml:space="preserve"> Medium   |   </w:t>
      </w:r>
      <w:r>
        <w:rPr>
          <w:b/>
          <w:i w:val="0"/>
          <w:sz w:val="18"/>
        </w:rPr>
        <w:t>Category:</w:t>
      </w:r>
      <w:r>
        <w:rPr>
          <w:b w:val="0"/>
          <w:i w:val="0"/>
          <w:sz w:val="18"/>
        </w:rPr>
        <w:t xml:space="preserve"> Overlapping triggers / Administrator dependency   |   </w:t>
      </w:r>
      <w:r>
        <w:rPr>
          <w:b/>
          <w:i w:val="0"/>
          <w:sz w:val="18"/>
        </w:rPr>
        <w:t>References:</w:t>
      </w:r>
      <w:r>
        <w:rPr>
          <w:b w:val="0"/>
          <w:i w:val="0"/>
          <w:sz w:val="18"/>
        </w:rPr>
        <w:t xml:space="preserve"> §8.3; §8.1(f); Art. 6; §9.4; SLA §5</w:t>
      </w:r>
    </w:p>
    <w:p>
      <w:pPr>
        <w:spacing w:after="40"/>
      </w:pPr>
      <w:r>
        <w:rPr>
          <w:b/>
          <w:i w:val="0"/>
          <w:sz w:val="18"/>
        </w:rPr>
        <w:t>Analysis.</w:t>
      </w:r>
      <w:r>
        <w:rPr>
          <w:b w:val="0"/>
          <w:i w:val="0"/>
          <w:sz w:val="18"/>
        </w:rPr>
        <w:t xml:space="preserve"> The same event can trigger several notices: an Adviser financial deterioration triggers ‘prompt’ notice to the Fund and LPAC (§8.1(f)) and 10-Business-Day notice to all LPs (§8.3(a)); misappropriation triggers ‘prompt’ LPAC notice (Art. 6) and potentially §8.3(c) or (e). ‘Promptly’ is undefined and may be read as shorter than 10 Business Days. §8.3’s clock runs from ‘occurrence’, not discovery, and §8.3(e) covers cybersecurity incidents affecting the Administrator — but the Pinnacle SLA contains no incident-notification commitment, so the Adviser could be in breach before it knows of the incident. §8.3 requires BOTH e-mail and Portal posting; posting alone is insufficient. ‘Material’ is undefined throughout.</w:t>
      </w:r>
    </w:p>
    <w:p>
      <w:pPr>
        <w:spacing w:after="120"/>
      </w:pPr>
      <w:r>
        <w:rPr>
          <w:b/>
          <w:i w:val="0"/>
          <w:sz w:val="18"/>
        </w:rPr>
        <w:t>Recommendation.</w:t>
      </w:r>
      <w:r>
        <w:rPr>
          <w:b w:val="0"/>
          <w:i w:val="0"/>
          <w:sz w:val="18"/>
        </w:rPr>
        <w:t xml:space="preserve"> Adopt an internal escalation procedure: LPAC notified within 2 Business Days of any §8.3 event, all LPs within 10 Business Days, both channels. Seek a contractual incident-notice covenant from Pinnacle (e.g., 48 hours) in the Services Agreement. Consider clarifying §8.3 to run from the Adviser’s knowledge.</w:t>
      </w:r>
    </w:p>
    <w:p>
      <w:pPr>
        <w:pStyle w:val="Heading3"/>
      </w:pPr>
      <w:r>
        <w:rPr>
          <w:color w:val="1F2A44"/>
        </w:rPr>
        <w:t>Issue 13 — Concentration limit: ‘prior notification’ language vs. 5-Business-Day post-investment notice; denominator moves with closings</w:t>
      </w:r>
    </w:p>
    <w:p>
      <w:pPr>
        <w:spacing w:after="40"/>
      </w:pPr>
      <w:r>
        <w:rPr>
          <w:b/>
          <w:i w:val="0"/>
          <w:sz w:val="18"/>
        </w:rPr>
        <w:t>Severity:</w:t>
      </w:r>
      <w:r>
        <w:rPr>
          <w:b w:val="0"/>
          <w:i w:val="0"/>
          <w:sz w:val="18"/>
        </w:rPr>
        <w:t xml:space="preserve"> Medium   |   </w:t>
      </w:r>
      <w:r>
        <w:rPr>
          <w:b/>
          <w:i w:val="0"/>
          <w:sz w:val="18"/>
        </w:rPr>
        <w:t>Category:</w:t>
      </w:r>
      <w:r>
        <w:rPr>
          <w:b w:val="0"/>
          <w:i w:val="0"/>
          <w:sz w:val="18"/>
        </w:rPr>
        <w:t xml:space="preserve"> Internal inconsistency / moving threshold   |   </w:t>
      </w:r>
      <w:r>
        <w:rPr>
          <w:b/>
          <w:i w:val="0"/>
          <w:sz w:val="18"/>
        </w:rPr>
        <w:t>References:</w:t>
      </w:r>
      <w:r>
        <w:rPr>
          <w:b w:val="0"/>
          <w:i w:val="0"/>
          <w:sz w:val="18"/>
        </w:rPr>
        <w:t xml:space="preserve"> Ex. C §6; Ex. C §5; §8.3(d)</w:t>
      </w:r>
    </w:p>
    <w:p>
      <w:pPr>
        <w:spacing w:after="40"/>
      </w:pPr>
      <w:r>
        <w:rPr>
          <w:b/>
          <w:i w:val="0"/>
          <w:sz w:val="18"/>
        </w:rPr>
        <w:t>Analysis.</w:t>
      </w:r>
      <w:r>
        <w:rPr>
          <w:b w:val="0"/>
          <w:i w:val="0"/>
          <w:sz w:val="18"/>
        </w:rPr>
        <w:t xml:space="preserve"> The lead-in to Ex. C §6 says no investment shall exceed 15% of Total Commitments ‘without the prior notification of the LPAC’, but clause (a) permits notice within 5 Business Days after the investment is made and the final sentence confirms no prior approval is needed. ‘Total Commitments’ grows with each closing: the threshold is $61.8 million at $412 million, below the $75 million top of the Ex. C §5 target size range, rising to $112.5 million at $750 million. It is unclear whether the test is measured at the time of investment (as for other Ex. C limits) and whether follow-ons aggregate (Ex. C §5 suggests they do). No deadline applies to the investment memorandum.</w:t>
      </w:r>
    </w:p>
    <w:p>
      <w:pPr>
        <w:spacing w:after="120"/>
      </w:pPr>
      <w:r>
        <w:rPr>
          <w:b/>
          <w:i w:val="0"/>
          <w:sz w:val="18"/>
        </w:rPr>
        <w:t>Recommendation.</w:t>
      </w:r>
      <w:r>
        <w:rPr>
          <w:b w:val="0"/>
          <w:i w:val="0"/>
          <w:sz w:val="18"/>
        </w:rPr>
        <w:t xml:space="preserve"> Give notice before closing wherever practicable (satisfying both readings) and in no event later than 5 Business Days after funding, with the memorandum delivered simultaneously. Clarify measurement date and aggregation in the LPAC memorandum.</w:t>
      </w:r>
    </w:p>
    <w:p>
      <w:pPr>
        <w:pStyle w:val="Heading3"/>
      </w:pPr>
      <w:r>
        <w:rPr>
          <w:color w:val="1F2A44"/>
        </w:rPr>
        <w:t>Issue 14 — No weekend/holiday roll convention for calendar-day deadlines; Portal upload lead time</w:t>
      </w:r>
    </w:p>
    <w:p>
      <w:pPr>
        <w:spacing w:after="40"/>
      </w:pPr>
      <w:r>
        <w:rPr>
          <w:b/>
          <w:i w:val="0"/>
          <w:sz w:val="18"/>
        </w:rPr>
        <w:t>Severity:</w:t>
      </w:r>
      <w:r>
        <w:rPr>
          <w:b w:val="0"/>
          <w:i w:val="0"/>
          <w:sz w:val="18"/>
        </w:rPr>
        <w:t xml:space="preserve"> Medium   |   </w:t>
      </w:r>
      <w:r>
        <w:rPr>
          <w:b/>
          <w:i w:val="0"/>
          <w:sz w:val="18"/>
        </w:rPr>
        <w:t>Category:</w:t>
      </w:r>
      <w:r>
        <w:rPr>
          <w:b w:val="0"/>
          <w:i w:val="0"/>
          <w:sz w:val="18"/>
        </w:rPr>
        <w:t xml:space="preserve"> Calendar convention   |   </w:t>
      </w:r>
      <w:r>
        <w:rPr>
          <w:b/>
          <w:i w:val="0"/>
          <w:sz w:val="18"/>
        </w:rPr>
        <w:t>References:</w:t>
      </w:r>
      <w:r>
        <w:rPr>
          <w:b w:val="0"/>
          <w:i w:val="0"/>
          <w:sz w:val="18"/>
        </w:rPr>
        <w:t xml:space="preserve"> §§7.1, 7.2, 7.6, 9.2, 9.5; Ex. D; SLA §5</w:t>
      </w:r>
    </w:p>
    <w:p>
      <w:pPr>
        <w:spacing w:after="40"/>
      </w:pPr>
      <w:r>
        <w:rPr>
          <w:b/>
          <w:i w:val="0"/>
          <w:sz w:val="18"/>
        </w:rPr>
        <w:t>Analysis.</w:t>
      </w:r>
      <w:r>
        <w:rPr>
          <w:b w:val="0"/>
          <w:i w:val="0"/>
          <w:sz w:val="18"/>
        </w:rPr>
        <w:t xml:space="preserve"> The IAA counts most deadlines in calendar days without stating what happens when the last day falls on a weekend or holiday. Several FY2024 dates do: §7.1 and Ex. D §5(b) (Sat Mar 1, 2025), K-1 target (Sat Mar 15), Sovereign December NAV (Mon Jan 20, MLK Day), annual meeting outside date (Sun Jun 29), LPAC October report (Sat Nov 30). Absent a convention, the conservative assumption is that the deadline is not extended. In addition, Pinnacle uploads Adviser-approved documents within 2 Business Days of receipt, so final documents must reach Pinnacle at least 2 Business Days before every Portal deadline.</w:t>
      </w:r>
    </w:p>
    <w:p>
      <w:pPr>
        <w:spacing w:after="120"/>
      </w:pPr>
      <w:r>
        <w:rPr>
          <w:b/>
          <w:i w:val="0"/>
          <w:sz w:val="18"/>
        </w:rPr>
        <w:t>Recommendation.</w:t>
      </w:r>
      <w:r>
        <w:rPr>
          <w:b w:val="0"/>
          <w:i w:val="0"/>
          <w:sz w:val="18"/>
        </w:rPr>
        <w:t xml:space="preserve"> Calendar every deadline to the preceding Business Day and build a 2-Business-Day Pinnacle upload buffer (or deliver by e-mail in parallel). Add a business-day convention in the conforming amendment.</w:t>
      </w:r>
    </w:p>
    <w:p>
      <w:pPr>
        <w:pStyle w:val="Heading3"/>
      </w:pPr>
      <w:r>
        <w:rPr>
          <w:color w:val="1F2A44"/>
        </w:rPr>
        <w:t>Issue 15 — ‘Business Day’ ambiguity for Federal Reserve holidays on which many Denver banks open</w:t>
      </w:r>
    </w:p>
    <w:p>
      <w:pPr>
        <w:spacing w:after="40"/>
      </w:pPr>
      <w:r>
        <w:rPr>
          <w:b/>
          <w:i w:val="0"/>
          <w:sz w:val="18"/>
        </w:rPr>
        <w:t>Severity:</w:t>
      </w:r>
      <w:r>
        <w:rPr>
          <w:b w:val="0"/>
          <w:i w:val="0"/>
          <w:sz w:val="18"/>
        </w:rPr>
        <w:t xml:space="preserve"> Low   |   </w:t>
      </w:r>
      <w:r>
        <w:rPr>
          <w:b/>
          <w:i w:val="0"/>
          <w:sz w:val="18"/>
        </w:rPr>
        <w:t>Category:</w:t>
      </w:r>
      <w:r>
        <w:rPr>
          <w:b w:val="0"/>
          <w:i w:val="0"/>
          <w:sz w:val="18"/>
        </w:rPr>
        <w:t xml:space="preserve"> Definition   |   </w:t>
      </w:r>
      <w:r>
        <w:rPr>
          <w:b/>
          <w:i w:val="0"/>
          <w:sz w:val="18"/>
        </w:rPr>
        <w:t>References:</w:t>
      </w:r>
      <w:r>
        <w:rPr>
          <w:b w:val="0"/>
          <w:i w:val="0"/>
          <w:sz w:val="18"/>
        </w:rPr>
        <w:t xml:space="preserve"> §1.1 ‘Business Day’; §7.7</w:t>
      </w:r>
    </w:p>
    <w:p>
      <w:pPr>
        <w:spacing w:after="40"/>
      </w:pPr>
      <w:r>
        <w:rPr>
          <w:b/>
          <w:i w:val="0"/>
          <w:sz w:val="18"/>
        </w:rPr>
        <w:t>Analysis.</w:t>
      </w:r>
      <w:r>
        <w:rPr>
          <w:b w:val="0"/>
          <w:i w:val="0"/>
          <w:sz w:val="18"/>
        </w:rPr>
        <w:t xml:space="preserve"> Business Day excludes days on which Denver commercial banks are ‘authorized or required by law to be closed’. Banks are generally authorized to close on Federal Reserve holidays such as Columbus Day and Veterans Day even though many open. This affects 5- and 10-Business-Day deadlines (e.g., First Close Portal credentials: Tue Oct 15 vs. Wed Oct 16, 2024). Pinnacle needs 3 Business Days after receipt of completed onboarding documentation to activate Portal accounts, so the Adviser must transmit onboarding packages within about 7 Business Days of each admission to meet §7.7.</w:t>
      </w:r>
    </w:p>
    <w:p>
      <w:pPr>
        <w:spacing w:after="120"/>
      </w:pPr>
      <w:r>
        <w:rPr>
          <w:b/>
          <w:i w:val="0"/>
          <w:sz w:val="18"/>
        </w:rPr>
        <w:t>Recommendation.</w:t>
      </w:r>
      <w:r>
        <w:rPr>
          <w:b w:val="0"/>
          <w:i w:val="0"/>
          <w:sz w:val="18"/>
        </w:rPr>
        <w:t xml:space="preserve"> Treat ambiguous days as Business Days for deadline purposes (the conservative choice). Hand onboarding packages to Pinnacle on the closing date for each subsequent closing.</w:t>
      </w:r>
    </w:p>
    <w:p>
      <w:pPr>
        <w:pStyle w:val="Heading3"/>
      </w:pPr>
      <w:r>
        <w:rPr>
          <w:color w:val="1F2A44"/>
        </w:rPr>
        <w:t>Issue 16 — Terms used in reporting provisions that are undefined or defined only in exhibits</w:t>
      </w:r>
    </w:p>
    <w:p>
      <w:pPr>
        <w:spacing w:after="40"/>
      </w:pPr>
      <w:r>
        <w:rPr>
          <w:b/>
          <w:i w:val="0"/>
          <w:sz w:val="18"/>
        </w:rPr>
        <w:t>Severity:</w:t>
      </w:r>
      <w:r>
        <w:rPr>
          <w:b w:val="0"/>
          <w:i w:val="0"/>
          <w:sz w:val="18"/>
        </w:rPr>
        <w:t xml:space="preserve"> Low   |   </w:t>
      </w:r>
      <w:r>
        <w:rPr>
          <w:b/>
          <w:i w:val="0"/>
          <w:sz w:val="18"/>
        </w:rPr>
        <w:t>Category:</w:t>
      </w:r>
      <w:r>
        <w:rPr>
          <w:b w:val="0"/>
          <w:i w:val="0"/>
          <w:sz w:val="18"/>
        </w:rPr>
        <w:t xml:space="preserve"> Undefined / inconsistent terms   |   </w:t>
      </w:r>
      <w:r>
        <w:rPr>
          <w:b/>
          <w:i w:val="0"/>
          <w:sz w:val="18"/>
        </w:rPr>
        <w:t>References:</w:t>
      </w:r>
      <w:r>
        <w:rPr>
          <w:b w:val="0"/>
          <w:i w:val="0"/>
          <w:sz w:val="18"/>
        </w:rPr>
        <w:t xml:space="preserve"> Various</w:t>
      </w:r>
    </w:p>
    <w:p>
      <w:pPr>
        <w:spacing w:after="40"/>
      </w:pPr>
      <w:r>
        <w:rPr>
          <w:b/>
          <w:i w:val="0"/>
          <w:sz w:val="18"/>
        </w:rPr>
        <w:t>Analysis.</w:t>
      </w:r>
      <w:r>
        <w:rPr>
          <w:b w:val="0"/>
          <w:i w:val="0"/>
          <w:sz w:val="18"/>
        </w:rPr>
        <w:t xml:space="preserve"> (i) ‘fiscal quarter’ (lowercase) is undefined — presumably calendar quarters given the Dec 31 Fiscal Year; (ii) ‘NAV’/‘net asset value’ (Ex. D §5; Ex. B §3(c)) undefined; (iii) ‘Level 3’ used in §7.6(b) but defined only in Ex. B §2(c); (iv) ‘material’ (conflict, breach, cybersecurity incident, compliance change, amendment) undefined; (v) ‘Benefit Plan Investor percentage’ and ‘class of equity interest’ (whether the GP interest is a class) not specified; (vi) ‘enhanced UBTI reporting’ (Ex. D §4) undefined; (vii) ‘tax-exempt entity’ defined differently in §7.5(b) and Ex. D §4; (viii) ‘the Adviser’s representations regarding placement agents and political contributions’ not found in the IAA; (ix) ‘Fund Expenses’ capitalized but undefined (§5.2(b)(i)); (x) ‘Freedom of Information Act’ (federal statute) used for a state pension’s public records obligations; (xi) ‘management letter’ and ‘reasonable time’ (§7.2).</w:t>
      </w:r>
    </w:p>
    <w:p>
      <w:pPr>
        <w:spacing w:after="120"/>
      </w:pPr>
      <w:r>
        <w:rPr>
          <w:b/>
          <w:i w:val="0"/>
          <w:sz w:val="18"/>
        </w:rPr>
        <w:t>Recommendation.</w:t>
      </w:r>
      <w:r>
        <w:rPr>
          <w:b w:val="0"/>
          <w:i w:val="0"/>
          <w:sz w:val="18"/>
        </w:rPr>
        <w:t xml:space="preserve"> Adopt working definitions in the compliance manual and include clarifications in the LPAC memorandum/conforming amendment.</w:t>
      </w:r>
    </w:p>
    <w:p>
      <w:pPr>
        <w:pStyle w:val="Heading3"/>
      </w:pPr>
      <w:r>
        <w:rPr>
          <w:color w:val="1F2A44"/>
        </w:rPr>
        <w:t>Issue 17 — Apex ‘FOIA’ certificate requires the Adviser to have identified everything delivered to Apex during the year that it considers confidential</w:t>
      </w:r>
    </w:p>
    <w:p>
      <w:pPr>
        <w:spacing w:after="40"/>
      </w:pPr>
      <w:r>
        <w:rPr>
          <w:b/>
          <w:i w:val="0"/>
          <w:sz w:val="18"/>
        </w:rPr>
        <w:t>Severity:</w:t>
      </w:r>
      <w:r>
        <w:rPr>
          <w:b w:val="0"/>
          <w:i w:val="0"/>
          <w:sz w:val="18"/>
        </w:rPr>
        <w:t xml:space="preserve"> Medium   |   </w:t>
      </w:r>
      <w:r>
        <w:rPr>
          <w:b/>
          <w:i w:val="0"/>
          <w:sz w:val="18"/>
        </w:rPr>
        <w:t>Category:</w:t>
      </w:r>
      <w:r>
        <w:rPr>
          <w:b w:val="0"/>
          <w:i w:val="0"/>
          <w:sz w:val="18"/>
        </w:rPr>
        <w:t xml:space="preserve"> Practical / undefined   |   </w:t>
      </w:r>
      <w:r>
        <w:rPr>
          <w:b/>
          <w:i w:val="0"/>
          <w:sz w:val="18"/>
        </w:rPr>
        <w:t>References:</w:t>
      </w:r>
      <w:r>
        <w:rPr>
          <w:b w:val="0"/>
          <w:i w:val="0"/>
          <w:sz w:val="18"/>
        </w:rPr>
        <w:t xml:space="preserve"> Ex. D §8(b); §8.2(c)</w:t>
      </w:r>
    </w:p>
    <w:p>
      <w:pPr>
        <w:spacing w:after="40"/>
      </w:pPr>
      <w:r>
        <w:rPr>
          <w:b/>
          <w:i w:val="0"/>
          <w:sz w:val="18"/>
        </w:rPr>
        <w:t>Analysis.</w:t>
      </w:r>
      <w:r>
        <w:rPr>
          <w:b w:val="0"/>
          <w:i w:val="0"/>
          <w:sz w:val="18"/>
        </w:rPr>
        <w:t xml:space="preserve"> The certificate (due Mon Mar 31, 2025) certifies that the Adviser ‘has identified all information provided to Apex’ in the Fiscal Year that it considers confidential or exempt. This is only possible with a contemporaneous log covering Portal postings, LPAC monthly and quarterly reports, conflict notices, annual meeting materials and ad hoc correspondence. Federal FOIA applies to federal agencies; Apex’s exposure is presumably under its state open-records statute, whose exemptions (often for trade secrets or alternative investment information) determine what can be protected. §8.2(c) already subordinates Apex’s confidentiality obligations to public records laws, so this matrix and any LPAC memorandum shared with Apex may itself become public.</w:t>
      </w:r>
    </w:p>
    <w:p>
      <w:pPr>
        <w:spacing w:after="120"/>
      </w:pPr>
      <w:r>
        <w:rPr>
          <w:b/>
          <w:i w:val="0"/>
          <w:sz w:val="18"/>
        </w:rPr>
        <w:t>Recommendation.</w:t>
      </w:r>
      <w:r>
        <w:rPr>
          <w:b w:val="0"/>
          <w:i w:val="0"/>
          <w:sz w:val="18"/>
        </w:rPr>
        <w:t xml:space="preserve"> Implement an Apex delivery log now (from Oct 1, 2024), mark documents ‘Confidential – Trade Secret/Proprietary’ at delivery, and identify the governing state statute. Draft the certificate template with the Apex investment office.</w:t>
      </w:r>
    </w:p>
    <w:p>
      <w:pPr>
        <w:pStyle w:val="Heading3"/>
      </w:pPr>
      <w:r>
        <w:rPr>
          <w:color w:val="1F2A44"/>
        </w:rPr>
        <w:t>Issue 18 — ERISA reporting: whether any Benefit Plan Investors exist; threshold-notice trigger; meaning of the annual certificate</w:t>
      </w:r>
    </w:p>
    <w:p>
      <w:pPr>
        <w:spacing w:after="40"/>
      </w:pPr>
      <w:r>
        <w:rPr>
          <w:b/>
          <w:i w:val="0"/>
          <w:sz w:val="18"/>
        </w:rPr>
        <w:t>Severity:</w:t>
      </w:r>
      <w:r>
        <w:rPr>
          <w:b w:val="0"/>
          <w:i w:val="0"/>
          <w:sz w:val="18"/>
        </w:rPr>
        <w:t xml:space="preserve"> Medium   |   </w:t>
      </w:r>
      <w:r>
        <w:rPr>
          <w:b/>
          <w:i w:val="0"/>
          <w:sz w:val="18"/>
        </w:rPr>
        <w:t>Category:</w:t>
      </w:r>
      <w:r>
        <w:rPr>
          <w:b w:val="0"/>
          <w:i w:val="0"/>
          <w:sz w:val="18"/>
        </w:rPr>
        <w:t xml:space="preserve"> ERISA substance / trigger   |   </w:t>
      </w:r>
      <w:r>
        <w:rPr>
          <w:b/>
          <w:i w:val="0"/>
          <w:sz w:val="18"/>
        </w:rPr>
        <w:t>References:</w:t>
      </w:r>
      <w:r>
        <w:rPr>
          <w:b w:val="0"/>
          <w:i w:val="0"/>
          <w:sz w:val="18"/>
        </w:rPr>
        <w:t xml:space="preserve"> §9.2(a)–(c); Ex. D §7</w:t>
      </w:r>
    </w:p>
    <w:p>
      <w:pPr>
        <w:spacing w:after="40"/>
      </w:pPr>
      <w:r>
        <w:rPr>
          <w:b/>
          <w:i w:val="0"/>
          <w:sz w:val="18"/>
        </w:rPr>
        <w:t>Analysis.</w:t>
      </w:r>
      <w:r>
        <w:rPr>
          <w:b w:val="0"/>
          <w:i w:val="0"/>
          <w:sz w:val="18"/>
        </w:rPr>
        <w:t xml:space="preserve"> The LPAC investors are a governmental plan (Apex — governmental plans are generally not Benefit Plan Investors), an endowment, a family office and an insurer. Sovereign may be a BPI to the extent its general or separate account assets include plan assets, which should be confirmed from its subscription documents. If there are no BPIs, it is unclear whether the quarterly calculation must still go to the LPAC (the obligation is framed ‘with respect to any Limited Partner that is a Benefit Plan Investor’ but the recipient list includes the LPAC); we recommend sending it regardless. The 25% test applies on each acquisition of interests, so each closing through Final Close is the relevant test point — a §9.2(b) notice within 10 Business Days after the Fund has already crossed 25% does not avoid plan-asset status. The trigger date (occurrence vs. identification) is unstated. The §9.2(c) certificate of ‘compliance with the applicable provisions of ERISA’ has little content if the Fund is not a plan-asset vehicle.</w:t>
      </w:r>
    </w:p>
    <w:p>
      <w:pPr>
        <w:spacing w:after="120"/>
      </w:pPr>
      <w:r>
        <w:rPr>
          <w:b/>
          <w:i w:val="0"/>
          <w:sz w:val="18"/>
        </w:rPr>
        <w:t>Recommendation.</w:t>
      </w:r>
      <w:r>
        <w:rPr>
          <w:b w:val="0"/>
          <w:i w:val="0"/>
          <w:sz w:val="18"/>
        </w:rPr>
        <w:t xml:space="preserve"> Confirm BPI status of every LP; run the 25% test before each subsequent closing and transfer; send the quarterly calculation to the LPAC in all events; draft the annual certificate to certify the Fund’s non-plan-asset status and BPI monitoring.</w:t>
      </w:r>
    </w:p>
    <w:p>
      <w:pPr>
        <w:pStyle w:val="Heading3"/>
      </w:pPr>
      <w:r>
        <w:rPr>
          <w:color w:val="1F2A44"/>
        </w:rPr>
        <w:t>Issue 19 — Initial Fiscal Year and launch-period issues</w:t>
      </w:r>
    </w:p>
    <w:p>
      <w:pPr>
        <w:spacing w:after="40"/>
      </w:pPr>
      <w:r>
        <w:rPr>
          <w:b/>
          <w:i w:val="0"/>
          <w:sz w:val="18"/>
        </w:rPr>
        <w:t>Severity:</w:t>
      </w:r>
      <w:r>
        <w:rPr>
          <w:b w:val="0"/>
          <w:i w:val="0"/>
          <w:sz w:val="18"/>
        </w:rPr>
        <w:t xml:space="preserve"> Medium   |   </w:t>
      </w:r>
      <w:r>
        <w:rPr>
          <w:b/>
          <w:i w:val="0"/>
          <w:sz w:val="18"/>
        </w:rPr>
        <w:t>Category:</w:t>
      </w:r>
      <w:r>
        <w:rPr>
          <w:b w:val="0"/>
          <w:i w:val="0"/>
          <w:sz w:val="18"/>
        </w:rPr>
        <w:t xml:space="preserve"> First-year anomalies / drafting   |   </w:t>
      </w:r>
      <w:r>
        <w:rPr>
          <w:b/>
          <w:i w:val="0"/>
          <w:sz w:val="18"/>
        </w:rPr>
        <w:t>References:</w:t>
      </w:r>
      <w:r>
        <w:rPr>
          <w:b w:val="0"/>
          <w:i w:val="0"/>
          <w:sz w:val="18"/>
        </w:rPr>
        <w:t xml:space="preserve"> §1.1 ‘Fiscal Year’; Recitals; §5.1(c); §7.3; Ex. B §5</w:t>
      </w:r>
    </w:p>
    <w:p>
      <w:pPr>
        <w:spacing w:after="40"/>
      </w:pPr>
      <w:r>
        <w:rPr>
          <w:b/>
          <w:i w:val="0"/>
          <w:sz w:val="18"/>
        </w:rPr>
        <w:t>Analysis.</w:t>
      </w:r>
      <w:r>
        <w:rPr>
          <w:b w:val="0"/>
          <w:i w:val="0"/>
          <w:sz w:val="18"/>
        </w:rPr>
        <w:t xml:space="preserve"> (i) The initial Fiscal Year is defined to commence on the Effective Date (Oct 1, 2024), but the Fund was formed Aug 22, 2024 and incurred organizational expenses ($1,087,500 vs. $1,250,000 cap) before then; GAAP and audited statements will run from inception or commencement of operations — confirm the audit period with Ridgeline. (ii) The Recitals state RAUM of $3.2 billion ‘as of December 31, 2024’ in an agreement dated Sept 27, 2024 — an apparent drafting error (likely Dec 31, 2023). (iii) The IAA and SLA describe Oct 1–Dec 31, 2024 as a ‘partial’ quarter, but it is a full calendar quarter; the §5.1(c) proration yields 92/92, i.e., the full $1,545,000, which should be reflected consistently in capital account statements. (iv) The annual report for a three-month year must present IRR/TVPI/DPI; GIPS prohibits annualizing returns for periods under one year, so IRR should be presented as not meaningful or on a non-annualized basis with disclosure. (v) Whether the Ex. B §5 annual independent valuation is required for the stub year is ambiguous.</w:t>
      </w:r>
    </w:p>
    <w:p>
      <w:pPr>
        <w:spacing w:after="120"/>
      </w:pPr>
      <w:r>
        <w:rPr>
          <w:b/>
          <w:i w:val="0"/>
          <w:sz w:val="18"/>
        </w:rPr>
        <w:t>Recommendation.</w:t>
      </w:r>
      <w:r>
        <w:rPr>
          <w:b w:val="0"/>
          <w:i w:val="0"/>
          <w:sz w:val="18"/>
        </w:rPr>
        <w:t xml:space="preserve"> Confirm audit period and stub-year presentation with Ridgeline; correct the Recital date in the conforming amendment; adopt a disclosed stub-period performance methodology; commission the independent valuation for Dec 31, 2024.</w:t>
      </w:r>
    </w:p>
    <w:p>
      <w:pPr>
        <w:pStyle w:val="Heading3"/>
      </w:pPr>
      <w:r>
        <w:rPr>
          <w:color w:val="1F2A44"/>
        </w:rPr>
        <w:t>Issue 20 — Form PF has no IAA deadline; the Fund’s Form PF category and the Adviser’s filing frequency must be confirmed</w:t>
      </w:r>
    </w:p>
    <w:p>
      <w:pPr>
        <w:spacing w:after="40"/>
      </w:pPr>
      <w:r>
        <w:rPr>
          <w:b/>
          <w:i w:val="0"/>
          <w:sz w:val="18"/>
        </w:rPr>
        <w:t>Severity:</w:t>
      </w:r>
      <w:r>
        <w:rPr>
          <w:b w:val="0"/>
          <w:i w:val="0"/>
          <w:sz w:val="18"/>
        </w:rPr>
        <w:t xml:space="preserve"> Medium   |   </w:t>
      </w:r>
      <w:r>
        <w:rPr>
          <w:b/>
          <w:i w:val="0"/>
          <w:sz w:val="18"/>
        </w:rPr>
        <w:t>Category:</w:t>
      </w:r>
      <w:r>
        <w:rPr>
          <w:b w:val="0"/>
          <w:i w:val="0"/>
          <w:sz w:val="18"/>
        </w:rPr>
        <w:t xml:space="preserve"> Regulatory   |   </w:t>
      </w:r>
      <w:r>
        <w:rPr>
          <w:b/>
          <w:i w:val="0"/>
          <w:sz w:val="18"/>
        </w:rPr>
        <w:t>References:</w:t>
      </w:r>
      <w:r>
        <w:rPr>
          <w:b w:val="0"/>
          <w:i w:val="0"/>
          <w:sz w:val="18"/>
        </w:rPr>
        <w:t xml:space="preserve"> §8.4(a); Ex. C §4; SLA §6</w:t>
      </w:r>
    </w:p>
    <w:p>
      <w:pPr>
        <w:spacing w:after="40"/>
      </w:pPr>
      <w:r>
        <w:rPr>
          <w:b/>
          <w:i w:val="0"/>
          <w:sz w:val="18"/>
        </w:rPr>
        <w:t>Analysis.</w:t>
      </w:r>
      <w:r>
        <w:rPr>
          <w:b w:val="0"/>
          <w:i w:val="0"/>
          <w:sz w:val="18"/>
        </w:rPr>
        <w:t xml:space="preserve"> §8.4(a) incorporates Form PF requirements by reference. Filing frequency and content depend on the Adviser’s category (e.g., smaller adviser annual filing within 120 days of fiscal year-end; large hedge fund adviser quarterly within 60 days; event-based current and quarterly reports for certain private equity fund events). Ex. C §4 permits fund-level borrowing up to 1.0x total commitments; the Form PF ‘hedge fund’ definition captures funds that may borrow more than one-half of NAV (including committed capital), so the Fund’s classification as a private equity fund, hedge fund or other private fund should be analyzed. The SEC’s 2024 Form PF amendments have had their compliance date extended; the current status should be confirmed at filing. Pinnacle provides data inputs at Day 30 and disclaims any responsibility for deadlines.</w:t>
      </w:r>
    </w:p>
    <w:p>
      <w:pPr>
        <w:spacing w:after="120"/>
      </w:pPr>
      <w:r>
        <w:rPr>
          <w:b/>
          <w:i w:val="0"/>
          <w:sz w:val="18"/>
        </w:rPr>
        <w:t>Recommendation.</w:t>
      </w:r>
      <w:r>
        <w:rPr>
          <w:b w:val="0"/>
          <w:i w:val="0"/>
          <w:sz w:val="18"/>
        </w:rPr>
        <w:t xml:space="preserve"> Have regulatory counsel confirm the Fund’s Form PF category and the Adviser’s filer status before Q4 2024 year-end; calendar the resulting deadlines.</w:t>
      </w:r>
    </w:p>
    <w:p>
      <w:pPr>
        <w:pStyle w:val="Heading3"/>
      </w:pPr>
      <w:r>
        <w:rPr>
          <w:color w:val="1F2A44"/>
        </w:rPr>
        <w:t>Issue 21 — Sovereign quarterly regulatory capital impact analysis: open-ended content and timing pressure at year-end</w:t>
      </w:r>
    </w:p>
    <w:p>
      <w:pPr>
        <w:spacing w:after="40"/>
      </w:pPr>
      <w:r>
        <w:rPr>
          <w:b/>
          <w:i w:val="0"/>
          <w:sz w:val="18"/>
        </w:rPr>
        <w:t>Severity:</w:t>
      </w:r>
      <w:r>
        <w:rPr>
          <w:b w:val="0"/>
          <w:i w:val="0"/>
          <w:sz w:val="18"/>
        </w:rPr>
        <w:t xml:space="preserve"> Medium   |   </w:t>
      </w:r>
      <w:r>
        <w:rPr>
          <w:b/>
          <w:i w:val="0"/>
          <w:sz w:val="18"/>
        </w:rPr>
        <w:t>Category:</w:t>
      </w:r>
      <w:r>
        <w:rPr>
          <w:b w:val="0"/>
          <w:i w:val="0"/>
          <w:sz w:val="18"/>
        </w:rPr>
        <w:t xml:space="preserve"> Practical / format   |   </w:t>
      </w:r>
      <w:r>
        <w:rPr>
          <w:b/>
          <w:i w:val="0"/>
          <w:sz w:val="18"/>
        </w:rPr>
        <w:t>References:</w:t>
      </w:r>
      <w:r>
        <w:rPr>
          <w:b w:val="0"/>
          <w:i w:val="0"/>
          <w:sz w:val="18"/>
        </w:rPr>
        <w:t xml:space="preserve"> Ex. D §5(b)</w:t>
      </w:r>
    </w:p>
    <w:p>
      <w:pPr>
        <w:spacing w:after="40"/>
      </w:pPr>
      <w:r>
        <w:rPr>
          <w:b/>
          <w:i w:val="0"/>
          <w:sz w:val="18"/>
        </w:rPr>
        <w:t>Analysis.</w:t>
      </w:r>
      <w:r>
        <w:rPr>
          <w:b w:val="0"/>
          <w:i w:val="0"/>
          <w:sz w:val="18"/>
        </w:rPr>
        <w:t xml:space="preserve"> Due 60 calendar days after quarter-end (Q4 2024: Sat Mar 1, 2025), the same day as the §7.1 statements on which it depends, and in a format reasonably acceptable to Sovereign. ‘Such other information as may be reasonably requested’ is open-ended. NAIC designations are required only ‘to the extent available’; a Fund interest is typically reported by an insurer on Schedule BA, and Sovereign’s statutory annual filing deadline (generally March 1) means it may need data earlier than the contractual date at year-end.</w:t>
      </w:r>
    </w:p>
    <w:p>
      <w:pPr>
        <w:spacing w:after="120"/>
      </w:pPr>
      <w:r>
        <w:rPr>
          <w:b/>
          <w:i w:val="0"/>
          <w:sz w:val="18"/>
        </w:rPr>
        <w:t>Recommendation.</w:t>
      </w:r>
      <w:r>
        <w:rPr>
          <w:b w:val="0"/>
          <w:i w:val="0"/>
          <w:sz w:val="18"/>
        </w:rPr>
        <w:t xml:space="preserve"> Agree a template with Sovereign in December 2024; clarify that NAIC designations will be provided only where an SVO designation or private letter rating exists; offer a preliminary Q4 data cut with the January NAV estimate.</w:t>
      </w:r>
    </w:p>
    <w:p>
      <w:pPr>
        <w:pStyle w:val="Heading3"/>
      </w:pPr>
      <w:r>
        <w:rPr>
          <w:color w:val="1F2A44"/>
        </w:rPr>
        <w:t>Issue 22 — FATCA/CRS: feasible on Pinnacle’s timeline, but withholding-agent filings are not in the IAA</w:t>
      </w:r>
    </w:p>
    <w:p>
      <w:pPr>
        <w:spacing w:after="40"/>
      </w:pPr>
      <w:r>
        <w:rPr>
          <w:b/>
          <w:i w:val="0"/>
          <w:sz w:val="18"/>
        </w:rPr>
        <w:t>Severity:</w:t>
      </w:r>
      <w:r>
        <w:rPr>
          <w:b w:val="0"/>
          <w:i w:val="0"/>
          <w:sz w:val="18"/>
        </w:rPr>
        <w:t xml:space="preserve"> Low   |   </w:t>
      </w:r>
      <w:r>
        <w:rPr>
          <w:b/>
          <w:i w:val="0"/>
          <w:sz w:val="18"/>
        </w:rPr>
        <w:t>Category:</w:t>
      </w:r>
      <w:r>
        <w:rPr>
          <w:b w:val="0"/>
          <w:i w:val="0"/>
          <w:sz w:val="18"/>
        </w:rPr>
        <w:t xml:space="preserve"> Regulatory / scope   |   </w:t>
      </w:r>
      <w:r>
        <w:rPr>
          <w:b/>
          <w:i w:val="0"/>
          <w:sz w:val="18"/>
        </w:rPr>
        <w:t>References:</w:t>
      </w:r>
      <w:r>
        <w:rPr>
          <w:b w:val="0"/>
          <w:i w:val="0"/>
          <w:sz w:val="18"/>
        </w:rPr>
        <w:t xml:space="preserve"> §9.5; Ex. D §6; SLA §§4, 6</w:t>
      </w:r>
    </w:p>
    <w:p>
      <w:pPr>
        <w:spacing w:after="40"/>
      </w:pPr>
      <w:r>
        <w:rPr>
          <w:b/>
          <w:i w:val="0"/>
          <w:sz w:val="18"/>
        </w:rPr>
        <w:t>Analysis.</w:t>
      </w:r>
      <w:r>
        <w:rPr>
          <w:b w:val="0"/>
          <w:i w:val="0"/>
          <w:sz w:val="18"/>
        </w:rPr>
        <w:t xml:space="preserve"> Pinnacle’s FATCA/CRS data (Day 45) leaves about six weeks before the Day 90 statement (Mon Mar 31, 2025). Whether there are non-U.S. LPs must be confirmed. U.S. tax information returns owed to non-U.S. partners (e.g., Forms 1042-S, 8805, where applicable) carry statutory deadlines (generally March 15 for calendar-year filers, subject to extension) that are earlier than the IAA’s 90-day statement; these are statutory and should be calendared even though not IAA obligations.</w:t>
      </w:r>
    </w:p>
    <w:p>
      <w:pPr>
        <w:spacing w:after="120"/>
      </w:pPr>
      <w:r>
        <w:rPr>
          <w:b/>
          <w:i w:val="0"/>
          <w:sz w:val="18"/>
        </w:rPr>
        <w:t>Recommendation.</w:t>
      </w:r>
      <w:r>
        <w:rPr>
          <w:b w:val="0"/>
          <w:i w:val="0"/>
          <w:sz w:val="18"/>
        </w:rPr>
        <w:t xml:space="preserve"> Confirm non-U.S. investors; calendar statutory withholding returns with the tax preparer.</w:t>
      </w:r>
    </w:p>
    <w:p>
      <w:pPr>
        <w:pStyle w:val="Heading3"/>
      </w:pPr>
      <w:r>
        <w:rPr>
          <w:color w:val="1F2A44"/>
        </w:rPr>
        <w:t>Issue 23 — Fund Counsel notice e-mail address in §12.1 appears misspelled</w:t>
      </w:r>
    </w:p>
    <w:p>
      <w:pPr>
        <w:spacing w:after="40"/>
      </w:pPr>
      <w:r>
        <w:rPr>
          <w:b/>
          <w:i w:val="0"/>
          <w:sz w:val="18"/>
        </w:rPr>
        <w:t>Severity:</w:t>
      </w:r>
      <w:r>
        <w:rPr>
          <w:b w:val="0"/>
          <w:i w:val="0"/>
          <w:sz w:val="18"/>
        </w:rPr>
        <w:t xml:space="preserve"> Low   |   </w:t>
      </w:r>
      <w:r>
        <w:rPr>
          <w:b/>
          <w:i w:val="0"/>
          <w:sz w:val="18"/>
        </w:rPr>
        <w:t>Category:</w:t>
      </w:r>
      <w:r>
        <w:rPr>
          <w:b w:val="0"/>
          <w:i w:val="0"/>
          <w:sz w:val="18"/>
        </w:rPr>
        <w:t xml:space="preserve"> Notice mechanics   |   </w:t>
      </w:r>
      <w:r>
        <w:rPr>
          <w:b/>
          <w:i w:val="0"/>
          <w:sz w:val="18"/>
        </w:rPr>
        <w:t>References:</w:t>
      </w:r>
      <w:r>
        <w:rPr>
          <w:b w:val="0"/>
          <w:i w:val="0"/>
          <w:sz w:val="18"/>
        </w:rPr>
        <w:t xml:space="preserve"> §12.1</w:t>
      </w:r>
    </w:p>
    <w:p>
      <w:pPr>
        <w:spacing w:after="40"/>
      </w:pPr>
      <w:r>
        <w:rPr>
          <w:b/>
          <w:i w:val="0"/>
          <w:sz w:val="18"/>
        </w:rPr>
        <w:t>Analysis.</w:t>
      </w:r>
      <w:r>
        <w:rPr>
          <w:b w:val="0"/>
          <w:i w:val="0"/>
          <w:sz w:val="18"/>
        </w:rPr>
        <w:t xml:space="preserve"> §12.1 lists Fund Counsel’s e-mail as ‘shavlerson@briarwoodcalloway.com’ (and the CCO’s transmittal used ‘shaverson@…’); neither appears to match Susan Halverson’s name. E-mail notices are effective only upon confirmation of receipt, so a wrong address can defeat notice.</w:t>
      </w:r>
    </w:p>
    <w:p>
      <w:pPr>
        <w:spacing w:after="120"/>
      </w:pPr>
      <w:r>
        <w:rPr>
          <w:b/>
          <w:i w:val="0"/>
          <w:sz w:val="18"/>
        </w:rPr>
        <w:t>Recommendation.</w:t>
      </w:r>
      <w:r>
        <w:rPr>
          <w:b w:val="0"/>
          <w:i w:val="0"/>
          <w:sz w:val="18"/>
        </w:rPr>
        <w:t xml:space="preserve"> Correct by written notice of change of address under §12.1 (no amendment required).</w:t>
      </w:r>
    </w:p>
    <w:p>
      <w:pPr>
        <w:pStyle w:val="Heading3"/>
      </w:pPr>
      <w:r>
        <w:rPr>
          <w:color w:val="1F2A44"/>
        </w:rPr>
        <w:t>Issue 24 — Sharing this matrix with Pinnacle and the LPAC raises confidentiality constraints</w:t>
      </w:r>
    </w:p>
    <w:p>
      <w:pPr>
        <w:spacing w:after="40"/>
      </w:pPr>
      <w:r>
        <w:rPr>
          <w:b/>
          <w:i w:val="0"/>
          <w:sz w:val="18"/>
        </w:rPr>
        <w:t>Severity:</w:t>
      </w:r>
      <w:r>
        <w:rPr>
          <w:b w:val="0"/>
          <w:i w:val="0"/>
          <w:sz w:val="18"/>
        </w:rPr>
        <w:t xml:space="preserve"> Medium   |   </w:t>
      </w:r>
      <w:r>
        <w:rPr>
          <w:b/>
          <w:i w:val="0"/>
          <w:sz w:val="18"/>
        </w:rPr>
        <w:t>Category:</w:t>
      </w:r>
      <w:r>
        <w:rPr>
          <w:b w:val="0"/>
          <w:i w:val="0"/>
          <w:sz w:val="18"/>
        </w:rPr>
        <w:t xml:space="preserve"> Confidentiality / sharing   |   </w:t>
      </w:r>
      <w:r>
        <w:rPr>
          <w:b/>
          <w:i w:val="0"/>
          <w:sz w:val="18"/>
        </w:rPr>
        <w:t>References:</w:t>
      </w:r>
      <w:r>
        <w:rPr>
          <w:b w:val="0"/>
          <w:i w:val="0"/>
          <w:sz w:val="18"/>
        </w:rPr>
        <w:t xml:space="preserve"> §8.2; §8.2(c); SLA final paragraph</w:t>
      </w:r>
    </w:p>
    <w:p>
      <w:pPr>
        <w:spacing w:after="40"/>
      </w:pPr>
      <w:r>
        <w:rPr>
          <w:b/>
          <w:i w:val="0"/>
          <w:sz w:val="18"/>
        </w:rPr>
        <w:t>Analysis.</w:t>
      </w:r>
      <w:r>
        <w:rPr>
          <w:b w:val="0"/>
          <w:i w:val="0"/>
          <w:sz w:val="18"/>
        </w:rPr>
        <w:t xml:space="preserve"> The Pinnacle SLA summary is confidential and may not be distributed to LPs or third parties without Pinnacle’s prior written consent; an LPAC memorandum that cites Pinnacle’s delivery timelines therefore requires Pinnacle consent or should be expressed in Adviser terms. Conversely, sharing Exhibit D investor-specific provisions with Pinnacle is permitted under §8.2(a) only as necessary to perform obligations, and is subject to any Side Letter confidentiality terms. Anything delivered to Apex may be subject to public records requests (§8.2(c)).</w:t>
      </w:r>
    </w:p>
    <w:p>
      <w:pPr>
        <w:spacing w:after="120"/>
      </w:pPr>
      <w:r>
        <w:rPr>
          <w:b/>
          <w:i w:val="0"/>
          <w:sz w:val="18"/>
        </w:rPr>
        <w:t>Recommendation.</w:t>
      </w:r>
      <w:r>
        <w:rPr>
          <w:b w:val="0"/>
          <w:i w:val="0"/>
          <w:sz w:val="18"/>
        </w:rPr>
        <w:t xml:space="preserve"> Share with Pinnacle a version limited to items requiring Pinnacle input; strip Pinnacle SLA details from any LPAC memorandum (or obtain consent); treat the LPAC memorandum as potentially public.</w:t>
      </w:r>
    </w:p>
    <w:p>
      <w:pPr>
        <w:pStyle w:val="Heading3"/>
      </w:pPr>
      <w:r>
        <w:rPr>
          <w:color w:val="1F2A44"/>
        </w:rPr>
        <w:t>Issue 25 — Investor-specific reporting may propagate through MFN elections, multiplying obligations after Final Close</w:t>
      </w:r>
    </w:p>
    <w:p>
      <w:pPr>
        <w:spacing w:after="40"/>
      </w:pPr>
      <w:r>
        <w:rPr>
          <w:b/>
          <w:i w:val="0"/>
          <w:sz w:val="18"/>
        </w:rPr>
        <w:t>Severity:</w:t>
      </w:r>
      <w:r>
        <w:rPr>
          <w:b w:val="0"/>
          <w:i w:val="0"/>
          <w:sz w:val="18"/>
        </w:rPr>
        <w:t xml:space="preserve"> Medium   |   </w:t>
      </w:r>
      <w:r>
        <w:rPr>
          <w:b/>
          <w:i w:val="0"/>
          <w:sz w:val="18"/>
        </w:rPr>
        <w:t>Category:</w:t>
      </w:r>
      <w:r>
        <w:rPr>
          <w:b w:val="0"/>
          <w:i w:val="0"/>
          <w:sz w:val="18"/>
        </w:rPr>
        <w:t xml:space="preserve"> MFN / fairness   |   </w:t>
      </w:r>
      <w:r>
        <w:rPr>
          <w:b/>
          <w:i w:val="0"/>
          <w:sz w:val="18"/>
        </w:rPr>
        <w:t>References:</w:t>
      </w:r>
      <w:r>
        <w:rPr>
          <w:b w:val="0"/>
          <w:i w:val="0"/>
          <w:sz w:val="18"/>
        </w:rPr>
        <w:t xml:space="preserve"> Ex. D §2; Ex. D §5; §2.3</w:t>
      </w:r>
    </w:p>
    <w:p>
      <w:pPr>
        <w:spacing w:after="40"/>
      </w:pPr>
      <w:r>
        <w:rPr>
          <w:b/>
          <w:i w:val="0"/>
          <w:sz w:val="18"/>
        </w:rPr>
        <w:t>Analysis.</w:t>
      </w:r>
      <w:r>
        <w:rPr>
          <w:b w:val="0"/>
          <w:i w:val="0"/>
          <w:sz w:val="18"/>
        </w:rPr>
        <w:t xml:space="preserve"> The Sovereign monthly NAV and quarterly capital analysis and the Apex certificates will be disclosed under Ex. D §2(a) within 30 days after Final Close. Depending on the LPA’s MFN mechanics, other LPs (especially other insurers and public pensions) may elect those rights, extending the Day 20 monthly NAV and other obligations to additional recipients. Providing monthly NAV only to one investor is also preferential information that should be disclosed to all investors; the SEC’s Private Fund Adviser Rules (including the preferential treatment rule) were vacated by the Fifth Circuit in June 2024, but disclosure of preferential information rights remains prudent under the Adviser’s fiduciary duty.</w:t>
      </w:r>
    </w:p>
    <w:p>
      <w:pPr>
        <w:spacing w:after="120"/>
      </w:pPr>
      <w:r>
        <w:rPr>
          <w:b/>
          <w:i w:val="0"/>
          <w:sz w:val="18"/>
        </w:rPr>
        <w:t>Recommendation.</w:t>
      </w:r>
      <w:r>
        <w:rPr>
          <w:b w:val="0"/>
          <w:i w:val="0"/>
          <w:sz w:val="18"/>
        </w:rPr>
        <w:t xml:space="preserve"> Before Final Close, model MFN election scenarios and confirm Pinnacle capacity; consider whether the LPA MFN carves out regulatory-driven reporting.</w:t>
      </w:r>
    </w:p>
    <w:p>
      <w:pPr>
        <w:pStyle w:val="Heading3"/>
      </w:pPr>
      <w:r>
        <w:rPr>
          <w:color w:val="1F2A44"/>
        </w:rPr>
        <w:t>Issue 26 — Hard copy and custom-format deliveries are outside Pinnacle’s scope</w:t>
      </w:r>
    </w:p>
    <w:p>
      <w:pPr>
        <w:spacing w:after="40"/>
      </w:pPr>
      <w:r>
        <w:rPr>
          <w:b/>
          <w:i w:val="0"/>
          <w:sz w:val="18"/>
        </w:rPr>
        <w:t>Severity:</w:t>
      </w:r>
      <w:r>
        <w:rPr>
          <w:b w:val="0"/>
          <w:i w:val="0"/>
          <w:sz w:val="18"/>
        </w:rPr>
        <w:t xml:space="preserve"> Low   |   </w:t>
      </w:r>
      <w:r>
        <w:rPr>
          <w:b/>
          <w:i w:val="0"/>
          <w:sz w:val="18"/>
        </w:rPr>
        <w:t>Category:</w:t>
      </w:r>
      <w:r>
        <w:rPr>
          <w:b w:val="0"/>
          <w:i w:val="0"/>
          <w:sz w:val="18"/>
        </w:rPr>
        <w:t xml:space="preserve"> Delivery mechanics   |   </w:t>
      </w:r>
      <w:r>
        <w:rPr>
          <w:b/>
          <w:i w:val="0"/>
          <w:sz w:val="18"/>
        </w:rPr>
        <w:t>References:</w:t>
      </w:r>
      <w:r>
        <w:rPr>
          <w:b w:val="0"/>
          <w:i w:val="0"/>
          <w:sz w:val="18"/>
        </w:rPr>
        <w:t xml:space="preserve"> §§7.1, 7.2, 7.7, 8.3, 8.4(c); SLA §§3, 5</w:t>
      </w:r>
    </w:p>
    <w:p>
      <w:pPr>
        <w:spacing w:after="40"/>
      </w:pPr>
      <w:r>
        <w:rPr>
          <w:b/>
          <w:i w:val="0"/>
          <w:sz w:val="18"/>
        </w:rPr>
        <w:t>Analysis.</w:t>
      </w:r>
      <w:r>
        <w:rPr>
          <w:b w:val="0"/>
          <w:i w:val="0"/>
          <w:sz w:val="18"/>
        </w:rPr>
        <w:t xml:space="preserve"> Hard copies must be delivered on written request (§§7.1, 7.2, 8.4(c)); Pinnacle excludes hard copy delivery from its scope. §7.7 confirms Portal access does not satisfy obligations requiring hard copy or specific formats. Pinnacle needs 15 Business Days’ advance notice for custom LP formatting (relevant to LPAC and Sovereign templates).</w:t>
      </w:r>
    </w:p>
    <w:p>
      <w:pPr>
        <w:spacing w:after="120"/>
      </w:pPr>
      <w:r>
        <w:rPr>
          <w:b/>
          <w:i w:val="0"/>
          <w:sz w:val="18"/>
        </w:rPr>
        <w:t>Recommendation.</w:t>
      </w:r>
      <w:r>
        <w:rPr>
          <w:b w:val="0"/>
          <w:i w:val="0"/>
          <w:sz w:val="18"/>
        </w:rPr>
        <w:t xml:space="preserve"> Maintain a hard-copy request register; send Pinnacle custom format requests by early December 2024 for the Q4 cycle.</w:t>
      </w:r>
    </w:p>
    <w:p>
      <w:pPr>
        <w:pStyle w:val="Heading3"/>
      </w:pPr>
      <w:r>
        <w:rPr>
          <w:color w:val="1F2A44"/>
        </w:rPr>
        <w:t>Issue 27 — Annual audit at 120 days carries Custody Rule consequences and depends on items with no committed timeline</w:t>
      </w:r>
    </w:p>
    <w:p>
      <w:pPr>
        <w:spacing w:after="40"/>
      </w:pPr>
      <w:r>
        <w:rPr>
          <w:b/>
          <w:i w:val="0"/>
          <w:sz w:val="18"/>
        </w:rPr>
        <w:t>Severity:</w:t>
      </w:r>
      <w:r>
        <w:rPr>
          <w:b w:val="0"/>
          <w:i w:val="0"/>
          <w:sz w:val="18"/>
        </w:rPr>
        <w:t xml:space="preserve"> High   |   </w:t>
      </w:r>
      <w:r>
        <w:rPr>
          <w:b/>
          <w:i w:val="0"/>
          <w:sz w:val="18"/>
        </w:rPr>
        <w:t>Category:</w:t>
      </w:r>
      <w:r>
        <w:rPr>
          <w:b w:val="0"/>
          <w:i w:val="0"/>
          <w:sz w:val="18"/>
        </w:rPr>
        <w:t xml:space="preserve"> Sequencing / regulatory   |   </w:t>
      </w:r>
      <w:r>
        <w:rPr>
          <w:b/>
          <w:i w:val="0"/>
          <w:sz w:val="18"/>
        </w:rPr>
        <w:t>References:</w:t>
      </w:r>
      <w:r>
        <w:rPr>
          <w:b w:val="0"/>
          <w:i w:val="0"/>
          <w:sz w:val="18"/>
        </w:rPr>
        <w:t xml:space="preserve"> §7.2; Art. 6; Ex. B §5; §8.1(d)</w:t>
      </w:r>
    </w:p>
    <w:p>
      <w:pPr>
        <w:spacing w:after="40"/>
      </w:pPr>
      <w:r>
        <w:rPr>
          <w:b/>
          <w:i w:val="0"/>
          <w:sz w:val="18"/>
        </w:rPr>
        <w:t>Analysis.</w:t>
      </w:r>
      <w:r>
        <w:rPr>
          <w:b w:val="0"/>
          <w:i w:val="0"/>
          <w:sz w:val="18"/>
        </w:rPr>
        <w:t xml:space="preserve"> Article 6 represents reliance on the Custody Rule audit approach, which requires audited GAAP financial statements to be distributed to investors within 120 days of fiscal year-end (Wed Apr 30, 2025 for FY2024). Late delivery is a regulatory as well as contractual failure. Inputs without a committed timeline include Pinnacle’s year-end close (the SLA has no audit-support deadline), the Ex. B §5 annual independent valuation, and first-year accounting determinations (organizational expenses, audit period). The audit also controls over prior capital account statements (§7.4), so any audit adjustments will require restated statements.</w:t>
      </w:r>
    </w:p>
    <w:p>
      <w:pPr>
        <w:spacing w:after="120"/>
      </w:pPr>
      <w:r>
        <w:rPr>
          <w:b/>
          <w:i w:val="0"/>
          <w:sz w:val="18"/>
        </w:rPr>
        <w:t>Recommendation.</w:t>
      </w:r>
      <w:r>
        <w:rPr>
          <w:b w:val="0"/>
          <w:i w:val="0"/>
          <w:sz w:val="18"/>
        </w:rPr>
        <w:t xml:space="preserve"> Hold a planning call with Thomas Kwon (Ridgeline) and Pinnacle in December 2024 to fix a fieldwork calendar (target signed opinion by Apr 18, 2025); engage the independent valuation firm now; confirm Ridgeline’s PCAOB registration and inspection status per Article 6.</w:t>
      </w:r>
    </w:p>
    <w:p>
      <w:pPr>
        <w:sectPr>
          <w:pgSz w:w="15840" w:h="12240" w:orient="landscape"/>
          <w:pgMar w:top="864" w:right="720" w:bottom="864" w:left="720" w:header="720" w:footer="720" w:gutter="0"/>
          <w:cols w:space="720"/>
          <w:docGrid w:linePitch="360"/>
        </w:sectPr>
      </w:pPr>
    </w:p>
    <w:p>
      <w:pPr>
        <w:pStyle w:val="Heading1"/>
      </w:pPr>
      <w:r>
        <w:rPr>
          <w:color w:val="1F2A44"/>
        </w:rPr>
        <w:t>VII. Remediation Path</w:t>
      </w:r>
    </w:p>
    <w:p>
      <w:pPr>
        <w:spacing w:after="120"/>
      </w:pPr>
      <w:r>
        <w:rPr>
          <w:b w:val="0"/>
          <w:i w:val="0"/>
          <w:sz w:val="21"/>
        </w:rPr>
        <w:t>We agree with your preference to resolve these items proactively. The appropriate instrument depends on whose rights are affected:</w:t>
      </w:r>
    </w:p>
    <w:p>
      <w:pPr>
        <w:pStyle w:val="ListBullet"/>
        <w:spacing w:after="60"/>
      </w:pPr>
      <w:r>
        <w:rPr>
          <w:b/>
          <w:sz w:val="21"/>
        </w:rPr>
        <w:t>IAA amendment (§12.4)</w:t>
      </w:r>
      <w:r>
        <w:rPr>
          <w:b w:val="0"/>
          <w:sz w:val="21"/>
        </w:rPr>
        <w:t xml:space="preserve"> — required to change any obligation owed to all LPs or to the LPAC as a body: shortening/aligning the §7.4 capital account deadline (Issue 1); correcting Exhibit B §4 to calendar days (Issue 2); reconciling §7.3 timing (Issue 10) and §8.4(b)/(c) (Issue 11); adding a business-day roll convention (Issue 14); correcting the Recital date (Issue 19); and adopting definitions (Issue 16). §12.4 requires a written instrument signed by the Adviser and the Fund (acting through the GP), with the consent of a majority in interest of LPs to the extent the LPA requires. We will confirm the LPA’s amendment and LPAC-authority provisions; an amendment that extends a deadline is adverse to LPs and should be presumed to require LP consent.</w:t>
      </w:r>
    </w:p>
    <w:p>
      <w:pPr>
        <w:pStyle w:val="ListBullet"/>
        <w:spacing w:after="60"/>
      </w:pPr>
      <w:r>
        <w:rPr>
          <w:b/>
          <w:sz w:val="21"/>
        </w:rPr>
        <w:t>LPAC clarifying memorandum</w:t>
      </w:r>
      <w:r>
        <w:rPr>
          <w:b w:val="0"/>
          <w:sz w:val="21"/>
        </w:rPr>
        <w:t xml:space="preserve"> — appropriate to document the Adviser’s interpretation where the IAA already supports it and the Adviser will operate to the stricter reading (e.g., §12.9 resolves the valuation-report deadline at 45 calendar days; annual report to accompany the notice; concentration notice given pre-closing where practicable; quarterly BPI calculation sent to the LPAC even absent BPIs), to obtain LPAC acceptance of report formats where the IAA requires a format “reasonably acceptable to the LPAC” (§7.6(a), (b); Ex. B §4), and to approve Valuation Policy changes (LPAC approval required by the §1.1 definition). An LPAC memorandum cannot by itself waive or extend rights held by individual LPs (such as the §7.4 deadline) unless the LPA confers that power.</w:t>
      </w:r>
    </w:p>
    <w:p>
      <w:pPr>
        <w:pStyle w:val="ListBullet"/>
        <w:spacing w:after="60"/>
      </w:pPr>
      <w:r>
        <w:rPr>
          <w:b/>
          <w:sz w:val="21"/>
        </w:rPr>
        <w:t>Side Letter amendments (countersigned by the affected LP)</w:t>
      </w:r>
      <w:r>
        <w:rPr>
          <w:b w:val="0"/>
          <w:sz w:val="21"/>
        </w:rPr>
        <w:t xml:space="preserve"> — for investor-specific terms: Sovereign’s Day 20 NAV (e.g., move to Day 25 or accept an Adviser flash estimate with a later Pinnacle true-up), the Sovereign capital-impact template, and the Apex certificate forms and the definition of the placement agent representations. Any amendment will itself be subject to Exhibit D §2 MFN disclosure.</w:t>
      </w:r>
    </w:p>
    <w:p>
      <w:pPr>
        <w:pStyle w:val="ListBullet"/>
        <w:spacing w:after="60"/>
      </w:pPr>
      <w:r>
        <w:rPr>
          <w:b/>
          <w:sz w:val="21"/>
        </w:rPr>
        <w:t>Pinnacle Services Agreement amendment</w:t>
      </w:r>
      <w:r>
        <w:rPr>
          <w:b w:val="0"/>
          <w:sz w:val="21"/>
        </w:rPr>
        <w:t xml:space="preserve"> — Pinnacle is not a party to the IAA; compressing the quarterly cascade, adding a flash NAV, a separate BPI deliverable, an interim UBTI schedule, audit-support milestones and a cyber-incident notice covenant require changes to the Services Agreement (the SLA summary does not amend it).</w:t>
      </w:r>
    </w:p>
    <w:p>
      <w:pPr>
        <w:pStyle w:val="ListBullet"/>
        <w:spacing w:after="60"/>
      </w:pPr>
      <w:r>
        <w:rPr>
          <w:b/>
          <w:sz w:val="21"/>
        </w:rPr>
        <w:t>Pre-emptive disclosure.</w:t>
      </w:r>
      <w:r>
        <w:rPr>
          <w:b w:val="0"/>
          <w:sz w:val="21"/>
        </w:rPr>
        <w:t xml:space="preserve"> If the §7.4 amendment is not in place before February 14, 2025, we recommend notifying the LPAC (and all LPs) in January 2025 of the expected Q4 timing, delivering estimated capital account statements by February 14, and final statements as soon as available. Transparent, advance disclosure materially reduces fiduciary and relationship risk compared with an after-the-fact explanation.</w:t>
      </w:r>
    </w:p>
    <w:p>
      <w:pPr>
        <w:pStyle w:val="ListBullet"/>
        <w:spacing w:after="60"/>
      </w:pPr>
      <w:r>
        <w:rPr>
          <w:b/>
          <w:sz w:val="21"/>
        </w:rPr>
        <w:t>Confidentiality.</w:t>
      </w:r>
      <w:r>
        <w:rPr>
          <w:b w:val="0"/>
          <w:sz w:val="21"/>
        </w:rPr>
        <w:t xml:space="preserve"> Any LPAC memorandum should not reproduce Pinnacle’s SLA terms without Pinnacle’s written consent, and should be drafted on the assumption that Apex may be required to disclose it under public records law (Issue 24).</w:t>
      </w:r>
    </w:p>
    <w:p>
      <w:pPr>
        <w:pStyle w:val="Heading1"/>
      </w:pPr>
      <w:r>
        <w:rPr>
          <w:color w:val="1F2A44"/>
        </w:rPr>
        <w:t>VIII. Suggested Responses to Pending LPAC Inquiries</w:t>
      </w:r>
    </w:p>
    <w:p>
      <w:pPr>
        <w:pStyle w:val="Heading2"/>
      </w:pPr>
      <w:r>
        <w:rPr>
          <w:color w:val="1F2A44"/>
        </w:rPr>
        <w:t>Sovereign Bridge Insurance Co. (Exhibit D §5)</w:t>
      </w:r>
    </w:p>
    <w:p>
      <w:pPr>
        <w:pStyle w:val="ListBullet"/>
        <w:spacing w:after="60"/>
      </w:pPr>
      <w:r>
        <w:rPr>
          <w:b w:val="0"/>
          <w:sz w:val="21"/>
        </w:rPr>
        <w:t>Monthly NAV estimates began with the month ended October 31, 2024 (due within 20 calendar days of each month-end). If the October estimate has not been sent, deliver it with the response, with November’s to follow by December 20, 2024.</w:t>
      </w:r>
    </w:p>
    <w:p>
      <w:pPr>
        <w:pStyle w:val="ListBullet"/>
        <w:spacing w:after="60"/>
      </w:pPr>
      <w:r>
        <w:rPr>
          <w:b w:val="0"/>
          <w:sz w:val="21"/>
        </w:rPr>
        <w:t>Data flow: the Adviser’s monthly good-faith marks (prepared for the LPAC monthly report) → Adviser-prepared NAV estimate and summary of material portfolio composition changes (Day 20) → Pinnacle’s independent monthly estimate (Day 25) → quarterly formal valuation (Valuation Committee; quarterly financial statements by Day 60), with each monthly estimate expressly preliminary and reconciled to the quarterly statements.</w:t>
      </w:r>
    </w:p>
    <w:p>
      <w:pPr>
        <w:pStyle w:val="ListBullet"/>
        <w:spacing w:after="60"/>
      </w:pPr>
      <w:r>
        <w:rPr>
          <w:b w:val="0"/>
          <w:sz w:val="21"/>
        </w:rPr>
        <w:t>Quarterly regulatory capital impact analysis: first delivery for Q4 2024 by March 1, 2025 (we recommend February 28); propose a template now (asset classification, NAIC designations where available, credit quality) and ask Sovereign whether it needs a preliminary year-end data cut for its statutory annual filing.</w:t>
      </w:r>
    </w:p>
    <w:p>
      <w:pPr>
        <w:pStyle w:val="Heading2"/>
      </w:pPr>
      <w:r>
        <w:rPr>
          <w:color w:val="1F2A44"/>
        </w:rPr>
        <w:t>Apex State Pension System (Exhibit D §8)</w:t>
      </w:r>
    </w:p>
    <w:p>
      <w:pPr>
        <w:pStyle w:val="ListBullet"/>
        <w:spacing w:after="60"/>
      </w:pPr>
      <w:r>
        <w:rPr>
          <w:b w:val="0"/>
          <w:sz w:val="21"/>
        </w:rPr>
        <w:t>Quarterly schedule: unaudited financial statements Day 60; capital account statements Day 45 (subject to Issue 1); LPAC monthly reports Day 30; LPAC valuation report Day 45; placement agent certificate Day 30. Annual: audited statements Day 120; LPAC compliance report and FOIA certificate Day 90; annual meeting within 180 days.</w:t>
      </w:r>
    </w:p>
    <w:p>
      <w:pPr>
        <w:pStyle w:val="ListBullet"/>
        <w:spacing w:after="60"/>
      </w:pPr>
      <w:r>
        <w:rPr>
          <w:b w:val="0"/>
          <w:sz w:val="21"/>
        </w:rPr>
        <w:t>Placement agent certificate: first certificate for the quarter ended December 31, 2024, due January 30, 2025. Because Whitecap used no placement agent, it will certify that no placement agent, finder or third-party solicitor was engaged or compensated in connection with Apex’s investment, and that the Adviser and its covered associates complied with Rule 206(4)-5 and the political contribution representations in Apex’s Side Letter/subscription documents. Ask Apex for its preferred form (the certificate must be reasonably acceptable to Apex) and confirm which representations it covers.</w:t>
      </w:r>
    </w:p>
    <w:p>
      <w:pPr>
        <w:pStyle w:val="ListBullet"/>
        <w:spacing w:after="60"/>
      </w:pPr>
      <w:r>
        <w:rPr>
          <w:b w:val="0"/>
          <w:sz w:val="21"/>
        </w:rPr>
        <w:t>Before responding, confirm the response does not disclose Pinnacle SLA terms and treat it as potentially subject to public records disclosure.</w:t>
      </w:r>
    </w:p>
    <w:p>
      <w:pPr>
        <w:pStyle w:val="Heading1"/>
      </w:pPr>
      <w:r>
        <w:rPr>
          <w:color w:val="1F2A44"/>
        </w:rPr>
        <w:t>IX. Open Questions and Document Requests</w:t>
      </w:r>
    </w:p>
    <w:p>
      <w:pPr>
        <w:pStyle w:val="ListBullet"/>
        <w:spacing w:after="60"/>
      </w:pPr>
      <w:r>
        <w:rPr>
          <w:b w:val="0"/>
          <w:sz w:val="21"/>
        </w:rPr>
        <w:t>The LPA (MFN mechanics; LPAC powers to waive/approve; amendment thresholds; capital account definitions; confidentiality; any additional LP reporting provisions).</w:t>
      </w:r>
    </w:p>
    <w:p>
      <w:pPr>
        <w:pStyle w:val="ListBullet"/>
        <w:spacing w:after="60"/>
      </w:pPr>
      <w:r>
        <w:rPr>
          <w:b w:val="0"/>
          <w:sz w:val="21"/>
        </w:rPr>
        <w:t>All executed Side Letters (including any signed after First Close) and the Side Letter log; specifically the Apex Side Letter and any Apex/state placement agent or political contribution disclosure forms.</w:t>
      </w:r>
    </w:p>
    <w:p>
      <w:pPr>
        <w:pStyle w:val="ListBullet"/>
        <w:spacing w:after="60"/>
      </w:pPr>
      <w:r>
        <w:rPr>
          <w:b w:val="0"/>
          <w:sz w:val="21"/>
        </w:rPr>
        <w:t>The Fund Administration Services Agreement dated September 20, 2024 (actual service levels, remedies, amendment process).</w:t>
      </w:r>
    </w:p>
    <w:p>
      <w:pPr>
        <w:pStyle w:val="ListBullet"/>
        <w:spacing w:after="60"/>
      </w:pPr>
      <w:r>
        <w:rPr>
          <w:b w:val="0"/>
          <w:sz w:val="21"/>
        </w:rPr>
        <w:t>Investor-status data from subscription documents: tax-exempt status (for UBTI), Benefit Plan Investor status (including Sovereign general/separate accounts), non-U.S. status (FATCA/CRS), public-entity status.</w:t>
      </w:r>
    </w:p>
    <w:p>
      <w:pPr>
        <w:pStyle w:val="ListBullet"/>
        <w:spacing w:after="60"/>
      </w:pPr>
      <w:r>
        <w:rPr>
          <w:b w:val="0"/>
          <w:sz w:val="21"/>
        </w:rPr>
        <w:t>Confirmation whether the October 2024 Sovereign NAV estimate and LPAC monthly report have been sent; Portal credential activation dates; Form D and state notice filing status.</w:t>
      </w:r>
    </w:p>
    <w:p>
      <w:pPr>
        <w:pStyle w:val="ListBullet"/>
        <w:spacing w:after="60"/>
      </w:pPr>
      <w:r>
        <w:rPr>
          <w:b w:val="0"/>
          <w:sz w:val="21"/>
        </w:rPr>
        <w:t>Adviser fiscal year-end, Form PF filer category and the Fund’s Form PF classification; identity of the designated tax preparer; whether any subscription-line borrowings have been drawn (UBTI).</w:t>
      </w:r>
    </w:p>
    <w:p>
      <w:pPr>
        <w:pStyle w:val="ListBullet"/>
        <w:spacing w:after="60"/>
      </w:pPr>
      <w:r>
        <w:rPr>
          <w:b w:val="0"/>
          <w:sz w:val="21"/>
        </w:rPr>
        <w:t>Ridgeline audit engagement letter (audit period, timetable, management letter, PCAOB status) and status of engagement of the independent valuation firm (Ex. B §5).</w:t>
      </w:r>
    </w:p>
    <w:p>
      <w:pPr>
        <w:pStyle w:val="ListBullet"/>
        <w:spacing w:after="60"/>
      </w:pPr>
      <w:r>
        <w:rPr>
          <w:b w:val="0"/>
          <w:sz w:val="21"/>
        </w:rPr>
        <w:t>Any conflicts of interest, concentration exceedances, guideline breaches, compliance program changes or cyber incidents since October 1, 2024 that would already have triggered notices under §§7.6(c), 8.3, 9.1 or Ex. C §6.</w:t>
      </w:r>
    </w:p>
    <w:p>
      <w:pPr>
        <w:spacing w:after="120"/>
      </w:pPr>
      <w:r>
        <w:rPr>
          <w:b w:val="0"/>
          <w:i w:val="0"/>
          <w:sz w:val="21"/>
        </w:rPr>
        <w:t>We would be glad to walk through the matrix on a call and to prepare the amendment, LPAC memorandum, Side Letter amendments and certificate templates described above. Once the Side Letters and LPA are provided, we will issue a supplemented matrix before the Q4 2024 cycle begins.</w:t>
      </w:r>
    </w:p>
    <w:p>
      <w:pPr>
        <w:spacing w:after="120"/>
      </w:pPr>
      <w:r>
        <w:rPr>
          <w:b w:val="0"/>
          <w:i/>
          <w:sz w:val="21"/>
        </w:rPr>
        <w:t>— Briarwood &amp; Calloway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Privileged &amp; Confidential — Attorney-Client Communication / Attorney Work Product — Draft for Client Review   |   Page </w:t>
    </w:r>
    <w:r>
      <w:rPr>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