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b/>
          <w:i w:val="0"/>
          <w:sz w:val="18"/>
        </w:rPr>
        <w:t>PRIVILEGED &amp; CONFIDENTIAL — ATTORNEY-CLIENT COMMUNICATION — ATTORNEY WORK PRODUCT</w:t>
      </w:r>
    </w:p>
    <w:p>
      <w:pPr>
        <w:spacing w:after="240"/>
        <w:jc w:val="center"/>
      </w:pPr>
      <w:r>
        <w:rPr>
          <w:b/>
          <w:i w:val="0"/>
          <w:sz w:val="18"/>
        </w:rPr>
        <w:t>DRAFT FOR CLIENT REVIEW — NOT FOR DISTRIBUTION TO LIMITED PARTNERS OR LP COUNSEL</w:t>
      </w:r>
    </w:p>
    <w:p>
      <w:pPr>
        <w:spacing w:after="40"/>
        <w:jc w:val="center"/>
      </w:pPr>
      <w:r>
        <w:rPr>
          <w:b/>
          <w:i w:val="0"/>
          <w:sz w:val="28"/>
        </w:rPr>
        <w:t>ASHBRIDGE &amp; LOWE LLP</w:t>
      </w:r>
    </w:p>
    <w:p>
      <w:pPr>
        <w:spacing w:after="240"/>
        <w:jc w:val="center"/>
      </w:pPr>
      <w:r>
        <w:rPr>
          <w:b/>
          <w:i w:val="0"/>
          <w:sz w:val="24"/>
        </w:rPr>
        <w:t>MEMORANDUM</w:t>
      </w:r>
    </w:p>
    <w:tbl>
      <w:tblPr>
        <w:tblW w:type="auto" w:w="0"/>
        <w:tblLook w:firstColumn="1" w:firstRow="1" w:lastColumn="0" w:lastRow="0" w:noHBand="0" w:noVBand="1" w:val="04A0"/>
      </w:tblPr>
      <w:tblGrid>
        <w:gridCol w:w="4680"/>
        <w:gridCol w:w="4680"/>
      </w:tblGrid>
      <w:tr>
        <w:tc>
          <w:tcPr>
            <w:tcW w:type="dxa" w:w="1584"/>
          </w:tcPr>
          <w:p>
            <w:r>
              <w:rPr>
                <w:b/>
              </w:rPr>
              <w:t>TO:</w:t>
            </w:r>
          </w:p>
        </w:tc>
        <w:tc>
          <w:tcPr>
            <w:tcW w:type="dxa" w:w="7776"/>
          </w:tcPr>
          <w:p>
            <w:r>
              <w:t>Marcus Thornfield, Founder &amp; Managing Partner, Thornfield Capital Partners LLC</w:t>
              <w:br/>
              <w:t>cc: Serena Hayworth, Partner &amp; Co-CIO</w:t>
            </w:r>
          </w:p>
        </w:tc>
      </w:tr>
      <w:tr>
        <w:tc>
          <w:tcPr>
            <w:tcW w:type="dxa" w:w="1584"/>
          </w:tcPr>
          <w:p>
            <w:r>
              <w:rPr>
                <w:b/>
              </w:rPr>
              <w:t>FROM:</w:t>
            </w:r>
          </w:p>
        </w:tc>
        <w:tc>
          <w:tcPr>
            <w:tcW w:type="dxa" w:w="7776"/>
          </w:tcPr>
          <w:p>
            <w:r>
              <w:t>Rebecca Yardley, Partner; Dara Kessler, Associate — Ashbridge &amp; Lowe LLP</w:t>
            </w:r>
          </w:p>
        </w:tc>
      </w:tr>
      <w:tr>
        <w:tc>
          <w:tcPr>
            <w:tcW w:type="dxa" w:w="1584"/>
          </w:tcPr>
          <w:p>
            <w:r>
              <w:rPr>
                <w:b/>
              </w:rPr>
              <w:t>DATE:</w:t>
            </w:r>
          </w:p>
        </w:tc>
        <w:tc>
          <w:tcPr>
            <w:tcW w:type="dxa" w:w="7776"/>
          </w:tcPr>
          <w:p>
            <w:r>
              <w:t>April 25, 2025</w:t>
            </w:r>
          </w:p>
        </w:tc>
      </w:tr>
      <w:tr>
        <w:tc>
          <w:tcPr>
            <w:tcW w:type="dxa" w:w="1584"/>
          </w:tcPr>
          <w:p>
            <w:r>
              <w:rPr>
                <w:b/>
              </w:rPr>
              <w:t>RE:</w:t>
            </w:r>
          </w:p>
        </w:tc>
        <w:tc>
          <w:tcPr>
            <w:tcW w:type="dxa" w:w="7776"/>
          </w:tcPr>
          <w:p>
            <w:r>
              <w:t>Thornfield Capital Partners Fund IV, L.P. — Response to Meridian State Teachers’ Retirement System LPA Markup and Side Letter Request (Haverstraw Pierce LLP, April 22, 2025): Recommended Positions</w:t>
            </w:r>
          </w:p>
        </w:tc>
      </w:tr>
      <w:tr>
        <w:tc>
          <w:tcPr>
            <w:tcW w:type="dxa" w:w="1584"/>
          </w:tcPr>
          <w:p>
            <w:r>
              <w:rPr>
                <w:b/>
              </w:rPr>
              <w:t>ATTACHMENT:</w:t>
            </w:r>
          </w:p>
        </w:tc>
        <w:tc>
          <w:tcPr>
            <w:tcW w:type="dxa" w:w="7776"/>
          </w:tcPr>
          <w:p>
            <w:r>
              <w:t>comment-tracker.xlsx (comment-by-comment tracker, corrected fee/MFN sensitivity, MFN exposure map, removal math, precedent matrix, discrepancy log)</w:t>
            </w:r>
          </w:p>
        </w:tc>
      </w:tr>
    </w:tbl>
    <w:p>
      <w:pPr>
        <w:spacing w:after="80"/>
      </w:pPr>
    </w:p>
    <w:p>
      <w:pPr>
        <w:pStyle w:val="Heading1"/>
      </w:pPr>
      <w:r>
        <w:t>I. Executive Summary</w:t>
      </w:r>
    </w:p>
    <w:p>
      <w:pPr>
        <w:spacing w:after="120"/>
      </w:pPr>
      <w:r>
        <w:rPr>
          <w:b w:val="0"/>
          <w:i w:val="0"/>
        </w:rPr>
        <w:t>Meridian STRS ($125M; 6.94% of the $1.8B target) delivered 23 comments to the executed Fund IV LPA and a 17-section side letter request. You asked for comment-by-comment accept/reject/compromise recommendations before anything goes to Lionel Huang, with the response due May 9 and a June 30 second close. Our bottom line: we can get to “yes” on this relationship without moving on any of your red lines. To do so, we would (i) take every Meridian-specific accommodation out of the fund-wide LPA and put it in the side letter, and (ii) offer a public-pension package built on precedent the GP has already granted.</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160"/>
            <w:shd w:val="clear" w:color="auto" w:fill="1F3864"/>
          </w:tcPr>
          <w:p>
            <w:r/>
            <w:r>
              <w:rPr>
                <w:b/>
                <w:color w:val="FFFFFF"/>
                <w:sz w:val="18"/>
              </w:rPr>
              <w:t>Disposition</w:t>
            </w:r>
          </w:p>
        </w:tc>
        <w:tc>
          <w:tcPr>
            <w:tcW w:type="dxa" w:w="1584"/>
            <w:shd w:val="clear" w:color="auto" w:fill="1F3864"/>
          </w:tcPr>
          <w:p>
            <w:r/>
            <w:r>
              <w:rPr>
                <w:b/>
                <w:color w:val="FFFFFF"/>
                <w:sz w:val="18"/>
              </w:rPr>
              <w:t>LPA comments (#1–23)</w:t>
            </w:r>
          </w:p>
        </w:tc>
        <w:tc>
          <w:tcPr>
            <w:tcW w:type="dxa" w:w="1584"/>
            <w:shd w:val="clear" w:color="auto" w:fill="1F3864"/>
          </w:tcPr>
          <w:p>
            <w:r/>
            <w:r>
              <w:rPr>
                <w:b/>
                <w:color w:val="FFFFFF"/>
                <w:sz w:val="18"/>
              </w:rPr>
              <w:t>Side-letter-only items</w:t>
            </w:r>
          </w:p>
        </w:tc>
        <w:tc>
          <w:tcPr>
            <w:tcW w:type="dxa" w:w="4032"/>
            <w:shd w:val="clear" w:color="auto" w:fill="1F3864"/>
          </w:tcPr>
          <w:p>
            <w:r/>
            <w:r>
              <w:rPr>
                <w:b/>
                <w:color w:val="FFFFFF"/>
                <w:sz w:val="18"/>
              </w:rPr>
              <w:t>Comments</w:t>
            </w:r>
          </w:p>
        </w:tc>
      </w:tr>
      <w:tr>
        <w:tc>
          <w:tcPr>
            <w:tcW w:type="dxa" w:w="2160"/>
            <w:shd w:val="clear" w:color="auto" w:fill="A9D08E"/>
          </w:tcPr>
          <w:p>
            <w:r/>
            <w:r>
              <w:rPr>
                <w:b/>
                <w:sz w:val="18"/>
              </w:rPr>
              <w:t>Accept</w:t>
            </w:r>
          </w:p>
        </w:tc>
        <w:tc>
          <w:tcPr>
            <w:tcW w:type="dxa" w:w="1584"/>
          </w:tcPr>
          <w:p>
            <w:r/>
            <w:r>
              <w:rPr>
                <w:sz w:val="18"/>
              </w:rPr>
              <w:t>2</w:t>
            </w:r>
          </w:p>
        </w:tc>
        <w:tc>
          <w:tcPr>
            <w:tcW w:type="dxa" w:w="1584"/>
          </w:tcPr>
          <w:p>
            <w:r/>
            <w:r>
              <w:rPr>
                <w:sz w:val="18"/>
              </w:rPr>
              <w:t>0</w:t>
            </w:r>
          </w:p>
        </w:tc>
        <w:tc>
          <w:tcPr>
            <w:tcW w:type="dxa" w:w="4032"/>
          </w:tcPr>
          <w:p>
            <w:r/>
            <w:r>
              <w:rPr>
                <w:sz w:val="18"/>
              </w:rPr>
              <w:t>#15 LPAC seat; #23 sovereign immunity (both in the side letter)</w:t>
            </w:r>
          </w:p>
        </w:tc>
      </w:tr>
      <w:tr>
        <w:tc>
          <w:tcPr>
            <w:tcW w:type="dxa" w:w="2160"/>
            <w:shd w:val="clear" w:color="auto" w:fill="C6E0B4"/>
          </w:tcPr>
          <w:p>
            <w:r/>
            <w:r>
              <w:rPr>
                <w:b/>
                <w:sz w:val="18"/>
              </w:rPr>
              <w:t>Accept with modifications</w:t>
            </w:r>
          </w:p>
        </w:tc>
        <w:tc>
          <w:tcPr>
            <w:tcW w:type="dxa" w:w="1584"/>
          </w:tcPr>
          <w:p>
            <w:r/>
            <w:r>
              <w:rPr>
                <w:sz w:val="18"/>
              </w:rPr>
              <w:t>4</w:t>
            </w:r>
          </w:p>
        </w:tc>
        <w:tc>
          <w:tcPr>
            <w:tcW w:type="dxa" w:w="1584"/>
          </w:tcPr>
          <w:p>
            <w:r/>
            <w:r>
              <w:rPr>
                <w:sz w:val="18"/>
              </w:rPr>
              <w:t>3</w:t>
            </w:r>
          </w:p>
        </w:tc>
        <w:tc>
          <w:tcPr>
            <w:tcW w:type="dxa" w:w="4032"/>
          </w:tcPr>
          <w:p>
            <w:r/>
            <w:r>
              <w:rPr>
                <w:sz w:val="18"/>
              </w:rPr>
              <w:t>#4 excuse rights; #11 sub-line reporting; #19 transfer consent; #22 quarterly reporting</w:t>
            </w:r>
          </w:p>
        </w:tc>
      </w:tr>
      <w:tr>
        <w:tc>
          <w:tcPr>
            <w:tcW w:type="dxa" w:w="2160"/>
            <w:shd w:val="clear" w:color="auto" w:fill="FFE699"/>
          </w:tcPr>
          <w:p>
            <w:r/>
            <w:r>
              <w:rPr>
                <w:b/>
                <w:sz w:val="18"/>
              </w:rPr>
              <w:t>Compromise</w:t>
            </w:r>
          </w:p>
        </w:tc>
        <w:tc>
          <w:tcPr>
            <w:tcW w:type="dxa" w:w="1584"/>
          </w:tcPr>
          <w:p>
            <w:r/>
            <w:r>
              <w:rPr>
                <w:sz w:val="18"/>
              </w:rPr>
              <w:t>9</w:t>
            </w:r>
          </w:p>
        </w:tc>
        <w:tc>
          <w:tcPr>
            <w:tcW w:type="dxa" w:w="1584"/>
          </w:tcPr>
          <w:p>
            <w:r/>
            <w:r>
              <w:rPr>
                <w:sz w:val="18"/>
              </w:rPr>
              <w:t>1</w:t>
            </w:r>
          </w:p>
        </w:tc>
        <w:tc>
          <w:tcPr>
            <w:tcW w:type="dxa" w:w="4032"/>
          </w:tcPr>
          <w:p>
            <w:r/>
            <w:r>
              <w:rPr>
                <w:sz w:val="18"/>
              </w:rPr>
              <w:t>#5, #7, #8, #12, #14, #16, #17, #20, #21</w:t>
            </w:r>
          </w:p>
        </w:tc>
      </w:tr>
      <w:tr>
        <w:tc>
          <w:tcPr>
            <w:tcW w:type="dxa" w:w="2160"/>
            <w:shd w:val="clear" w:color="auto" w:fill="F8CBAD"/>
          </w:tcPr>
          <w:p>
            <w:r/>
            <w:r>
              <w:rPr>
                <w:b/>
                <w:sz w:val="18"/>
              </w:rPr>
              <w:t>Reject</w:t>
            </w:r>
          </w:p>
        </w:tc>
        <w:tc>
          <w:tcPr>
            <w:tcW w:type="dxa" w:w="1584"/>
          </w:tcPr>
          <w:p>
            <w:r/>
            <w:r>
              <w:rPr>
                <w:sz w:val="18"/>
              </w:rPr>
              <w:t>8</w:t>
            </w:r>
          </w:p>
        </w:tc>
        <w:tc>
          <w:tcPr>
            <w:tcW w:type="dxa" w:w="1584"/>
          </w:tcPr>
          <w:p>
            <w:r/>
            <w:r>
              <w:rPr>
                <w:sz w:val="18"/>
              </w:rPr>
              <w:t>4</w:t>
            </w:r>
          </w:p>
        </w:tc>
        <w:tc>
          <w:tcPr>
            <w:tcW w:type="dxa" w:w="4032"/>
          </w:tcPr>
          <w:p>
            <w:r/>
            <w:r>
              <w:rPr>
                <w:sz w:val="18"/>
              </w:rPr>
              <w:t>#1, #2, #3, #6, #9, #10, #13, #18 (a fee fallback is reserved on #3/#9)</w:t>
            </w:r>
          </w:p>
        </w:tc>
      </w:tr>
      <w:tr>
        <w:tc>
          <w:tcPr>
            <w:tcW w:type="dxa" w:w="2160"/>
            <w:shd w:val="clear" w:color="auto" w:fill="D9D9D9"/>
          </w:tcPr>
          <w:p>
            <w:r/>
            <w:r>
              <w:rPr>
                <w:b/>
                <w:sz w:val="18"/>
              </w:rPr>
              <w:t>Hold – verify precedent</w:t>
            </w:r>
          </w:p>
        </w:tc>
        <w:tc>
          <w:tcPr>
            <w:tcW w:type="dxa" w:w="1584"/>
          </w:tcPr>
          <w:p>
            <w:r/>
            <w:r>
              <w:rPr>
                <w:sz w:val="18"/>
              </w:rPr>
              <w:t>0</w:t>
            </w:r>
          </w:p>
        </w:tc>
        <w:tc>
          <w:tcPr>
            <w:tcW w:type="dxa" w:w="1584"/>
          </w:tcPr>
          <w:p>
            <w:r/>
            <w:r>
              <w:rPr>
                <w:sz w:val="18"/>
              </w:rPr>
              <w:t>1</w:t>
            </w:r>
          </w:p>
        </w:tc>
        <w:tc>
          <w:tcPr>
            <w:tcW w:type="dxa" w:w="4032"/>
          </w:tcPr>
          <w:p>
            <w:r/>
            <w:r>
              <w:rPr>
                <w:sz w:val="18"/>
              </w:rPr>
              <w:t>SL §7.3 co-investment economics (internal records conflict)</w:t>
            </w:r>
          </w:p>
        </w:tc>
      </w:tr>
    </w:tbl>
    <w:p>
      <w:pPr>
        <w:spacing w:after="40"/>
      </w:pPr>
    </w:p>
    <w:p>
      <w:pPr>
        <w:spacing w:after="120"/>
      </w:pPr>
      <w:r>
        <w:rPr>
          <w:b/>
          <w:i w:val="0"/>
        </w:rPr>
        <w:t>Key conclusions:</w:t>
      </w:r>
    </w:p>
    <w:p>
      <w:pPr>
        <w:pStyle w:val="ListBullet"/>
        <w:spacing w:after="60"/>
      </w:pPr>
      <w:r>
        <w:rPr>
          <w:b/>
        </w:rPr>
        <w:t>Structure.</w:t>
      </w:r>
      <w:r>
        <w:t xml:space="preserve"> The markup amends the executed, fund-wide LPA. As drafted, the fee and carry cuts, provision-by-provision MFN, 60% removal and the Key Person trigger would apply to all 15 LPs and require Majority in Interest consent (§17.1(b)). LP-specific terms belong in a side letter (§8.6, §16.1, Exhibit E). Even Meridian’s own side letter (§15.2) concedes the point on removal. We recommend returning a clean LPA with no changes, plus a GP turn of the side letter.</w:t>
      </w:r>
    </w:p>
    <w:p>
      <w:pPr>
        <w:pStyle w:val="ListBullet"/>
        <w:spacing w:after="60"/>
      </w:pPr>
      <w:r>
        <w:rPr>
          <w:b/>
        </w:rPr>
        <w:t>Red lines (6).</w:t>
      </w:r>
      <w:r>
        <w:t xml:space="preserve"> (1) No-fault removal stays at 75%. (2) Carry stays at 20%. (3) No gross-up of the clawback and no uncapped guarantees. (4) Whole-letter MFN stays. (5) No disclosure of which LPs Calderbank introduced. (6) No co-investment ROFO and no override of the LPAC allocation policy.</w:t>
      </w:r>
    </w:p>
    <w:p>
      <w:pPr>
        <w:pStyle w:val="ListBullet"/>
        <w:spacing w:after="60"/>
      </w:pPr>
      <w:r>
        <w:rPr>
          <w:b/>
        </w:rPr>
        <w:t>Principal gives.</w:t>
      </w:r>
      <w:r>
        <w:t xml:space="preserve"> LPAC seat; a FOIA/MORA carve-out mirroring MPRSTA’s own notice-and-challenge procedure; side-letter excuse rights for the four IPS sectors; pro-rata co-investment on first-close terms; a 30% clawback escrow (Vandermeer precedent); transfer consent not unreasonably withheld; sovereign immunity; MPRSTA reporting and sub-line transparency; annual ESG report; best-efforts investor day.</w:t>
      </w:r>
    </w:p>
    <w:p>
      <w:pPr>
        <w:pStyle w:val="ListBullet"/>
        <w:spacing w:after="60"/>
      </w:pPr>
      <w:r>
        <w:rPr>
          <w:b/>
        </w:rPr>
        <w:t>Economics.</w:t>
      </w:r>
      <w:r>
        <w:t xml:space="preserve"> Our recommendation is to hold 2.0% in the first response. Subject to your prior approval, we would reserve a 1.90% Investment Period rate as a package-closing fallback. That is Eastbridge’s Fund III rate on an identical $125M commitment, with a floor of 1.85% and the post-Investment Period fee unchanged. The 10bp fallback costs $125K/yr direct and up to $600K/yr through MFN (about $4.35M over the Investment Period).</w:t>
      </w:r>
    </w:p>
    <w:p>
      <w:pPr>
        <w:pStyle w:val="ListBullet"/>
        <w:spacing w:after="60"/>
      </w:pPr>
      <w:r>
        <w:rPr>
          <w:b/>
        </w:rPr>
        <w:t>Corrections you asked for.</w:t>
      </w:r>
      <w:r>
        <w:t xml:space="preserve"> The internal term sheet sensitivity materially misstates the exposure and should not be used for the decision. It models 15bp, but Meridian asks for 25bp plus a 25bp post-Investment Period cut. It shows 15bp on $125M as $112,500/yr (correct: $187,500). It states the Investment Period fee baseline as $21.6M/yr (correct: $36.0M). It assumes 8 MFN-eligible LPs with $925M, but the first-close data shows 4 LPs totaling $600M. Corrected figures are in Section IV.B and the workbook.</w:t>
      </w:r>
    </w:p>
    <w:p>
      <w:pPr>
        <w:pStyle w:val="ListBullet"/>
        <w:spacing w:after="60"/>
      </w:pPr>
      <w:r>
        <w:rPr>
          <w:b/>
        </w:rPr>
        <w:t>Statute supports the GP.</w:t>
      </w:r>
      <w:r>
        <w:t xml:space="preserve"> MPRSTA §24-51-207(d) expressly provides that the Fund Manager need not disclose other investors introduced by a placement agent, and §24-51-210(b) builds in GP notice and a 15-business-day protective window for MORA requests. Meridian’s own statute supports your positions on Calderbank and FOIA.</w:t>
      </w:r>
    </w:p>
    <w:p>
      <w:pPr>
        <w:pStyle w:val="ListBullet"/>
        <w:spacing w:after="60"/>
      </w:pPr>
      <w:r>
        <w:rPr>
          <w:b/>
        </w:rPr>
        <w:t>Gaps.</w:t>
      </w:r>
      <w:r>
        <w:t xml:space="preserve"> The credit facility term sheet was not in the materials provided, so we cannot yet confirm the lender-covenant point on removal. Executed first-close side letters are needed to resolve conflicting internal records on co-investment fees and carry. Calderbank’s engagement letter must be checked before any aggregate-fee disclosure.</w:t>
      </w:r>
    </w:p>
    <w:p>
      <w:pPr>
        <w:pStyle w:val="Heading1"/>
      </w:pPr>
      <w:r>
        <w:t>II. Background and Documents Reviewed</w:t>
      </w:r>
    </w:p>
    <w:p>
      <w:pPr>
        <w:spacing w:after="120"/>
      </w:pPr>
      <w:r>
        <w:rPr>
          <w:b w:val="0"/>
          <w:i w:val="0"/>
        </w:rPr>
        <w:t>We reviewed in full: (1) the Meridian STRS markup of the Amended and Restated LPA dated March 15, 2025, including its 23-comment index (Appendix 1). We compared the unmarked text against the executed LPA and found no untracked changes. (2) The Meridian side letter request and Haverstraw Pierce cover letter (both April 22, 2025). (3) The executed Fund IV LPA. (4) The internal Term Sheet Summary and Fee Sensitivity Analysis (March 2025, updated April 2025). (5) The Fund III side letter tracker (LP summary, provisions, MFN elections). (6) The Fund IV first-close side letter summary (14 LPs, $980M). (7) Our MPRSTA excerpts and practice notes (MPRSTA §§24-51-201 to 215, as amended in 2023). (8) Your April 24 email.</w:t>
      </w:r>
    </w:p>
    <w:p>
      <w:pPr>
        <w:spacing w:after="120"/>
      </w:pPr>
      <w:r>
        <w:rPr>
          <w:b w:val="0"/>
          <w:i w:val="0"/>
        </w:rPr>
        <w:t>Key facts. First close March 15, 2025: $980M from 14 LPs. No first-close LP received a fee discount, a carry reduction, a ROFO, provision-by-provision MFN or a removal-threshold change. Meridian was a $75M Fund III LP admitted at the Fund III second close (June 1, 2018) with no fee discount; its Fund III letter covered quarterly reporting, a FOIA carve-out with 10 business days’ notice, whole-letter MFN, an LPAC seat and transfer consent. Meridian was not introduced by Calderbank; no placement fee is attributable to its commitment. Timeline: principal call with Sandra Beaulieu April 28–29; our strategy call May 5–6; response to Haverstraw Pierce May 9; second close June 30.</w:t>
      </w:r>
    </w:p>
    <w:p>
      <w:pPr>
        <w:pStyle w:val="Heading1"/>
      </w:pPr>
      <w:r>
        <w:t>III. Structural Approach and MFN Architecture</w:t>
      </w:r>
    </w:p>
    <w:p>
      <w:pPr>
        <w:pStyle w:val="Heading2"/>
      </w:pPr>
      <w:r>
        <w:t>A. Keep the LPA clean; use the side letter</w:t>
      </w:r>
    </w:p>
    <w:p>
      <w:pPr>
        <w:spacing w:after="120"/>
      </w:pPr>
      <w:r>
        <w:rPr>
          <w:b w:val="0"/>
          <w:i w:val="0"/>
        </w:rPr>
        <w:t>The LPA was executed at first close and binds 14 LPs. Amendments other than ministerial or LP-favorable changes that do not adversely affect any LP require Majority in Interest consent (§17.1(a)–(b)). Many of the markup’s changes, such as fee, carry and Key Person, would apply fund-wide simply because they sit in the LPA. Several also name Meridian in the LPA itself (§§3.6(e), 4.3(c)/(f), 6.5, 9.1(f), 18.1), which is inappropriate for a fund-wide instrument. Our response should state that the GP will not reopen the executed LPA for one second-close investor. Agreed accommodations will be documented in the side letter, which governs for Meridian to the extent of conflict (§16.1), subject to §8.6: a side letter may not impose obligations on the Partnership or other Partners, or adversely affect other Partners, without their consent. That limit independently defeats the ROFO-override (§4.3(f)) and the blocker-at-Fund-expense request (SL §11.3).</w:t>
      </w:r>
    </w:p>
    <w:p>
      <w:pPr>
        <w:pStyle w:val="Heading2"/>
      </w:pPr>
      <w:r>
        <w:t>B. Who can elect what Meridian receives</w:t>
      </w:r>
    </w:p>
    <w:p>
      <w:pPr>
        <w:spacing w:after="120"/>
      </w:pPr>
      <w:r>
        <w:rPr>
          <w:b w:val="0"/>
          <w:i w:val="0"/>
        </w:rPr>
        <w:t>Under LPA §8.7/§16.2, an LP with at least $75M may elect, on a whole-letter basis, any side letter of an LP whose commitment does not exceed 150% of its own. The first-close letters use an “equal or lesser commitment” test. Applying both tests to the first-close data:</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2448"/>
            <w:shd w:val="clear" w:color="auto" w:fill="1F3864"/>
          </w:tcPr>
          <w:p>
            <w:r/>
            <w:r>
              <w:rPr>
                <w:b/>
                <w:color w:val="FFFFFF"/>
                <w:sz w:val="18"/>
              </w:rPr>
              <w:t>First-close LP</w:t>
            </w:r>
          </w:p>
        </w:tc>
        <w:tc>
          <w:tcPr>
            <w:tcW w:type="dxa" w:w="1296"/>
            <w:shd w:val="clear" w:color="auto" w:fill="1F3864"/>
          </w:tcPr>
          <w:p>
            <w:r/>
            <w:r>
              <w:rPr>
                <w:b/>
                <w:color w:val="FFFFFF"/>
                <w:sz w:val="18"/>
              </w:rPr>
              <w:t>Commitment</w:t>
            </w:r>
          </w:p>
        </w:tc>
        <w:tc>
          <w:tcPr>
            <w:tcW w:type="dxa" w:w="2160"/>
            <w:shd w:val="clear" w:color="auto" w:fill="1F3864"/>
          </w:tcPr>
          <w:p>
            <w:r/>
            <w:r>
              <w:rPr>
                <w:b/>
                <w:color w:val="FFFFFF"/>
                <w:sz w:val="18"/>
              </w:rPr>
              <w:t>Can elect a Meridian letter (LPA 150% test)</w:t>
            </w:r>
          </w:p>
        </w:tc>
        <w:tc>
          <w:tcPr>
            <w:tcW w:type="dxa" w:w="1584"/>
            <w:shd w:val="clear" w:color="auto" w:fill="1F3864"/>
          </w:tcPr>
          <w:p>
            <w:r/>
            <w:r>
              <w:rPr>
                <w:b/>
                <w:color w:val="FFFFFF"/>
                <w:sz w:val="18"/>
              </w:rPr>
              <w:t>Equal-or-lesser test</w:t>
            </w:r>
          </w:p>
        </w:tc>
        <w:tc>
          <w:tcPr>
            <w:tcW w:type="dxa" w:w="1872"/>
            <w:shd w:val="clear" w:color="auto" w:fill="1F3864"/>
          </w:tcPr>
          <w:p>
            <w:r/>
            <w:r>
              <w:rPr>
                <w:b/>
                <w:color w:val="FFFFFF"/>
                <w:sz w:val="18"/>
              </w:rPr>
              <w:t>Meridian can elect its letter</w:t>
            </w:r>
          </w:p>
        </w:tc>
      </w:tr>
      <w:tr>
        <w:tc>
          <w:tcPr>
            <w:tcW w:type="dxa" w:w="2448"/>
          </w:tcPr>
          <w:p>
            <w:r/>
            <w:r>
              <w:rPr>
                <w:sz w:val="18"/>
              </w:rPr>
              <w:t>Osprey State Pension Fund</w:t>
            </w:r>
          </w:p>
        </w:tc>
        <w:tc>
          <w:tcPr>
            <w:tcW w:type="dxa" w:w="1296"/>
          </w:tcPr>
          <w:p>
            <w:r/>
            <w:r>
              <w:rPr>
                <w:sz w:val="18"/>
              </w:rPr>
              <w:t>$200M</w:t>
            </w:r>
          </w:p>
        </w:tc>
        <w:tc>
          <w:tcPr>
            <w:tcW w:type="dxa" w:w="2160"/>
          </w:tcPr>
          <w:p>
            <w:r/>
            <w:r>
              <w:rPr>
                <w:sz w:val="18"/>
              </w:rPr>
              <w:t>Yes</w:t>
            </w:r>
          </w:p>
        </w:tc>
        <w:tc>
          <w:tcPr>
            <w:tcW w:type="dxa" w:w="1584"/>
          </w:tcPr>
          <w:p>
            <w:r/>
            <w:r>
              <w:rPr>
                <w:sz w:val="18"/>
              </w:rPr>
              <w:t>Yes</w:t>
            </w:r>
          </w:p>
        </w:tc>
        <w:tc>
          <w:tcPr>
            <w:tcW w:type="dxa" w:w="1872"/>
          </w:tcPr>
          <w:p>
            <w:r/>
            <w:r>
              <w:rPr>
                <w:sz w:val="18"/>
              </w:rPr>
              <w:t>No (exceeds $187.5M)</w:t>
            </w:r>
          </w:p>
        </w:tc>
      </w:tr>
      <w:tr>
        <w:tc>
          <w:tcPr>
            <w:tcW w:type="dxa" w:w="2448"/>
          </w:tcPr>
          <w:p>
            <w:r/>
            <w:r>
              <w:rPr>
                <w:sz w:val="18"/>
              </w:rPr>
              <w:t>Eastbridge SWF</w:t>
            </w:r>
          </w:p>
        </w:tc>
        <w:tc>
          <w:tcPr>
            <w:tcW w:type="dxa" w:w="1296"/>
          </w:tcPr>
          <w:p>
            <w:r/>
            <w:r>
              <w:rPr>
                <w:sz w:val="18"/>
              </w:rPr>
              <w:t>$175M</w:t>
            </w:r>
          </w:p>
        </w:tc>
        <w:tc>
          <w:tcPr>
            <w:tcW w:type="dxa" w:w="2160"/>
          </w:tcPr>
          <w:p>
            <w:r/>
            <w:r>
              <w:rPr>
                <w:sz w:val="18"/>
              </w:rPr>
              <w:t>Yes</w:t>
            </w:r>
          </w:p>
        </w:tc>
        <w:tc>
          <w:tcPr>
            <w:tcW w:type="dxa" w:w="1584"/>
          </w:tcPr>
          <w:p>
            <w:r/>
            <w:r>
              <w:rPr>
                <w:sz w:val="18"/>
              </w:rPr>
              <w:t>Yes</w:t>
            </w:r>
          </w:p>
        </w:tc>
        <w:tc>
          <w:tcPr>
            <w:tcW w:type="dxa" w:w="1872"/>
          </w:tcPr>
          <w:p>
            <w:r/>
            <w:r>
              <w:rPr>
                <w:sz w:val="18"/>
              </w:rPr>
              <w:t>Yes</w:t>
            </w:r>
          </w:p>
        </w:tc>
      </w:tr>
      <w:tr>
        <w:tc>
          <w:tcPr>
            <w:tcW w:type="dxa" w:w="2448"/>
          </w:tcPr>
          <w:p>
            <w:r/>
            <w:r>
              <w:rPr>
                <w:sz w:val="18"/>
              </w:rPr>
              <w:t>Great Lakes TRS</w:t>
            </w:r>
          </w:p>
        </w:tc>
        <w:tc>
          <w:tcPr>
            <w:tcW w:type="dxa" w:w="1296"/>
          </w:tcPr>
          <w:p>
            <w:r/>
            <w:r>
              <w:rPr>
                <w:sz w:val="18"/>
              </w:rPr>
              <w:t>$125M</w:t>
            </w:r>
          </w:p>
        </w:tc>
        <w:tc>
          <w:tcPr>
            <w:tcW w:type="dxa" w:w="2160"/>
          </w:tcPr>
          <w:p>
            <w:r/>
            <w:r>
              <w:rPr>
                <w:sz w:val="18"/>
              </w:rPr>
              <w:t>Yes</w:t>
            </w:r>
          </w:p>
        </w:tc>
        <w:tc>
          <w:tcPr>
            <w:tcW w:type="dxa" w:w="1584"/>
          </w:tcPr>
          <w:p>
            <w:r/>
            <w:r>
              <w:rPr>
                <w:sz w:val="18"/>
              </w:rPr>
              <w:t>Yes</w:t>
            </w:r>
          </w:p>
        </w:tc>
        <w:tc>
          <w:tcPr>
            <w:tcW w:type="dxa" w:w="1872"/>
          </w:tcPr>
          <w:p>
            <w:r/>
            <w:r>
              <w:rPr>
                <w:sz w:val="18"/>
              </w:rPr>
              <w:t>Yes</w:t>
            </w:r>
          </w:p>
        </w:tc>
      </w:tr>
      <w:tr>
        <w:tc>
          <w:tcPr>
            <w:tcW w:type="dxa" w:w="2448"/>
          </w:tcPr>
          <w:p>
            <w:r/>
            <w:r>
              <w:rPr>
                <w:sz w:val="18"/>
              </w:rPr>
              <w:t>Pinnacle Insurance</w:t>
            </w:r>
          </w:p>
        </w:tc>
        <w:tc>
          <w:tcPr>
            <w:tcW w:type="dxa" w:w="1296"/>
          </w:tcPr>
          <w:p>
            <w:r/>
            <w:r>
              <w:rPr>
                <w:sz w:val="18"/>
              </w:rPr>
              <w:t>$100M</w:t>
            </w:r>
          </w:p>
        </w:tc>
        <w:tc>
          <w:tcPr>
            <w:tcW w:type="dxa" w:w="2160"/>
          </w:tcPr>
          <w:p>
            <w:r/>
            <w:r>
              <w:rPr>
                <w:sz w:val="18"/>
              </w:rPr>
              <w:t>Yes</w:t>
            </w:r>
          </w:p>
        </w:tc>
        <w:tc>
          <w:tcPr>
            <w:tcW w:type="dxa" w:w="1584"/>
          </w:tcPr>
          <w:p>
            <w:r/>
            <w:r>
              <w:rPr>
                <w:sz w:val="18"/>
              </w:rPr>
              <w:t>No</w:t>
            </w:r>
          </w:p>
        </w:tc>
        <w:tc>
          <w:tcPr>
            <w:tcW w:type="dxa" w:w="1872"/>
          </w:tcPr>
          <w:p>
            <w:r/>
            <w:r>
              <w:rPr>
                <w:sz w:val="18"/>
              </w:rPr>
              <w:t>Yes</w:t>
            </w:r>
          </w:p>
        </w:tc>
      </w:tr>
      <w:tr>
        <w:tc>
          <w:tcPr>
            <w:tcW w:type="dxa" w:w="2448"/>
          </w:tcPr>
          <w:p>
            <w:r/>
            <w:r>
              <w:rPr>
                <w:sz w:val="18"/>
              </w:rPr>
              <w:t>Caledonia PERS / Northvale</w:t>
            </w:r>
          </w:p>
        </w:tc>
        <w:tc>
          <w:tcPr>
            <w:tcW w:type="dxa" w:w="1296"/>
          </w:tcPr>
          <w:p>
            <w:r/>
            <w:r>
              <w:rPr>
                <w:sz w:val="18"/>
              </w:rPr>
              <w:t>$80M / $75M</w:t>
            </w:r>
          </w:p>
        </w:tc>
        <w:tc>
          <w:tcPr>
            <w:tcW w:type="dxa" w:w="2160"/>
          </w:tcPr>
          <w:p>
            <w:r/>
            <w:r>
              <w:rPr>
                <w:sz w:val="18"/>
              </w:rPr>
              <w:t>No (150% &lt; $125M)</w:t>
            </w:r>
          </w:p>
        </w:tc>
        <w:tc>
          <w:tcPr>
            <w:tcW w:type="dxa" w:w="1584"/>
          </w:tcPr>
          <w:p>
            <w:r/>
            <w:r>
              <w:rPr>
                <w:sz w:val="18"/>
              </w:rPr>
              <w:t>No</w:t>
            </w:r>
          </w:p>
        </w:tc>
        <w:tc>
          <w:tcPr>
            <w:tcW w:type="dxa" w:w="1872"/>
          </w:tcPr>
          <w:p>
            <w:r/>
            <w:r>
              <w:rPr>
                <w:sz w:val="18"/>
              </w:rPr>
              <w:t>Yes</w:t>
            </w:r>
          </w:p>
        </w:tc>
      </w:tr>
      <w:tr>
        <w:tc>
          <w:tcPr>
            <w:tcW w:type="dxa" w:w="2448"/>
          </w:tcPr>
          <w:p>
            <w:r/>
            <w:r>
              <w:rPr>
                <w:sz w:val="18"/>
              </w:rPr>
              <w:t>Other 8 LPs</w:t>
            </w:r>
          </w:p>
        </w:tc>
        <w:tc>
          <w:tcPr>
            <w:tcW w:type="dxa" w:w="1296"/>
          </w:tcPr>
          <w:p>
            <w:r/>
            <w:r>
              <w:rPr>
                <w:sz w:val="18"/>
              </w:rPr>
              <w:t>$15–50M</w:t>
            </w:r>
          </w:p>
        </w:tc>
        <w:tc>
          <w:tcPr>
            <w:tcW w:type="dxa" w:w="2160"/>
          </w:tcPr>
          <w:p>
            <w:r/>
            <w:r>
              <w:rPr>
                <w:sz w:val="18"/>
              </w:rPr>
              <w:t>No (below $75M threshold)</w:t>
            </w:r>
          </w:p>
        </w:tc>
        <w:tc>
          <w:tcPr>
            <w:tcW w:type="dxa" w:w="1584"/>
          </w:tcPr>
          <w:p>
            <w:r/>
            <w:r>
              <w:rPr>
                <w:sz w:val="18"/>
              </w:rPr>
              <w:t>No</w:t>
            </w:r>
          </w:p>
        </w:tc>
        <w:tc>
          <w:tcPr>
            <w:tcW w:type="dxa" w:w="1872"/>
          </w:tcPr>
          <w:p>
            <w:r/>
            <w:r>
              <w:rPr>
                <w:sz w:val="18"/>
              </w:rPr>
              <w:t>Yes (whole-letter)</w:t>
            </w:r>
          </w:p>
        </w:tc>
      </w:tr>
      <w:tr>
        <w:tc>
          <w:tcPr>
            <w:tcW w:type="dxa" w:w="2448"/>
          </w:tcPr>
          <w:p>
            <w:r/>
            <w:r>
              <w:rPr>
                <w:sz w:val="18"/>
              </w:rPr>
              <w:t>Total exposure</w:t>
            </w:r>
          </w:p>
        </w:tc>
        <w:tc>
          <w:tcPr>
            <w:tcW w:type="dxa" w:w="1296"/>
          </w:tcPr>
          <w:p>
            <w:r/>
            <w:r>
              <w:rPr>
                <w:sz w:val="18"/>
              </w:rPr>
            </w:r>
          </w:p>
        </w:tc>
        <w:tc>
          <w:tcPr>
            <w:tcW w:type="dxa" w:w="2160"/>
          </w:tcPr>
          <w:p>
            <w:r/>
            <w:r>
              <w:rPr>
                <w:sz w:val="18"/>
              </w:rPr>
              <w:t>$600M</w:t>
            </w:r>
          </w:p>
        </w:tc>
        <w:tc>
          <w:tcPr>
            <w:tcW w:type="dxa" w:w="1584"/>
          </w:tcPr>
          <w:p>
            <w:r/>
            <w:r>
              <w:rPr>
                <w:sz w:val="18"/>
              </w:rPr>
              <w:t>$500M</w:t>
            </w:r>
          </w:p>
        </w:tc>
        <w:tc>
          <w:tcPr>
            <w:tcW w:type="dxa" w:w="1872"/>
          </w:tcPr>
          <w:p>
            <w:r/>
            <w:r>
              <w:rPr>
                <w:sz w:val="18"/>
              </w:rPr>
            </w:r>
          </w:p>
        </w:tc>
      </w:tr>
    </w:tbl>
    <w:p>
      <w:pPr>
        <w:spacing w:after="40"/>
      </w:pPr>
    </w:p>
    <w:p>
      <w:pPr>
        <w:spacing w:after="120"/>
      </w:pPr>
      <w:r>
        <w:rPr>
          <w:b w:val="0"/>
          <w:i w:val="0"/>
        </w:rPr>
        <w:t>Implications. (1) Any economic concession to Meridian can be elected by Osprey, Eastbridge, Great Lakes and probably Pinnacle ($600M), plus any second-close LP of $83.3M or more. The cascade base is $600M, not $925M. (2) Great Lakes TRS is the closest comparable: an identical $125M public pension. It received an LPAC seat, a 10-business-day FOIA carve-out, an annual LP meeting attendance right, placement-agent identity/fee disclosure and ESG reporting at 2.0%/20%. A Great Lakes-equivalent package is the most defensible anchor. (3) Because Meridian can already elect Vandermeer’s whole letter (30% escrow), the escrow concession costs little. (4) In Fund III, whole-letter MFN held the total fee cascade to $170K/yr. Provision-by-provision MFN would remove that brake, which is why #13 is a red line.</w:t>
      </w:r>
    </w:p>
    <w:p>
      <w:pPr>
        <w:pStyle w:val="Heading1"/>
      </w:pPr>
      <w:r>
        <w:t>IV. Priority Issues — Analysis and Recommendations</w:t>
      </w:r>
    </w:p>
    <w:p>
      <w:pPr>
        <w:pStyle w:val="Heading2"/>
      </w:pPr>
      <w:r>
        <w:t>A. No-fault removal: 75% to 60% (Comment #18; SL §15) — REJECT (red line)</w:t>
      </w:r>
    </w:p>
    <w:p>
      <w:pPr>
        <w:spacing w:after="120"/>
      </w:pPr>
      <w:r>
        <w:rPr>
          <w:b w:val="0"/>
          <w:i w:val="0"/>
        </w:rPr>
        <w:t>The Fund IV LPA already reduced the threshold from Fund III’s 80% to 75% at anchor-LP request. No first-close LP received a further change. Measured “in Interest” (LP commitments excluding the GP, §10.3(c)), the coalition math is: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728"/>
            <w:shd w:val="clear" w:color="auto" w:fill="1F3864"/>
          </w:tcPr>
          <w:p>
            <w:r/>
            <w:r>
              <w:rPr>
                <w:b/>
                <w:color w:val="FFFFFF"/>
                <w:sz w:val="18"/>
              </w:rPr>
              <w:t>Threshold</w:t>
            </w:r>
          </w:p>
        </w:tc>
        <w:tc>
          <w:tcPr>
            <w:tcW w:type="dxa" w:w="2448"/>
            <w:shd w:val="clear" w:color="auto" w:fill="1F3864"/>
          </w:tcPr>
          <w:p>
            <w:r/>
            <w:r>
              <w:rPr>
                <w:b/>
                <w:color w:val="FFFFFF"/>
                <w:sz w:val="18"/>
              </w:rPr>
              <w:t>At target ($1.764B LP commitments)</w:t>
            </w:r>
          </w:p>
        </w:tc>
        <w:tc>
          <w:tcPr>
            <w:tcW w:type="dxa" w:w="2448"/>
            <w:shd w:val="clear" w:color="auto" w:fill="1F3864"/>
          </w:tcPr>
          <w:p>
            <w:r/>
            <w:r>
              <w:rPr>
                <w:b/>
                <w:color w:val="FFFFFF"/>
                <w:sz w:val="18"/>
              </w:rPr>
              <w:t>First close + Meridian only ($1.105B)</w:t>
            </w:r>
          </w:p>
        </w:tc>
        <w:tc>
          <w:tcPr>
            <w:tcW w:type="dxa" w:w="2880"/>
            <w:shd w:val="clear" w:color="auto" w:fill="1F3864"/>
          </w:tcPr>
          <w:p>
            <w:r/>
            <w:r>
              <w:rPr>
                <w:b/>
                <w:color w:val="FFFFFF"/>
                <w:sz w:val="18"/>
              </w:rPr>
              <w:t>Osprey + Eastbridge + Great Lakes + Pinnacle + Meridian ($725M) enough?</w:t>
            </w:r>
          </w:p>
        </w:tc>
      </w:tr>
      <w:tr>
        <w:tc>
          <w:tcPr>
            <w:tcW w:type="dxa" w:w="1728"/>
          </w:tcPr>
          <w:p>
            <w:r/>
            <w:r>
              <w:rPr>
                <w:sz w:val="18"/>
              </w:rPr>
              <w:t>60% (requested)</w:t>
            </w:r>
          </w:p>
        </w:tc>
        <w:tc>
          <w:tcPr>
            <w:tcW w:type="dxa" w:w="2448"/>
          </w:tcPr>
          <w:p>
            <w:r/>
            <w:r>
              <w:rPr>
                <w:sz w:val="18"/>
              </w:rPr>
              <w:t>$1,058.4M</w:t>
            </w:r>
          </w:p>
        </w:tc>
        <w:tc>
          <w:tcPr>
            <w:tcW w:type="dxa" w:w="2448"/>
          </w:tcPr>
          <w:p>
            <w:r/>
            <w:r>
              <w:rPr>
                <w:sz w:val="18"/>
              </w:rPr>
              <w:t>$663.0M</w:t>
            </w:r>
          </w:p>
        </w:tc>
        <w:tc>
          <w:tcPr>
            <w:tcW w:type="dxa" w:w="2880"/>
          </w:tcPr>
          <w:p>
            <w:r/>
            <w:r>
              <w:rPr>
                <w:sz w:val="18"/>
              </w:rPr>
              <w:t>Yes — five LPs could remove the GP</w:t>
            </w:r>
          </w:p>
        </w:tc>
      </w:tr>
      <w:tr>
        <w:tc>
          <w:tcPr>
            <w:tcW w:type="dxa" w:w="1728"/>
          </w:tcPr>
          <w:p>
            <w:r/>
            <w:r>
              <w:rPr>
                <w:sz w:val="18"/>
              </w:rPr>
              <w:t>66⅔% (for-cause)</w:t>
            </w:r>
          </w:p>
        </w:tc>
        <w:tc>
          <w:tcPr>
            <w:tcW w:type="dxa" w:w="2448"/>
          </w:tcPr>
          <w:p>
            <w:r/>
            <w:r>
              <w:rPr>
                <w:sz w:val="18"/>
              </w:rPr>
              <w:t>$1,176.0M</w:t>
            </w:r>
          </w:p>
        </w:tc>
        <w:tc>
          <w:tcPr>
            <w:tcW w:type="dxa" w:w="2448"/>
          </w:tcPr>
          <w:p>
            <w:r/>
            <w:r>
              <w:rPr>
                <w:sz w:val="18"/>
              </w:rPr>
              <w:t>$736.7M</w:t>
            </w:r>
          </w:p>
        </w:tc>
        <w:tc>
          <w:tcPr>
            <w:tcW w:type="dxa" w:w="2880"/>
          </w:tcPr>
          <w:p>
            <w:r/>
            <w:r>
              <w:rPr>
                <w:sz w:val="18"/>
              </w:rPr>
              <w:t>No</w:t>
            </w:r>
          </w:p>
        </w:tc>
      </w:tr>
      <w:tr>
        <w:tc>
          <w:tcPr>
            <w:tcW w:type="dxa" w:w="1728"/>
          </w:tcPr>
          <w:p>
            <w:r/>
            <w:r>
              <w:rPr>
                <w:sz w:val="18"/>
              </w:rPr>
              <w:t>75% (current)</w:t>
            </w:r>
          </w:p>
        </w:tc>
        <w:tc>
          <w:tcPr>
            <w:tcW w:type="dxa" w:w="2448"/>
          </w:tcPr>
          <w:p>
            <w:r/>
            <w:r>
              <w:rPr>
                <w:sz w:val="18"/>
              </w:rPr>
              <w:t>$1,323.0M</w:t>
            </w:r>
          </w:p>
        </w:tc>
        <w:tc>
          <w:tcPr>
            <w:tcW w:type="dxa" w:w="2448"/>
          </w:tcPr>
          <w:p>
            <w:r/>
            <w:r>
              <w:rPr>
                <w:sz w:val="18"/>
              </w:rPr>
              <w:t>$828.8M</w:t>
            </w:r>
          </w:p>
        </w:tc>
        <w:tc>
          <w:tcPr>
            <w:tcW w:type="dxa" w:w="2880"/>
          </w:tcPr>
          <w:p>
            <w:r/>
            <w:r>
              <w:rPr>
                <w:sz w:val="18"/>
              </w:rPr>
              <w:t>No — at least seven LPs needed</w:t>
            </w:r>
          </w:p>
        </w:tc>
      </w:tr>
      <w:tr>
        <w:tc>
          <w:tcPr>
            <w:tcW w:type="dxa" w:w="1728"/>
          </w:tcPr>
          <w:p>
            <w:r/>
            <w:r>
              <w:rPr>
                <w:sz w:val="18"/>
              </w:rPr>
              <w:t>80% (Fund III)</w:t>
            </w:r>
          </w:p>
        </w:tc>
        <w:tc>
          <w:tcPr>
            <w:tcW w:type="dxa" w:w="2448"/>
          </w:tcPr>
          <w:p>
            <w:r/>
            <w:r>
              <w:rPr>
                <w:sz w:val="18"/>
              </w:rPr>
              <w:t>$1,411.2M</w:t>
            </w:r>
          </w:p>
        </w:tc>
        <w:tc>
          <w:tcPr>
            <w:tcW w:type="dxa" w:w="2448"/>
          </w:tcPr>
          <w:p>
            <w:r/>
            <w:r>
              <w:rPr>
                <w:sz w:val="18"/>
              </w:rPr>
              <w:t>$884.0M</w:t>
            </w:r>
          </w:p>
        </w:tc>
        <w:tc>
          <w:tcPr>
            <w:tcW w:type="dxa" w:w="2880"/>
          </w:tcPr>
          <w:p>
            <w:r/>
            <w:r>
              <w:rPr>
                <w:sz w:val="18"/>
              </w:rPr>
              <w:t>No</w:t>
            </w:r>
          </w:p>
        </w:tc>
      </w:tr>
    </w:tbl>
    <w:p>
      <w:pPr>
        <w:spacing w:after="40"/>
      </w:pPr>
    </w:p>
    <w:p>
      <w:pPr>
        <w:spacing w:after="120"/>
      </w:pPr>
      <w:r>
        <w:rPr>
          <w:b w:val="0"/>
          <w:i w:val="0"/>
        </w:rPr>
        <w:t>Recommendation: decline, using the framing you suggested (“the Fund has already moved meaningfully from its historical position”). Also note that this is a fund-wide governance term that Meridian itself concedes belongs in the LPA (SL §15.2) and that would require Majority in Interest consent. Lender covenant: the credit facility term sheet was not among the documents provided. Term sheet §7.3 says only that subscription facilities “typically” contain GP-removal or change-of-control triggers. We will obtain the facility documents before the May 5–6 call. Until the covenant language is confirmed, the response should not cite it. No fallback; hold at 75%.</w:t>
      </w:r>
    </w:p>
    <w:p>
      <w:pPr>
        <w:pStyle w:val="Heading2"/>
      </w:pPr>
      <w:r>
        <w:t>B. Economics: fee (Comments #3, #9; SL §16.1) and carry (Comments #1, #6; SL §16.2)</w:t>
      </w:r>
    </w:p>
    <w:p>
      <w:pPr>
        <w:spacing w:after="120"/>
      </w:pPr>
      <w:r>
        <w:rPr>
          <w:b w:val="0"/>
          <w:i w:val="0"/>
        </w:rPr>
        <w:t>Carry: REJECT. 20% carry, an 8% preferred return and an 80/20 catch-up have been maintained across all four vintages, and all 14 first-close LPs accepted them. A carry cut by side letter would set the firm’s first carry floor and be MFN-electable by $600M of first-close commitments. Illustratively, at a 1.0x net profit, 5 points of carry is $6.25M on Meridian alone, $30M across the MFN-eligible group and $88.2M fund-wide if left in the LPA. The markup is also internally inconsistent. It changes §1.1, §6.2(d) and §6.3(a) to 15% but leaves the §6.2(c) catch-up running 80/20 “until the General Partner has received … twenty percent (20%)”. That is precisely the unconformed waterfall that term sheet §6.4 warned about, and we should point it out.</w:t>
      </w:r>
    </w:p>
    <w:p>
      <w:pPr>
        <w:spacing w:after="120"/>
      </w:pPr>
      <w:r>
        <w:rPr>
          <w:b w:val="0"/>
          <w:i w:val="0"/>
        </w:rPr>
        <w:t>Management fee: REJECT AS DRAFTED; RESERVE A FALLBACK. Meridian asks for 1.75% during the Investment Period (25bp) and, in the side letter only, 1.25% after it (25bp). Corrected sensitivity (term-sheet assumptions: 6-year Investment Period, $1.6B invested capital post-Investment Period; MFN cascade on the $600M LPA basis):</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2016"/>
            <w:shd w:val="clear" w:color="auto" w:fill="1F3864"/>
          </w:tcPr>
          <w:p>
            <w:r/>
            <w:r>
              <w:rPr>
                <w:b/>
                <w:color w:val="FFFFFF"/>
                <w:sz w:val="17"/>
              </w:rPr>
              <w:t>Scenario</w:t>
            </w:r>
          </w:p>
        </w:tc>
        <w:tc>
          <w:tcPr>
            <w:tcW w:type="dxa" w:w="1296"/>
            <w:shd w:val="clear" w:color="auto" w:fill="1F3864"/>
          </w:tcPr>
          <w:p>
            <w:r/>
            <w:r>
              <w:rPr>
                <w:b/>
                <w:color w:val="FFFFFF"/>
                <w:sz w:val="17"/>
              </w:rPr>
              <w:t>Meridian direct / yr</w:t>
            </w:r>
          </w:p>
        </w:tc>
        <w:tc>
          <w:tcPr>
            <w:tcW w:type="dxa" w:w="1296"/>
            <w:shd w:val="clear" w:color="auto" w:fill="1F3864"/>
          </w:tcPr>
          <w:p>
            <w:r/>
            <w:r>
              <w:rPr>
                <w:b/>
                <w:color w:val="FFFFFF"/>
                <w:sz w:val="17"/>
              </w:rPr>
              <w:t>Meridian over IP</w:t>
            </w:r>
          </w:p>
        </w:tc>
        <w:tc>
          <w:tcPr>
            <w:tcW w:type="dxa" w:w="1440"/>
            <w:shd w:val="clear" w:color="auto" w:fill="1F3864"/>
          </w:tcPr>
          <w:p>
            <w:r/>
            <w:r>
              <w:rPr>
                <w:b/>
                <w:color w:val="FFFFFF"/>
                <w:sz w:val="17"/>
              </w:rPr>
              <w:t>MFN cascade over IP ($600M)</w:t>
            </w:r>
          </w:p>
        </w:tc>
        <w:tc>
          <w:tcPr>
            <w:tcW w:type="dxa" w:w="1296"/>
            <w:shd w:val="clear" w:color="auto" w:fill="1F3864"/>
          </w:tcPr>
          <w:p>
            <w:r/>
            <w:r>
              <w:rPr>
                <w:b/>
                <w:color w:val="FFFFFF"/>
                <w:sz w:val="17"/>
              </w:rPr>
              <w:t>Total over IP</w:t>
            </w:r>
          </w:p>
        </w:tc>
        <w:tc>
          <w:tcPr>
            <w:tcW w:type="dxa" w:w="1296"/>
            <w:shd w:val="clear" w:color="auto" w:fill="1F3864"/>
          </w:tcPr>
          <w:p>
            <w:r/>
            <w:r>
              <w:rPr>
                <w:b/>
                <w:color w:val="FFFFFF"/>
                <w:sz w:val="17"/>
              </w:rPr>
              <w:t>% of corrected IP fees ($216M)</w:t>
            </w:r>
          </w:p>
        </w:tc>
        <w:tc>
          <w:tcPr>
            <w:tcW w:type="dxa" w:w="1296"/>
            <w:shd w:val="clear" w:color="auto" w:fill="1F3864"/>
          </w:tcPr>
          <w:p>
            <w:r/>
            <w:r>
              <w:rPr>
                <w:b/>
                <w:color w:val="FFFFFF"/>
                <w:sz w:val="17"/>
              </w:rPr>
              <w:t>Fund-wide if in LPA (over IP)</w:t>
            </w:r>
          </w:p>
        </w:tc>
      </w:tr>
      <w:tr>
        <w:tc>
          <w:tcPr>
            <w:tcW w:type="dxa" w:w="2016"/>
          </w:tcPr>
          <w:p>
            <w:r/>
            <w:r>
              <w:rPr>
                <w:sz w:val="17"/>
              </w:rPr>
              <w:t>1.90% (10bp) — fallback</w:t>
            </w:r>
          </w:p>
        </w:tc>
        <w:tc>
          <w:tcPr>
            <w:tcW w:type="dxa" w:w="1296"/>
          </w:tcPr>
          <w:p>
            <w:r/>
            <w:r>
              <w:rPr>
                <w:sz w:val="17"/>
              </w:rPr>
              <w:t>$125,000</w:t>
            </w:r>
          </w:p>
        </w:tc>
        <w:tc>
          <w:tcPr>
            <w:tcW w:type="dxa" w:w="1296"/>
          </w:tcPr>
          <w:p>
            <w:r/>
            <w:r>
              <w:rPr>
                <w:sz w:val="17"/>
              </w:rPr>
              <w:t>$750,000</w:t>
            </w:r>
          </w:p>
        </w:tc>
        <w:tc>
          <w:tcPr>
            <w:tcW w:type="dxa" w:w="1440"/>
          </w:tcPr>
          <w:p>
            <w:r/>
            <w:r>
              <w:rPr>
                <w:sz w:val="17"/>
              </w:rPr>
              <w:t>$3,600,000</w:t>
            </w:r>
          </w:p>
        </w:tc>
        <w:tc>
          <w:tcPr>
            <w:tcW w:type="dxa" w:w="1296"/>
          </w:tcPr>
          <w:p>
            <w:r/>
            <w:r>
              <w:rPr>
                <w:sz w:val="17"/>
              </w:rPr>
              <w:t>$4,350,000</w:t>
            </w:r>
          </w:p>
        </w:tc>
        <w:tc>
          <w:tcPr>
            <w:tcW w:type="dxa" w:w="1296"/>
          </w:tcPr>
          <w:p>
            <w:r/>
            <w:r>
              <w:rPr>
                <w:sz w:val="17"/>
              </w:rPr>
              <w:t>2.0%</w:t>
            </w:r>
          </w:p>
        </w:tc>
        <w:tc>
          <w:tcPr>
            <w:tcW w:type="dxa" w:w="1296"/>
          </w:tcPr>
          <w:p>
            <w:r/>
            <w:r>
              <w:rPr>
                <w:sz w:val="17"/>
              </w:rPr>
              <w:t>$10.6M</w:t>
            </w:r>
          </w:p>
        </w:tc>
      </w:tr>
      <w:tr>
        <w:tc>
          <w:tcPr>
            <w:tcW w:type="dxa" w:w="2016"/>
          </w:tcPr>
          <w:p>
            <w:r/>
            <w:r>
              <w:rPr>
                <w:sz w:val="17"/>
              </w:rPr>
              <w:t>1.85% (15bp) — Fund III floor</w:t>
            </w:r>
          </w:p>
        </w:tc>
        <w:tc>
          <w:tcPr>
            <w:tcW w:type="dxa" w:w="1296"/>
          </w:tcPr>
          <w:p>
            <w:r/>
            <w:r>
              <w:rPr>
                <w:sz w:val="17"/>
              </w:rPr>
              <w:t>$187,500</w:t>
            </w:r>
          </w:p>
        </w:tc>
        <w:tc>
          <w:tcPr>
            <w:tcW w:type="dxa" w:w="1296"/>
          </w:tcPr>
          <w:p>
            <w:r/>
            <w:r>
              <w:rPr>
                <w:sz w:val="17"/>
              </w:rPr>
              <w:t>$1,125,000</w:t>
            </w:r>
          </w:p>
        </w:tc>
        <w:tc>
          <w:tcPr>
            <w:tcW w:type="dxa" w:w="1440"/>
          </w:tcPr>
          <w:p>
            <w:r/>
            <w:r>
              <w:rPr>
                <w:sz w:val="17"/>
              </w:rPr>
              <w:t>$5,400,000</w:t>
            </w:r>
          </w:p>
        </w:tc>
        <w:tc>
          <w:tcPr>
            <w:tcW w:type="dxa" w:w="1296"/>
          </w:tcPr>
          <w:p>
            <w:r/>
            <w:r>
              <w:rPr>
                <w:sz w:val="17"/>
              </w:rPr>
              <w:t>$6,525,000</w:t>
            </w:r>
          </w:p>
        </w:tc>
        <w:tc>
          <w:tcPr>
            <w:tcW w:type="dxa" w:w="1296"/>
          </w:tcPr>
          <w:p>
            <w:r/>
            <w:r>
              <w:rPr>
                <w:sz w:val="17"/>
              </w:rPr>
              <w:t>3.0%</w:t>
            </w:r>
          </w:p>
        </w:tc>
        <w:tc>
          <w:tcPr>
            <w:tcW w:type="dxa" w:w="1296"/>
          </w:tcPr>
          <w:p>
            <w:r/>
            <w:r>
              <w:rPr>
                <w:sz w:val="17"/>
              </w:rPr>
              <w:t>$15.9M</w:t>
            </w:r>
          </w:p>
        </w:tc>
      </w:tr>
      <w:tr>
        <w:tc>
          <w:tcPr>
            <w:tcW w:type="dxa" w:w="2016"/>
          </w:tcPr>
          <w:p>
            <w:r/>
            <w:r>
              <w:rPr>
                <w:sz w:val="17"/>
              </w:rPr>
              <w:t>1.75% (25bp) — Meridian ask</w:t>
            </w:r>
          </w:p>
        </w:tc>
        <w:tc>
          <w:tcPr>
            <w:tcW w:type="dxa" w:w="1296"/>
          </w:tcPr>
          <w:p>
            <w:r/>
            <w:r>
              <w:rPr>
                <w:sz w:val="17"/>
              </w:rPr>
              <w:t>$312,500</w:t>
            </w:r>
          </w:p>
        </w:tc>
        <w:tc>
          <w:tcPr>
            <w:tcW w:type="dxa" w:w="1296"/>
          </w:tcPr>
          <w:p>
            <w:r/>
            <w:r>
              <w:rPr>
                <w:sz w:val="17"/>
              </w:rPr>
              <w:t>$1,875,000</w:t>
            </w:r>
          </w:p>
        </w:tc>
        <w:tc>
          <w:tcPr>
            <w:tcW w:type="dxa" w:w="1440"/>
          </w:tcPr>
          <w:p>
            <w:r/>
            <w:r>
              <w:rPr>
                <w:sz w:val="17"/>
              </w:rPr>
              <w:t>$9,000,000</w:t>
            </w:r>
          </w:p>
        </w:tc>
        <w:tc>
          <w:tcPr>
            <w:tcW w:type="dxa" w:w="1296"/>
          </w:tcPr>
          <w:p>
            <w:r/>
            <w:r>
              <w:rPr>
                <w:sz w:val="17"/>
              </w:rPr>
              <w:t>$10,875,000</w:t>
            </w:r>
          </w:p>
        </w:tc>
        <w:tc>
          <w:tcPr>
            <w:tcW w:type="dxa" w:w="1296"/>
          </w:tcPr>
          <w:p>
            <w:r/>
            <w:r>
              <w:rPr>
                <w:sz w:val="17"/>
              </w:rPr>
              <w:t>5.0%</w:t>
            </w:r>
          </w:p>
        </w:tc>
        <w:tc>
          <w:tcPr>
            <w:tcW w:type="dxa" w:w="1296"/>
          </w:tcPr>
          <w:p>
            <w:r/>
            <w:r>
              <w:rPr>
                <w:sz w:val="17"/>
              </w:rPr>
              <w:t>$26.5M</w:t>
            </w:r>
          </w:p>
        </w:tc>
      </w:tr>
      <w:tr>
        <w:tc>
          <w:tcPr>
            <w:tcW w:type="dxa" w:w="2016"/>
          </w:tcPr>
          <w:p>
            <w:r/>
            <w:r>
              <w:rPr>
                <w:sz w:val="17"/>
              </w:rPr>
              <w:t>Post-IP 1.25% (SL §16.1)</w:t>
            </w:r>
          </w:p>
        </w:tc>
        <w:tc>
          <w:tcPr>
            <w:tcW w:type="dxa" w:w="1296"/>
          </w:tcPr>
          <w:p>
            <w:r/>
            <w:r>
              <w:rPr>
                <w:sz w:val="17"/>
              </w:rPr>
              <w:t>$277,778</w:t>
            </w:r>
          </w:p>
        </w:tc>
        <w:tc>
          <w:tcPr>
            <w:tcW w:type="dxa" w:w="1296"/>
          </w:tcPr>
          <w:p>
            <w:r/>
            <w:r>
              <w:rPr>
                <w:sz w:val="17"/>
              </w:rPr>
              <w:t>$1,111,111 (4 yrs)</w:t>
            </w:r>
          </w:p>
        </w:tc>
        <w:tc>
          <w:tcPr>
            <w:tcW w:type="dxa" w:w="1440"/>
          </w:tcPr>
          <w:p>
            <w:r/>
            <w:r>
              <w:rPr>
                <w:sz w:val="17"/>
              </w:rPr>
              <w:t>$5,333,333 (4 yrs)</w:t>
            </w:r>
          </w:p>
        </w:tc>
        <w:tc>
          <w:tcPr>
            <w:tcW w:type="dxa" w:w="1296"/>
          </w:tcPr>
          <w:p>
            <w:r/>
            <w:r>
              <w:rPr>
                <w:sz w:val="17"/>
              </w:rPr>
              <w:t>$6,444,444</w:t>
            </w:r>
          </w:p>
        </w:tc>
        <w:tc>
          <w:tcPr>
            <w:tcW w:type="dxa" w:w="1296"/>
          </w:tcPr>
          <w:p>
            <w:r/>
            <w:r>
              <w:rPr>
                <w:sz w:val="17"/>
              </w:rPr>
              <w:t>—</w:t>
            </w:r>
          </w:p>
        </w:tc>
        <w:tc>
          <w:tcPr>
            <w:tcW w:type="dxa" w:w="1296"/>
          </w:tcPr>
          <w:p>
            <w:r/>
            <w:r>
              <w:rPr>
                <w:sz w:val="17"/>
              </w:rPr>
              <w:t>—</w:t>
            </w:r>
          </w:p>
        </w:tc>
      </w:tr>
    </w:tbl>
    <w:p>
      <w:pPr>
        <w:spacing w:after="40"/>
      </w:pPr>
    </w:p>
    <w:p>
      <w:pPr>
        <w:spacing w:after="120"/>
      </w:pPr>
      <w:r>
        <w:rPr>
          <w:b w:val="0"/>
          <w:i w:val="0"/>
        </w:rPr>
        <w:t>Full fee ask (Investment Period plus post-Investment Period, LPA MFN basis): about $17.3M over the fund life, or 5.6% of the corrected $312.0M baseline. Corrections to the internal term sheet: (i) the Investment Period baseline is 2.0% × $1.8B = $36.0M/yr ($216.0M), not $21.6M/yr ($129.6M); strictly, it is $35.28M/yr because the $36M GP Commitment is not fee-bearing (§3.1). (ii) 15bp on $125M is $187,500/yr ($1.125M over the Investment Period), not $112,500; that figure is 15bp on $75M, Meridian’s Fund III commitment. (iii) The “8 LPs ≥$100M / $925M” cascade base is contradicted by the first-close rows, which show 4 LPs and $600M; the summary row in the first-close tracker repeats the error. (iv) The term sheet modelled only 15bp.</w:t>
      </w:r>
    </w:p>
    <w:p>
      <w:pPr>
        <w:spacing w:after="120"/>
      </w:pPr>
      <w:r>
        <w:rPr>
          <w:b w:val="0"/>
          <w:i w:val="0"/>
        </w:rPr>
        <w:t>Recommendation. Hold 2.0%/1.5% in the May 9 response. No first-close LP received a discount, including Osprey at $200M (which received 1.85% in Fund III) and Great Lakes at $125M. Discounting a second-close LP below terms the anchors accepted carries real signalling risk. If a fee gesture is needed to close, and only with your prior approval, offer a Meridian-only side-letter rate of 1.90% during the Investment Period (Eastbridge’s Fund III rate on an identical $125M commitment), with 1.5% unchanged afterwards and whole-letter MFN preserved. Make it conditional on Meridian withdrawing the carry, removal, provision-by-provision MFN, fee-base/sub-line offset and gross-clawback requests. Do not go below 1.85% (Osprey’s Fund III rate on $150M). Consistent with your preference, give on fee before carry.</w:t>
      </w:r>
    </w:p>
    <w:p>
      <w:pPr>
        <w:pStyle w:val="Heading2"/>
      </w:pPr>
      <w:r>
        <w:t>C. MFN: provision-by-provision elections (Comment #13; SL §2) — REJECT (red line)</w:t>
      </w:r>
    </w:p>
    <w:p>
      <w:pPr>
        <w:spacing w:after="120"/>
      </w:pPr>
      <w:r>
        <w:rPr>
          <w:b w:val="0"/>
          <w:i w:val="0"/>
        </w:rPr>
        <w:t>Every first-close side letter and every Fund III letter, including Meridian’s own, is whole-letter. Changing §8.7(c)/§16.2(d) in the LPA would give all LPs cherry-picking rights and unravel negotiated packages; SL §2.3 would do the same for Meridian alone. SL §2.1 and §2.5 compound the problem: unredacted letters with a summary identifying each LP, every term in scope (including LPAC and economics of larger LPs), and favorability judged by Meridian. That conflicts with the redaction requirement (§8.7(a), §16.2(b)), the Comparability Threshold, the regulatory and LPAC exclusions, and MPRSTA §24-51-210(a)(iv). Recommendation: retain §8.7/§16.2. The side letter can confirm that Meridian is MFN-eligible, may elect letters of LPs up to $187.5M, and has annual re-election under §16.2(h), which answers SL §2.4. Add that terms granted solely because of Meridian’s statutory status are excluded from others’ elections.</w:t>
      </w:r>
    </w:p>
    <w:p>
      <w:pPr>
        <w:pStyle w:val="Heading2"/>
      </w:pPr>
      <w:r>
        <w:t>D. Placement agent disclosure (Comment #12; SL §4.2; LPA §15.2(i)) — COMPROMISE AT STATUTORY SCOPE</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04"/>
            <w:shd w:val="clear" w:color="auto" w:fill="1F3864"/>
          </w:tcPr>
          <w:p>
            <w:r/>
            <w:r>
              <w:rPr>
                <w:b/>
                <w:color w:val="FFFFFF"/>
                <w:sz w:val="17"/>
              </w:rPr>
              <w:t>Item</w:t>
            </w:r>
          </w:p>
        </w:tc>
        <w:tc>
          <w:tcPr>
            <w:tcW w:type="dxa" w:w="2448"/>
            <w:shd w:val="clear" w:color="auto" w:fill="1F3864"/>
          </w:tcPr>
          <w:p>
            <w:r/>
            <w:r>
              <w:rPr>
                <w:b/>
                <w:color w:val="FFFFFF"/>
                <w:sz w:val="17"/>
              </w:rPr>
              <w:t>MPRSTA requirement</w:t>
            </w:r>
          </w:p>
        </w:tc>
        <w:tc>
          <w:tcPr>
            <w:tcW w:type="dxa" w:w="2160"/>
            <w:shd w:val="clear" w:color="auto" w:fill="1F3864"/>
          </w:tcPr>
          <w:p>
            <w:r/>
            <w:r>
              <w:rPr>
                <w:b/>
                <w:color w:val="FFFFFF"/>
                <w:sz w:val="17"/>
              </w:rPr>
              <w:t>Meridian request</w:t>
            </w:r>
          </w:p>
        </w:tc>
        <w:tc>
          <w:tcPr>
            <w:tcW w:type="dxa" w:w="2592"/>
            <w:shd w:val="clear" w:color="auto" w:fill="1F3864"/>
          </w:tcPr>
          <w:p>
            <w:r/>
            <w:r>
              <w:rPr>
                <w:b/>
                <w:color w:val="FFFFFF"/>
                <w:sz w:val="17"/>
              </w:rPr>
              <w:t>Recommended</w:t>
            </w:r>
          </w:p>
        </w:tc>
      </w:tr>
      <w:tr>
        <w:tc>
          <w:tcPr>
            <w:tcW w:type="dxa" w:w="2304"/>
          </w:tcPr>
          <w:p>
            <w:r/>
            <w:r>
              <w:rPr>
                <w:sz w:val="17"/>
              </w:rPr>
              <w:t>Agent identity, address, contact; services; registration status</w:t>
            </w:r>
          </w:p>
        </w:tc>
        <w:tc>
          <w:tcPr>
            <w:tcW w:type="dxa" w:w="2448"/>
          </w:tcPr>
          <w:p>
            <w:r/>
            <w:r>
              <w:rPr>
                <w:sz w:val="17"/>
              </w:rPr>
              <w:t>Required (§207(a)(i), (ii), (iv))</w:t>
            </w:r>
          </w:p>
        </w:tc>
        <w:tc>
          <w:tcPr>
            <w:tcW w:type="dxa" w:w="2160"/>
          </w:tcPr>
          <w:p>
            <w:r/>
            <w:r>
              <w:rPr>
                <w:sz w:val="17"/>
              </w:rPr>
              <w:t>Yes, plus engagement dates</w:t>
            </w:r>
          </w:p>
        </w:tc>
        <w:tc>
          <w:tcPr>
            <w:tcW w:type="dxa" w:w="2592"/>
          </w:tcPr>
          <w:p>
            <w:r/>
            <w:r>
              <w:rPr>
                <w:sz w:val="17"/>
              </w:rPr>
              <w:t>Provide for Calderbank</w:t>
            </w:r>
          </w:p>
        </w:tc>
      </w:tr>
      <w:tr>
        <w:tc>
          <w:tcPr>
            <w:tcW w:type="dxa" w:w="2304"/>
          </w:tcPr>
          <w:p>
            <w:r/>
            <w:r>
              <w:rPr>
                <w:sz w:val="17"/>
              </w:rPr>
              <w:t>Compensation attributable to Meridian’s commitment</w:t>
            </w:r>
          </w:p>
        </w:tc>
        <w:tc>
          <w:tcPr>
            <w:tcW w:type="dxa" w:w="2448"/>
          </w:tcPr>
          <w:p>
            <w:r/>
            <w:r>
              <w:rPr>
                <w:sz w:val="17"/>
              </w:rPr>
              <w:t>Required (§207(a)(iii)); certification if none (§207(b))</w:t>
            </w:r>
          </w:p>
        </w:tc>
        <w:tc>
          <w:tcPr>
            <w:tcW w:type="dxa" w:w="2160"/>
          </w:tcPr>
          <w:p>
            <w:r/>
            <w:r>
              <w:rPr>
                <w:sz w:val="17"/>
              </w:rPr>
              <w:t>Rep, warranty and indemnity that no agent was involved</w:t>
            </w:r>
          </w:p>
        </w:tc>
        <w:tc>
          <w:tcPr>
            <w:tcW w:type="dxa" w:w="2592"/>
          </w:tcPr>
          <w:p>
            <w:r/>
            <w:r>
              <w:rPr>
                <w:sz w:val="17"/>
              </w:rPr>
              <w:t>§207(b) certification: no agent, no fee; GP-funded indemnity limited to Meridian’s commitment</w:t>
            </w:r>
          </w:p>
        </w:tc>
      </w:tr>
      <w:tr>
        <w:tc>
          <w:tcPr>
            <w:tcW w:type="dxa" w:w="2304"/>
          </w:tcPr>
          <w:p>
            <w:r/>
            <w:r>
              <w:rPr>
                <w:sz w:val="17"/>
              </w:rPr>
              <w:t>Fee structure / source</w:t>
            </w:r>
          </w:p>
        </w:tc>
        <w:tc>
          <w:tcPr>
            <w:tcW w:type="dxa" w:w="2448"/>
          </w:tcPr>
          <w:p>
            <w:r/>
            <w:r>
              <w:rPr>
                <w:sz w:val="17"/>
              </w:rPr>
              <w:t>Not specified beyond (a)(iii)</w:t>
            </w:r>
          </w:p>
        </w:tc>
        <w:tc>
          <w:tcPr>
            <w:tcW w:type="dxa" w:w="2160"/>
          </w:tcPr>
          <w:p>
            <w:r/>
            <w:r>
              <w:rPr>
                <w:sz w:val="17"/>
              </w:rPr>
              <w:t>Fee schedule; source of payment</w:t>
            </w:r>
          </w:p>
        </w:tc>
        <w:tc>
          <w:tcPr>
            <w:tcW w:type="dxa" w:w="2592"/>
          </w:tcPr>
          <w:p>
            <w:r/>
            <w:r>
              <w:rPr>
                <w:sz w:val="17"/>
              </w:rPr>
              <w:t>1.5% of introduced commitments; borne by GP/Management Co., never the Fund (LPA §7.7)</w:t>
            </w:r>
          </w:p>
        </w:tc>
      </w:tr>
      <w:tr>
        <w:tc>
          <w:tcPr>
            <w:tcW w:type="dxa" w:w="2304"/>
          </w:tcPr>
          <w:p>
            <w:r/>
            <w:r>
              <w:rPr>
                <w:sz w:val="17"/>
              </w:rPr>
              <w:t>Aggregate fundraising compensation</w:t>
            </w:r>
          </w:p>
        </w:tc>
        <w:tc>
          <w:tcPr>
            <w:tcW w:type="dxa" w:w="2448"/>
          </w:tcPr>
          <w:p>
            <w:r/>
            <w:r>
              <w:rPr>
                <w:sz w:val="17"/>
              </w:rPr>
              <w:t>Only “to the extent … provided” by the Fund Manager (§207(c)(i))</w:t>
            </w:r>
          </w:p>
        </w:tc>
        <w:tc>
          <w:tcPr>
            <w:tcW w:type="dxa" w:w="2160"/>
          </w:tcPr>
          <w:p>
            <w:r/>
            <w:r>
              <w:rPr>
                <w:sz w:val="17"/>
              </w:rPr>
              <w:t>Aggregate and life-of-fund amounts per agent</w:t>
            </w:r>
          </w:p>
        </w:tc>
        <w:tc>
          <w:tcPr>
            <w:tcW w:type="dxa" w:w="2592"/>
          </w:tcPr>
          <w:p>
            <w:r/>
            <w:r>
              <w:rPr>
                <w:sz w:val="17"/>
              </w:rPr>
              <w:t>Fallback only, after Calderbank consents (currently $3.375M on $225M introduced at first close)</w:t>
            </w:r>
          </w:p>
        </w:tc>
      </w:tr>
      <w:tr>
        <w:tc>
          <w:tcPr>
            <w:tcW w:type="dxa" w:w="2304"/>
          </w:tcPr>
          <w:p>
            <w:r/>
            <w:r>
              <w:rPr>
                <w:sz w:val="17"/>
              </w:rPr>
              <w:t>Identities of LPs introduced and their commitments</w:t>
            </w:r>
          </w:p>
        </w:tc>
        <w:tc>
          <w:tcPr>
            <w:tcW w:type="dxa" w:w="2448"/>
          </w:tcPr>
          <w:p>
            <w:r/>
            <w:r>
              <w:rPr>
                <w:sz w:val="17"/>
              </w:rPr>
              <w:t>Not required (§207(d)); confidential (§210(a)(iv))</w:t>
            </w:r>
          </w:p>
        </w:tc>
        <w:tc>
          <w:tcPr>
            <w:tcW w:type="dxa" w:w="2160"/>
          </w:tcPr>
          <w:p>
            <w:r/>
            <w:r>
              <w:rPr>
                <w:sz w:val="17"/>
              </w:rPr>
              <w:t>Required, updated after each closing</w:t>
            </w:r>
          </w:p>
        </w:tc>
        <w:tc>
          <w:tcPr>
            <w:tcW w:type="dxa" w:w="2592"/>
          </w:tcPr>
          <w:p>
            <w:r/>
            <w:r>
              <w:rPr>
                <w:sz w:val="17"/>
              </w:rPr>
              <w:t>Reject</w:t>
            </w:r>
          </w:p>
        </w:tc>
      </w:tr>
      <w:tr>
        <w:tc>
          <w:tcPr>
            <w:tcW w:type="dxa" w:w="2304"/>
          </w:tcPr>
          <w:p>
            <w:r/>
            <w:r>
              <w:rPr>
                <w:sz w:val="17"/>
              </w:rPr>
              <w:t>Quarterly placement-fee reporting</w:t>
            </w:r>
          </w:p>
        </w:tc>
        <w:tc>
          <w:tcPr>
            <w:tcW w:type="dxa" w:w="2448"/>
          </w:tcPr>
          <w:p>
            <w:r/>
            <w:r>
              <w:rPr>
                <w:sz w:val="17"/>
              </w:rPr>
              <w:t>Not required</w:t>
            </w:r>
          </w:p>
        </w:tc>
        <w:tc>
          <w:tcPr>
            <w:tcW w:type="dxa" w:w="2160"/>
          </w:tcPr>
          <w:p>
            <w:r/>
            <w:r>
              <w:rPr>
                <w:sz w:val="17"/>
              </w:rPr>
              <w:t>LPA §15.2(i)</w:t>
            </w:r>
          </w:p>
        </w:tc>
        <w:tc>
          <w:tcPr>
            <w:tcW w:type="dxa" w:w="2592"/>
          </w:tcPr>
          <w:p>
            <w:r/>
            <w:r>
              <w:rPr>
                <w:sz w:val="17"/>
              </w:rPr>
              <w:t>Reject</w:t>
            </w:r>
          </w:p>
        </w:tc>
      </w:tr>
    </w:tbl>
    <w:p>
      <w:pPr>
        <w:spacing w:after="40"/>
      </w:pPr>
    </w:p>
    <w:p>
      <w:pPr>
        <w:spacing w:after="120"/>
      </w:pPr>
      <w:r>
        <w:rPr>
          <w:b w:val="0"/>
          <w:i w:val="0"/>
        </w:rPr>
        <w:t>This tracks your instruction exactly, and §207(d) gives Meridian’s counsel a statutory answer they cannot easily resist. Before offering the aggregate-fee fallback, confirm that Calderbank’s engagement letter permits it (term sheet §7.7) and obtain Calderbank’s consent. Also check whether the Great Lakes, Caledonia or Sterling Municipal placement-agent provisions contain any LP attribution: Meridian could elect Great Lakes’ whole letter by MFN.</w:t>
      </w:r>
    </w:p>
    <w:p>
      <w:pPr>
        <w:pStyle w:val="Heading2"/>
      </w:pPr>
      <w:r>
        <w:t>E. FOIA / public records (Comment #20; SL §3) — COMPROMISE</w:t>
      </w:r>
    </w:p>
    <w:p>
      <w:pPr>
        <w:spacing w:after="120"/>
      </w:pPr>
      <w:r>
        <w:rPr>
          <w:b w:val="0"/>
          <w:i w:val="0"/>
        </w:rPr>
        <w:t>We agree with you that the carve-out itself should be conceded; Meridian had one in Fund III and three public pensions received one at first close. The drafting must change. As marked, Meridian could disclose “any and all Fund information” with no notice, no protective treatment and no limit on scope, “in its sole discretion” where disclosure is “required, requested or appropriate”. It also asks the GP to waive injunctive relief and claims. That goes beyond Meridian’s own statute. MPRSTA requires a covered system to notify the Fund Manager within 5 business days of a MORA request touching Confidential Information and to withhold disclosure for up to 15 business days while the Fund Manager seeks protection (§24-51-210(b)). It protects portfolio trade secrets, pending deal terms, proprietary models and other investors’ identities and terms (§210(a)). It voids confidentiality restrictions only for information the Act requires to be disclosed (§209(b), §210(c)). MORA retains its own trade-secret exemption (§24-72-108; MPRSTA §212). Recommended side-letter formulation: (a) MPRSTA-mandated disclosures (§§204–208) are permitted without restriction; (b) other information may be disclosed only as required by law, after notice within 5 business days of the request and at least 10 business days before disclosure (Fund III and first-close precedent), with a window of up to 15 business days for the GP to seek protective treatment at its expense, and with Meridian asserting available exemptions and limiting disclosure to the minimum required; (c) no voluntary disclosure of other LPs’ identities or terms, portfolio-company trade secrets or pending-transaction terms. Delete the waivers. Set cooperation timing at 30 days (§204(c), §207(d)), not 5 business days. Correct the cross-reference: SL §3.2 cites “LPA Section 12.1”, which is the transfer provision in Fund IV.</w:t>
      </w:r>
    </w:p>
    <w:p>
      <w:pPr>
        <w:pStyle w:val="Heading2"/>
      </w:pPr>
      <w:r>
        <w:t>F. Co-investment ROFO (Comment #5; SL §7) — REJECT; COUNTER WITH PRO-RATA RIGHT</w:t>
      </w:r>
    </w:p>
    <w:p>
      <w:pPr>
        <w:spacing w:after="120"/>
      </w:pPr>
      <w:r>
        <w:rPr>
          <w:b w:val="0"/>
          <w:i w:val="0"/>
        </w:rPr>
        <w:t>Osprey, Eastbridge and Pinnacle ($475M) hold pro-rata rights on deals with more than $50M of equity, with 10 business days to elect, non-exclusive and subject to the LPAC-approved Co-Investment Allocation Policy. No ROFO has ever been granted. A $25M ROFO would capture every $25–50M deal outright and pre-empt the first-close pro-rata rights on larger deals. SL §7.1 measures the threshold by aggregate deal equity including the Fund’s own investment, which in practice covers every deal. New LPA §4.3(f) would make Meridian’s right prevail over the LPAC policy. That conflicts with §8.6(b) and §9.6 and would force exactly the first-close renegotiation you want to avoid. Recommendation: offer a side-letter pro-rata right in the first-close form, with Meridian’s share at 125/1,800 = 6.94%, plus an annual pipeline conversation. One verification point first: the internal records conflict on whether first-close co-investments are fee-free and carry-free. The first-close tracker says standard fees and carry apply; term sheet §5 says no-fee/no-carry; the Fund III tracker shows fee-free co-investments, which term sheet §4 denies. Meridian’s SL §7.3 terms should match whatever the executed first-close letters provide, no better.</w:t>
      </w:r>
    </w:p>
    <w:p>
      <w:pPr>
        <w:pStyle w:val="Heading2"/>
      </w:pPr>
      <w:r>
        <w:t>G. Clawback (Comment #7; SL §9) — REJECT GROSS-UP; COMPROMISE ON ESCROW</w:t>
      </w:r>
    </w:p>
    <w:p>
      <w:pPr>
        <w:spacing w:after="120"/>
      </w:pPr>
      <w:r>
        <w:rPr>
          <w:b w:val="0"/>
          <w:i w:val="0"/>
        </w:rPr>
        <w:t>The 45% net-of-tax clawback and the 50%-capped personal guarantees (§6.3(c)), already given by all four senior principals, remain. A gross-up and uncapped, joint and several guarantees (SL §9.2) are non-starters, as you indicated. Vandermeer’s first-close letter already provides a 30% escrow of carry distributions until final liquidation. Meridian could obtain that term by MFN-electing Vandermeer’s letter in any event, so we recommend offering the same 30% escrow in the side letter, held in a Partnership account with annual balance reporting to the LPAC. Reject an LP-approved independent agent, Meridian as a party to the escrow agreement, and the no-set-off clause. Note for you and Serena: term sheet §2.5 lists only you and Serena as guarantors, but executed LPA §6.3(c) also binds Viktor Osei and Lydia Marchetti.</w:t>
      </w:r>
    </w:p>
    <w:p>
      <w:pPr>
        <w:pStyle w:val="Heading2"/>
      </w:pPr>
      <w:r>
        <w:t>H. Key Person (Comments #2, #17; SL §13) — REJECT AS DRAFTED</w:t>
      </w:r>
    </w:p>
    <w:p>
      <w:pPr>
        <w:spacing w:after="120"/>
      </w:pPr>
      <w:r>
        <w:rPr>
          <w:b w:val="0"/>
          <w:i w:val="0"/>
        </w:rPr>
        <w:t>The weakening effect you asked about is significant. Today a Key Person Event occurs if either you or Serena ceases to devote substantially all business time (§9.3(a)). Under the markup, an Event requires any two of four, so you or Serena could leave alone without triggering a suspension. Despite the “broader team coverage” label, it dilutes the protection every first-close LP priced in. It is a fund-wide amendment requiring Majority in Interest consent, and consultants to the first-close LPs would likely object. It also cuts against term sheet §7.8 (add sector heads only if the trigger is not weakened). The opposite construct, adding Osei and Marchetti under an “either” test, would raise the GP’s trigger risk. Recommendation: retain §9.3 and Exhibit D. In the side letter, agree to notify Meridian within 5 business days if Osei or Marchetti steps back, with an explanation and succession plan, and to hold a call within 10 business days. Fallback (GP business decision; fund-wide and requiring consent): a supplemental trigger if both sector heads depart, keeping the “either” trigger for you and Serena.</w:t>
      </w:r>
    </w:p>
    <w:p>
      <w:pPr>
        <w:pStyle w:val="Heading2"/>
      </w:pPr>
      <w:r>
        <w:t>I. Excuse rights (Comments #4, #14; SL §8) — ACCEPT IN SIDE LETTER WITH MODIFICATIONS</w:t>
      </w:r>
    </w:p>
    <w:p>
      <w:pPr>
        <w:spacing w:after="120"/>
      </w:pPr>
      <w:r>
        <w:rPr>
          <w:b w:val="0"/>
          <w:i w:val="0"/>
        </w:rPr>
        <w:t>All four Meridian sectors already have precedent in first-close side letters: tobacco (Pinnacle, Blackthorn), firearms (Pinnacle), thermal coal (Vandermeer; Northvale for fossil fuels) and private prisons (Northvale). The Fund III precedents are Grandview and Sterling. Note that the Fund III tracker does not show an excuse right for Meridian, despite your recollection, so please confirm before the call. Recommendation: keep LPA §3.6 (including the §3.6(e) protection) unchanged. Grant Meridian a side-letter right limited to companies whose primary business is in the four sectors, as defined in the LPA markup, rejecting SL §8.1’s 10%-of-revenue test and expanded categories. Keep the 15% cap counting all excuses (§8.8(e)). Rather than a 10-business-day post-notice window, which would run to the funding date under §3.4(b), the GP would use commercially reasonable efforts to give 15 business days’ advance notice of potentially restricted deals (Grandview precedent), with Meridian electing within 5 business days. Reject unilateral additions (SL §8.6). Because these are policy-based rather than legal or regulatory, they are MFN-electable; the economic exposure is modest.</w:t>
      </w:r>
    </w:p>
    <w:p>
      <w:pPr>
        <w:pStyle w:val="Heading2"/>
      </w:pPr>
      <w:r>
        <w:t>J. Subscription facility: fee base and reporting (Comments #10, #11, #22(g); SL §14) — REJECT ECONOMICS; ACCEPT TRANSPARENCY</w:t>
      </w:r>
    </w:p>
    <w:p>
      <w:pPr>
        <w:spacing w:after="120"/>
      </w:pPr>
      <w:r>
        <w:rPr>
          <w:b w:val="0"/>
          <w:i w:val="0"/>
        </w:rPr>
        <w:t>Excluding facility-funded capital from the fee base (#10), or offsetting Meridian’s share of facility costs against its fee (SL §14), is an economic concession by another route. It is MFN-electable and was refused to Ironclad at first close. Keep §7.1(d) and §7.5(d). Offer quarterly facility reporting, much of which MPRSTA §24-51-206 requires Meridian to publish anyway: amounts drawn and outstanding, interest and fees, Meridian’s allocable share, facility size, lender and maximum tenor, and net IRR with and without the facility.</w:t>
      </w:r>
    </w:p>
    <w:p>
      <w:pPr>
        <w:pStyle w:val="Heading1"/>
      </w:pPr>
      <w:r>
        <w:t>V. Other Comments</w:t>
      </w:r>
    </w:p>
    <w:p>
      <w:pPr>
        <w:pStyle w:val="ListBullet"/>
        <w:spacing w:after="60"/>
      </w:pPr>
      <w:r>
        <w:rPr>
          <w:b/>
        </w:rPr>
        <w:t>#15 LPAC seat.</w:t>
      </w:r>
      <w:r>
        <w:t xml:space="preserve"> Accept by side letter, not new LPA §9.1(f). The seat is held while Meridian is not in default and keeps at least $100M committed; SL §6.4’s $75M is an acceptable fallback. LPAC membership is excluded from MFN (§8.7(d)(iii), §9.1(e)), which avoids the Fund III cascade in which three LPs elected Meridian’s letter to obtain seats. Four of seven seats are filled (Osprey, Eastbridge, Great Lakes, Vandermeer).</w:t>
      </w:r>
    </w:p>
    <w:p>
      <w:pPr>
        <w:pStyle w:val="ListBullet"/>
        <w:spacing w:after="60"/>
      </w:pPr>
      <w:r>
        <w:rPr>
          <w:b/>
        </w:rPr>
        <w:t>#16 Annual LP meeting.</w:t>
      </w:r>
      <w:r>
        <w:t xml:space="preserve"> Strike §9.2(e). Offer a best-efforts, non-contractual annual investor day and an annual bilateral portfolio review (Osprey precedent).</w:t>
      </w:r>
    </w:p>
    <w:p>
      <w:pPr>
        <w:pStyle w:val="ListBullet"/>
        <w:spacing w:after="60"/>
      </w:pPr>
      <w:r>
        <w:rPr>
          <w:b/>
        </w:rPr>
        <w:t>#21 Accelerated reporting / ESG.</w:t>
      </w:r>
      <w:r>
        <w:t xml:space="preserve"> Keep the 120/60-day timelines. Meridian’s own side letter uses 120/60 days, and the Fund III precedent is 60 days. Instead, commit to a semi-annual MPRSTA data package within 60 days of June 30 and December 31 (year-end on an unaudited basis, as MPRSTA §208(b) permits), leaving Meridian 30 days before its 90-day publication deadline. Provide an annual ESG report with the audited financials, not quarterly portfolio-level carbon or diversity data.</w:t>
      </w:r>
    </w:p>
    <w:p>
      <w:pPr>
        <w:pStyle w:val="ListBullet"/>
        <w:spacing w:after="60"/>
      </w:pPr>
      <w:r>
        <w:rPr>
          <w:b/>
        </w:rPr>
        <w:t>#22 Quarterly reports.</w:t>
      </w:r>
      <w:r>
        <w:t xml:space="preserve"> Accept ILPA-format quarterly reports within 60 days and the sub-line data above. Co-investment activity is reported annually and in aggregate through the LPAC, without participant names. Placement fees are handled only per Section IV.D.</w:t>
      </w:r>
    </w:p>
    <w:p>
      <w:pPr>
        <w:pStyle w:val="ListBullet"/>
        <w:spacing w:after="60"/>
      </w:pPr>
      <w:r>
        <w:rPr>
          <w:b/>
        </w:rPr>
        <w:t>#19 Transfers.</w:t>
      </w:r>
      <w:r>
        <w:t xml:space="preserve"> Accept in the side letter on the Fund III Meridian terms (not unreasonably withheld; 30-day response). Permitted transfers only to a statutory successor; reasonable costs borne under §12.3(d); side-letter benefits pass only to a statutory successor. Keep LPA §12.1(a) unchanged. Note that term sheet §2.12 misdescribes the LPA standard.</w:t>
      </w:r>
    </w:p>
    <w:p>
      <w:pPr>
        <w:pStyle w:val="ListBullet"/>
        <w:spacing w:after="60"/>
      </w:pPr>
      <w:r>
        <w:rPr>
          <w:b/>
        </w:rPr>
        <w:t>#23 Sovereign immunity.</w:t>
      </w:r>
      <w:r>
        <w:t xml:space="preserve"> Accept in the side letter (Eastbridge precedent), with an acknowledgment that Meridian’s funding and default obligations remain enforceable to the extent permitted by law. Remove the Meridian-specific text from LPA §18.1.</w:t>
      </w:r>
    </w:p>
    <w:p>
      <w:pPr>
        <w:pStyle w:val="ListBullet"/>
        <w:spacing w:after="60"/>
      </w:pPr>
      <w:r>
        <w:rPr>
          <w:b/>
        </w:rPr>
        <w:t>#8 Tax.</w:t>
      </w:r>
      <w:r>
        <w:t xml:space="preserve"> Clarify in the side letter that Tax Distributions are advances only against the recipient’s own entitlements and that Meridian may opt out. Reject SL §11.1 (quarterly distributions at about 53%, inconsistent with tax-exempt status and with #8). Accept UBTI/UDFI efforts and notice (SL §11.2; Fund III Harborview, Ashford and Sterling precedent). Blocker costs fall on Meridian or the electing LPs, not the Fund (§8.6(a)).</w:t>
      </w:r>
    </w:p>
    <w:p>
      <w:pPr>
        <w:pStyle w:val="ListBullet"/>
        <w:spacing w:after="60"/>
      </w:pPr>
      <w:r>
        <w:rPr>
          <w:b/>
        </w:rPr>
        <w:t>Side-letter mechanics.</w:t>
      </w:r>
      <w:r>
        <w:t xml:space="preserve"> Inspection rights limited to records supporting Meridian’s fee, expense and carry calculations, provided annually through the Fund Administrator at Meridian’s cost (SL §4.4). Conform the precedence clause to §16.1 (SL §1.2). The GP may disclose the side letter for MFN purposes and to service providers, lenders and regulators (SL §17.8).</w:t>
      </w:r>
    </w:p>
    <w:p>
      <w:pPr>
        <w:sectPr>
          <w:pgSz w:w="12240" w:h="15840"/>
          <w:pgMar w:top="1296" w:right="1440" w:bottom="1296" w:left="1440" w:header="720" w:footer="720" w:gutter="0"/>
          <w:cols w:space="720"/>
          <w:docGrid w:linePitch="360"/>
        </w:sectPr>
      </w:pPr>
    </w:p>
    <w:p>
      <w:pPr>
        <w:pStyle w:val="Heading1"/>
      </w:pPr>
      <w:r>
        <w:t>VI. Comment-by-Comment Response Table</w:t>
      </w:r>
    </w:p>
    <w:p>
      <w:pPr>
        <w:spacing w:after="120"/>
      </w:pPr>
      <w:r>
        <w:rPr>
          <w:b w:val="0"/>
          <w:i/>
          <w:sz w:val="18"/>
        </w:rPr>
        <w:t>Numbering follows the LP-provided index (Appendix 1 to the markup). Side-letter-only items are prefixed “SL”. Full detail (precedent, MFN risk, fallback, owner, status) is in comment-tracker.xlsx.</w:t>
      </w:r>
    </w:p>
    <w:tbl>
      <w:tblPr>
        <w:tblStyle w:val="TableGrid"/>
        <w:tblW w:type="auto" w:w="0"/>
        <w:jc w:val="center"/>
        <w:tblLook w:firstColumn="1" w:firstRow="1" w:lastColumn="0" w:lastRow="0" w:noHBand="0" w:noVBand="1" w:val="04A0"/>
      </w:tblPr>
      <w:tblGrid>
        <w:gridCol w:w="2352"/>
        <w:gridCol w:w="2352"/>
        <w:gridCol w:w="2352"/>
        <w:gridCol w:w="2352"/>
        <w:gridCol w:w="2352"/>
        <w:gridCol w:w="2352"/>
      </w:tblGrid>
      <w:tr>
        <w:tc>
          <w:tcPr>
            <w:tcW w:type="dxa" w:w="576"/>
            <w:shd w:val="clear" w:color="auto" w:fill="1F3864"/>
          </w:tcPr>
          <w:p>
            <w:r/>
            <w:r>
              <w:rPr>
                <w:b/>
                <w:color w:val="FFFFFF"/>
                <w:sz w:val="15"/>
              </w:rPr>
              <w:t>#</w:t>
            </w:r>
          </w:p>
        </w:tc>
        <w:tc>
          <w:tcPr>
            <w:tcW w:type="dxa" w:w="1728"/>
            <w:shd w:val="clear" w:color="auto" w:fill="1F3864"/>
          </w:tcPr>
          <w:p>
            <w:r/>
            <w:r>
              <w:rPr>
                <w:b/>
                <w:color w:val="FFFFFF"/>
                <w:sz w:val="15"/>
              </w:rPr>
              <w:t>LPA § / SL §</w:t>
            </w:r>
          </w:p>
        </w:tc>
        <w:tc>
          <w:tcPr>
            <w:tcW w:type="dxa" w:w="2016"/>
            <w:shd w:val="clear" w:color="auto" w:fill="1F3864"/>
          </w:tcPr>
          <w:p>
            <w:r/>
            <w:r>
              <w:rPr>
                <w:b/>
                <w:color w:val="FFFFFF"/>
                <w:sz w:val="15"/>
              </w:rPr>
              <w:t>Topic</w:t>
            </w:r>
          </w:p>
        </w:tc>
        <w:tc>
          <w:tcPr>
            <w:tcW w:type="dxa" w:w="1296"/>
            <w:shd w:val="clear" w:color="auto" w:fill="1F3864"/>
          </w:tcPr>
          <w:p>
            <w:r/>
            <w:r>
              <w:rPr>
                <w:b/>
                <w:color w:val="FFFFFF"/>
                <w:sz w:val="15"/>
              </w:rPr>
              <w:t>Disposition</w:t>
            </w:r>
          </w:p>
        </w:tc>
        <w:tc>
          <w:tcPr>
            <w:tcW w:type="dxa" w:w="5616"/>
            <w:shd w:val="clear" w:color="auto" w:fill="1F3864"/>
          </w:tcPr>
          <w:p>
            <w:r/>
            <w:r>
              <w:rPr>
                <w:b/>
                <w:color w:val="FFFFFF"/>
                <w:sz w:val="15"/>
              </w:rPr>
              <w:t>Recommended GP Response</w:t>
            </w:r>
          </w:p>
        </w:tc>
        <w:tc>
          <w:tcPr>
            <w:tcW w:type="dxa" w:w="2880"/>
            <w:shd w:val="clear" w:color="auto" w:fill="1F3864"/>
          </w:tcPr>
          <w:p>
            <w:r/>
            <w:r>
              <w:rPr>
                <w:b/>
                <w:color w:val="FFFFFF"/>
                <w:sz w:val="15"/>
              </w:rPr>
              <w:t>Fallback</w:t>
            </w:r>
          </w:p>
        </w:tc>
      </w:tr>
      <w:tr>
        <w:tc>
          <w:tcPr>
            <w:tcW w:type="dxa" w:w="576"/>
          </w:tcPr>
          <w:p>
            <w:r/>
            <w:r>
              <w:rPr>
                <w:sz w:val="15"/>
              </w:rPr>
              <w:t>1</w:t>
            </w:r>
          </w:p>
        </w:tc>
        <w:tc>
          <w:tcPr>
            <w:tcW w:type="dxa" w:w="1728"/>
          </w:tcPr>
          <w:p>
            <w:r/>
            <w:r>
              <w:rPr>
                <w:sz w:val="15"/>
              </w:rPr>
              <w:t>§1.1 “Carried Interest” / “Carried Interest Percentage”</w:t>
            </w:r>
          </w:p>
        </w:tc>
        <w:tc>
          <w:tcPr>
            <w:tcW w:type="dxa" w:w="2016"/>
          </w:tcPr>
          <w:p>
            <w:r/>
            <w:r>
              <w:rPr>
                <w:sz w:val="15"/>
              </w:rPr>
              <w:t>Carried interest (20% to 15%)</w:t>
            </w:r>
          </w:p>
        </w:tc>
        <w:tc>
          <w:tcPr>
            <w:tcW w:type="dxa" w:w="1296"/>
            <w:shd w:val="clear" w:color="auto" w:fill="F8CBAD"/>
          </w:tcPr>
          <w:p>
            <w:r/>
            <w:r>
              <w:rPr>
                <w:b/>
                <w:sz w:val="15"/>
              </w:rPr>
              <w:t>Reject</w:t>
            </w:r>
          </w:p>
        </w:tc>
        <w:tc>
          <w:tcPr>
            <w:tcW w:type="dxa" w:w="5616"/>
          </w:tcPr>
          <w:p>
            <w:r/>
            <w:r>
              <w:rPr>
                <w:sz w:val="15"/>
              </w:rPr>
              <w:t>Strike the §1.1, §6.2(d) and §6.3(a) changes. The 20%/8%/80-20 structure is firm-wide across all four vintages and was accepted by all 14 first-close LPs; the GP will not modify it in the LPA or by side letter.</w:t>
            </w:r>
          </w:p>
        </w:tc>
        <w:tc>
          <w:tcPr>
            <w:tcW w:type="dxa" w:w="2880"/>
          </w:tcPr>
          <w:p>
            <w:r/>
            <w:r>
              <w:rPr>
                <w:sz w:val="15"/>
              </w:rPr>
              <w:t>None on carry. If an economic gesture is ultimately required, it should be confined to the management fee (see #3) per M. Thornfield.</w:t>
            </w:r>
          </w:p>
        </w:tc>
      </w:tr>
      <w:tr>
        <w:tc>
          <w:tcPr>
            <w:tcW w:type="dxa" w:w="576"/>
          </w:tcPr>
          <w:p>
            <w:r/>
            <w:r>
              <w:rPr>
                <w:sz w:val="15"/>
              </w:rPr>
              <w:t>2</w:t>
            </w:r>
          </w:p>
        </w:tc>
        <w:tc>
          <w:tcPr>
            <w:tcW w:type="dxa" w:w="1728"/>
          </w:tcPr>
          <w:p>
            <w:r/>
            <w:r>
              <w:rPr>
                <w:sz w:val="15"/>
              </w:rPr>
              <w:t>§1.1 “Key Person”; Exhibit D</w:t>
            </w:r>
          </w:p>
        </w:tc>
        <w:tc>
          <w:tcPr>
            <w:tcW w:type="dxa" w:w="2016"/>
          </w:tcPr>
          <w:p>
            <w:r/>
            <w:r>
              <w:rPr>
                <w:sz w:val="15"/>
              </w:rPr>
              <w:t>Key Persons - add Osei and Marchetti</w:t>
            </w:r>
          </w:p>
        </w:tc>
        <w:tc>
          <w:tcPr>
            <w:tcW w:type="dxa" w:w="1296"/>
            <w:shd w:val="clear" w:color="auto" w:fill="F8CBAD"/>
          </w:tcPr>
          <w:p>
            <w:r/>
            <w:r>
              <w:rPr>
                <w:b/>
                <w:sz w:val="15"/>
              </w:rPr>
              <w:t>Reject</w:t>
            </w:r>
          </w:p>
        </w:tc>
        <w:tc>
          <w:tcPr>
            <w:tcW w:type="dxa" w:w="5616"/>
          </w:tcPr>
          <w:p>
            <w:r/>
            <w:r>
              <w:rPr>
                <w:sz w:val="15"/>
              </w:rPr>
              <w:t>Retain the definition and Exhibit D. Address sector-head continuity through side-letter notification rights (see #17).</w:t>
            </w:r>
          </w:p>
        </w:tc>
        <w:tc>
          <w:tcPr>
            <w:tcW w:type="dxa" w:w="2880"/>
          </w:tcPr>
          <w:p>
            <w:r/>
            <w:r>
              <w:rPr>
                <w:sz w:val="15"/>
              </w:rPr>
              <w:t>See #17 fallback (supplemental trigger if both sector heads depart, as a fund-wide change, at GP’s election).</w:t>
            </w:r>
          </w:p>
        </w:tc>
      </w:tr>
      <w:tr>
        <w:tc>
          <w:tcPr>
            <w:tcW w:type="dxa" w:w="576"/>
          </w:tcPr>
          <w:p>
            <w:r/>
            <w:r>
              <w:rPr>
                <w:sz w:val="15"/>
              </w:rPr>
              <w:t>3</w:t>
            </w:r>
          </w:p>
        </w:tc>
        <w:tc>
          <w:tcPr>
            <w:tcW w:type="dxa" w:w="1728"/>
          </w:tcPr>
          <w:p>
            <w:r/>
            <w:r>
              <w:rPr>
                <w:sz w:val="15"/>
              </w:rPr>
              <w:t>§1.1 “Management Fee”</w:t>
            </w:r>
          </w:p>
        </w:tc>
        <w:tc>
          <w:tcPr>
            <w:tcW w:type="dxa" w:w="2016"/>
          </w:tcPr>
          <w:p>
            <w:r/>
            <w:r>
              <w:rPr>
                <w:sz w:val="15"/>
              </w:rPr>
              <w:t>Management fee (2.0% to 1.75% during the Investment Period)</w:t>
            </w:r>
          </w:p>
        </w:tc>
        <w:tc>
          <w:tcPr>
            <w:tcW w:type="dxa" w:w="1296"/>
            <w:shd w:val="clear" w:color="auto" w:fill="F8CBAD"/>
          </w:tcPr>
          <w:p>
            <w:r/>
            <w:r>
              <w:rPr>
                <w:b/>
                <w:sz w:val="15"/>
              </w:rPr>
              <w:t>Reject</w:t>
            </w:r>
          </w:p>
        </w:tc>
        <w:tc>
          <w:tcPr>
            <w:tcW w:type="dxa" w:w="5616"/>
          </w:tcPr>
          <w:p>
            <w:r/>
            <w:r>
              <w:rPr>
                <w:sz w:val="15"/>
              </w:rPr>
              <w:t>Strike the LPA changes; fees stay at 2.0%/1.5%. Note that no first-close LP received a discount, including the $200M anchor and a $125M public pension.</w:t>
            </w:r>
          </w:p>
        </w:tc>
        <w:tc>
          <w:tcPr>
            <w:tcW w:type="dxa" w:w="2880"/>
          </w:tcPr>
          <w:p>
            <w:r/>
            <w:r>
              <w:rPr>
                <w:sz w:val="15"/>
              </w:rPr>
              <w:t>Only with M. Thornfield’s prior approval, and only in a package where Meridian withdraws #1/#6, #10/SL §14, #13, #18 and the gross-up in #7: a side-letter rate of 1.90% during the Investment Period (Eastbridge’s Fund III rate on an identical $125M commitment), 1.50% post-Investment Period unchanged, whole-letter MFN preserved. Absolute floor 1.85%. The 10bp cost is $125K/yr direct plus up to $600K/yr cascade.</w:t>
            </w:r>
          </w:p>
        </w:tc>
      </w:tr>
      <w:tr>
        <w:tc>
          <w:tcPr>
            <w:tcW w:type="dxa" w:w="576"/>
          </w:tcPr>
          <w:p>
            <w:r/>
            <w:r>
              <w:rPr>
                <w:sz w:val="15"/>
              </w:rPr>
              <w:t>4</w:t>
            </w:r>
          </w:p>
        </w:tc>
        <w:tc>
          <w:tcPr>
            <w:tcW w:type="dxa" w:w="1728"/>
          </w:tcPr>
          <w:p>
            <w:r/>
            <w:r>
              <w:rPr>
                <w:sz w:val="15"/>
              </w:rPr>
              <w:t>§3.6(a)(iii), §3.6(e)</w:t>
            </w:r>
          </w:p>
        </w:tc>
        <w:tc>
          <w:tcPr>
            <w:tcW w:type="dxa" w:w="2016"/>
          </w:tcPr>
          <w:p>
            <w:r/>
            <w:r>
              <w:rPr>
                <w:sz w:val="15"/>
              </w:rPr>
              <w:t>Excuse rights based on the investment policy statement</w:t>
            </w:r>
          </w:p>
        </w:tc>
        <w:tc>
          <w:tcPr>
            <w:tcW w:type="dxa" w:w="1296"/>
            <w:shd w:val="clear" w:color="auto" w:fill="C6E0B4"/>
          </w:tcPr>
          <w:p>
            <w:r/>
            <w:r>
              <w:rPr>
                <w:b/>
                <w:sz w:val="15"/>
              </w:rPr>
              <w:t>Accept w/ Modifications</w:t>
            </w:r>
          </w:p>
        </w:tc>
        <w:tc>
          <w:tcPr>
            <w:tcW w:type="dxa" w:w="5616"/>
          </w:tcPr>
          <w:p>
            <w:r/>
            <w:r>
              <w:rPr>
                <w:sz w:val="15"/>
              </w:rPr>
              <w:t>Keep LPA §3.6 unchanged. Side-letter excuse right for Investments in companies whose primary business is (i) manufacture, distribution or sale of tobacco products; (ii) manufacture or distribution of civilian firearms and ammunition; (iii) thermal coal extraction; or (iv) ownership or operation of private prisons or detention facilities. The right is tied to the IPS as delivered to the GP. GP determines reasonably after consultation, and the procedures of §8.8 apply (15% cap, see #14). Reject the 10% revenue test, the expanded categories and the unilateral additions in §8.6 (offer a good-faith discussion, with any addition subject to GP consent).</w:t>
            </w:r>
          </w:p>
        </w:tc>
        <w:tc>
          <w:tcPr>
            <w:tcW w:type="dxa" w:w="2880"/>
          </w:tcPr>
          <w:p>
            <w:r/>
            <w:r>
              <w:rPr>
                <w:sz w:val="15"/>
              </w:rPr>
              <w:t>Substitute a revenue test of 25% for “primary business”; add e-cigarettes/ENDS to tobacco.</w:t>
            </w:r>
          </w:p>
        </w:tc>
      </w:tr>
      <w:tr>
        <w:tc>
          <w:tcPr>
            <w:tcW w:type="dxa" w:w="576"/>
          </w:tcPr>
          <w:p>
            <w:r/>
            <w:r>
              <w:rPr>
                <w:sz w:val="15"/>
              </w:rPr>
              <w:t>5</w:t>
            </w:r>
          </w:p>
        </w:tc>
        <w:tc>
          <w:tcPr>
            <w:tcW w:type="dxa" w:w="1728"/>
          </w:tcPr>
          <w:p>
            <w:r/>
            <w:r>
              <w:rPr>
                <w:sz w:val="15"/>
              </w:rPr>
              <w:t>§4.3(c); new §4.3(f)</w:t>
            </w:r>
          </w:p>
        </w:tc>
        <w:tc>
          <w:tcPr>
            <w:tcW w:type="dxa" w:w="2016"/>
          </w:tcPr>
          <w:p>
            <w:r/>
            <w:r>
              <w:rPr>
                <w:sz w:val="15"/>
              </w:rPr>
              <w:t>Co-investment right of first offer (ROFO) at $25M or more</w:t>
            </w:r>
          </w:p>
        </w:tc>
        <w:tc>
          <w:tcPr>
            <w:tcW w:type="dxa" w:w="1296"/>
            <w:shd w:val="clear" w:color="auto" w:fill="FFE699"/>
          </w:tcPr>
          <w:p>
            <w:r/>
            <w:r>
              <w:rPr>
                <w:b/>
                <w:sz w:val="15"/>
              </w:rPr>
              <w:t>Compromise</w:t>
            </w:r>
          </w:p>
        </w:tc>
        <w:tc>
          <w:tcPr>
            <w:tcW w:type="dxa" w:w="5616"/>
          </w:tcPr>
          <w:p>
            <w:r/>
            <w:r>
              <w:rPr>
                <w:sz w:val="15"/>
              </w:rPr>
              <w:t>Strike the LPA changes. Offer a side-letter pro-rata co-investment right in the same form as the first-close letters: deals with total equity over $50M where the GP elects to offer co-investment; pro-rata share 125/1,800 (6.94%); 10 business days to elect; subject to the Co-Investment Allocation Policy; non-exclusive. Information access the same as other co-investors. Fee and carry terms to match the first-close co-investment letters (to be confirmed; the internal records conflict).</w:t>
            </w:r>
          </w:p>
        </w:tc>
        <w:tc>
          <w:tcPr>
            <w:tcW w:type="dxa" w:w="2880"/>
          </w:tcPr>
          <w:p>
            <w:r/>
            <w:r>
              <w:rPr>
                <w:sz w:val="15"/>
              </w:rPr>
              <w:t>Add an annual co-investment pipeline discussion with Meridian staff and record Meridian’s sector preferences. No threshold below $50M and no priority over other LPs.</w:t>
            </w:r>
          </w:p>
        </w:tc>
      </w:tr>
      <w:tr>
        <w:tc>
          <w:tcPr>
            <w:tcW w:type="dxa" w:w="576"/>
          </w:tcPr>
          <w:p>
            <w:r/>
            <w:r>
              <w:rPr>
                <w:sz w:val="15"/>
              </w:rPr>
              <w:t>6</w:t>
            </w:r>
          </w:p>
        </w:tc>
        <w:tc>
          <w:tcPr>
            <w:tcW w:type="dxa" w:w="1728"/>
          </w:tcPr>
          <w:p>
            <w:r/>
            <w:r>
              <w:rPr>
                <w:sz w:val="15"/>
              </w:rPr>
              <w:t>§6.2(d)</w:t>
            </w:r>
          </w:p>
        </w:tc>
        <w:tc>
          <w:tcPr>
            <w:tcW w:type="dxa" w:w="2016"/>
          </w:tcPr>
          <w:p>
            <w:r/>
            <w:r>
              <w:rPr>
                <w:sz w:val="15"/>
              </w:rPr>
              <w:t>Residual split 85/15</w:t>
            </w:r>
          </w:p>
        </w:tc>
        <w:tc>
          <w:tcPr>
            <w:tcW w:type="dxa" w:w="1296"/>
            <w:shd w:val="clear" w:color="auto" w:fill="F8CBAD"/>
          </w:tcPr>
          <w:p>
            <w:r/>
            <w:r>
              <w:rPr>
                <w:b/>
                <w:sz w:val="15"/>
              </w:rPr>
              <w:t>Reject</w:t>
            </w:r>
          </w:p>
        </w:tc>
        <w:tc>
          <w:tcPr>
            <w:tcW w:type="dxa" w:w="5616"/>
          </w:tcPr>
          <w:p>
            <w:r/>
            <w:r>
              <w:rPr>
                <w:sz w:val="15"/>
              </w:rPr>
              <w:t>Strike. Flag to Haverstraw Pierce that the markup is internally inconsistent: §6.2(c) and the “Catch-Up” definition are not conformed.</w:t>
            </w:r>
          </w:p>
        </w:tc>
        <w:tc>
          <w:tcPr>
            <w:tcW w:type="dxa" w:w="2880"/>
          </w:tcPr>
          <w:p>
            <w:r/>
            <w:r>
              <w:rPr>
                <w:sz w:val="15"/>
              </w:rPr>
              <w:t>None.</w:t>
            </w:r>
          </w:p>
        </w:tc>
      </w:tr>
      <w:tr>
        <w:tc>
          <w:tcPr>
            <w:tcW w:type="dxa" w:w="576"/>
          </w:tcPr>
          <w:p>
            <w:r/>
            <w:r>
              <w:rPr>
                <w:sz w:val="15"/>
              </w:rPr>
              <w:t>7</w:t>
            </w:r>
          </w:p>
        </w:tc>
        <w:tc>
          <w:tcPr>
            <w:tcW w:type="dxa" w:w="1728"/>
          </w:tcPr>
          <w:p>
            <w:r/>
            <w:r>
              <w:rPr>
                <w:sz w:val="15"/>
              </w:rPr>
              <w:t>§6.3(a), (c)-(e)</w:t>
            </w:r>
          </w:p>
        </w:tc>
        <w:tc>
          <w:tcPr>
            <w:tcW w:type="dxa" w:w="2016"/>
          </w:tcPr>
          <w:p>
            <w:r/>
            <w:r>
              <w:rPr>
                <w:sz w:val="15"/>
              </w:rPr>
              <w:t>Clawback: gross basis, mandatory escrow, guarantees</w:t>
            </w:r>
          </w:p>
        </w:tc>
        <w:tc>
          <w:tcPr>
            <w:tcW w:type="dxa" w:w="1296"/>
            <w:shd w:val="clear" w:color="auto" w:fill="FFE699"/>
          </w:tcPr>
          <w:p>
            <w:r/>
            <w:r>
              <w:rPr>
                <w:b/>
                <w:sz w:val="15"/>
              </w:rPr>
              <w:t>Compromise</w:t>
            </w:r>
          </w:p>
        </w:tc>
        <w:tc>
          <w:tcPr>
            <w:tcW w:type="dxa" w:w="5616"/>
          </w:tcPr>
          <w:p>
            <w:r/>
            <w:r>
              <w:rPr>
                <w:sz w:val="15"/>
              </w:rPr>
              <w:t>Retain net-of-tax calculation and §6.3(c) guarantees (already given by all four senior principals). Offer a side-letter escrow mirroring Vandermeer: 30% of each Carried Interest distribution held in a Partnership escrow account until final liquidation, with annual balance reporting to the LPAC. Reject an LP-approved independent agent, Meridian as a party to the escrow agreement, and the set-off prohibition.</w:t>
            </w:r>
          </w:p>
        </w:tc>
        <w:tc>
          <w:tcPr>
            <w:tcW w:type="dxa" w:w="2880"/>
          </w:tcPr>
          <w:p>
            <w:r/>
            <w:r>
              <w:rPr>
                <w:sz w:val="15"/>
              </w:rPr>
              <w:t>Escrow held at a third-party bank in the Partnership’s name. No gross-up in any form.</w:t>
            </w:r>
          </w:p>
        </w:tc>
      </w:tr>
      <w:tr>
        <w:tc>
          <w:tcPr>
            <w:tcW w:type="dxa" w:w="576"/>
          </w:tcPr>
          <w:p>
            <w:r/>
            <w:r>
              <w:rPr>
                <w:sz w:val="15"/>
              </w:rPr>
              <w:t>8</w:t>
            </w:r>
          </w:p>
        </w:tc>
        <w:tc>
          <w:tcPr>
            <w:tcW w:type="dxa" w:w="1728"/>
          </w:tcPr>
          <w:p>
            <w:r/>
            <w:r>
              <w:rPr>
                <w:sz w:val="15"/>
              </w:rPr>
              <w:t>§6.5</w:t>
            </w:r>
          </w:p>
        </w:tc>
        <w:tc>
          <w:tcPr>
            <w:tcW w:type="dxa" w:w="2016"/>
          </w:tcPr>
          <w:p>
            <w:r/>
            <w:r>
              <w:rPr>
                <w:sz w:val="15"/>
              </w:rPr>
              <w:t>Tax distributions / tax-exempt status</w:t>
            </w:r>
          </w:p>
        </w:tc>
        <w:tc>
          <w:tcPr>
            <w:tcW w:type="dxa" w:w="1296"/>
            <w:shd w:val="clear" w:color="auto" w:fill="FFE699"/>
          </w:tcPr>
          <w:p>
            <w:r/>
            <w:r>
              <w:rPr>
                <w:b/>
                <w:sz w:val="15"/>
              </w:rPr>
              <w:t>Compromise</w:t>
            </w:r>
          </w:p>
        </w:tc>
        <w:tc>
          <w:tcPr>
            <w:tcW w:type="dxa" w:w="5616"/>
          </w:tcPr>
          <w:p>
            <w:r/>
            <w:r>
              <w:rPr>
                <w:sz w:val="15"/>
              </w:rPr>
              <w:t>Side letter confirms that Tax Distributions are advances only against the recipient’s own entitlements, so distributions to others do not reduce Meridian’s §6.2 share, and that Meridian may opt out of receiving Tax Distributions. Reject §11.1. Accept §11.2 (commercially reasonable efforts plus prompt notice). §11.3: commercially reasonable efforts to consider a blocker or AIV for material UBTI, with incremental costs borne by Meridian or the electing LPs, not the Fund.</w:t>
            </w:r>
          </w:p>
        </w:tc>
        <w:tc>
          <w:tcPr>
            <w:tcW w:type="dxa" w:w="2880"/>
          </w:tcPr>
          <w:p>
            <w:r/>
            <w:r>
              <w:rPr>
                <w:sz w:val="15"/>
              </w:rPr>
              <w:t>Raise the UBTI notice threshold language; consider allocating blocker costs among all participating tax-exempt LPs that elect in.</w:t>
            </w:r>
          </w:p>
        </w:tc>
      </w:tr>
      <w:tr>
        <w:tc>
          <w:tcPr>
            <w:tcW w:type="dxa" w:w="576"/>
          </w:tcPr>
          <w:p>
            <w:r/>
            <w:r>
              <w:rPr>
                <w:sz w:val="15"/>
              </w:rPr>
              <w:t>9</w:t>
            </w:r>
          </w:p>
        </w:tc>
        <w:tc>
          <w:tcPr>
            <w:tcW w:type="dxa" w:w="1728"/>
          </w:tcPr>
          <w:p>
            <w:r/>
            <w:r>
              <w:rPr>
                <w:sz w:val="15"/>
              </w:rPr>
              <w:t>§7.1(a)</w:t>
            </w:r>
          </w:p>
        </w:tc>
        <w:tc>
          <w:tcPr>
            <w:tcW w:type="dxa" w:w="2016"/>
          </w:tcPr>
          <w:p>
            <w:r/>
            <w:r>
              <w:rPr>
                <w:sz w:val="15"/>
              </w:rPr>
              <w:t>Management fee rate mechanics (0.4375% quarterly)</w:t>
            </w:r>
          </w:p>
        </w:tc>
        <w:tc>
          <w:tcPr>
            <w:tcW w:type="dxa" w:w="1296"/>
            <w:shd w:val="clear" w:color="auto" w:fill="F8CBAD"/>
          </w:tcPr>
          <w:p>
            <w:r/>
            <w:r>
              <w:rPr>
                <w:b/>
                <w:sz w:val="15"/>
              </w:rPr>
              <w:t>Reject</w:t>
            </w:r>
          </w:p>
        </w:tc>
        <w:tc>
          <w:tcPr>
            <w:tcW w:type="dxa" w:w="5616"/>
          </w:tcPr>
          <w:p>
            <w:r/>
            <w:r>
              <w:rPr>
                <w:sz w:val="15"/>
              </w:rPr>
              <w:t>Strike. Any agreed concession would be documented as a Meridian-only side-letter rebate or offset, not as an LPA amendment.</w:t>
            </w:r>
          </w:p>
        </w:tc>
        <w:tc>
          <w:tcPr>
            <w:tcW w:type="dxa" w:w="2880"/>
          </w:tcPr>
          <w:p>
            <w:r/>
            <w:r>
              <w:rPr>
                <w:sz w:val="15"/>
              </w:rPr>
              <w:t>As #3.</w:t>
            </w:r>
          </w:p>
        </w:tc>
      </w:tr>
      <w:tr>
        <w:tc>
          <w:tcPr>
            <w:tcW w:type="dxa" w:w="576"/>
          </w:tcPr>
          <w:p>
            <w:r/>
            <w:r>
              <w:rPr>
                <w:sz w:val="15"/>
              </w:rPr>
              <w:t>10</w:t>
            </w:r>
          </w:p>
        </w:tc>
        <w:tc>
          <w:tcPr>
            <w:tcW w:type="dxa" w:w="1728"/>
          </w:tcPr>
          <w:p>
            <w:r/>
            <w:r>
              <w:rPr>
                <w:sz w:val="15"/>
              </w:rPr>
              <w:t>§7.1(d)</w:t>
            </w:r>
          </w:p>
        </w:tc>
        <w:tc>
          <w:tcPr>
            <w:tcW w:type="dxa" w:w="2016"/>
          </w:tcPr>
          <w:p>
            <w:r/>
            <w:r>
              <w:rPr>
                <w:sz w:val="15"/>
              </w:rPr>
              <w:t>Exclude subscription-line borrowings from the fee base</w:t>
            </w:r>
          </w:p>
        </w:tc>
        <w:tc>
          <w:tcPr>
            <w:tcW w:type="dxa" w:w="1296"/>
            <w:shd w:val="clear" w:color="auto" w:fill="F8CBAD"/>
          </w:tcPr>
          <w:p>
            <w:r/>
            <w:r>
              <w:rPr>
                <w:b/>
                <w:sz w:val="15"/>
              </w:rPr>
              <w:t>Reject</w:t>
            </w:r>
          </w:p>
        </w:tc>
        <w:tc>
          <w:tcPr>
            <w:tcW w:type="dxa" w:w="5616"/>
          </w:tcPr>
          <w:p>
            <w:r/>
            <w:r>
              <w:rPr>
                <w:sz w:val="15"/>
              </w:rPr>
              <w:t>Retain §7.1(d) and §7.5(d). Offer quarterly subscription-facility reporting (see #11/#22), consistent with the Ironclad precedent and MPRSTA §24-51-206.</w:t>
            </w:r>
          </w:p>
        </w:tc>
        <w:tc>
          <w:tcPr>
            <w:tcW w:type="dxa" w:w="2880"/>
          </w:tcPr>
          <w:p>
            <w:r/>
            <w:r>
              <w:rPr>
                <w:sz w:val="15"/>
              </w:rPr>
              <w:t>Commit to a facility usage policy (e.g., repayment within the §7.4/§7.5 limits) and disclose levered and unlevered IRR.</w:t>
            </w:r>
          </w:p>
        </w:tc>
      </w:tr>
      <w:tr>
        <w:tc>
          <w:tcPr>
            <w:tcW w:type="dxa" w:w="576"/>
          </w:tcPr>
          <w:p>
            <w:r/>
            <w:r>
              <w:rPr>
                <w:sz w:val="15"/>
              </w:rPr>
              <w:t>11</w:t>
            </w:r>
          </w:p>
        </w:tc>
        <w:tc>
          <w:tcPr>
            <w:tcW w:type="dxa" w:w="1728"/>
          </w:tcPr>
          <w:p>
            <w:r/>
            <w:r>
              <w:rPr>
                <w:sz w:val="15"/>
              </w:rPr>
              <w:t>§7.5(d)</w:t>
            </w:r>
          </w:p>
        </w:tc>
        <w:tc>
          <w:tcPr>
            <w:tcW w:type="dxa" w:w="2016"/>
          </w:tcPr>
          <w:p>
            <w:r/>
            <w:r>
              <w:rPr>
                <w:sz w:val="15"/>
              </w:rPr>
              <w:t>Subscription-facility reporting; delete fee-neutral language</w:t>
            </w:r>
          </w:p>
        </w:tc>
        <w:tc>
          <w:tcPr>
            <w:tcW w:type="dxa" w:w="1296"/>
            <w:shd w:val="clear" w:color="auto" w:fill="C6E0B4"/>
          </w:tcPr>
          <w:p>
            <w:r/>
            <w:r>
              <w:rPr>
                <w:b/>
                <w:sz w:val="15"/>
              </w:rPr>
              <w:t>Accept w/ Modifications</w:t>
            </w:r>
          </w:p>
        </w:tc>
        <w:tc>
          <w:tcPr>
            <w:tcW w:type="dxa" w:w="5616"/>
          </w:tcPr>
          <w:p>
            <w:r/>
            <w:r>
              <w:rPr>
                <w:sz w:val="15"/>
              </w:rPr>
              <w:t>Keep §7.5(d). In the side letter and quarterly reports provide: amount drawn and outstanding; interest and fees for the quarter; Meridian’s allocable share; facility size, lender(s) and maximum tenor (MPRSTA 206(a)(iv)-(v)); and net IRR with and without the facility (ILPA-style).</w:t>
            </w:r>
          </w:p>
        </w:tc>
        <w:tc>
          <w:tcPr>
            <w:tcW w:type="dxa" w:w="2880"/>
          </w:tcPr>
          <w:p>
            <w:r/>
            <w:r>
              <w:rPr>
                <w:sz w:val="15"/>
              </w:rPr>
              <w:t>Provide the same reporting fund-wide in the quarterly report template (GP choice; may defuse MFN pressure).</w:t>
            </w:r>
          </w:p>
        </w:tc>
      </w:tr>
      <w:tr>
        <w:tc>
          <w:tcPr>
            <w:tcW w:type="dxa" w:w="576"/>
          </w:tcPr>
          <w:p>
            <w:r/>
            <w:r>
              <w:rPr>
                <w:sz w:val="15"/>
              </w:rPr>
              <w:t>12</w:t>
            </w:r>
          </w:p>
        </w:tc>
        <w:tc>
          <w:tcPr>
            <w:tcW w:type="dxa" w:w="1728"/>
          </w:tcPr>
          <w:p>
            <w:r/>
            <w:r>
              <w:rPr>
                <w:sz w:val="15"/>
              </w:rPr>
              <w:t>§7.7</w:t>
            </w:r>
          </w:p>
        </w:tc>
        <w:tc>
          <w:tcPr>
            <w:tcW w:type="dxa" w:w="2016"/>
          </w:tcPr>
          <w:p>
            <w:r/>
            <w:r>
              <w:rPr>
                <w:sz w:val="15"/>
              </w:rPr>
              <w:t>Placement agent disclosure (Calderbank)</w:t>
            </w:r>
          </w:p>
        </w:tc>
        <w:tc>
          <w:tcPr>
            <w:tcW w:type="dxa" w:w="1296"/>
            <w:shd w:val="clear" w:color="auto" w:fill="FFE699"/>
          </w:tcPr>
          <w:p>
            <w:r/>
            <w:r>
              <w:rPr>
                <w:b/>
                <w:sz w:val="15"/>
              </w:rPr>
              <w:t>Compromise</w:t>
            </w:r>
          </w:p>
        </w:tc>
        <w:tc>
          <w:tcPr>
            <w:tcW w:type="dxa" w:w="5616"/>
          </w:tcPr>
          <w:p>
            <w:r/>
            <w:r>
              <w:rPr>
                <w:sz w:val="15"/>
              </w:rPr>
              <w:t>Strike the §7.7 and §15.2(i) markup. Side letter provides: (i) a §207(b) certification that no Placement Agent solicited Meridian’s commitment and no compensation is attributable to it; (ii) Calderbank’s legal name, address, contact, non-exclusive scope of services and broker-dealer/IA registration status; (iii) the fee structure (1.5% of introduced commitments, borne by the GP or Management Company, never the Fund or LPs); (iv) delivery within 30 days of admission or request; (v) a GP (not Fund) indemnity against placement-fee claims relating to Meridian’s commitment. Reject LP identities, per-LP amounts and quarterly fee reporting.</w:t>
            </w:r>
          </w:p>
        </w:tc>
        <w:tc>
          <w:tcPr>
            <w:tcW w:type="dxa" w:w="2880"/>
          </w:tcPr>
          <w:p>
            <w:r/>
            <w:r>
              <w:rPr>
                <w:sz w:val="15"/>
              </w:rPr>
              <w:t>After Calderbank consents and its engagement letter is checked, disclose aggregate Calderbank compensation for the Fund under §207(c)(i) (currently $3.375M on first close), updated after the Final Closing. No attribution.</w:t>
            </w:r>
          </w:p>
        </w:tc>
      </w:tr>
      <w:tr>
        <w:tc>
          <w:tcPr>
            <w:tcW w:type="dxa" w:w="576"/>
          </w:tcPr>
          <w:p>
            <w:r/>
            <w:r>
              <w:rPr>
                <w:sz w:val="15"/>
              </w:rPr>
              <w:t>13</w:t>
            </w:r>
          </w:p>
        </w:tc>
        <w:tc>
          <w:tcPr>
            <w:tcW w:type="dxa" w:w="1728"/>
          </w:tcPr>
          <w:p>
            <w:r/>
            <w:r>
              <w:rPr>
                <w:sz w:val="15"/>
              </w:rPr>
              <w:t>§8.7(c); §16.2(d), (h)</w:t>
            </w:r>
          </w:p>
        </w:tc>
        <w:tc>
          <w:tcPr>
            <w:tcW w:type="dxa" w:w="2016"/>
          </w:tcPr>
          <w:p>
            <w:r/>
            <w:r>
              <w:rPr>
                <w:sz w:val="15"/>
              </w:rPr>
              <w:t>MFN - provision-by-provision (cherry-picking)</w:t>
            </w:r>
          </w:p>
        </w:tc>
        <w:tc>
          <w:tcPr>
            <w:tcW w:type="dxa" w:w="1296"/>
            <w:shd w:val="clear" w:color="auto" w:fill="F8CBAD"/>
          </w:tcPr>
          <w:p>
            <w:r/>
            <w:r>
              <w:rPr>
                <w:b/>
                <w:sz w:val="15"/>
              </w:rPr>
              <w:t>Reject</w:t>
            </w:r>
          </w:p>
        </w:tc>
        <w:tc>
          <w:tcPr>
            <w:tcW w:type="dxa" w:w="5616"/>
          </w:tcPr>
          <w:p>
            <w:r/>
            <w:r>
              <w:rPr>
                <w:sz w:val="15"/>
              </w:rPr>
              <w:t>Retain §8.7/§16.2 in full. Confirm in the side letter that Meridian ($125M) is MFN-eligible and may elect any side letter of an LP with commitments up to $187.5M (150%), with annual re-election under §16.2(h) (which answers SL §2.4). Disclosure stays redacted.</w:t>
            </w:r>
          </w:p>
        </w:tc>
        <w:tc>
          <w:tcPr>
            <w:tcW w:type="dxa" w:w="2880"/>
          </w:tcPr>
          <w:p>
            <w:r/>
            <w:r>
              <w:rPr>
                <w:sz w:val="15"/>
              </w:rPr>
              <w:t>Confirm that terms granted solely for Meridian’s statutory status (MPRSTA/MORA, sovereign immunity) are excluded from other LPs’ elections, which also protects the GP.</w:t>
            </w:r>
          </w:p>
        </w:tc>
      </w:tr>
      <w:tr>
        <w:tc>
          <w:tcPr>
            <w:tcW w:type="dxa" w:w="576"/>
          </w:tcPr>
          <w:p>
            <w:r/>
            <w:r>
              <w:rPr>
                <w:sz w:val="15"/>
              </w:rPr>
              <w:t>14</w:t>
            </w:r>
          </w:p>
        </w:tc>
        <w:tc>
          <w:tcPr>
            <w:tcW w:type="dxa" w:w="1728"/>
          </w:tcPr>
          <w:p>
            <w:r/>
            <w:r>
              <w:rPr>
                <w:sz w:val="15"/>
              </w:rPr>
              <w:t>§8.8(a), (e); Schedule B</w:t>
            </w:r>
          </w:p>
        </w:tc>
        <w:tc>
          <w:tcPr>
            <w:tcW w:type="dxa" w:w="2016"/>
          </w:tcPr>
          <w:p>
            <w:r/>
            <w:r>
              <w:rPr>
                <w:sz w:val="15"/>
              </w:rPr>
              <w:t>Excuse procedures - notice period and cap</w:t>
            </w:r>
          </w:p>
        </w:tc>
        <w:tc>
          <w:tcPr>
            <w:tcW w:type="dxa" w:w="1296"/>
            <w:shd w:val="clear" w:color="auto" w:fill="FFE699"/>
          </w:tcPr>
          <w:p>
            <w:r/>
            <w:r>
              <w:rPr>
                <w:b/>
                <w:sz w:val="15"/>
              </w:rPr>
              <w:t>Compromise</w:t>
            </w:r>
          </w:p>
        </w:tc>
        <w:tc>
          <w:tcPr>
            <w:tcW w:type="dxa" w:w="5616"/>
          </w:tcPr>
          <w:p>
            <w:r/>
            <w:r>
              <w:rPr>
                <w:sz w:val="15"/>
              </w:rPr>
              <w:t>Keep the 15% cap, counting all excuses. Instead of a longer post-notice window, the GP will use commercially reasonable efforts to give Meridian at least 15 business days’ advance notice of a prospective Investment that may fall within a restricted sector (Grandview precedent). Meridian then elects within 5 business days of that notice.</w:t>
            </w:r>
          </w:p>
        </w:tc>
        <w:tc>
          <w:tcPr>
            <w:tcW w:type="dxa" w:w="2880"/>
          </w:tcPr>
          <w:p>
            <w:r/>
            <w:r>
              <w:rPr>
                <w:sz w:val="15"/>
              </w:rPr>
              <w:t>Cap at 20% for IPS-based excuses only.</w:t>
            </w:r>
          </w:p>
        </w:tc>
      </w:tr>
      <w:tr>
        <w:tc>
          <w:tcPr>
            <w:tcW w:type="dxa" w:w="576"/>
          </w:tcPr>
          <w:p>
            <w:r/>
            <w:r>
              <w:rPr>
                <w:sz w:val="15"/>
              </w:rPr>
              <w:t>15</w:t>
            </w:r>
          </w:p>
        </w:tc>
        <w:tc>
          <w:tcPr>
            <w:tcW w:type="dxa" w:w="1728"/>
          </w:tcPr>
          <w:p>
            <w:r/>
            <w:r>
              <w:rPr>
                <w:sz w:val="15"/>
              </w:rPr>
              <w:t>new §9.1(f)</w:t>
            </w:r>
          </w:p>
        </w:tc>
        <w:tc>
          <w:tcPr>
            <w:tcW w:type="dxa" w:w="2016"/>
          </w:tcPr>
          <w:p>
            <w:r/>
            <w:r>
              <w:rPr>
                <w:sz w:val="15"/>
              </w:rPr>
              <w:t>LPAC seat</w:t>
            </w:r>
          </w:p>
        </w:tc>
        <w:tc>
          <w:tcPr>
            <w:tcW w:type="dxa" w:w="1296"/>
            <w:shd w:val="clear" w:color="auto" w:fill="A9D08E"/>
          </w:tcPr>
          <w:p>
            <w:r/>
            <w:r>
              <w:rPr>
                <w:b/>
                <w:sz w:val="15"/>
              </w:rPr>
              <w:t>Accept</w:t>
            </w:r>
          </w:p>
        </w:tc>
        <w:tc>
          <w:tcPr>
            <w:tcW w:type="dxa" w:w="5616"/>
          </w:tcPr>
          <w:p>
            <w:r/>
            <w:r>
              <w:rPr>
                <w:sz w:val="15"/>
              </w:rPr>
              <w:t>Side-letter appointment (James Teague, with an alternate) for so long as Meridian is not a Defaulting LP and its commitment has not been transferred below $100M. The GP will not remove Meridian except on those events or an uncured breach of LPAC confidentiality. Not in the LPA. Confirm it is excluded from MFN.</w:t>
            </w:r>
          </w:p>
        </w:tc>
        <w:tc>
          <w:tcPr>
            <w:tcW w:type="dxa" w:w="2880"/>
          </w:tcPr>
          <w:p>
            <w:r/>
            <w:r>
              <w:rPr>
                <w:sz w:val="15"/>
              </w:rPr>
              <w:t>Accept a $75M retention threshold (SL §6.4) if needed.</w:t>
            </w:r>
          </w:p>
        </w:tc>
      </w:tr>
      <w:tr>
        <w:tc>
          <w:tcPr>
            <w:tcW w:type="dxa" w:w="576"/>
          </w:tcPr>
          <w:p>
            <w:r/>
            <w:r>
              <w:rPr>
                <w:sz w:val="15"/>
              </w:rPr>
              <w:t>16</w:t>
            </w:r>
          </w:p>
        </w:tc>
        <w:tc>
          <w:tcPr>
            <w:tcW w:type="dxa" w:w="1728"/>
          </w:tcPr>
          <w:p>
            <w:r/>
            <w:r>
              <w:rPr>
                <w:sz w:val="15"/>
              </w:rPr>
              <w:t>new §9.2(e)</w:t>
            </w:r>
          </w:p>
        </w:tc>
        <w:tc>
          <w:tcPr>
            <w:tcW w:type="dxa" w:w="2016"/>
          </w:tcPr>
          <w:p>
            <w:r/>
            <w:r>
              <w:rPr>
                <w:sz w:val="15"/>
              </w:rPr>
              <w:t>Annual all-LP meeting</w:t>
            </w:r>
          </w:p>
        </w:tc>
        <w:tc>
          <w:tcPr>
            <w:tcW w:type="dxa" w:w="1296"/>
            <w:shd w:val="clear" w:color="auto" w:fill="FFE699"/>
          </w:tcPr>
          <w:p>
            <w:r/>
            <w:r>
              <w:rPr>
                <w:b/>
                <w:sz w:val="15"/>
              </w:rPr>
              <w:t>Compromise</w:t>
            </w:r>
          </w:p>
        </w:tc>
        <w:tc>
          <w:tcPr>
            <w:tcW w:type="dxa" w:w="5616"/>
          </w:tcPr>
          <w:p>
            <w:r/>
            <w:r>
              <w:rPr>
                <w:sz w:val="15"/>
              </w:rPr>
              <w:t>Strike §9.2(e). Side letter: the GP intends to host an annual investor day (in person and/or virtual) on a best-efforts basis, without a contractual obligation, and Meridian will be invited to any such meeting. Also an annual bilateral portfolio review with Meridian’s investment staff (Osprey precedent).</w:t>
            </w:r>
          </w:p>
        </w:tc>
        <w:tc>
          <w:tcPr>
            <w:tcW w:type="dxa" w:w="2880"/>
          </w:tcPr>
          <w:p>
            <w:r/>
            <w:r>
              <w:rPr>
                <w:sz w:val="15"/>
              </w:rPr>
              <w:t>Commit to an annual LP update webcast.</w:t>
            </w:r>
          </w:p>
        </w:tc>
      </w:tr>
      <w:tr>
        <w:tc>
          <w:tcPr>
            <w:tcW w:type="dxa" w:w="576"/>
          </w:tcPr>
          <w:p>
            <w:r/>
            <w:r>
              <w:rPr>
                <w:sz w:val="15"/>
              </w:rPr>
              <w:t>17</w:t>
            </w:r>
          </w:p>
        </w:tc>
        <w:tc>
          <w:tcPr>
            <w:tcW w:type="dxa" w:w="1728"/>
          </w:tcPr>
          <w:p>
            <w:r/>
            <w:r>
              <w:rPr>
                <w:sz w:val="15"/>
              </w:rPr>
              <w:t>§9.3(a); Exhibit D</w:t>
            </w:r>
          </w:p>
        </w:tc>
        <w:tc>
          <w:tcPr>
            <w:tcW w:type="dxa" w:w="2016"/>
          </w:tcPr>
          <w:p>
            <w:r/>
            <w:r>
              <w:rPr>
                <w:sz w:val="15"/>
              </w:rPr>
              <w:t>Key Person Event - “any two of four” trigger</w:t>
            </w:r>
          </w:p>
        </w:tc>
        <w:tc>
          <w:tcPr>
            <w:tcW w:type="dxa" w:w="1296"/>
            <w:shd w:val="clear" w:color="auto" w:fill="FFE699"/>
          </w:tcPr>
          <w:p>
            <w:r/>
            <w:r>
              <w:rPr>
                <w:b/>
                <w:sz w:val="15"/>
              </w:rPr>
              <w:t>Compromise</w:t>
            </w:r>
          </w:p>
        </w:tc>
        <w:tc>
          <w:tcPr>
            <w:tcW w:type="dxa" w:w="5616"/>
          </w:tcPr>
          <w:p>
            <w:r/>
            <w:r>
              <w:rPr>
                <w:sz w:val="15"/>
              </w:rPr>
              <w:t>Retain §9.3 and Exhibit D. Side letter: the GP will notify Meridian within 5 business days if Osei or Marchetti ceases to devote substantially all business time to the Fund, with an explanation and succession plan, and will hold a call within 10 business days (SL §13.2 in substance).</w:t>
            </w:r>
          </w:p>
        </w:tc>
        <w:tc>
          <w:tcPr>
            <w:tcW w:type="dxa" w:w="2880"/>
          </w:tcPr>
          <w:p>
            <w:r/>
            <w:r>
              <w:rPr>
                <w:sz w:val="15"/>
              </w:rPr>
              <w:t>At GP’s election, and as a fund-wide amendment requiring consent, a supplemental trigger if both Osei and Marchetti cease, while keeping the “either” trigger for Thornfield/Hayworth.</w:t>
            </w:r>
          </w:p>
        </w:tc>
      </w:tr>
      <w:tr>
        <w:tc>
          <w:tcPr>
            <w:tcW w:type="dxa" w:w="576"/>
          </w:tcPr>
          <w:p>
            <w:r/>
            <w:r>
              <w:rPr>
                <w:sz w:val="15"/>
              </w:rPr>
              <w:t>18</w:t>
            </w:r>
          </w:p>
        </w:tc>
        <w:tc>
          <w:tcPr>
            <w:tcW w:type="dxa" w:w="1728"/>
          </w:tcPr>
          <w:p>
            <w:r/>
            <w:r>
              <w:rPr>
                <w:sz w:val="15"/>
              </w:rPr>
              <w:t>§10.3(a)</w:t>
            </w:r>
          </w:p>
        </w:tc>
        <w:tc>
          <w:tcPr>
            <w:tcW w:type="dxa" w:w="2016"/>
          </w:tcPr>
          <w:p>
            <w:r/>
            <w:r>
              <w:rPr>
                <w:sz w:val="15"/>
              </w:rPr>
              <w:t>No-fault removal (75% to 60%)</w:t>
            </w:r>
          </w:p>
        </w:tc>
        <w:tc>
          <w:tcPr>
            <w:tcW w:type="dxa" w:w="1296"/>
            <w:shd w:val="clear" w:color="auto" w:fill="F8CBAD"/>
          </w:tcPr>
          <w:p>
            <w:r/>
            <w:r>
              <w:rPr>
                <w:b/>
                <w:sz w:val="15"/>
              </w:rPr>
              <w:t>Reject</w:t>
            </w:r>
          </w:p>
        </w:tc>
        <w:tc>
          <w:tcPr>
            <w:tcW w:type="dxa" w:w="5616"/>
          </w:tcPr>
          <w:p>
            <w:r/>
            <w:r>
              <w:rPr>
                <w:sz w:val="15"/>
              </w:rPr>
              <w:t>Decline. The Fund moved from 80% to 75% at anchor-LP request at first close; a further reduction would fundamentally alter the governance balance accepted by 14 first-close LPs and is a fund-wide term requiring Majority in Interest consent. Mention the subscription facility only after the covenant is confirmed.</w:t>
            </w:r>
          </w:p>
        </w:tc>
        <w:tc>
          <w:tcPr>
            <w:tcW w:type="dxa" w:w="2880"/>
          </w:tcPr>
          <w:p>
            <w:r/>
            <w:r>
              <w:rPr>
                <w:sz w:val="15"/>
              </w:rPr>
              <w:t>None. Hold at 75%.</w:t>
            </w:r>
          </w:p>
        </w:tc>
      </w:tr>
      <w:tr>
        <w:tc>
          <w:tcPr>
            <w:tcW w:type="dxa" w:w="576"/>
          </w:tcPr>
          <w:p>
            <w:r/>
            <w:r>
              <w:rPr>
                <w:sz w:val="15"/>
              </w:rPr>
              <w:t>19</w:t>
            </w:r>
          </w:p>
        </w:tc>
        <w:tc>
          <w:tcPr>
            <w:tcW w:type="dxa" w:w="1728"/>
          </w:tcPr>
          <w:p>
            <w:r/>
            <w:r>
              <w:rPr>
                <w:sz w:val="15"/>
              </w:rPr>
              <w:t>§12.1(a)</w:t>
            </w:r>
          </w:p>
        </w:tc>
        <w:tc>
          <w:tcPr>
            <w:tcW w:type="dxa" w:w="2016"/>
          </w:tcPr>
          <w:p>
            <w:r/>
            <w:r>
              <w:rPr>
                <w:sz w:val="15"/>
              </w:rPr>
              <w:t>Transfer consent not unreasonably withheld</w:t>
            </w:r>
          </w:p>
        </w:tc>
        <w:tc>
          <w:tcPr>
            <w:tcW w:type="dxa" w:w="1296"/>
            <w:shd w:val="clear" w:color="auto" w:fill="C6E0B4"/>
          </w:tcPr>
          <w:p>
            <w:r/>
            <w:r>
              <w:rPr>
                <w:b/>
                <w:sz w:val="15"/>
              </w:rPr>
              <w:t>Accept w/ Modifications</w:t>
            </w:r>
          </w:p>
        </w:tc>
        <w:tc>
          <w:tcPr>
            <w:tcW w:type="dxa" w:w="5616"/>
          </w:tcPr>
          <w:p>
            <w:r/>
            <w:r>
              <w:rPr>
                <w:sz w:val="15"/>
              </w:rPr>
              <w:t>Side letter: consent not unreasonably withheld, conditioned or delayed; response within 30 days of a complete request (Fund III precedent). Permitted transfer to a statutory successor of Meridian STRS, subject to §12.3 conditions. Other transfers stay subject to consent on that standard. Transferor bears reasonable out-of-pocket costs (§12.3(d)) but no separate GP fee. Side-letter benefits pass only to a statutory successor (§12.4). LPA §12.1(a) unchanged.</w:t>
            </w:r>
          </w:p>
        </w:tc>
        <w:tc>
          <w:tcPr>
            <w:tcW w:type="dxa" w:w="2880"/>
          </w:tcPr>
          <w:p>
            <w:r/>
            <w:r>
              <w:rPr>
                <w:sz w:val="15"/>
              </w:rPr>
              <w:t>Accept 20 business days for response.</w:t>
            </w:r>
          </w:p>
        </w:tc>
      </w:tr>
      <w:tr>
        <w:tc>
          <w:tcPr>
            <w:tcW w:type="dxa" w:w="576"/>
          </w:tcPr>
          <w:p>
            <w:r/>
            <w:r>
              <w:rPr>
                <w:sz w:val="15"/>
              </w:rPr>
              <w:t>20</w:t>
            </w:r>
          </w:p>
        </w:tc>
        <w:tc>
          <w:tcPr>
            <w:tcW w:type="dxa" w:w="1728"/>
          </w:tcPr>
          <w:p>
            <w:r/>
            <w:r>
              <w:rPr>
                <w:sz w:val="15"/>
              </w:rPr>
              <w:t>§14.2(b)</w:t>
            </w:r>
          </w:p>
        </w:tc>
        <w:tc>
          <w:tcPr>
            <w:tcW w:type="dxa" w:w="2016"/>
          </w:tcPr>
          <w:p>
            <w:r/>
            <w:r>
              <w:rPr>
                <w:sz w:val="15"/>
              </w:rPr>
              <w:t>Confidentiality - FOIA / MORA / MPRSTA carve-out</w:t>
            </w:r>
          </w:p>
        </w:tc>
        <w:tc>
          <w:tcPr>
            <w:tcW w:type="dxa" w:w="1296"/>
            <w:shd w:val="clear" w:color="auto" w:fill="FFE699"/>
          </w:tcPr>
          <w:p>
            <w:r/>
            <w:r>
              <w:rPr>
                <w:b/>
                <w:sz w:val="15"/>
              </w:rPr>
              <w:t>Compromise</w:t>
            </w:r>
          </w:p>
        </w:tc>
        <w:tc>
          <w:tcPr>
            <w:tcW w:type="dxa" w:w="5616"/>
          </w:tcPr>
          <w:p>
            <w:r/>
            <w:r>
              <w:rPr>
                <w:sz w:val="15"/>
              </w:rPr>
              <w:t>Side letter (not LPA): (a) Meridian may make disclosures required by MPRSTA §§24-51-204 to 208 without restriction. (b) Other information may be disclosed only as required by MORA, after (i) written notice to the GP within 5 business days of the request and at least 10 business days before disclosure, (ii) a GP opportunity of at least 15 business days to identify Confidential Information and seek protective treatment at GP expense, and (iii) Meridian asserting available exemptions (MORA §24-72-108; MPRSTA §210(a)) and disclosing only the minimum required. (c) Other LPs’ identities, commitments and side-letter terms, portfolio-company trade secrets and pending-transaction terms are not to be disclosed voluntarily. Reject the injunctive-relief and claims waivers. Cooperation: within 30 days of request (MPRSTA §§204(c), 207(d)). Correct the cross-reference to LPA Art. XIV.</w:t>
            </w:r>
          </w:p>
        </w:tc>
        <w:tc>
          <w:tcPr>
            <w:tcW w:type="dxa" w:w="2880"/>
          </w:tcPr>
          <w:p>
            <w:r/>
            <w:r>
              <w:rPr>
                <w:sz w:val="15"/>
              </w:rPr>
              <w:t>Shorten the GP response window to 10 business days if Meridian shows a statutory deadline.</w:t>
            </w:r>
          </w:p>
        </w:tc>
      </w:tr>
      <w:tr>
        <w:tc>
          <w:tcPr>
            <w:tcW w:type="dxa" w:w="576"/>
          </w:tcPr>
          <w:p>
            <w:r/>
            <w:r>
              <w:rPr>
                <w:sz w:val="15"/>
              </w:rPr>
              <w:t>21</w:t>
            </w:r>
          </w:p>
        </w:tc>
        <w:tc>
          <w:tcPr>
            <w:tcW w:type="dxa" w:w="1728"/>
          </w:tcPr>
          <w:p>
            <w:r/>
            <w:r>
              <w:rPr>
                <w:sz w:val="15"/>
              </w:rPr>
              <w:t>§15.1(a), (b), new (e)</w:t>
            </w:r>
          </w:p>
        </w:tc>
        <w:tc>
          <w:tcPr>
            <w:tcW w:type="dxa" w:w="2016"/>
          </w:tcPr>
          <w:p>
            <w:r/>
            <w:r>
              <w:rPr>
                <w:sz w:val="15"/>
              </w:rPr>
              <w:t>Accelerated financial reporting; quarterly ESG</w:t>
            </w:r>
          </w:p>
        </w:tc>
        <w:tc>
          <w:tcPr>
            <w:tcW w:type="dxa" w:w="1296"/>
            <w:shd w:val="clear" w:color="auto" w:fill="FFE699"/>
          </w:tcPr>
          <w:p>
            <w:r/>
            <w:r>
              <w:rPr>
                <w:b/>
                <w:sz w:val="15"/>
              </w:rPr>
              <w:t>Compromise</w:t>
            </w:r>
          </w:p>
        </w:tc>
        <w:tc>
          <w:tcPr>
            <w:tcW w:type="dxa" w:w="5616"/>
          </w:tcPr>
          <w:p>
            <w:r/>
            <w:r>
              <w:rPr>
                <w:sz w:val="15"/>
              </w:rPr>
              <w:t>Keep 120/60 days. Side letter: GP delivers a semi-annual MPRSTA data package (fees and offsets, carry, NAV/IRR/TVPI, itemised expenses, facility data) within 60 days after June 30 and December 31 (unaudited for year-end, per §208(b)), giving Meridian 30 days before its 90-day deadline. ESG: annual report delivered with the audited financials (SL §5.4 form), on a commercially reasonable efforts basis. No quarterly portfolio-level carbon or diversity metrics.</w:t>
            </w:r>
          </w:p>
        </w:tc>
        <w:tc>
          <w:tcPr>
            <w:tcW w:type="dxa" w:w="2880"/>
          </w:tcPr>
          <w:p>
            <w:r/>
            <w:r>
              <w:rPr>
                <w:sz w:val="15"/>
              </w:rPr>
              <w:t>Year-end MPRSTA package at 75 days; annual ESG report to include available portfolio-level data.</w:t>
            </w:r>
          </w:p>
        </w:tc>
      </w:tr>
      <w:tr>
        <w:tc>
          <w:tcPr>
            <w:tcW w:type="dxa" w:w="576"/>
          </w:tcPr>
          <w:p>
            <w:r/>
            <w:r>
              <w:rPr>
                <w:sz w:val="15"/>
              </w:rPr>
              <w:t>22</w:t>
            </w:r>
          </w:p>
        </w:tc>
        <w:tc>
          <w:tcPr>
            <w:tcW w:type="dxa" w:w="1728"/>
          </w:tcPr>
          <w:p>
            <w:r/>
            <w:r>
              <w:rPr>
                <w:sz w:val="15"/>
              </w:rPr>
              <w:t>§15.2(g)-(i)</w:t>
            </w:r>
          </w:p>
        </w:tc>
        <w:tc>
          <w:tcPr>
            <w:tcW w:type="dxa" w:w="2016"/>
          </w:tcPr>
          <w:p>
            <w:r/>
            <w:r>
              <w:rPr>
                <w:sz w:val="15"/>
              </w:rPr>
              <w:t>Enhanced quarterly reports (sub-line, co-investment, placement fees)</w:t>
            </w:r>
          </w:p>
        </w:tc>
        <w:tc>
          <w:tcPr>
            <w:tcW w:type="dxa" w:w="1296"/>
            <w:shd w:val="clear" w:color="auto" w:fill="C6E0B4"/>
          </w:tcPr>
          <w:p>
            <w:r/>
            <w:r>
              <w:rPr>
                <w:b/>
                <w:sz w:val="15"/>
              </w:rPr>
              <w:t>Accept w/ Modifications</w:t>
            </w:r>
          </w:p>
        </w:tc>
        <w:tc>
          <w:tcPr>
            <w:tcW w:type="dxa" w:w="5616"/>
          </w:tcPr>
          <w:p>
            <w:r/>
            <w:r>
              <w:rPr>
                <w:sz w:val="15"/>
              </w:rPr>
              <w:t>Accept SL §5.1 (ILPA-template quarterly reports within 60 days). Include sub-line data per #11. Co-investment: aggregate annual reporting through the LPAC, without co-investor identities. Placement fees: per #12 only.</w:t>
            </w:r>
          </w:p>
        </w:tc>
        <w:tc>
          <w:tcPr>
            <w:tcW w:type="dxa" w:w="2880"/>
          </w:tcPr>
          <w:p>
            <w:r/>
            <w:r>
              <w:rPr>
                <w:sz w:val="15"/>
              </w:rPr>
              <w:t>Aggregate quarterly co-investment summary (number, amount, sector) without participant names.</w:t>
            </w:r>
          </w:p>
        </w:tc>
      </w:tr>
      <w:tr>
        <w:tc>
          <w:tcPr>
            <w:tcW w:type="dxa" w:w="576"/>
          </w:tcPr>
          <w:p>
            <w:r/>
            <w:r>
              <w:rPr>
                <w:sz w:val="15"/>
              </w:rPr>
              <w:t>23</w:t>
            </w:r>
          </w:p>
        </w:tc>
        <w:tc>
          <w:tcPr>
            <w:tcW w:type="dxa" w:w="1728"/>
          </w:tcPr>
          <w:p>
            <w:r/>
            <w:r>
              <w:rPr>
                <w:sz w:val="15"/>
              </w:rPr>
              <w:t>§18.1</w:t>
            </w:r>
          </w:p>
        </w:tc>
        <w:tc>
          <w:tcPr>
            <w:tcW w:type="dxa" w:w="2016"/>
          </w:tcPr>
          <w:p>
            <w:r/>
            <w:r>
              <w:rPr>
                <w:sz w:val="15"/>
              </w:rPr>
              <w:t>Sovereign immunity reservation</w:t>
            </w:r>
          </w:p>
        </w:tc>
        <w:tc>
          <w:tcPr>
            <w:tcW w:type="dxa" w:w="1296"/>
            <w:shd w:val="clear" w:color="auto" w:fill="A9D08E"/>
          </w:tcPr>
          <w:p>
            <w:r/>
            <w:r>
              <w:rPr>
                <w:b/>
                <w:sz w:val="15"/>
              </w:rPr>
              <w:t>Accept</w:t>
            </w:r>
          </w:p>
        </w:tc>
        <w:tc>
          <w:tcPr>
            <w:tcW w:type="dxa" w:w="5616"/>
          </w:tcPr>
          <w:p>
            <w:r/>
            <w:r>
              <w:rPr>
                <w:sz w:val="15"/>
              </w:rPr>
              <w:t>Side letter: nothing in the Fund documents waives any immunity Meridian has under Meridian or federal law. Meridian acknowledges that its payment obligations (capital contributions, §3.5 default remedies, returns of distributions) remain binding to the extent permitted by law, and the GP does not concede that any immunity exists. Remove the Meridian-specific text from LPA §18.1. Meridian law may govern §12 only.</w:t>
            </w:r>
          </w:p>
        </w:tc>
        <w:tc>
          <w:tcPr>
            <w:tcW w:type="dxa" w:w="2880"/>
          </w:tcPr>
          <w:p>
            <w:r/>
            <w:r>
              <w:rPr>
                <w:sz w:val="15"/>
              </w:rPr>
              <w:t>Accept SL §12 largely as drafted with the obligations acknowledgment.</w:t>
            </w:r>
          </w:p>
        </w:tc>
      </w:tr>
      <w:tr>
        <w:tc>
          <w:tcPr>
            <w:tcW w:type="dxa" w:w="576"/>
          </w:tcPr>
          <w:p>
            <w:r/>
            <w:r>
              <w:rPr>
                <w:sz w:val="15"/>
              </w:rPr>
              <w:t>SL-1</w:t>
            </w:r>
          </w:p>
        </w:tc>
        <w:tc>
          <w:tcPr>
            <w:tcW w:type="dxa" w:w="1728"/>
          </w:tcPr>
          <w:p>
            <w:r/>
            <w:r>
              <w:rPr>
                <w:sz w:val="15"/>
              </w:rPr>
              <w:t>LPA §16.1</w:t>
            </w:r>
          </w:p>
        </w:tc>
        <w:tc>
          <w:tcPr>
            <w:tcW w:type="dxa" w:w="2016"/>
          </w:tcPr>
          <w:p>
            <w:r/>
            <w:r>
              <w:rPr>
                <w:sz w:val="15"/>
              </w:rPr>
              <w:t>Precedence clause</w:t>
            </w:r>
          </w:p>
        </w:tc>
        <w:tc>
          <w:tcPr>
            <w:tcW w:type="dxa" w:w="1296"/>
            <w:shd w:val="clear" w:color="auto" w:fill="C6E0B4"/>
          </w:tcPr>
          <w:p>
            <w:r/>
            <w:r>
              <w:rPr>
                <w:b/>
                <w:sz w:val="15"/>
              </w:rPr>
              <w:t>Accept w/ Modifications</w:t>
            </w:r>
          </w:p>
        </w:tc>
        <w:tc>
          <w:tcPr>
            <w:tcW w:type="dxa" w:w="5616"/>
          </w:tcPr>
          <w:p>
            <w:r/>
            <w:r>
              <w:rPr>
                <w:sz w:val="15"/>
              </w:rPr>
              <w:t>Conform to LPA §16.1 and Exhibit E: effective only for Meridian, only to the extent of conflict, and no effect on fund-wide terms or other Partners (§8.6).</w:t>
            </w:r>
          </w:p>
        </w:tc>
        <w:tc>
          <w:tcPr>
            <w:tcW w:type="dxa" w:w="2880"/>
          </w:tcPr>
          <w:p>
            <w:r/>
            <w:r>
              <w:rPr>
                <w:sz w:val="15"/>
              </w:rPr>
              <w:t>-</w:t>
            </w:r>
          </w:p>
        </w:tc>
      </w:tr>
      <w:tr>
        <w:tc>
          <w:tcPr>
            <w:tcW w:type="dxa" w:w="576"/>
          </w:tcPr>
          <w:p>
            <w:r/>
            <w:r>
              <w:rPr>
                <w:sz w:val="15"/>
              </w:rPr>
              <w:t>SL-2</w:t>
            </w:r>
          </w:p>
        </w:tc>
        <w:tc>
          <w:tcPr>
            <w:tcW w:type="dxa" w:w="1728"/>
          </w:tcPr>
          <w:p>
            <w:r/>
            <w:r>
              <w:rPr>
                <w:sz w:val="15"/>
              </w:rPr>
              <w:t>LPA §15.3</w:t>
            </w:r>
          </w:p>
        </w:tc>
        <w:tc>
          <w:tcPr>
            <w:tcW w:type="dxa" w:w="2016"/>
          </w:tcPr>
          <w:p>
            <w:r/>
            <w:r>
              <w:rPr>
                <w:sz w:val="15"/>
              </w:rPr>
              <w:t>MPRSTA reporting and regulatory assistance</w:t>
            </w:r>
          </w:p>
        </w:tc>
        <w:tc>
          <w:tcPr>
            <w:tcW w:type="dxa" w:w="1296"/>
            <w:shd w:val="clear" w:color="auto" w:fill="C6E0B4"/>
          </w:tcPr>
          <w:p>
            <w:r/>
            <w:r>
              <w:rPr>
                <w:b/>
                <w:sz w:val="15"/>
              </w:rPr>
              <w:t>Accept w/ Modifications</w:t>
            </w:r>
          </w:p>
        </w:tc>
        <w:tc>
          <w:tcPr>
            <w:tcW w:type="dxa" w:w="5616"/>
          </w:tcPr>
          <w:p>
            <w:r/>
            <w:r>
              <w:rPr>
                <w:sz w:val="15"/>
              </w:rPr>
              <w:t>Accept a 60-day semi-annual package covering the §§204-206 categories. Placement-agent content per #12. Other assistance on §15.3 terms (information readily available).</w:t>
            </w:r>
          </w:p>
        </w:tc>
        <w:tc>
          <w:tcPr>
            <w:tcW w:type="dxa" w:w="2880"/>
          </w:tcPr>
          <w:p>
            <w:r/>
            <w:r>
              <w:rPr>
                <w:sz w:val="15"/>
              </w:rPr>
              <w:t>-</w:t>
            </w:r>
          </w:p>
        </w:tc>
      </w:tr>
      <w:tr>
        <w:tc>
          <w:tcPr>
            <w:tcW w:type="dxa" w:w="576"/>
          </w:tcPr>
          <w:p>
            <w:r/>
            <w:r>
              <w:rPr>
                <w:sz w:val="15"/>
              </w:rPr>
              <w:t>SL-3</w:t>
            </w:r>
          </w:p>
        </w:tc>
        <w:tc>
          <w:tcPr>
            <w:tcW w:type="dxa" w:w="1728"/>
          </w:tcPr>
          <w:p>
            <w:r/>
            <w:r>
              <w:rPr>
                <w:sz w:val="15"/>
              </w:rPr>
              <w:t>-</w:t>
            </w:r>
          </w:p>
        </w:tc>
        <w:tc>
          <w:tcPr>
            <w:tcW w:type="dxa" w:w="2016"/>
          </w:tcPr>
          <w:p>
            <w:r/>
            <w:r>
              <w:rPr>
                <w:sz w:val="15"/>
              </w:rPr>
              <w:t>Audit / inspection rights (incl. State Auditor)</w:t>
            </w:r>
          </w:p>
        </w:tc>
        <w:tc>
          <w:tcPr>
            <w:tcW w:type="dxa" w:w="1296"/>
            <w:shd w:val="clear" w:color="auto" w:fill="FFE699"/>
          </w:tcPr>
          <w:p>
            <w:r/>
            <w:r>
              <w:rPr>
                <w:b/>
                <w:sz w:val="15"/>
              </w:rPr>
              <w:t>Compromise</w:t>
            </w:r>
          </w:p>
        </w:tc>
        <w:tc>
          <w:tcPr>
            <w:tcW w:type="dxa" w:w="5616"/>
          </w:tcPr>
          <w:p>
            <w:r/>
            <w:r>
              <w:rPr>
                <w:sz w:val="15"/>
              </w:rPr>
              <w:t>On reasonable notice, at most annually and at Meridian’s cost, the GP will make available (through the Fund Administrator) records supporting fee, expense and carry calculations attributable to Meridian’s interest, subject to confidentiality. No access to GP or Management Company books or to other LPs’ data. Statutory audits are accommodated as required by law.</w:t>
            </w:r>
          </w:p>
        </w:tc>
        <w:tc>
          <w:tcPr>
            <w:tcW w:type="dxa" w:w="2880"/>
          </w:tcPr>
          <w:p>
            <w:r/>
            <w:r>
              <w:rPr>
                <w:sz w:val="15"/>
              </w:rPr>
              <w:t>Allow State Auditor access on the same terms.</w:t>
            </w:r>
          </w:p>
        </w:tc>
      </w:tr>
      <w:tr>
        <w:tc>
          <w:tcPr>
            <w:tcW w:type="dxa" w:w="576"/>
          </w:tcPr>
          <w:p>
            <w:r/>
            <w:r>
              <w:rPr>
                <w:sz w:val="15"/>
              </w:rPr>
              <w:t>SL-4</w:t>
            </w:r>
          </w:p>
        </w:tc>
        <w:tc>
          <w:tcPr>
            <w:tcW w:type="dxa" w:w="1728"/>
          </w:tcPr>
          <w:p>
            <w:r/>
            <w:r>
              <w:rPr>
                <w:sz w:val="15"/>
              </w:rPr>
              <w:t>§4.3(d)</w:t>
            </w:r>
          </w:p>
        </w:tc>
        <w:tc>
          <w:tcPr>
            <w:tcW w:type="dxa" w:w="2016"/>
          </w:tcPr>
          <w:p>
            <w:r/>
            <w:r>
              <w:rPr>
                <w:sz w:val="15"/>
              </w:rPr>
              <w:t>Co-investment economics and information</w:t>
            </w:r>
          </w:p>
        </w:tc>
        <w:tc>
          <w:tcPr>
            <w:tcW w:type="dxa" w:w="1296"/>
            <w:shd w:val="clear" w:color="auto" w:fill="D9D9D9"/>
          </w:tcPr>
          <w:p>
            <w:r/>
            <w:r>
              <w:rPr>
                <w:b/>
                <w:sz w:val="15"/>
              </w:rPr>
              <w:t>Hold - Verify</w:t>
            </w:r>
          </w:p>
        </w:tc>
        <w:tc>
          <w:tcPr>
            <w:tcW w:type="dxa" w:w="5616"/>
          </w:tcPr>
          <w:p>
            <w:r/>
            <w:r>
              <w:rPr>
                <w:sz w:val="15"/>
              </w:rPr>
              <w:t>Offer co-investment economics identical to the executed first-close co-investment letters, once the actual terms are confirmed. Information access the same as other co-investors.</w:t>
            </w:r>
          </w:p>
        </w:tc>
        <w:tc>
          <w:tcPr>
            <w:tcW w:type="dxa" w:w="2880"/>
          </w:tcPr>
          <w:p>
            <w:r/>
            <w:r>
              <w:rPr>
                <w:sz w:val="15"/>
              </w:rPr>
              <w:t>-</w:t>
            </w:r>
          </w:p>
        </w:tc>
      </w:tr>
      <w:tr>
        <w:tc>
          <w:tcPr>
            <w:tcW w:type="dxa" w:w="576"/>
          </w:tcPr>
          <w:p>
            <w:r/>
            <w:r>
              <w:rPr>
                <w:sz w:val="15"/>
              </w:rPr>
              <w:t>SL-5</w:t>
            </w:r>
          </w:p>
        </w:tc>
        <w:tc>
          <w:tcPr>
            <w:tcW w:type="dxa" w:w="1728"/>
          </w:tcPr>
          <w:p>
            <w:r/>
            <w:r>
              <w:rPr>
                <w:sz w:val="15"/>
              </w:rPr>
              <w:t>§6.3(c)</w:t>
            </w:r>
          </w:p>
        </w:tc>
        <w:tc>
          <w:tcPr>
            <w:tcW w:type="dxa" w:w="2016"/>
          </w:tcPr>
          <w:p>
            <w:r/>
            <w:r>
              <w:rPr>
                <w:sz w:val="15"/>
              </w:rPr>
              <w:t>Uncapped joint and several personal guarantees; no set-off</w:t>
            </w:r>
          </w:p>
        </w:tc>
        <w:tc>
          <w:tcPr>
            <w:tcW w:type="dxa" w:w="1296"/>
            <w:shd w:val="clear" w:color="auto" w:fill="F8CBAD"/>
          </w:tcPr>
          <w:p>
            <w:r/>
            <w:r>
              <w:rPr>
                <w:b/>
                <w:sz w:val="15"/>
              </w:rPr>
              <w:t>Reject</w:t>
            </w:r>
          </w:p>
        </w:tc>
        <w:tc>
          <w:tcPr>
            <w:tcW w:type="dxa" w:w="5616"/>
          </w:tcPr>
          <w:p>
            <w:r/>
            <w:r>
              <w:rPr>
                <w:sz w:val="15"/>
              </w:rPr>
              <w:t>Existing §6.3(c) guarantees stand.</w:t>
            </w:r>
          </w:p>
        </w:tc>
        <w:tc>
          <w:tcPr>
            <w:tcW w:type="dxa" w:w="2880"/>
          </w:tcPr>
          <w:p>
            <w:r/>
            <w:r>
              <w:rPr>
                <w:sz w:val="15"/>
              </w:rPr>
              <w:t>-</w:t>
            </w:r>
          </w:p>
        </w:tc>
      </w:tr>
      <w:tr>
        <w:tc>
          <w:tcPr>
            <w:tcW w:type="dxa" w:w="576"/>
          </w:tcPr>
          <w:p>
            <w:r/>
            <w:r>
              <w:rPr>
                <w:sz w:val="15"/>
              </w:rPr>
              <w:t>SL-6</w:t>
            </w:r>
          </w:p>
        </w:tc>
        <w:tc>
          <w:tcPr>
            <w:tcW w:type="dxa" w:w="1728"/>
          </w:tcPr>
          <w:p>
            <w:r/>
            <w:r>
              <w:rPr>
                <w:sz w:val="15"/>
              </w:rPr>
              <w:t>§6.5</w:t>
            </w:r>
          </w:p>
        </w:tc>
        <w:tc>
          <w:tcPr>
            <w:tcW w:type="dxa" w:w="2016"/>
          </w:tcPr>
          <w:p>
            <w:r/>
            <w:r>
              <w:rPr>
                <w:sz w:val="15"/>
              </w:rPr>
              <w:t>Mandatory quarterly tax distributions (about 53%)</w:t>
            </w:r>
          </w:p>
        </w:tc>
        <w:tc>
          <w:tcPr>
            <w:tcW w:type="dxa" w:w="1296"/>
            <w:shd w:val="clear" w:color="auto" w:fill="F8CBAD"/>
          </w:tcPr>
          <w:p>
            <w:r/>
            <w:r>
              <w:rPr>
                <w:b/>
                <w:sz w:val="15"/>
              </w:rPr>
              <w:t>Reject</w:t>
            </w:r>
          </w:p>
        </w:tc>
        <w:tc>
          <w:tcPr>
            <w:tcW w:type="dxa" w:w="5616"/>
          </w:tcPr>
          <w:p>
            <w:r/>
            <w:r>
              <w:rPr>
                <w:sz w:val="15"/>
              </w:rPr>
              <w:t>Not applicable to a §115 entity; see #8 clarification.</w:t>
            </w:r>
          </w:p>
        </w:tc>
        <w:tc>
          <w:tcPr>
            <w:tcW w:type="dxa" w:w="2880"/>
          </w:tcPr>
          <w:p>
            <w:r/>
            <w:r>
              <w:rPr>
                <w:sz w:val="15"/>
              </w:rPr>
              <w:t>-</w:t>
            </w:r>
          </w:p>
        </w:tc>
      </w:tr>
      <w:tr>
        <w:tc>
          <w:tcPr>
            <w:tcW w:type="dxa" w:w="576"/>
          </w:tcPr>
          <w:p>
            <w:r/>
            <w:r>
              <w:rPr>
                <w:sz w:val="15"/>
              </w:rPr>
              <w:t>SL-7</w:t>
            </w:r>
          </w:p>
        </w:tc>
        <w:tc>
          <w:tcPr>
            <w:tcW w:type="dxa" w:w="1728"/>
          </w:tcPr>
          <w:p>
            <w:r/>
            <w:r>
              <w:rPr>
                <w:sz w:val="15"/>
              </w:rPr>
              <w:t>§7.1(b)</w:t>
            </w:r>
          </w:p>
        </w:tc>
        <w:tc>
          <w:tcPr>
            <w:tcW w:type="dxa" w:w="2016"/>
          </w:tcPr>
          <w:p>
            <w:r/>
            <w:r>
              <w:rPr>
                <w:sz w:val="15"/>
              </w:rPr>
              <w:t>Post-Investment Period fee 1.5% to 1.25%</w:t>
            </w:r>
          </w:p>
        </w:tc>
        <w:tc>
          <w:tcPr>
            <w:tcW w:type="dxa" w:w="1296"/>
            <w:shd w:val="clear" w:color="auto" w:fill="F8CBAD"/>
          </w:tcPr>
          <w:p>
            <w:r/>
            <w:r>
              <w:rPr>
                <w:b/>
                <w:sz w:val="15"/>
              </w:rPr>
              <w:t>Reject</w:t>
            </w:r>
          </w:p>
        </w:tc>
        <w:tc>
          <w:tcPr>
            <w:tcW w:type="dxa" w:w="5616"/>
          </w:tcPr>
          <w:p>
            <w:r/>
            <w:r>
              <w:rPr>
                <w:sz w:val="15"/>
              </w:rPr>
              <w:t>Post-Investment Period fee unchanged at 1.5%.</w:t>
            </w:r>
          </w:p>
        </w:tc>
        <w:tc>
          <w:tcPr>
            <w:tcW w:type="dxa" w:w="2880"/>
          </w:tcPr>
          <w:p>
            <w:r/>
            <w:r>
              <w:rPr>
                <w:sz w:val="15"/>
              </w:rPr>
              <w:t>-</w:t>
            </w:r>
          </w:p>
        </w:tc>
      </w:tr>
      <w:tr>
        <w:tc>
          <w:tcPr>
            <w:tcW w:type="dxa" w:w="576"/>
          </w:tcPr>
          <w:p>
            <w:r/>
            <w:r>
              <w:rPr>
                <w:sz w:val="15"/>
              </w:rPr>
              <w:t>SL-8</w:t>
            </w:r>
          </w:p>
        </w:tc>
        <w:tc>
          <w:tcPr>
            <w:tcW w:type="dxa" w:w="1728"/>
          </w:tcPr>
          <w:p>
            <w:r/>
            <w:r>
              <w:rPr>
                <w:sz w:val="15"/>
              </w:rPr>
              <w:t>§3.6</w:t>
            </w:r>
          </w:p>
        </w:tc>
        <w:tc>
          <w:tcPr>
            <w:tcW w:type="dxa" w:w="2016"/>
          </w:tcPr>
          <w:p>
            <w:r/>
            <w:r>
              <w:rPr>
                <w:sz w:val="15"/>
              </w:rPr>
              <w:t>Unilateral additions to restricted sectors</w:t>
            </w:r>
          </w:p>
        </w:tc>
        <w:tc>
          <w:tcPr>
            <w:tcW w:type="dxa" w:w="1296"/>
            <w:shd w:val="clear" w:color="auto" w:fill="F8CBAD"/>
          </w:tcPr>
          <w:p>
            <w:r/>
            <w:r>
              <w:rPr>
                <w:b/>
                <w:sz w:val="15"/>
              </w:rPr>
              <w:t>Reject</w:t>
            </w:r>
          </w:p>
        </w:tc>
        <w:tc>
          <w:tcPr>
            <w:tcW w:type="dxa" w:w="5616"/>
          </w:tcPr>
          <w:p>
            <w:r/>
            <w:r>
              <w:rPr>
                <w:sz w:val="15"/>
              </w:rPr>
              <w:t>Good-faith discussion of any IPS amendment; any new excuse category requires GP consent.</w:t>
            </w:r>
          </w:p>
        </w:tc>
        <w:tc>
          <w:tcPr>
            <w:tcW w:type="dxa" w:w="2880"/>
          </w:tcPr>
          <w:p>
            <w:r/>
            <w:r>
              <w:rPr>
                <w:sz w:val="15"/>
              </w:rPr>
              <w:t>Accept if a new category is legally mandated (covered by §3.6(a)(i)).</w:t>
            </w:r>
          </w:p>
        </w:tc>
      </w:tr>
      <w:tr>
        <w:tc>
          <w:tcPr>
            <w:tcW w:type="dxa" w:w="576"/>
          </w:tcPr>
          <w:p>
            <w:r/>
            <w:r>
              <w:rPr>
                <w:sz w:val="15"/>
              </w:rPr>
              <w:t>SL-9</w:t>
            </w:r>
          </w:p>
        </w:tc>
        <w:tc>
          <w:tcPr>
            <w:tcW w:type="dxa" w:w="1728"/>
          </w:tcPr>
          <w:p>
            <w:r/>
            <w:r>
              <w:rPr>
                <w:sz w:val="15"/>
              </w:rPr>
              <w:t>§12.4; Exh. E ¶3</w:t>
            </w:r>
          </w:p>
        </w:tc>
        <w:tc>
          <w:tcPr>
            <w:tcW w:type="dxa" w:w="2016"/>
          </w:tcPr>
          <w:p>
            <w:r/>
            <w:r>
              <w:rPr>
                <w:sz w:val="15"/>
              </w:rPr>
              <w:t>Transferee benefits; confidentiality of side letter</w:t>
            </w:r>
          </w:p>
        </w:tc>
        <w:tc>
          <w:tcPr>
            <w:tcW w:type="dxa" w:w="1296"/>
            <w:shd w:val="clear" w:color="auto" w:fill="C6E0B4"/>
          </w:tcPr>
          <w:p>
            <w:r/>
            <w:r>
              <w:rPr>
                <w:b/>
                <w:sz w:val="15"/>
              </w:rPr>
              <w:t>Accept w/ Modifications</w:t>
            </w:r>
          </w:p>
        </w:tc>
        <w:tc>
          <w:tcPr>
            <w:tcW w:type="dxa" w:w="5616"/>
          </w:tcPr>
          <w:p>
            <w:r/>
            <w:r>
              <w:rPr>
                <w:sz w:val="15"/>
              </w:rPr>
              <w:t>Benefits pass only to a statutory successor. The GP may disclose the side letter (redacted) for MFN purposes and to its administrator, auditors, counsel, lenders and regulators.</w:t>
            </w:r>
          </w:p>
        </w:tc>
        <w:tc>
          <w:tcPr>
            <w:tcW w:type="dxa" w:w="2880"/>
          </w:tcPr>
          <w:p>
            <w:r/>
            <w:r>
              <w:rPr>
                <w:sz w:val="15"/>
              </w:rPr>
              <w:t>-</w:t>
            </w:r>
          </w:p>
        </w:tc>
      </w:tr>
    </w:tbl>
    <w:p>
      <w:pPr>
        <w:spacing w:after="40"/>
      </w:pPr>
    </w:p>
    <w:p>
      <w:pPr>
        <w:sectPr>
          <w:pgSz w:w="15840" w:h="12240" w:orient="landscape"/>
          <w:pgMar w:top="1296" w:right="864" w:bottom="1296" w:left="864" w:header="720" w:footer="720" w:gutter="0"/>
          <w:cols w:space="720"/>
          <w:docGrid w:linePitch="360"/>
        </w:sectPr>
      </w:pPr>
    </w:p>
    <w:p>
      <w:pPr>
        <w:pStyle w:val="Heading1"/>
      </w:pPr>
      <w:r>
        <w:t>VII. Document Discrepancies to Resolve</w:t>
      </w:r>
    </w:p>
    <w:p>
      <w:pPr>
        <w:spacing w:after="120"/>
      </w:pPr>
      <w:r>
        <w:rPr>
          <w:b w:val="0"/>
          <w:i w:val="0"/>
        </w:rPr>
        <w:t>Our review surfaced the following inconsistencies. The full log, with actions, is on the “Discrepancies &amp; Open Items” tab of the workbook. The most consequential:</w:t>
      </w:r>
    </w:p>
    <w:p>
      <w:pPr>
        <w:pStyle w:val="ListNumber"/>
        <w:spacing w:after="60"/>
      </w:pPr>
      <w:r>
        <w:rPr>
          <w:b/>
        </w:rPr>
        <w:t>Internal term sheet §6.1 / App. B Table 1.</w:t>
      </w:r>
      <w:r>
        <w:t xml:space="preserve"> Investment Period fee shown as $21.6M/yr ($129.6M over 6 years). 2.0% × $1.8B is $36.0M/yr ($216.0M). Fund-life total is $312.0M, not $225.6M. All percentage-of-fee figures in §6.3/§6.5 are overstated as a result.</w:t>
      </w:r>
    </w:p>
    <w:p>
      <w:pPr>
        <w:pStyle w:val="ListNumber"/>
        <w:spacing w:after="60"/>
      </w:pPr>
      <w:r>
        <w:rPr>
          <w:b/>
        </w:rPr>
        <w:t>Internal term sheet §6.2 / App. B Table 2.</w:t>
      </w:r>
      <w:r>
        <w:t xml:space="preserve"> A 15bp reduction on $125M is shown as $112,500/yr ($675,000 over the IP). The correct figure is $187,500/yr ($1,125,000). $112,500 is 15bp on $75M, Meridian’s Fund III commitment.</w:t>
      </w:r>
    </w:p>
    <w:p>
      <w:pPr>
        <w:pStyle w:val="ListNumber"/>
        <w:spacing w:after="60"/>
      </w:pPr>
      <w:r>
        <w:rPr>
          <w:b/>
        </w:rPr>
        <w:t>Internal term sheet §6.2-6.5 vs markup.</w:t>
      </w:r>
      <w:r>
        <w:t xml:space="preserve"> Sensitivity models a 15bp discount. Meridian asks for 25bp in the Investment Period (1.75%) and, in SL §16.1 only, 25bp post-Investment Period (1.25%), plus a 5-point carry cut.</w:t>
      </w:r>
    </w:p>
    <w:p>
      <w:pPr>
        <w:pStyle w:val="ListNumber"/>
        <w:spacing w:after="60"/>
      </w:pPr>
      <w:r>
        <w:rPr>
          <w:b/>
        </w:rPr>
        <w:t>Term sheet §6.3; first-close tracker summary row.</w:t>
      </w:r>
      <w:r>
        <w:t xml:space="preserve"> Cascade assumes “8 LPs ≥$100M totaling $925M”. The first-close rows show 4 LPs at $100M or more totaling $600M (Osprey 200, Eastbridge 175, Great Lakes 125, Pinnacle 100), only 3 above $100M. The summary row contradicts the tracker’s own data.</w:t>
      </w:r>
    </w:p>
    <w:p>
      <w:pPr>
        <w:pStyle w:val="ListNumber"/>
        <w:spacing w:after="60"/>
      </w:pPr>
      <w:r>
        <w:rPr>
          <w:b/>
        </w:rPr>
        <w:t>Meridian LPA markup §6.2(c), “Catch-Up” definition, §6.3(a).</w:t>
      </w:r>
      <w:r>
        <w:t xml:space="preserve"> Carry changed to 15% in §1.1, §6.2(d) and §6.3(a), but the catch-up still runs 80/20 until the GP has 20%.</w:t>
      </w:r>
    </w:p>
    <w:p>
      <w:pPr>
        <w:pStyle w:val="ListNumber"/>
        <w:spacing w:after="60"/>
      </w:pPr>
      <w:r>
        <w:rPr>
          <w:b/>
        </w:rPr>
        <w:t>Meridian LPA markup vs side letter request.</w:t>
      </w:r>
      <w:r>
        <w:t xml:space="preserve"> Inconsistent asks: LPAC retention $100M (LPA §9.1(f)) vs $75M (SL §6.4). Annual meeting 120 days (LPA §9.2(e)) vs 180 days (SL §5.5). Reporting 90/45 days (LPA §15.1) vs 120/60 days (SL §5.1-5.2). ESG quarterly (LPA) vs annual (SL §5.4). Excuse test “primary business” (LPA) vs &gt;10% of revenue with broader categories (SL §8.1). ROFO threshold equity “requiring” $25M (LPA) vs aggregate deal equity &gt;$25M (SL §7.1). Tax: no offset (LPA #8) vs mandatory 53% tax distributions (SL §11.1).</w:t>
      </w:r>
    </w:p>
    <w:p>
      <w:pPr>
        <w:pStyle w:val="ListNumber"/>
        <w:spacing w:after="60"/>
      </w:pPr>
      <w:r>
        <w:rPr>
          <w:b/>
        </w:rPr>
        <w:t>Meridian side letter cross-references.</w:t>
      </w:r>
      <w:r>
        <w:t xml:space="preserve"> SL §3.2 cites LPA §12.1 for confidentiality (should be Art. XIV/§14.2). §9.1 cites §7.6 for clawback (§6.3). §10.1 cites §9.2 for transfers (§12.1). §16.1 cites §6.1 for fees (§7.1). §16.2 cites §7.3 for carry (§1.1/§6.2). These match Fund III LPA numbering (Fund III tracker: §6.1(a) fee, §11.1 transfer, §12.1 confidentiality).</w:t>
      </w:r>
    </w:p>
    <w:p>
      <w:pPr>
        <w:pStyle w:val="ListNumber"/>
        <w:spacing w:after="60"/>
      </w:pPr>
      <w:r>
        <w:rPr>
          <w:b/>
        </w:rPr>
        <w:t>Side letter recital vs LPA §2.1.</w:t>
      </w:r>
      <w:r>
        <w:t xml:space="preserve"> Certificate of Limited Partnership filing date: January 14, 2025 (SL) vs January 22, 2025 (LPA §2.1).</w:t>
      </w:r>
    </w:p>
    <w:p>
      <w:pPr>
        <w:pStyle w:val="ListNumber"/>
        <w:spacing w:after="60"/>
      </w:pPr>
      <w:r>
        <w:rPr>
          <w:b/>
        </w:rPr>
        <w:t>Side letter cover letter.</w:t>
      </w:r>
      <w:r>
        <w:t xml:space="preserve"> States the GP anticipates a final close no later than September 30, 2025. LPA “Final Closing” is no later than September 15, 2026 (+6 months at GP discretion). Also states MPRSTA amendments enacted “in 2022 and 2024”; the statute compilation shows 2019 enactment and 2023 Amendments.</w:t>
      </w:r>
    </w:p>
    <w:p>
      <w:pPr>
        <w:pStyle w:val="ListNumber"/>
        <w:spacing w:after="60"/>
      </w:pPr>
      <w:r>
        <w:rPr>
          <w:b/>
        </w:rPr>
        <w:t>Fund III history.</w:t>
      </w:r>
      <w:r>
        <w:t xml:space="preserve"> SL cover says Meridian committed at the Fund III “final close on September 1, 2018”. Fund III tracker shows admission at the second close, June 1, 2018. LPA markup cover letter says the relationship dates “since 2019”.</w:t>
      </w:r>
    </w:p>
    <w:p>
      <w:pPr>
        <w:pStyle w:val="ListNumber"/>
        <w:spacing w:after="60"/>
      </w:pPr>
      <w:r>
        <w:rPr>
          <w:b/>
        </w:rPr>
        <w:t>Ashbridge &amp; Lowe notice address.</w:t>
      </w:r>
      <w:r>
        <w:t xml:space="preserve"> Markup cover: 450 Lexington Ave, 40th Fl. Side letter: 599 Madison Ave, 22nd Fl.</w:t>
      </w:r>
    </w:p>
    <w:p>
      <w:pPr>
        <w:pStyle w:val="ListNumber"/>
        <w:spacing w:after="60"/>
      </w:pPr>
      <w:r>
        <w:rPr>
          <w:b/>
        </w:rPr>
        <w:t>Internal term sheet §2.2 / App. A.</w:t>
      </w:r>
      <w:r>
        <w:t xml:space="preserve"> Investment Period and Term stated as running “from final close”; LPA defines both from the First Closing (March 15, 2025).</w:t>
      </w:r>
    </w:p>
    <w:p>
      <w:pPr>
        <w:spacing w:after="120"/>
      </w:pPr>
      <w:r>
        <w:rPr>
          <w:b w:val="0"/>
          <w:i/>
          <w:sz w:val="19"/>
        </w:rPr>
        <w:t>Lesser items (internal term sheet descriptions of the Key Person reinstatement vote and the transfer standard, tracker cross-references, the Fund III MFN tab’s internal inconsistencies, and entity names in the MPRSTA compilation) are logged in the workbook.</w:t>
      </w:r>
    </w:p>
    <w:p>
      <w:pPr>
        <w:pStyle w:val="Heading1"/>
      </w:pPr>
      <w:r>
        <w:t>VIII. Guidance for the April 28–29 Call with Sandra Beaulieu</w:t>
      </w:r>
    </w:p>
    <w:p>
      <w:pPr>
        <w:spacing w:after="120"/>
      </w:pPr>
      <w:r>
        <w:rPr>
          <w:b w:val="0"/>
          <w:i w:val="0"/>
        </w:rPr>
        <w:t>Consistent with your plan to set tone, not negotiate terms:</w:t>
      </w:r>
    </w:p>
    <w:p>
      <w:pPr>
        <w:pStyle w:val="ListBullet"/>
        <w:spacing w:after="60"/>
      </w:pPr>
      <w:r>
        <w:rPr>
          <w:b/>
        </w:rPr>
        <w:t>Signal flexibility on:</w:t>
      </w:r>
      <w:r>
        <w:t xml:space="preserve"> LPAC seat; public-records accommodation that respects MPRSTA; excuse rights for the IPS sectors; co-investment access alongside other large LPs; transfer flexibility; sovereign immunity; robust reporting that supports Meridian’s MPRSTA filings.</w:t>
      </w:r>
    </w:p>
    <w:p>
      <w:pPr>
        <w:pStyle w:val="ListBullet"/>
        <w:spacing w:after="60"/>
      </w:pPr>
      <w:r>
        <w:rPr>
          <w:b/>
        </w:rPr>
        <w:t>Signal firmness on:</w:t>
      </w:r>
      <w:r>
        <w:t xml:space="preserve"> governance (removal threshold, Key Person), the carry structure, the integrity of the MFN framework, and the confidentiality of other investors, including their placement-agent relationships.</w:t>
      </w:r>
    </w:p>
    <w:p>
      <w:pPr>
        <w:pStyle w:val="ListBullet"/>
        <w:spacing w:after="60"/>
      </w:pPr>
      <w:r>
        <w:rPr>
          <w:b/>
        </w:rPr>
        <w:t>Avoid:</w:t>
      </w:r>
      <w:r>
        <w:t xml:space="preserve"> any fee number, including 1.85% or 1.90%. Do not mention the Fund III Osprey or Eastbridge rates; Meridian’s counsel represented Osprey in Fund III according to our tracker and may already know them. Do not mention the credit facility until confirmed. Do not refer to which LPs Calderbank introduced.</w:t>
      </w:r>
    </w:p>
    <w:p>
      <w:pPr>
        <w:pStyle w:val="ListBullet"/>
        <w:spacing w:after="60"/>
      </w:pPr>
      <w:r>
        <w:rPr>
          <w:b/>
        </w:rPr>
        <w:t>Safe to confirm:</w:t>
      </w:r>
      <w:r>
        <w:t xml:space="preserve"> Meridian was not introduced by Calderbank and no placement fee is attributable to its commitment. The GP can certify this under MPRSTA §24-51-207(b).</w:t>
      </w:r>
    </w:p>
    <w:p>
      <w:pPr>
        <w:pStyle w:val="Heading1"/>
      </w:pPr>
      <w:r>
        <w:t>IX. Open Items and Next Steps</w:t>
      </w:r>
    </w:p>
    <w:tbl>
      <w:tblPr>
        <w:tblStyle w:val="TableGrid"/>
        <w:tblW w:type="auto" w:w="0"/>
        <w:jc w:val="center"/>
        <w:tblLook w:firstColumn="1" w:firstRow="1" w:lastColumn="0" w:lastRow="0" w:noHBand="0" w:noVBand="1" w:val="04A0"/>
      </w:tblPr>
      <w:tblGrid>
        <w:gridCol w:w="2592"/>
        <w:gridCol w:w="2592"/>
        <w:gridCol w:w="2592"/>
        <w:gridCol w:w="2592"/>
        <w:gridCol w:w="2592"/>
      </w:tblGrid>
      <w:tr>
        <w:tc>
          <w:tcPr>
            <w:tcW w:type="dxa" w:w="432"/>
            <w:shd w:val="clear" w:color="auto" w:fill="1F3864"/>
          </w:tcPr>
          <w:p>
            <w:r/>
            <w:r>
              <w:rPr>
                <w:b/>
                <w:color w:val="FFFFFF"/>
                <w:sz w:val="17"/>
              </w:rPr>
              <w:t>#</w:t>
            </w:r>
          </w:p>
        </w:tc>
        <w:tc>
          <w:tcPr>
            <w:tcW w:type="dxa" w:w="2016"/>
            <w:shd w:val="clear" w:color="auto" w:fill="1F3864"/>
          </w:tcPr>
          <w:p>
            <w:r/>
            <w:r>
              <w:rPr>
                <w:b/>
                <w:color w:val="FFFFFF"/>
                <w:sz w:val="17"/>
              </w:rPr>
              <w:t>Item</w:t>
            </w:r>
          </w:p>
        </w:tc>
        <w:tc>
          <w:tcPr>
            <w:tcW w:type="dxa" w:w="4320"/>
            <w:shd w:val="clear" w:color="auto" w:fill="1F3864"/>
          </w:tcPr>
          <w:p>
            <w:r/>
            <w:r>
              <w:rPr>
                <w:b/>
                <w:color w:val="FFFFFF"/>
                <w:sz w:val="17"/>
              </w:rPr>
              <w:t>Action</w:t>
            </w:r>
          </w:p>
        </w:tc>
        <w:tc>
          <w:tcPr>
            <w:tcW w:type="dxa" w:w="1296"/>
            <w:shd w:val="clear" w:color="auto" w:fill="1F3864"/>
          </w:tcPr>
          <w:p>
            <w:r/>
            <w:r>
              <w:rPr>
                <w:b/>
                <w:color w:val="FFFFFF"/>
                <w:sz w:val="17"/>
              </w:rPr>
              <w:t>Owner</w:t>
            </w:r>
          </w:p>
        </w:tc>
        <w:tc>
          <w:tcPr>
            <w:tcW w:type="dxa" w:w="1296"/>
            <w:shd w:val="clear" w:color="auto" w:fill="1F3864"/>
          </w:tcPr>
          <w:p>
            <w:r/>
            <w:r>
              <w:rPr>
                <w:b/>
                <w:color w:val="FFFFFF"/>
                <w:sz w:val="17"/>
              </w:rPr>
              <w:t>Timing</w:t>
            </w:r>
          </w:p>
        </w:tc>
      </w:tr>
      <w:tr>
        <w:tc>
          <w:tcPr>
            <w:tcW w:type="dxa" w:w="432"/>
          </w:tcPr>
          <w:p>
            <w:r/>
            <w:r>
              <w:rPr>
                <w:sz w:val="17"/>
              </w:rPr>
              <w:t>1</w:t>
            </w:r>
          </w:p>
        </w:tc>
        <w:tc>
          <w:tcPr>
            <w:tcW w:type="dxa" w:w="2016"/>
          </w:tcPr>
          <w:p>
            <w:r/>
            <w:r>
              <w:rPr>
                <w:sz w:val="17"/>
              </w:rPr>
              <w:t>Credit facility / subscription line documents</w:t>
            </w:r>
          </w:p>
        </w:tc>
        <w:tc>
          <w:tcPr>
            <w:tcW w:type="dxa" w:w="4320"/>
          </w:tcPr>
          <w:p>
            <w:r/>
            <w:r>
              <w:rPr>
                <w:sz w:val="17"/>
              </w:rPr>
              <w:t>Confirm any GP-removal or change-of-control covenant and the minimum removal threshold acceptable to the lender (#18).</w:t>
            </w:r>
          </w:p>
        </w:tc>
        <w:tc>
          <w:tcPr>
            <w:tcW w:type="dxa" w:w="1296"/>
          </w:tcPr>
          <w:p>
            <w:r/>
            <w:r>
              <w:rPr>
                <w:sz w:val="17"/>
              </w:rPr>
              <w:t>A&amp;L (DK)</w:t>
            </w:r>
          </w:p>
        </w:tc>
        <w:tc>
          <w:tcPr>
            <w:tcW w:type="dxa" w:w="1296"/>
          </w:tcPr>
          <w:p>
            <w:r/>
            <w:r>
              <w:rPr>
                <w:sz w:val="17"/>
              </w:rPr>
              <w:t>Before May 5-6 strategy call</w:t>
            </w:r>
          </w:p>
        </w:tc>
      </w:tr>
      <w:tr>
        <w:tc>
          <w:tcPr>
            <w:tcW w:type="dxa" w:w="432"/>
          </w:tcPr>
          <w:p>
            <w:r/>
            <w:r>
              <w:rPr>
                <w:sz w:val="17"/>
              </w:rPr>
              <w:t>2</w:t>
            </w:r>
          </w:p>
        </w:tc>
        <w:tc>
          <w:tcPr>
            <w:tcW w:type="dxa" w:w="2016"/>
          </w:tcPr>
          <w:p>
            <w:r/>
            <w:r>
              <w:rPr>
                <w:sz w:val="17"/>
              </w:rPr>
              <w:t>Executed first-close side letters</w:t>
            </w:r>
          </w:p>
        </w:tc>
        <w:tc>
          <w:tcPr>
            <w:tcW w:type="dxa" w:w="4320"/>
          </w:tcPr>
          <w:p>
            <w:r/>
            <w:r>
              <w:rPr>
                <w:sz w:val="17"/>
              </w:rPr>
              <w:t>Confirm co-investment fee/carry terms (Osprey, Eastbridge, Pinnacle §4(a)), the MFN formulation, and whether any placement-agent disclosure (Great Lakes, Caledonia, Sterling) includes LP attribution that Meridian could elect via MFN.</w:t>
            </w:r>
          </w:p>
        </w:tc>
        <w:tc>
          <w:tcPr>
            <w:tcW w:type="dxa" w:w="1296"/>
          </w:tcPr>
          <w:p>
            <w:r/>
            <w:r>
              <w:rPr>
                <w:sz w:val="17"/>
              </w:rPr>
              <w:t>A&amp;L</w:t>
            </w:r>
          </w:p>
        </w:tc>
        <w:tc>
          <w:tcPr>
            <w:tcW w:type="dxa" w:w="1296"/>
          </w:tcPr>
          <w:p>
            <w:r/>
            <w:r>
              <w:rPr>
                <w:sz w:val="17"/>
              </w:rPr>
              <w:t>Before response to Haverstraw Pierce</w:t>
            </w:r>
          </w:p>
        </w:tc>
      </w:tr>
      <w:tr>
        <w:tc>
          <w:tcPr>
            <w:tcW w:type="dxa" w:w="432"/>
          </w:tcPr>
          <w:p>
            <w:r/>
            <w:r>
              <w:rPr>
                <w:sz w:val="17"/>
              </w:rPr>
              <w:t>3</w:t>
            </w:r>
          </w:p>
        </w:tc>
        <w:tc>
          <w:tcPr>
            <w:tcW w:type="dxa" w:w="2016"/>
          </w:tcPr>
          <w:p>
            <w:r/>
            <w:r>
              <w:rPr>
                <w:sz w:val="17"/>
              </w:rPr>
              <w:t>Calderbank engagement letter</w:t>
            </w:r>
          </w:p>
        </w:tc>
        <w:tc>
          <w:tcPr>
            <w:tcW w:type="dxa" w:w="4320"/>
          </w:tcPr>
          <w:p>
            <w:r/>
            <w:r>
              <w:rPr>
                <w:sz w:val="17"/>
              </w:rPr>
              <w:t>Confirm it permits Meridian-specific non-introduction certification and aggregate-fee disclosure under MPRSTA §207(c); obtain Calderbank consent for the aggregate-fee fallback.</w:t>
            </w:r>
          </w:p>
        </w:tc>
        <w:tc>
          <w:tcPr>
            <w:tcW w:type="dxa" w:w="1296"/>
          </w:tcPr>
          <w:p>
            <w:r/>
            <w:r>
              <w:rPr>
                <w:sz w:val="17"/>
              </w:rPr>
              <w:t>GP / A&amp;L</w:t>
            </w:r>
          </w:p>
        </w:tc>
        <w:tc>
          <w:tcPr>
            <w:tcW w:type="dxa" w:w="1296"/>
          </w:tcPr>
          <w:p>
            <w:r/>
            <w:r>
              <w:rPr>
                <w:sz w:val="17"/>
              </w:rPr>
              <w:t>Before May 9</w:t>
            </w:r>
          </w:p>
        </w:tc>
      </w:tr>
      <w:tr>
        <w:tc>
          <w:tcPr>
            <w:tcW w:type="dxa" w:w="432"/>
          </w:tcPr>
          <w:p>
            <w:r/>
            <w:r>
              <w:rPr>
                <w:sz w:val="17"/>
              </w:rPr>
              <w:t>4</w:t>
            </w:r>
          </w:p>
        </w:tc>
        <w:tc>
          <w:tcPr>
            <w:tcW w:type="dxa" w:w="2016"/>
          </w:tcPr>
          <w:p>
            <w:r/>
            <w:r>
              <w:rPr>
                <w:sz w:val="17"/>
              </w:rPr>
              <w:t>Fee-concession authority</w:t>
            </w:r>
          </w:p>
        </w:tc>
        <w:tc>
          <w:tcPr>
            <w:tcW w:type="dxa" w:w="4320"/>
          </w:tcPr>
          <w:p>
            <w:r/>
            <w:r>
              <w:rPr>
                <w:sz w:val="17"/>
              </w:rPr>
              <w:t>M. Thornfield decision on whether to hold 2.0% or authorise a 1.90% fallback (floor 1.85%), and the package conditions.</w:t>
            </w:r>
          </w:p>
        </w:tc>
        <w:tc>
          <w:tcPr>
            <w:tcW w:type="dxa" w:w="1296"/>
          </w:tcPr>
          <w:p>
            <w:r/>
            <w:r>
              <w:rPr>
                <w:sz w:val="17"/>
              </w:rPr>
              <w:t>M. Thornfield</w:t>
            </w:r>
          </w:p>
        </w:tc>
        <w:tc>
          <w:tcPr>
            <w:tcW w:type="dxa" w:w="1296"/>
          </w:tcPr>
          <w:p>
            <w:r/>
            <w:r>
              <w:rPr>
                <w:sz w:val="17"/>
              </w:rPr>
              <w:t>May 5-6 call</w:t>
            </w:r>
          </w:p>
        </w:tc>
      </w:tr>
      <w:tr>
        <w:tc>
          <w:tcPr>
            <w:tcW w:type="dxa" w:w="432"/>
          </w:tcPr>
          <w:p>
            <w:r/>
            <w:r>
              <w:rPr>
                <w:sz w:val="17"/>
              </w:rPr>
              <w:t>5</w:t>
            </w:r>
          </w:p>
        </w:tc>
        <w:tc>
          <w:tcPr>
            <w:tcW w:type="dxa" w:w="2016"/>
          </w:tcPr>
          <w:p>
            <w:r/>
            <w:r>
              <w:rPr>
                <w:sz w:val="17"/>
              </w:rPr>
              <w:t>Second-close pipeline</w:t>
            </w:r>
          </w:p>
        </w:tc>
        <w:tc>
          <w:tcPr>
            <w:tcW w:type="dxa" w:w="4320"/>
          </w:tcPr>
          <w:p>
            <w:r/>
            <w:r>
              <w:rPr>
                <w:sz w:val="17"/>
              </w:rPr>
              <w:t>Identify other second-close LPs with commitments of $83.3M or more who could MFN-elect a Meridian concession; refresh cascade.</w:t>
            </w:r>
          </w:p>
        </w:tc>
        <w:tc>
          <w:tcPr>
            <w:tcW w:type="dxa" w:w="1296"/>
          </w:tcPr>
          <w:p>
            <w:r/>
            <w:r>
              <w:rPr>
                <w:sz w:val="17"/>
              </w:rPr>
              <w:t>GP IR</w:t>
            </w:r>
          </w:p>
        </w:tc>
        <w:tc>
          <w:tcPr>
            <w:tcW w:type="dxa" w:w="1296"/>
          </w:tcPr>
          <w:p>
            <w:r/>
            <w:r>
              <w:rPr>
                <w:sz w:val="17"/>
              </w:rPr>
              <w:t>Before final economics</w:t>
            </w:r>
          </w:p>
        </w:tc>
      </w:tr>
      <w:tr>
        <w:tc>
          <w:tcPr>
            <w:tcW w:type="dxa" w:w="432"/>
          </w:tcPr>
          <w:p>
            <w:r/>
            <w:r>
              <w:rPr>
                <w:sz w:val="17"/>
              </w:rPr>
              <w:t>6</w:t>
            </w:r>
          </w:p>
        </w:tc>
        <w:tc>
          <w:tcPr>
            <w:tcW w:type="dxa" w:w="2016"/>
          </w:tcPr>
          <w:p>
            <w:r/>
            <w:r>
              <w:rPr>
                <w:sz w:val="17"/>
              </w:rPr>
              <w:t>Meridian IPS</w:t>
            </w:r>
          </w:p>
        </w:tc>
        <w:tc>
          <w:tcPr>
            <w:tcW w:type="dxa" w:w="4320"/>
          </w:tcPr>
          <w:p>
            <w:r/>
            <w:r>
              <w:rPr>
                <w:sz w:val="17"/>
              </w:rPr>
              <w:t>Obtain the current Meridian Public Retirement System Investment Policy Statement to confirm the four restricted sectors and definitions (#4).</w:t>
            </w:r>
          </w:p>
        </w:tc>
        <w:tc>
          <w:tcPr>
            <w:tcW w:type="dxa" w:w="1296"/>
          </w:tcPr>
          <w:p>
            <w:r/>
            <w:r>
              <w:rPr>
                <w:sz w:val="17"/>
              </w:rPr>
              <w:t>A&amp;L</w:t>
            </w:r>
          </w:p>
        </w:tc>
        <w:tc>
          <w:tcPr>
            <w:tcW w:type="dxa" w:w="1296"/>
          </w:tcPr>
          <w:p>
            <w:r/>
            <w:r>
              <w:rPr>
                <w:sz w:val="17"/>
              </w:rPr>
              <w:t>With response</w:t>
            </w:r>
          </w:p>
        </w:tc>
      </w:tr>
      <w:tr>
        <w:tc>
          <w:tcPr>
            <w:tcW w:type="dxa" w:w="432"/>
          </w:tcPr>
          <w:p>
            <w:r/>
            <w:r>
              <w:rPr>
                <w:sz w:val="17"/>
              </w:rPr>
              <w:t>7</w:t>
            </w:r>
          </w:p>
        </w:tc>
        <w:tc>
          <w:tcPr>
            <w:tcW w:type="dxa" w:w="2016"/>
          </w:tcPr>
          <w:p>
            <w:r/>
            <w:r>
              <w:rPr>
                <w:sz w:val="17"/>
              </w:rPr>
              <w:t>LPAC capacity</w:t>
            </w:r>
          </w:p>
        </w:tc>
        <w:tc>
          <w:tcPr>
            <w:tcW w:type="dxa" w:w="4320"/>
          </w:tcPr>
          <w:p>
            <w:r/>
            <w:r>
              <w:rPr>
                <w:sz w:val="17"/>
              </w:rPr>
              <w:t>Confirm LPAC seat count (7; 4 filled by Osprey, Eastbridge, Great Lakes, Vandermeer) and remaining seats for second-close LPs.</w:t>
            </w:r>
          </w:p>
        </w:tc>
        <w:tc>
          <w:tcPr>
            <w:tcW w:type="dxa" w:w="1296"/>
          </w:tcPr>
          <w:p>
            <w:r/>
            <w:r>
              <w:rPr>
                <w:sz w:val="17"/>
              </w:rPr>
              <w:t>GP</w:t>
            </w:r>
          </w:p>
        </w:tc>
        <w:tc>
          <w:tcPr>
            <w:tcW w:type="dxa" w:w="1296"/>
          </w:tcPr>
          <w:p>
            <w:r/>
            <w:r>
              <w:rPr>
                <w:sz w:val="17"/>
              </w:rPr>
              <w:t>Before response</w:t>
            </w:r>
          </w:p>
        </w:tc>
      </w:tr>
      <w:tr>
        <w:tc>
          <w:tcPr>
            <w:tcW w:type="dxa" w:w="432"/>
          </w:tcPr>
          <w:p>
            <w:r/>
            <w:r>
              <w:rPr>
                <w:sz w:val="17"/>
              </w:rPr>
              <w:t>8</w:t>
            </w:r>
          </w:p>
        </w:tc>
        <w:tc>
          <w:tcPr>
            <w:tcW w:type="dxa" w:w="2016"/>
          </w:tcPr>
          <w:p>
            <w:r/>
            <w:r>
              <w:rPr>
                <w:sz w:val="17"/>
              </w:rPr>
              <w:t>Fund III precedent facts</w:t>
            </w:r>
          </w:p>
        </w:tc>
        <w:tc>
          <w:tcPr>
            <w:tcW w:type="dxa" w:w="4320"/>
          </w:tcPr>
          <w:p>
            <w:r/>
            <w:r>
              <w:rPr>
                <w:sz w:val="17"/>
              </w:rPr>
              <w:t>Confirm whether Meridian had any Fund III excuse accommodation and its Fund III counsel, before the April 28-29 principal call.</w:t>
            </w:r>
          </w:p>
        </w:tc>
        <w:tc>
          <w:tcPr>
            <w:tcW w:type="dxa" w:w="1296"/>
          </w:tcPr>
          <w:p>
            <w:r/>
            <w:r>
              <w:rPr>
                <w:sz w:val="17"/>
              </w:rPr>
              <w:t>GP / A&amp;L</w:t>
            </w:r>
          </w:p>
        </w:tc>
        <w:tc>
          <w:tcPr>
            <w:tcW w:type="dxa" w:w="1296"/>
          </w:tcPr>
          <w:p>
            <w:r/>
            <w:r>
              <w:rPr>
                <w:sz w:val="17"/>
              </w:rPr>
              <w:t>April 28</w:t>
            </w:r>
          </w:p>
        </w:tc>
      </w:tr>
      <w:tr>
        <w:tc>
          <w:tcPr>
            <w:tcW w:type="dxa" w:w="432"/>
          </w:tcPr>
          <w:p>
            <w:r/>
            <w:r>
              <w:rPr>
                <w:sz w:val="17"/>
              </w:rPr>
              <w:t>9</w:t>
            </w:r>
          </w:p>
        </w:tc>
        <w:tc>
          <w:tcPr>
            <w:tcW w:type="dxa" w:w="2016"/>
          </w:tcPr>
          <w:p>
            <w:r/>
            <w:r>
              <w:rPr>
                <w:sz w:val="17"/>
              </w:rPr>
              <w:t>Internal term sheet corrections</w:t>
            </w:r>
          </w:p>
        </w:tc>
        <w:tc>
          <w:tcPr>
            <w:tcW w:type="dxa" w:w="4320"/>
          </w:tcPr>
          <w:p>
            <w:r/>
            <w:r>
              <w:rPr>
                <w:sz w:val="17"/>
              </w:rPr>
              <w:t>Correct fee baseline, 15bp math, cascade base, IP/Term start dates, guarantor list, transfer standard, Key Person reinstatement.</w:t>
            </w:r>
          </w:p>
        </w:tc>
        <w:tc>
          <w:tcPr>
            <w:tcW w:type="dxa" w:w="1296"/>
          </w:tcPr>
          <w:p>
            <w:r/>
            <w:r>
              <w:rPr>
                <w:sz w:val="17"/>
              </w:rPr>
              <w:t>GP finance / A&amp;L</w:t>
            </w:r>
          </w:p>
        </w:tc>
        <w:tc>
          <w:tcPr>
            <w:tcW w:type="dxa" w:w="1296"/>
          </w:tcPr>
          <w:p>
            <w:r/>
            <w:r>
              <w:rPr>
                <w:sz w:val="17"/>
              </w:rPr>
              <w:t>Before circulation</w:t>
            </w:r>
          </w:p>
        </w:tc>
      </w:tr>
    </w:tbl>
    <w:p>
      <w:pPr>
        <w:spacing w:after="40"/>
      </w:pPr>
    </w:p>
    <w:p>
      <w:pPr>
        <w:spacing w:after="120"/>
      </w:pPr>
      <w:r>
        <w:rPr>
          <w:b w:val="0"/>
          <w:i w:val="0"/>
        </w:rPr>
        <w:t>Proposed deliverables for May 9 (subject to your sign-off on the May 5–6 call): (1) a cover letter to Lionel Huang; (2) a clean LPA with each markup comment answered in a response grid; (3) a GP turn of the side letter implementing Sections IV–V, with corrected LPA cross-references.</w:t>
      </w:r>
    </w:p>
    <w:p>
      <w:pPr>
        <w:pStyle w:val="Heading1"/>
      </w:pPr>
      <w:r>
        <w:t>Appendix A — Proposed Side Letter Language (Key Provisions)</w:t>
      </w:r>
    </w:p>
    <w:p>
      <w:pPr>
        <w:spacing w:after="40"/>
      </w:pPr>
      <w:r>
        <w:rPr>
          <w:b/>
          <w:i w:val="0"/>
        </w:rPr>
        <w:t>Public Records.</w:t>
      </w:r>
    </w:p>
    <w:p>
      <w:pPr>
        <w:spacing w:after="120"/>
      </w:pPr>
      <w:r>
        <w:rPr>
          <w:b w:val="0"/>
          <w:i/>
          <w:sz w:val="19"/>
        </w:rPr>
        <w:t>“(a) Notwithstanding Article XIV of the Partnership Agreement, the Limited Partner may disclose information to the extent required by Meridian Revised Statutes §§ 24-51-204 through 24-51-208 (“Required MPRSTA Disclosures”). (b) If the Limited Partner receives a request under the Meridian Open Records Act or any other public records law for Confidential Information other than Required MPRSTA Disclosures, the Limited Partner shall (i) notify the General Partner in writing within five (5) Business Days after receipt of such request and in any event not less than ten (10) Business Days prior to any disclosure; (ii) afford the General Partner a period of not less than fifteen (15) Business Days after such notice to identify information it considers exempt and to seek, at its own expense, a protective order or other confidential treatment; (iii) assert all available exemptions, including under Meridian Revised Statutes § 24-72-108 and § 24-51-210(a); and (iv) disclose only that portion of the Confidential Information it is legally required to disclose. (c) Nothing herein permits the disclosure of the identity, commitments or side letter terms of any other Limited Partner, trade secrets of any Portfolio Company or terms of any pending transaction, except as required by law after compliance with clause (b).”</w:t>
      </w:r>
    </w:p>
    <w:p>
      <w:pPr>
        <w:spacing w:after="40"/>
      </w:pPr>
      <w:r>
        <w:rPr>
          <w:b/>
          <w:i w:val="0"/>
        </w:rPr>
        <w:t>Placement Agent Certification.</w:t>
      </w:r>
    </w:p>
    <w:p>
      <w:pPr>
        <w:spacing w:after="120"/>
      </w:pPr>
      <w:r>
        <w:rPr>
          <w:b w:val="0"/>
          <w:i/>
          <w:sz w:val="19"/>
        </w:rPr>
        <w:t>“The General Partner certifies, for purposes of Meridian Revised Statutes § 24-51-207(b), that no Placement Agent was involved in the solicitation of the Limited Partner’s Capital Commitment and that no Placement Agent Compensation is paid or payable with respect thereto. The General Partner has retained Calderbank Advisory Group as a non-exclusive placement agent [address; contact; registration status]; its compensation equals 1.5% of the Capital Commitments of investors it introduced and is borne solely by the General Partner or the Management Company and not by the Partnership or any Limited Partner. The General Partner shall provide such additional information as is required by § 24-51-207(a) within thirty (30) days of written request. Nothing herein requires disclosure of the identity of any other investor (§ 24-51-207(d)).”</w:t>
      </w:r>
    </w:p>
    <w:p>
      <w:pPr>
        <w:spacing w:after="40"/>
      </w:pPr>
      <w:r>
        <w:rPr>
          <w:b/>
          <w:i w:val="0"/>
        </w:rPr>
        <w:t>Excuse Right.</w:t>
      </w:r>
    </w:p>
    <w:p>
      <w:pPr>
        <w:spacing w:after="120"/>
      </w:pPr>
      <w:r>
        <w:rPr>
          <w:b w:val="0"/>
          <w:i/>
          <w:sz w:val="19"/>
        </w:rPr>
        <w:t>“Pursuant to Section 3.6 of the Partnership Agreement, and subject to Section 8.8 thereof (including the limitation in Section 8.8(e)), the General Partner shall excuse the Limited Partner, upon timely request, from any Investment in a Portfolio Company whose primary business, as reasonably determined by the General Partner after consultation with the Limited Partner, is (i) the manufacture, distribution or sale of tobacco products, (ii) the manufacture or distribution of civilian firearms or ammunition, (iii) thermal coal extraction, or (iv) the ownership or operation of private prisons or detention facilities, in each case as restricted by the Meridian Public Retirement System Investment Policy Statement delivered to the General Partner prior to the date hereof. The General Partner shall use commercially reasonable efforts to notify the Limited Partner of any prospective Investment reasonably likely to fall within the foregoing at least fifteen (15) Business Days before the anticipated closing, and the Limited Partner shall deliver any excuse request within five (5) Business Days after such notice.”</w:t>
      </w:r>
    </w:p>
    <w:p>
      <w:pPr>
        <w:spacing w:after="120"/>
      </w:pPr>
      <w:r>
        <w:rPr>
          <w:b w:val="0"/>
          <w:i/>
          <w:sz w:val="17"/>
        </w:rPr>
        <w:t>— Ashbridge &amp; Lowe LLP. This memorandum is based solely on the documents listed in Section II and is subject to the open items in Section IX. Figures are derived from the internal term sheet assumptions and first-close data as corrected in the attached workbook.</w:t>
      </w:r>
    </w:p>
    <w:sectPr w:rsidR="00FC693F" w:rsidRPr="0006063C" w:rsidSect="00034616">
      <w:pgSz w:w="15840" w:h="122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864"/>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864"/>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3864"/>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