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ICF Key-Term Extraction and 21 CFR 50.25 Compliance Report</w:t>
      </w:r>
    </w:p>
    <w:p>
      <w:r>
        <w:rPr>
          <w:i/>
        </w:rPr>
        <w:t>Protocol PNC-4187-301 (IND 158432; NCT05234817) | Informed Consent Form Version 3.0 (March 15, 2025)</w:t>
      </w:r>
    </w:p>
    <w:tbl>
      <w:tblPr>
        <w:tblStyle w:val="TableGrid"/>
        <w:tblW w:type="auto" w:w="0"/>
        <w:tblLook w:firstColumn="1" w:firstRow="1" w:lastColumn="0" w:lastRow="0" w:noHBand="0" w:noVBand="1" w:val="04A0"/>
      </w:tblPr>
      <w:tblGrid>
        <w:gridCol w:w="6912"/>
        <w:gridCol w:w="6912"/>
      </w:tblGrid>
      <w:tr>
        <w:tc>
          <w:tcPr>
            <w:tcW w:type="dxa" w:w="2592"/>
            <w:shd w:val="clear" w:color="auto" w:fill="D9E2F3"/>
          </w:tcPr>
          <w:p>
            <w:r/>
            <w:r>
              <w:rPr>
                <w:b/>
              </w:rPr>
              <w:t>Privileged and Confidential</w:t>
            </w:r>
          </w:p>
        </w:tc>
        <w:tc>
          <w:tcPr>
            <w:tcW w:type="dxa" w:w="11232"/>
          </w:tcPr>
          <w:p>
            <w:r>
              <w:t>Attorney Work Product / Prepared in Anticipation of FDA Inspection</w:t>
            </w:r>
          </w:p>
        </w:tc>
      </w:tr>
      <w:tr>
        <w:tc>
          <w:tcPr>
            <w:tcW w:type="dxa" w:w="2592"/>
            <w:shd w:val="clear" w:color="auto" w:fill="D9E2F3"/>
          </w:tcPr>
          <w:p>
            <w:r/>
            <w:r>
              <w:rPr>
                <w:b/>
              </w:rPr>
              <w:t>To</w:t>
            </w:r>
          </w:p>
        </w:tc>
        <w:tc>
          <w:tcPr>
            <w:tcW w:type="dxa" w:w="11232"/>
          </w:tcPr>
          <w:p>
            <w:r>
              <w:t>Sarah Lindquist, Partner, Hartwell &amp; Calloway LLP</w:t>
            </w:r>
          </w:p>
        </w:tc>
      </w:tr>
      <w:tr>
        <w:tc>
          <w:tcPr>
            <w:tcW w:type="dxa" w:w="2592"/>
            <w:shd w:val="clear" w:color="auto" w:fill="D9E2F3"/>
          </w:tcPr>
          <w:p>
            <w:r/>
            <w:r>
              <w:rPr>
                <w:b/>
              </w:rPr>
              <w:t>Cc</w:t>
            </w:r>
          </w:p>
        </w:tc>
        <w:tc>
          <w:tcPr>
            <w:tcW w:type="dxa" w:w="11232"/>
          </w:tcPr>
          <w:p>
            <w:r>
              <w:t>David Okonkwo, Associate</w:t>
            </w:r>
          </w:p>
        </w:tc>
      </w:tr>
      <w:tr>
        <w:tc>
          <w:tcPr>
            <w:tcW w:type="dxa" w:w="2592"/>
            <w:shd w:val="clear" w:color="auto" w:fill="D9E2F3"/>
          </w:tcPr>
          <w:p>
            <w:r/>
            <w:r>
              <w:rPr>
                <w:b/>
              </w:rPr>
              <w:t>Re</w:t>
            </w:r>
          </w:p>
        </w:tc>
        <w:tc>
          <w:tcPr>
            <w:tcW w:type="dxa" w:w="11232"/>
          </w:tcPr>
          <w:p>
            <w:r>
              <w:t>Pinnacle Health Systems: PNC-4187-301 ICF v3.0 review against Protocol Synopsis, CIRB Continuing Review #2 approval letter (Feb. 7, 2025) and site FDA inspection-readiness checklist (reviewed June 8-10, 2025)</w:t>
            </w:r>
          </w:p>
        </w:tc>
      </w:tr>
      <w:tr>
        <w:tc>
          <w:tcPr>
            <w:tcW w:type="dxa" w:w="2592"/>
            <w:shd w:val="clear" w:color="auto" w:fill="D9E2F3"/>
          </w:tcPr>
          <w:p>
            <w:r/>
            <w:r>
              <w:rPr>
                <w:b/>
              </w:rPr>
              <w:t>Inspection date</w:t>
            </w:r>
          </w:p>
        </w:tc>
        <w:tc>
          <w:tcPr>
            <w:tcW w:type="dxa" w:w="11232"/>
          </w:tcPr>
          <w:p>
            <w:r>
              <w:t>August 18, 2025 (per Site Documentation checklist, Item 11)</w:t>
            </w:r>
          </w:p>
        </w:tc>
      </w:tr>
    </w:tbl>
    <w:p/>
    <w:p>
      <w:pPr>
        <w:pStyle w:val="Heading1"/>
      </w:pPr>
      <w:r>
        <w:rPr>
          <w:color w:val="1F3864"/>
        </w:rPr>
        <w:t>Executive Summary</w:t>
      </w:r>
    </w:p>
    <w:p>
      <w:r>
        <w:t>Bottom line: ICF Version 3.0 is not inspection-ready. It is missing or materially defective on at least five required elements of informed consent (21 CFR 50.25(a)(2), (a)(4), (a)(6), (a)(7) and (a)(8), plus 50.25(c)), it conflicts with the protocol on compensation, visit count and data recipients, and it still carries the superseded CIRB telephone number the CIRB has now twice ordered corrected. The site’s internal FDA checklist marks every one of these items “Complete” and should not be shown to an investigator in its current form.</w:t>
      </w:r>
    </w:p>
    <w:p>
      <w:r>
        <w:rPr>
          <w:b/>
        </w:rPr>
        <w:t>Highest-risk findings (detail in Parts III-V):</w:t>
      </w:r>
    </w:p>
    <w:p>
      <w:pPr>
        <w:pStyle w:val="ListNumber"/>
      </w:pPr>
      <w:r>
        <w:t>No disclosure of alternative treatments (50.25(a)(4)). The ICF has no alternatives section at all; the protocol (Section 5) lists metformin, insulin, SGLT-2 inhibitors and other agents and expressly states that 50.25(a)(4) requires this content in the ICF. Checklist Item 4 marks this “Complete” citing ICF Section 7, which is the confidentiality section.</w:t>
      </w:r>
    </w:p>
    <w:p>
      <w:pPr>
        <w:pStyle w:val="ListNumber"/>
      </w:pPr>
      <w:r>
        <w:t>Boxed Warning for thyroid C-cell tumors omitted (50.25(a)(2)). The protocol (Section 9.2) and Investigator’s Brochure Ed. 4 require prominent disclosure that PNC-4187 caused thyroid C-cell tumors, including medullary thyroid carcinoma (MTC), in rats and mice, and that it is contraindicated with personal/family history of MTC or MEN 2. The ICF says only “Thyroid problems (rare)” and lists it among side effects in earlier studies.</w:t>
      </w:r>
    </w:p>
    <w:p>
      <w:pPr>
        <w:pStyle w:val="ListNumber"/>
      </w:pPr>
      <w:r>
        <w:t>CIRB contact number wrong (50.25(a)(7); CIRB Stipulation 2). The ICF lists (704) 555-3829; the CIRB letterhead, Stipulation 2 and the protocol give (704) 555-3920. This is the second consecutive continuing review to raise the issue, and the checklist (Items 7 and 21) records the wrong number as “verified.”</w:t>
      </w:r>
    </w:p>
    <w:p>
      <w:pPr>
        <w:pStyle w:val="ListNumber"/>
      </w:pPr>
      <w:r>
        <w:t>Voluntariness statement incomplete (50.25(a)(8)). The ICF never states that refusal to participate involves no penalty or loss of benefits to which the subject is otherwise entitled, or that the subject may discontinue without penalty or loss of benefits. The protocol (Section 12.1) contains the required language; the ICF does not.</w:t>
      </w:r>
    </w:p>
    <w:p>
      <w:pPr>
        <w:pStyle w:val="ListNumber"/>
      </w:pPr>
      <w:r>
        <w:t>Injury compensation language incomplete and inconsistent (50.25(a)(6)). The ICF says Pinnacle “will provide medical treatment” but does not say who pays. The protocol (Section 10.3) commits Pinnacle to bear the cost, with no billing of the participant or insurer, for injuries “directly” attributable to the study drug or procedures, as determined by the PI with the sponsor. The ICF is both less informative and arguably broader than the protocol.</w:t>
      </w:r>
    </w:p>
    <w:p>
      <w:pPr>
        <w:pStyle w:val="ListNumber"/>
      </w:pPr>
      <w:r>
        <w:t>Compensation understated: the ICF gives $50 per visit, about 16 visits, $800 maximum, paid per visit by check or gift card. The protocol (Section 10.1), whose amount the CIRB reviewed for undue influence, gives $75 per visit, 18 visits, $1,350 maximum, paid quarterly by check or electronic payment. Participants who sign the ICF are being told they will get $550 less than the protocol provides.</w:t>
      </w:r>
    </w:p>
    <w:p>
      <w:pPr>
        <w:pStyle w:val="ListNumber"/>
      </w:pPr>
      <w:r>
        <w:t>Undisclosed data recipients and commercial partner. The ICF refers only to an unnamed “research partner.” The protocol (Section 11) identifies Ridgeline Pharmaceuticals (co-development partner, drug manufacturer, funder) as receiving coded data for regulatory submissions and product development, plus Brenton Analytics Group (CRO) and Crescent Laboratories (central lab, specimen storage). Ridgeline monitors may also inspect records (Protocol Section 15). The PI holds roughly $87,500 of Ridgeline equity (Form FDA 3455).</w:t>
      </w:r>
    </w:p>
    <w:p>
      <w:pPr>
        <w:pStyle w:val="ListNumber"/>
      </w:pPr>
      <w:r>
        <w:t>CIRB Stipulation 4 (re-consent) missed. All enrolled participants had to be re-consented on v3.0 by May 20, 2025. As of the June checklist, only 298 of 412 were done, 114 were outstanding, and the site has set its own target of July 31, 2025. This is noncompliance with an IRB condition of approval and must be reported to the CIRB. Stipulation 1 (revised ICF due March 9, 2025) was also met late: v3.0 is dated March 15 and was approved March 21, 2025.</w:t>
      </w:r>
    </w:p>
    <w:p>
      <w:pPr>
        <w:pStyle w:val="ListNumber"/>
      </w:pPr>
      <w:r>
        <w:t>No ClinicalTrials.gov statement (50.25(c)). The study is an IND-phase applicable clinical trial (NCT05234817). The mandatory verbatim statement is absent, and the checklist does not test for it.</w:t>
      </w:r>
    </w:p>
    <w:p>
      <w:pPr>
        <w:pStyle w:val="ListNumber"/>
      </w:pPr>
      <w:r>
        <w:t>No HIPAA authorization meeting 45 CFR 164.508(c). The site relies on ICF Section 7 as its authorization (Regulatory Files Item 18), but Section 7 has none of the required core elements: a specific description of the PHI, named recipients, an expiration, the right to revoke, a redisclosure notice, and a signature on the authorization itself.</w:t>
      </w:r>
    </w:p>
    <w:p>
      <w:r>
        <w:t>Recommended path: (1) prepare ICF v4.0 correcting every item in Part II and submit it to the CIRB now, with a cover letter that self-reports the late Stipulation 1 submission, the overdue Stipulation 4 re-consent and the repeated contact-number error; (2) correct and re-perform the inspection checklist through a reviewer independent of the study team; (3) open a CAPA covering consent-form version control and QC. Before the August 18, 2025 inspection, prepare a short, accurate narrative for the investigator on each of these points. Do not rely on the current checklist.</w:t>
      </w:r>
    </w:p>
    <w:p>
      <w:r>
        <w:rPr>
          <w:i/>
        </w:rPr>
        <w:t>Severity scale: Critical = missing required consent element, or IRB-condition noncompliance likely to draw a Form FDA 483 observation and requiring subject notification; High = material inaccuracy or incomplete element; Medium = inconsistency requiring correction in the next ICF version; Low = housekeeping or advisory.</w:t>
      </w:r>
    </w:p>
    <w:p>
      <w:pPr>
        <w:pStyle w:val="Heading1"/>
      </w:pPr>
      <w:r>
        <w:rPr>
          <w:color w:val="1F3864"/>
        </w:rPr>
        <w:t>Part I. Key-Term Extraction and Cross-Document Comparison</w:t>
      </w:r>
    </w:p>
    <w:p>
      <w:r>
        <w:t>Each key term in ICF v3.0 is extracted with its section and compared with the Protocol Synopsis, the CIRB Continuing Review #2 letter (Feb. 7, 2025) and the FDA inspection-readiness checklist.</w:t>
      </w:r>
    </w:p>
    <w:tbl>
      <w:tblPr>
        <w:tblStyle w:val="TableGrid"/>
        <w:tblW w:type="auto" w:w="0"/>
        <w:tblLook w:firstColumn="1" w:firstRow="1" w:lastColumn="0" w:lastRow="0" w:noHBand="0" w:noVBand="1" w:val="04A0"/>
      </w:tblPr>
      <w:tblGrid>
        <w:gridCol w:w="2765"/>
        <w:gridCol w:w="2765"/>
        <w:gridCol w:w="2765"/>
        <w:gridCol w:w="2765"/>
        <w:gridCol w:w="2765"/>
      </w:tblGrid>
      <w:tr>
        <w:trPr>
          <w:tblHeader w:val="true"/>
        </w:trPr>
        <w:tc>
          <w:tcPr>
            <w:tcW w:type="dxa" w:w="1728"/>
            <w:shd w:val="clear" w:color="auto" w:fill="1F3864"/>
          </w:tcPr>
          <w:p>
            <w:r/>
            <w:r>
              <w:rPr>
                <w:b/>
                <w:color w:val="FFFFFF"/>
                <w:sz w:val="18"/>
              </w:rPr>
              <w:t>Key term</w:t>
            </w:r>
          </w:p>
        </w:tc>
        <w:tc>
          <w:tcPr>
            <w:tcW w:type="dxa" w:w="3744"/>
            <w:shd w:val="clear" w:color="auto" w:fill="1F3864"/>
          </w:tcPr>
          <w:p>
            <w:r/>
            <w:r>
              <w:rPr>
                <w:b/>
                <w:color w:val="FFFFFF"/>
                <w:sz w:val="18"/>
              </w:rPr>
              <w:t>ICF v3.0 (section)</w:t>
            </w:r>
          </w:p>
        </w:tc>
        <w:tc>
          <w:tcPr>
            <w:tcW w:type="dxa" w:w="3600"/>
            <w:shd w:val="clear" w:color="auto" w:fill="1F3864"/>
          </w:tcPr>
          <w:p>
            <w:r/>
            <w:r>
              <w:rPr>
                <w:b/>
                <w:color w:val="FFFFFF"/>
                <w:sz w:val="18"/>
              </w:rPr>
              <w:t>Protocol Synopsis</w:t>
            </w:r>
          </w:p>
        </w:tc>
        <w:tc>
          <w:tcPr>
            <w:tcW w:type="dxa" w:w="2880"/>
            <w:shd w:val="clear" w:color="auto" w:fill="1F3864"/>
          </w:tcPr>
          <w:p>
            <w:r/>
            <w:r>
              <w:rPr>
                <w:b/>
                <w:color w:val="FFFFFF"/>
                <w:sz w:val="18"/>
              </w:rPr>
              <w:t>CIRB letter / Checklist</w:t>
            </w:r>
          </w:p>
        </w:tc>
        <w:tc>
          <w:tcPr>
            <w:tcW w:type="dxa" w:w="1872"/>
            <w:shd w:val="clear" w:color="auto" w:fill="1F3864"/>
          </w:tcPr>
          <w:p>
            <w:r/>
            <w:r>
              <w:rPr>
                <w:b/>
                <w:color w:val="FFFFFF"/>
                <w:sz w:val="18"/>
              </w:rPr>
              <w:t>Status</w:t>
            </w:r>
          </w:p>
        </w:tc>
      </w:tr>
      <w:tr>
        <w:tc>
          <w:tcPr>
            <w:tcW w:type="dxa" w:w="1728"/>
          </w:tcPr>
          <w:p>
            <w:r/>
            <w:r>
              <w:rPr>
                <w:sz w:val="17"/>
              </w:rPr>
              <w:t>Study title</w:t>
            </w:r>
          </w:p>
        </w:tc>
        <w:tc>
          <w:tcPr>
            <w:tcW w:type="dxa" w:w="3744"/>
          </w:tcPr>
          <w:p>
            <w:r/>
            <w:r>
              <w:rPr>
                <w:sz w:val="17"/>
              </w:rPr>
              <w:t>“A Randomized, Double-Blind, Placebo-Controlled Phase III Study to Evaluate the Efficacy and Safety of PNC-4187 in Adults with Type 2 Diabetes Mellitus” (§1)</w:t>
            </w:r>
          </w:p>
        </w:tc>
        <w:tc>
          <w:tcPr>
            <w:tcW w:type="dxa" w:w="3600"/>
          </w:tcPr>
          <w:p>
            <w:r/>
            <w:r>
              <w:rPr>
                <w:sz w:val="17"/>
              </w:rPr>
              <w:t>Identical (cover)</w:t>
            </w:r>
          </w:p>
        </w:tc>
        <w:tc>
          <w:tcPr>
            <w:tcW w:type="dxa" w:w="2880"/>
          </w:tcPr>
          <w:p>
            <w:r/>
            <w:r>
              <w:rPr>
                <w:sz w:val="17"/>
              </w:rPr>
              <w:t>Identical (IRB letter Re: line)</w:t>
            </w:r>
          </w:p>
        </w:tc>
        <w:tc>
          <w:tcPr>
            <w:tcW w:type="dxa" w:w="1872"/>
            <w:shd w:val="clear" w:color="auto" w:fill="D9EAD3"/>
          </w:tcPr>
          <w:p>
            <w:r/>
            <w:r>
              <w:rPr>
                <w:b/>
                <w:sz w:val="17"/>
              </w:rPr>
              <w:t>Consistent</w:t>
            </w:r>
          </w:p>
        </w:tc>
      </w:tr>
      <w:tr>
        <w:tc>
          <w:tcPr>
            <w:tcW w:type="dxa" w:w="1728"/>
          </w:tcPr>
          <w:p>
            <w:r/>
            <w:r>
              <w:rPr>
                <w:sz w:val="17"/>
              </w:rPr>
              <w:t>Protocol / IND / NCT</w:t>
            </w:r>
          </w:p>
        </w:tc>
        <w:tc>
          <w:tcPr>
            <w:tcW w:type="dxa" w:w="3744"/>
          </w:tcPr>
          <w:p>
            <w:r/>
            <w:r>
              <w:rPr>
                <w:sz w:val="17"/>
              </w:rPr>
              <w:t>PNC-4187-301; IND 158432; NCT05234817 (cover; §1)</w:t>
            </w:r>
          </w:p>
        </w:tc>
        <w:tc>
          <w:tcPr>
            <w:tcW w:type="dxa" w:w="3600"/>
          </w:tcPr>
          <w:p>
            <w:r/>
            <w:r>
              <w:rPr>
                <w:sz w:val="17"/>
              </w:rPr>
              <w:t>Same</w:t>
            </w:r>
          </w:p>
        </w:tc>
        <w:tc>
          <w:tcPr>
            <w:tcW w:type="dxa" w:w="2880"/>
          </w:tcPr>
          <w:p>
            <w:r/>
            <w:r>
              <w:rPr>
                <w:sz w:val="17"/>
              </w:rPr>
              <w:t>Same</w:t>
            </w:r>
          </w:p>
        </w:tc>
        <w:tc>
          <w:tcPr>
            <w:tcW w:type="dxa" w:w="1872"/>
            <w:shd w:val="clear" w:color="auto" w:fill="D9EAD3"/>
          </w:tcPr>
          <w:p>
            <w:r/>
            <w:r>
              <w:rPr>
                <w:b/>
                <w:sz w:val="17"/>
              </w:rPr>
              <w:t>Consistent</w:t>
            </w:r>
          </w:p>
        </w:tc>
      </w:tr>
      <w:tr>
        <w:tc>
          <w:tcPr>
            <w:tcW w:type="dxa" w:w="1728"/>
          </w:tcPr>
          <w:p>
            <w:r/>
            <w:r>
              <w:rPr>
                <w:sz w:val="17"/>
              </w:rPr>
              <w:t>ICF version / date</w:t>
            </w:r>
          </w:p>
        </w:tc>
        <w:tc>
          <w:tcPr>
            <w:tcW w:type="dxa" w:w="3744"/>
          </w:tcPr>
          <w:p>
            <w:r/>
            <w:r>
              <w:rPr>
                <w:sz w:val="17"/>
              </w:rPr>
              <w:t>Version 3.0, March 15, 2025 (cover, header, footer)</w:t>
            </w:r>
          </w:p>
        </w:tc>
        <w:tc>
          <w:tcPr>
            <w:tcW w:type="dxa" w:w="3600"/>
          </w:tcPr>
          <w:p>
            <w:r/>
            <w:r>
              <w:rPr>
                <w:sz w:val="17"/>
              </w:rPr>
              <w:t>v3.0, Mar. 15, 2025 is current ICF (cover; §14.2; §17)</w:t>
            </w:r>
          </w:p>
        </w:tc>
        <w:tc>
          <w:tcPr>
            <w:tcW w:type="dxa" w:w="2880"/>
          </w:tcPr>
          <w:p>
            <w:r/>
            <w:r>
              <w:rPr>
                <w:sz w:val="17"/>
              </w:rPr>
              <w:t>v3.0 approved by expedited review Mar. 21, 2025 (IRB letter, Stip. 1 addendum); checklist: v3.0</w:t>
            </w:r>
          </w:p>
        </w:tc>
        <w:tc>
          <w:tcPr>
            <w:tcW w:type="dxa" w:w="1872"/>
            <w:shd w:val="clear" w:color="auto" w:fill="D9EAD3"/>
          </w:tcPr>
          <w:p>
            <w:r/>
            <w:r>
              <w:rPr>
                <w:b/>
                <w:sz w:val="17"/>
              </w:rPr>
              <w:t>Consistent on version; see approval stamp issue</w:t>
            </w:r>
          </w:p>
        </w:tc>
      </w:tr>
      <w:tr>
        <w:tc>
          <w:tcPr>
            <w:tcW w:type="dxa" w:w="1728"/>
          </w:tcPr>
          <w:p>
            <w:r/>
            <w:r>
              <w:rPr>
                <w:sz w:val="17"/>
              </w:rPr>
              <w:t>CIRB approval legend on ICF</w:t>
            </w:r>
          </w:p>
        </w:tc>
        <w:tc>
          <w:tcPr>
            <w:tcW w:type="dxa" w:w="3744"/>
          </w:tcPr>
          <w:p>
            <w:r/>
            <w:r>
              <w:rPr>
                <w:sz w:val="17"/>
              </w:rPr>
              <w:t>“Approval Date: February 7, 2025. Expiration Date: February 6, 2026”; Ref. CIRB-2023-0147 (first line of body only)</w:t>
            </w:r>
          </w:p>
        </w:tc>
        <w:tc>
          <w:tcPr>
            <w:tcW w:type="dxa" w:w="3600"/>
          </w:tcPr>
          <w:p>
            <w:r/>
            <w:r>
              <w:rPr>
                <w:sz w:val="17"/>
              </w:rPr>
              <w:t>Continuing Review #2: Feb. 7, 2025</w:t>
            </w:r>
          </w:p>
        </w:tc>
        <w:tc>
          <w:tcPr>
            <w:tcW w:type="dxa" w:w="2880"/>
          </w:tcPr>
          <w:p>
            <w:r/>
            <w:r>
              <w:rPr>
                <w:sz w:val="17"/>
              </w:rPr>
              <w:t>CR#2 approval Feb. 7, 2025 to Feb. 6, 2026; v3.0 itself approved Mar. 21, 2025</w:t>
            </w:r>
          </w:p>
        </w:tc>
        <w:tc>
          <w:tcPr>
            <w:tcW w:type="dxa" w:w="1872"/>
            <w:shd w:val="clear" w:color="auto" w:fill="FCE5CD"/>
          </w:tcPr>
          <w:p>
            <w:r/>
            <w:r>
              <w:rPr>
                <w:b/>
                <w:sz w:val="17"/>
              </w:rPr>
              <w:t>DISCREPANCY: stamp date pre-dates the document it approves</w:t>
            </w:r>
          </w:p>
        </w:tc>
      </w:tr>
      <w:tr>
        <w:tc>
          <w:tcPr>
            <w:tcW w:type="dxa" w:w="1728"/>
          </w:tcPr>
          <w:p>
            <w:r/>
            <w:r>
              <w:rPr>
                <w:sz w:val="17"/>
              </w:rPr>
              <w:t>Sponsor / sponsor-investigator</w:t>
            </w:r>
          </w:p>
        </w:tc>
        <w:tc>
          <w:tcPr>
            <w:tcW w:type="dxa" w:w="3744"/>
          </w:tcPr>
          <w:p>
            <w:r/>
            <w:r>
              <w:rPr>
                <w:sz w:val="17"/>
              </w:rPr>
              <w:t>Pinnacle Health Systems, NC nonprofit, 1400 Tryon Medical Blvd., Charlotte, NC 28203 (§1)</w:t>
            </w:r>
          </w:p>
        </w:tc>
        <w:tc>
          <w:tcPr>
            <w:tcW w:type="dxa" w:w="3600"/>
          </w:tcPr>
          <w:p>
            <w:r/>
            <w:r>
              <w:rPr>
                <w:sz w:val="17"/>
              </w:rPr>
              <w:t>Same; Ridgeline Pharmaceuticals Inc. is Co-Development Partner (originator, manufacturer, funder)</w:t>
            </w:r>
          </w:p>
        </w:tc>
        <w:tc>
          <w:tcPr>
            <w:tcW w:type="dxa" w:w="2880"/>
          </w:tcPr>
          <w:p>
            <w:r/>
            <w:r>
              <w:rPr>
                <w:sz w:val="17"/>
              </w:rPr>
              <w:t>IRB letter notes Ridgeline co-development partnership</w:t>
            </w:r>
          </w:p>
        </w:tc>
        <w:tc>
          <w:tcPr>
            <w:tcW w:type="dxa" w:w="1872"/>
            <w:shd w:val="clear" w:color="auto" w:fill="FCE5CD"/>
          </w:tcPr>
          <w:p>
            <w:r/>
            <w:r>
              <w:rPr>
                <w:b/>
                <w:sz w:val="17"/>
              </w:rPr>
              <w:t>DISCREPANCY: Ridgeline not disclosed in ICF</w:t>
            </w:r>
          </w:p>
        </w:tc>
      </w:tr>
      <w:tr>
        <w:tc>
          <w:tcPr>
            <w:tcW w:type="dxa" w:w="1728"/>
          </w:tcPr>
          <w:p>
            <w:r/>
            <w:r>
              <w:rPr>
                <w:sz w:val="17"/>
              </w:rPr>
              <w:t>Principal Investigator</w:t>
            </w:r>
          </w:p>
        </w:tc>
        <w:tc>
          <w:tcPr>
            <w:tcW w:type="dxa" w:w="3744"/>
          </w:tcPr>
          <w:p>
            <w:r/>
            <w:r>
              <w:rPr>
                <w:sz w:val="17"/>
              </w:rPr>
              <w:t>Renata Vasquez, MD, PhD, Chief of Endocrinology; (704) 555-6100 (§§1, 10)</w:t>
            </w:r>
          </w:p>
        </w:tc>
        <w:tc>
          <w:tcPr>
            <w:tcW w:type="dxa" w:w="3600"/>
          </w:tcPr>
          <w:p>
            <w:r/>
            <w:r>
              <w:rPr>
                <w:sz w:val="17"/>
              </w:rPr>
              <w:t>Same; (704) 555-6100</w:t>
            </w:r>
          </w:p>
        </w:tc>
        <w:tc>
          <w:tcPr>
            <w:tcW w:type="dxa" w:w="2880"/>
          </w:tcPr>
          <w:p>
            <w:r/>
            <w:r>
              <w:rPr>
                <w:sz w:val="17"/>
              </w:rPr>
              <w:t>Same; checklist (704) 555-6100</w:t>
            </w:r>
          </w:p>
        </w:tc>
        <w:tc>
          <w:tcPr>
            <w:tcW w:type="dxa" w:w="1872"/>
            <w:shd w:val="clear" w:color="auto" w:fill="D9EAD3"/>
          </w:tcPr>
          <w:p>
            <w:r/>
            <w:r>
              <w:rPr>
                <w:b/>
                <w:sz w:val="17"/>
              </w:rPr>
              <w:t>Consistent</w:t>
            </w:r>
          </w:p>
        </w:tc>
      </w:tr>
      <w:tr>
        <w:tc>
          <w:tcPr>
            <w:tcW w:type="dxa" w:w="1728"/>
          </w:tcPr>
          <w:p>
            <w:r/>
            <w:r>
              <w:rPr>
                <w:sz w:val="17"/>
              </w:rPr>
              <w:t>Study Coordinator</w:t>
            </w:r>
          </w:p>
        </w:tc>
        <w:tc>
          <w:tcPr>
            <w:tcW w:type="dxa" w:w="3744"/>
          </w:tcPr>
          <w:p>
            <w:r/>
            <w:r>
              <w:rPr>
                <w:sz w:val="17"/>
              </w:rPr>
              <w:t>Helen Choi, PharmD, 1420 Tryon Medical Blvd., Ste. 300; (704) 555-6115 (§§1, 8, 10)</w:t>
            </w:r>
          </w:p>
        </w:tc>
        <w:tc>
          <w:tcPr>
            <w:tcW w:type="dxa" w:w="3600"/>
          </w:tcPr>
          <w:p>
            <w:r/>
            <w:r>
              <w:rPr>
                <w:sz w:val="17"/>
              </w:rPr>
              <w:t>Same</w:t>
            </w:r>
          </w:p>
        </w:tc>
        <w:tc>
          <w:tcPr>
            <w:tcW w:type="dxa" w:w="2880"/>
          </w:tcPr>
          <w:p>
            <w:r/>
            <w:r>
              <w:rPr>
                <w:sz w:val="17"/>
              </w:rPr>
              <w:t>Same</w:t>
            </w:r>
          </w:p>
        </w:tc>
        <w:tc>
          <w:tcPr>
            <w:tcW w:type="dxa" w:w="1872"/>
            <w:shd w:val="clear" w:color="auto" w:fill="D9EAD3"/>
          </w:tcPr>
          <w:p>
            <w:r/>
            <w:r>
              <w:rPr>
                <w:b/>
                <w:sz w:val="17"/>
              </w:rPr>
              <w:t>Consistent</w:t>
            </w:r>
          </w:p>
        </w:tc>
      </w:tr>
      <w:tr>
        <w:tc>
          <w:tcPr>
            <w:tcW w:type="dxa" w:w="1728"/>
          </w:tcPr>
          <w:p>
            <w:r/>
            <w:r>
              <w:rPr>
                <w:sz w:val="17"/>
              </w:rPr>
              <w:t>24-hour emergency line</w:t>
            </w:r>
          </w:p>
        </w:tc>
        <w:tc>
          <w:tcPr>
            <w:tcW w:type="dxa" w:w="3744"/>
          </w:tcPr>
          <w:p>
            <w:r/>
            <w:r>
              <w:rPr>
                <w:sz w:val="17"/>
              </w:rPr>
              <w:t>(704) 555-8100 (§10)</w:t>
            </w:r>
          </w:p>
        </w:tc>
        <w:tc>
          <w:tcPr>
            <w:tcW w:type="dxa" w:w="3600"/>
          </w:tcPr>
          <w:p>
            <w:r/>
            <w:r>
              <w:rPr>
                <w:sz w:val="17"/>
              </w:rPr>
              <w:t>(704) 555-8100 (§16)</w:t>
            </w:r>
          </w:p>
        </w:tc>
        <w:tc>
          <w:tcPr>
            <w:tcW w:type="dxa" w:w="2880"/>
          </w:tcPr>
          <w:p>
            <w:r/>
            <w:r>
              <w:rPr>
                <w:sz w:val="17"/>
              </w:rPr>
              <w:t>Checklist: (704) 555-8100</w:t>
            </w:r>
          </w:p>
        </w:tc>
        <w:tc>
          <w:tcPr>
            <w:tcW w:type="dxa" w:w="1872"/>
            <w:shd w:val="clear" w:color="auto" w:fill="D9EAD3"/>
          </w:tcPr>
          <w:p>
            <w:r/>
            <w:r>
              <w:rPr>
                <w:b/>
                <w:sz w:val="17"/>
              </w:rPr>
              <w:t>Consistent</w:t>
            </w:r>
          </w:p>
        </w:tc>
      </w:tr>
      <w:tr>
        <w:tc>
          <w:tcPr>
            <w:tcW w:type="dxa" w:w="1728"/>
          </w:tcPr>
          <w:p>
            <w:r/>
            <w:r>
              <w:rPr>
                <w:sz w:val="17"/>
              </w:rPr>
              <w:t>IRB contact</w:t>
            </w:r>
          </w:p>
        </w:tc>
        <w:tc>
          <w:tcPr>
            <w:tcW w:type="dxa" w:w="3744"/>
          </w:tcPr>
          <w:p>
            <w:r/>
            <w:r>
              <w:rPr>
                <w:sz w:val="17"/>
              </w:rPr>
              <w:t>CIRB, 600 University Dr., Whitaker Hall Rm. 210, Charlotte, NC 28223; Phone (704) 555-3829; no email (§10)</w:t>
            </w:r>
          </w:p>
        </w:tc>
        <w:tc>
          <w:tcPr>
            <w:tcW w:type="dxa" w:w="3600"/>
          </w:tcPr>
          <w:p>
            <w:r/>
            <w:r>
              <w:rPr>
                <w:sz w:val="17"/>
              </w:rPr>
              <w:t>Phone (704) 555-3920; cirb@westonuniv.edu (§§14.2, 16)</w:t>
            </w:r>
          </w:p>
        </w:tc>
        <w:tc>
          <w:tcPr>
            <w:tcW w:type="dxa" w:w="2880"/>
          </w:tcPr>
          <w:p>
            <w:r/>
            <w:r>
              <w:rPr>
                <w:sz w:val="17"/>
              </w:rPr>
              <w:t>IRB letter: (704) 555-3920, fax 555-3925, cirb@westonuniv.edu; Stip. 2 requires current number; checklist Items 7/21 “verified” 555-3829</w:t>
            </w:r>
          </w:p>
        </w:tc>
        <w:tc>
          <w:tcPr>
            <w:tcW w:type="dxa" w:w="1872"/>
            <w:shd w:val="clear" w:color="auto" w:fill="F4CCCC"/>
          </w:tcPr>
          <w:p>
            <w:r/>
            <w:r>
              <w:rPr>
                <w:b/>
                <w:sz w:val="17"/>
              </w:rPr>
              <w:t>DISCREPANCY (Critical)</w:t>
            </w:r>
          </w:p>
        </w:tc>
      </w:tr>
      <w:tr>
        <w:tc>
          <w:tcPr>
            <w:tcW w:type="dxa" w:w="1728"/>
          </w:tcPr>
          <w:p>
            <w:r/>
            <w:r>
              <w:rPr>
                <w:sz w:val="17"/>
              </w:rPr>
              <w:t>Investigational product</w:t>
            </w:r>
          </w:p>
        </w:tc>
        <w:tc>
          <w:tcPr>
            <w:tcW w:type="dxa" w:w="3744"/>
          </w:tcPr>
          <w:p>
            <w:r/>
            <w:r>
              <w:rPr>
                <w:sz w:val="17"/>
              </w:rPr>
              <w:t>PNC-4187 (working name tiravamide); described as mimicking gut hormones; not FDA-approved (§2)</w:t>
            </w:r>
          </w:p>
        </w:tc>
        <w:tc>
          <w:tcPr>
            <w:tcW w:type="dxa" w:w="3600"/>
          </w:tcPr>
          <w:p>
            <w:r/>
            <w:r>
              <w:rPr>
                <w:sz w:val="17"/>
              </w:rPr>
              <w:t>GLP-1/GIP dual receptor agonist originated by Ridgeline (§§1, 6.1)</w:t>
            </w:r>
          </w:p>
        </w:tc>
        <w:tc>
          <w:tcPr>
            <w:tcW w:type="dxa" w:w="2880"/>
          </w:tcPr>
          <w:p>
            <w:r/>
            <w:r>
              <w:rPr>
                <w:sz w:val="17"/>
              </w:rPr>
              <w:t>IB Ed. 4</w:t>
            </w:r>
          </w:p>
        </w:tc>
        <w:tc>
          <w:tcPr>
            <w:tcW w:type="dxa" w:w="1872"/>
            <w:shd w:val="clear" w:color="auto" w:fill="D9EAD3"/>
          </w:tcPr>
          <w:p>
            <w:r/>
            <w:r>
              <w:rPr>
                <w:b/>
                <w:sz w:val="17"/>
              </w:rPr>
              <w:t>Consistent; ICF does not name GLP-1/GIP class</w:t>
            </w:r>
          </w:p>
        </w:tc>
      </w:tr>
      <w:tr>
        <w:tc>
          <w:tcPr>
            <w:tcW w:type="dxa" w:w="1728"/>
          </w:tcPr>
          <w:p>
            <w:r/>
            <w:r>
              <w:rPr>
                <w:sz w:val="17"/>
              </w:rPr>
              <w:t>Design / randomization</w:t>
            </w:r>
          </w:p>
        </w:tc>
        <w:tc>
          <w:tcPr>
            <w:tcW w:type="dxa" w:w="3744"/>
          </w:tcPr>
          <w:p>
            <w:r/>
            <w:r>
              <w:rPr>
                <w:sz w:val="17"/>
              </w:rPr>
              <w:t>Randomized, double-blind, placebo-controlled; 2:1 (about 67% / 33%) (§3.1)</w:t>
            </w:r>
          </w:p>
        </w:tc>
        <w:tc>
          <w:tcPr>
            <w:tcW w:type="dxa" w:w="3600"/>
          </w:tcPr>
          <w:p>
            <w:r/>
            <w:r>
              <w:rPr>
                <w:sz w:val="17"/>
              </w:rPr>
              <w:t>Same; parallel-group, multicenter; stratified by baseline HbA1c (&lt;8.5% vs ≥8.5%) and metformin use (§3)</w:t>
            </w:r>
          </w:p>
        </w:tc>
        <w:tc>
          <w:tcPr>
            <w:tcW w:type="dxa" w:w="2880"/>
          </w:tcPr>
          <w:p>
            <w:r/>
            <w:r>
              <w:rPr>
                <w:sz w:val="17"/>
              </w:rPr>
              <w:t>Checklist Item 1: 2:1</w:t>
            </w:r>
          </w:p>
        </w:tc>
        <w:tc>
          <w:tcPr>
            <w:tcW w:type="dxa" w:w="1872"/>
            <w:shd w:val="clear" w:color="auto" w:fill="D9EAD3"/>
          </w:tcPr>
          <w:p>
            <w:r/>
            <w:r>
              <w:rPr>
                <w:b/>
                <w:sz w:val="17"/>
              </w:rPr>
              <w:t>Consistent (stratification not required in ICF)</w:t>
            </w:r>
          </w:p>
        </w:tc>
      </w:tr>
      <w:tr>
        <w:tc>
          <w:tcPr>
            <w:tcW w:type="dxa" w:w="1728"/>
          </w:tcPr>
          <w:p>
            <w:r/>
            <w:r>
              <w:rPr>
                <w:sz w:val="17"/>
              </w:rPr>
              <w:t>Enrollment</w:t>
            </w:r>
          </w:p>
        </w:tc>
        <w:tc>
          <w:tcPr>
            <w:tcW w:type="dxa" w:w="3744"/>
          </w:tcPr>
          <w:p>
            <w:r/>
            <w:r>
              <w:rPr>
                <w:sz w:val="17"/>
              </w:rPr>
              <w:t>Approx. 500 participants at 6 sites in NC/SC; “about 412 have enrolled so far” (§2)</w:t>
            </w:r>
          </w:p>
        </w:tc>
        <w:tc>
          <w:tcPr>
            <w:tcW w:type="dxa" w:w="3600"/>
          </w:tcPr>
          <w:p>
            <w:r/>
            <w:r>
              <w:rPr>
                <w:sz w:val="17"/>
              </w:rPr>
              <w:t>500 planned; 412 as of June 1, 2025 (§3)</w:t>
            </w:r>
          </w:p>
        </w:tc>
        <w:tc>
          <w:tcPr>
            <w:tcW w:type="dxa" w:w="2880"/>
          </w:tcPr>
          <w:p>
            <w:r/>
            <w:r>
              <w:rPr>
                <w:sz w:val="17"/>
              </w:rPr>
              <w:t>IRB: 412 as of Jan. 2025; checklist: 412 as of June 1, 2025</w:t>
            </w:r>
          </w:p>
        </w:tc>
        <w:tc>
          <w:tcPr>
            <w:tcW w:type="dxa" w:w="1872"/>
            <w:shd w:val="clear" w:color="auto" w:fill="D9EAD3"/>
          </w:tcPr>
          <w:p>
            <w:r/>
            <w:r>
              <w:rPr>
                <w:b/>
                <w:sz w:val="17"/>
              </w:rPr>
              <w:t>Consistent; note static 412 count Jan-June 2025 (see Part III)</w:t>
            </w:r>
          </w:p>
        </w:tc>
      </w:tr>
      <w:tr>
        <w:tc>
          <w:tcPr>
            <w:tcW w:type="dxa" w:w="1728"/>
          </w:tcPr>
          <w:p>
            <w:r/>
            <w:r>
              <w:rPr>
                <w:sz w:val="17"/>
              </w:rPr>
              <w:t>Duration</w:t>
            </w:r>
          </w:p>
        </w:tc>
        <w:tc>
          <w:tcPr>
            <w:tcW w:type="dxa" w:w="3744"/>
          </w:tcPr>
          <w:p>
            <w:r/>
            <w:r>
              <w:rPr>
                <w:sz w:val="17"/>
              </w:rPr>
              <w:t>About 56 weeks: 52 weeks treatment + 4-week follow-up (§3.1)</w:t>
            </w:r>
          </w:p>
        </w:tc>
        <w:tc>
          <w:tcPr>
            <w:tcW w:type="dxa" w:w="3600"/>
          </w:tcPr>
          <w:p>
            <w:r/>
            <w:r>
              <w:rPr>
                <w:sz w:val="17"/>
              </w:rPr>
              <w:t>Same (§§3, 7)</w:t>
            </w:r>
          </w:p>
        </w:tc>
        <w:tc>
          <w:tcPr>
            <w:tcW w:type="dxa" w:w="2880"/>
          </w:tcPr>
          <w:p>
            <w:r/>
            <w:r>
              <w:rPr>
                <w:sz w:val="17"/>
              </w:rPr>
              <w:t>Checklist Item 1: same</w:t>
            </w:r>
          </w:p>
        </w:tc>
        <w:tc>
          <w:tcPr>
            <w:tcW w:type="dxa" w:w="1872"/>
            <w:shd w:val="clear" w:color="auto" w:fill="D9EAD3"/>
          </w:tcPr>
          <w:p>
            <w:r/>
            <w:r>
              <w:rPr>
                <w:b/>
                <w:sz w:val="17"/>
              </w:rPr>
              <w:t>Consistent</w:t>
            </w:r>
          </w:p>
        </w:tc>
      </w:tr>
      <w:tr>
        <w:tc>
          <w:tcPr>
            <w:tcW w:type="dxa" w:w="1728"/>
          </w:tcPr>
          <w:p>
            <w:r/>
            <w:r>
              <w:rPr>
                <w:sz w:val="17"/>
              </w:rPr>
              <w:t>Dosing</w:t>
            </w:r>
          </w:p>
        </w:tc>
        <w:tc>
          <w:tcPr>
            <w:tcW w:type="dxa" w:w="3744"/>
          </w:tcPr>
          <w:p>
            <w:r/>
            <w:r>
              <w:rPr>
                <w:sz w:val="17"/>
              </w:rPr>
              <w:t>Weekly SC injection, pre-filled pen; 0.5 mg Wks 1-4; 1.0 mg Wks 5-8; 2.0 mg Wks 9-52 (§3.2)</w:t>
            </w:r>
          </w:p>
        </w:tc>
        <w:tc>
          <w:tcPr>
            <w:tcW w:type="dxa" w:w="3600"/>
          </w:tcPr>
          <w:p>
            <w:r/>
            <w:r>
              <w:rPr>
                <w:sz w:val="17"/>
              </w:rPr>
              <w:t>Same; dose reduction to 1.0 mg permitted for intolerance; discontinuation if 0.5 mg not tolerated (§6.2)</w:t>
            </w:r>
          </w:p>
        </w:tc>
        <w:tc>
          <w:tcPr>
            <w:tcW w:type="dxa" w:w="2880"/>
          </w:tcPr>
          <w:p>
            <w:r/>
            <w:r>
              <w:rPr>
                <w:sz w:val="17"/>
              </w:rPr>
              <w:t>Checklist Item 1: same</w:t>
            </w:r>
          </w:p>
        </w:tc>
        <w:tc>
          <w:tcPr>
            <w:tcW w:type="dxa" w:w="1872"/>
            <w:shd w:val="clear" w:color="auto" w:fill="D9EAD3"/>
          </w:tcPr>
          <w:p>
            <w:r/>
            <w:r>
              <w:rPr>
                <w:b/>
                <w:sz w:val="17"/>
              </w:rPr>
              <w:t>Consistent; ICF omits dose-reduction rule</w:t>
            </w:r>
          </w:p>
        </w:tc>
      </w:tr>
      <w:tr>
        <w:tc>
          <w:tcPr>
            <w:tcW w:type="dxa" w:w="1728"/>
          </w:tcPr>
          <w:p>
            <w:r/>
            <w:r>
              <w:rPr>
                <w:sz w:val="17"/>
              </w:rPr>
              <w:t>Storage</w:t>
            </w:r>
          </w:p>
        </w:tc>
        <w:tc>
          <w:tcPr>
            <w:tcW w:type="dxa" w:w="3744"/>
          </w:tcPr>
          <w:p>
            <w:r/>
            <w:r>
              <w:rPr>
                <w:sz w:val="17"/>
              </w:rPr>
              <w:t>Refrigerate 36-46°F (2-8°C); do not freeze (§3.2)</w:t>
            </w:r>
          </w:p>
        </w:tc>
        <w:tc>
          <w:tcPr>
            <w:tcW w:type="dxa" w:w="3600"/>
          </w:tcPr>
          <w:p>
            <w:r/>
            <w:r>
              <w:rPr>
                <w:sz w:val="17"/>
              </w:rPr>
              <w:t>Same; also protect from light, keep in original packaging (§6.3)</w:t>
            </w:r>
          </w:p>
        </w:tc>
        <w:tc>
          <w:tcPr>
            <w:tcW w:type="dxa" w:w="2880"/>
          </w:tcPr>
          <w:p>
            <w:r/>
            <w:r>
              <w:rPr>
                <w:sz w:val="17"/>
              </w:rPr>
              <w:t>-</w:t>
            </w:r>
          </w:p>
        </w:tc>
        <w:tc>
          <w:tcPr>
            <w:tcW w:type="dxa" w:w="1872"/>
          </w:tcPr>
          <w:p>
            <w:r/>
            <w:r>
              <w:rPr>
                <w:b/>
                <w:sz w:val="17"/>
              </w:rPr>
              <w:t>Minor omission (light protection)</w:t>
            </w:r>
          </w:p>
        </w:tc>
      </w:tr>
      <w:tr>
        <w:tc>
          <w:tcPr>
            <w:tcW w:type="dxa" w:w="1728"/>
          </w:tcPr>
          <w:p>
            <w:r/>
            <w:r>
              <w:rPr>
                <w:sz w:val="17"/>
              </w:rPr>
              <w:t>Number of visits</w:t>
            </w:r>
          </w:p>
        </w:tc>
        <w:tc>
          <w:tcPr>
            <w:tcW w:type="dxa" w:w="3744"/>
          </w:tcPr>
          <w:p>
            <w:r/>
            <w:r>
              <w:rPr>
                <w:sz w:val="17"/>
              </w:rPr>
              <w:t>“Approximately 16 visits” (§§3.3, 6)</w:t>
            </w:r>
          </w:p>
        </w:tc>
        <w:tc>
          <w:tcPr>
            <w:tcW w:type="dxa" w:w="3600"/>
          </w:tcPr>
          <w:p>
            <w:r/>
            <w:r>
              <w:rPr>
                <w:sz w:val="17"/>
              </w:rPr>
              <w:t>18 scheduled visits (Visit 1 Screening through Visit 18, Week 56) (§7)</w:t>
            </w:r>
          </w:p>
        </w:tc>
        <w:tc>
          <w:tcPr>
            <w:tcW w:type="dxa" w:w="2880"/>
          </w:tcPr>
          <w:p>
            <w:r/>
            <w:r>
              <w:rPr>
                <w:sz w:val="17"/>
              </w:rPr>
              <w:t>Checklist Item 18: 16 visits</w:t>
            </w:r>
          </w:p>
        </w:tc>
        <w:tc>
          <w:tcPr>
            <w:tcW w:type="dxa" w:w="1872"/>
            <w:shd w:val="clear" w:color="auto" w:fill="FCE5CD"/>
          </w:tcPr>
          <w:p>
            <w:r/>
            <w:r>
              <w:rPr>
                <w:b/>
                <w:sz w:val="17"/>
              </w:rPr>
              <w:t>DISCREPANCY (High)</w:t>
            </w:r>
          </w:p>
        </w:tc>
      </w:tr>
      <w:tr>
        <w:tc>
          <w:tcPr>
            <w:tcW w:type="dxa" w:w="1728"/>
          </w:tcPr>
          <w:p>
            <w:r/>
            <w:r>
              <w:rPr>
                <w:sz w:val="17"/>
              </w:rPr>
              <w:t>Blood volume</w:t>
            </w:r>
          </w:p>
        </w:tc>
        <w:tc>
          <w:tcPr>
            <w:tcW w:type="dxa" w:w="3744"/>
          </w:tcPr>
          <w:p>
            <w:r/>
            <w:r>
              <w:rPr>
                <w:sz w:val="17"/>
              </w:rPr>
              <w:t>Approx. 350 mL (about 24 tablespoons) over study (§3.3)</w:t>
            </w:r>
          </w:p>
        </w:tc>
        <w:tc>
          <w:tcPr>
            <w:tcW w:type="dxa" w:w="3600"/>
          </w:tcPr>
          <w:p>
            <w:r/>
            <w:r>
              <w:rPr>
                <w:sz w:val="17"/>
              </w:rPr>
              <w:t>Not stated</w:t>
            </w:r>
          </w:p>
        </w:tc>
        <w:tc>
          <w:tcPr>
            <w:tcW w:type="dxa" w:w="2880"/>
          </w:tcPr>
          <w:p>
            <w:r/>
            <w:r>
              <w:rPr>
                <w:sz w:val="17"/>
              </w:rPr>
              <w:t>-</w:t>
            </w:r>
          </w:p>
        </w:tc>
        <w:tc>
          <w:tcPr>
            <w:tcW w:type="dxa" w:w="1872"/>
          </w:tcPr>
          <w:p>
            <w:r/>
            <w:r>
              <w:rPr>
                <w:b/>
                <w:sz w:val="17"/>
              </w:rPr>
              <w:t>Unverifiable; confirm against lab manual</w:t>
            </w:r>
          </w:p>
        </w:tc>
      </w:tr>
      <w:tr>
        <w:tc>
          <w:tcPr>
            <w:tcW w:type="dxa" w:w="1728"/>
          </w:tcPr>
          <w:p>
            <w:r/>
            <w:r>
              <w:rPr>
                <w:sz w:val="17"/>
              </w:rPr>
              <w:t>Primary endpoint</w:t>
            </w:r>
          </w:p>
        </w:tc>
        <w:tc>
          <w:tcPr>
            <w:tcW w:type="dxa" w:w="3744"/>
          </w:tcPr>
          <w:p>
            <w:r/>
            <w:r>
              <w:rPr>
                <w:sz w:val="17"/>
              </w:rPr>
              <w:t>Change in HbA1c baseline to Week 52 (§3.3)</w:t>
            </w:r>
          </w:p>
        </w:tc>
        <w:tc>
          <w:tcPr>
            <w:tcW w:type="dxa" w:w="3600"/>
          </w:tcPr>
          <w:p>
            <w:r/>
            <w:r>
              <w:rPr>
                <w:sz w:val="17"/>
              </w:rPr>
              <w:t>Same (§§2.1, 8.1)</w:t>
            </w:r>
          </w:p>
        </w:tc>
        <w:tc>
          <w:tcPr>
            <w:tcW w:type="dxa" w:w="2880"/>
          </w:tcPr>
          <w:p>
            <w:r/>
            <w:r>
              <w:rPr>
                <w:sz w:val="17"/>
              </w:rPr>
              <w:t>-</w:t>
            </w:r>
          </w:p>
        </w:tc>
        <w:tc>
          <w:tcPr>
            <w:tcW w:type="dxa" w:w="1872"/>
            <w:shd w:val="clear" w:color="auto" w:fill="D9EAD3"/>
          </w:tcPr>
          <w:p>
            <w:r/>
            <w:r>
              <w:rPr>
                <w:b/>
                <w:sz w:val="17"/>
              </w:rPr>
              <w:t>Consistent</w:t>
            </w:r>
          </w:p>
        </w:tc>
      </w:tr>
      <w:tr>
        <w:tc>
          <w:tcPr>
            <w:tcW w:type="dxa" w:w="1728"/>
          </w:tcPr>
          <w:p>
            <w:r/>
            <w:r>
              <w:rPr>
                <w:sz w:val="17"/>
              </w:rPr>
              <w:t>Secondary endpoints</w:t>
            </w:r>
          </w:p>
        </w:tc>
        <w:tc>
          <w:tcPr>
            <w:tcW w:type="dxa" w:w="3744"/>
          </w:tcPr>
          <w:p>
            <w:r/>
            <w:r>
              <w:rPr>
                <w:sz w:val="17"/>
              </w:rPr>
              <w:t>% HbA1c &lt;7.0% at Wk 52; change in FPG; change in body weight at Wk 52 (§3.3)</w:t>
            </w:r>
          </w:p>
        </w:tc>
        <w:tc>
          <w:tcPr>
            <w:tcW w:type="dxa" w:w="3600"/>
          </w:tcPr>
          <w:p>
            <w:r/>
            <w:r>
              <w:rPr>
                <w:sz w:val="17"/>
              </w:rPr>
              <w:t>Same, tested hierarchically (§8.2); exploratory: waist circumference, lipids, BP, PROs, time to HbA1c &lt;7% (§8.3); safety: anti-drug antibodies (§2.3)</w:t>
            </w:r>
          </w:p>
        </w:tc>
        <w:tc>
          <w:tcPr>
            <w:tcW w:type="dxa" w:w="2880"/>
          </w:tcPr>
          <w:p>
            <w:r/>
            <w:r>
              <w:rPr>
                <w:sz w:val="17"/>
              </w:rPr>
              <w:t>-</w:t>
            </w:r>
          </w:p>
        </w:tc>
        <w:tc>
          <w:tcPr>
            <w:tcW w:type="dxa" w:w="1872"/>
            <w:shd w:val="clear" w:color="auto" w:fill="D9EAD3"/>
          </w:tcPr>
          <w:p>
            <w:r/>
            <w:r>
              <w:rPr>
                <w:b/>
                <w:sz w:val="17"/>
              </w:rPr>
              <w:t>Consistent on primary/secondary; ICF omits PRO questionnaires, waist circumference, immunogenicity testing</w:t>
            </w:r>
          </w:p>
        </w:tc>
      </w:tr>
      <w:tr>
        <w:tc>
          <w:tcPr>
            <w:tcW w:type="dxa" w:w="1728"/>
          </w:tcPr>
          <w:p>
            <w:r/>
            <w:r>
              <w:rPr>
                <w:sz w:val="17"/>
              </w:rPr>
              <w:t>Common AEs (≥10%)</w:t>
            </w:r>
          </w:p>
        </w:tc>
        <w:tc>
          <w:tcPr>
            <w:tcW w:type="dxa" w:w="3744"/>
          </w:tcPr>
          <w:p>
            <w:r/>
            <w:r>
              <w:rPr>
                <w:sz w:val="17"/>
              </w:rPr>
              <w:t>Nausea 34%; injection-site reactions 22%; diarrhea 18%; headache 14%; decreased appetite 11% (§4)</w:t>
            </w:r>
          </w:p>
        </w:tc>
        <w:tc>
          <w:tcPr>
            <w:tcW w:type="dxa" w:w="3600"/>
          </w:tcPr>
          <w:p>
            <w:r/>
            <w:r>
              <w:rPr>
                <w:sz w:val="17"/>
              </w:rPr>
              <w:t>Identical Phase II rates (§9.1)</w:t>
            </w:r>
          </w:p>
        </w:tc>
        <w:tc>
          <w:tcPr>
            <w:tcW w:type="dxa" w:w="2880"/>
          </w:tcPr>
          <w:p>
            <w:r/>
            <w:r>
              <w:rPr>
                <w:sz w:val="17"/>
              </w:rPr>
              <w:t>Checklist Item 2: “reviewed against Phase II data”</w:t>
            </w:r>
          </w:p>
        </w:tc>
        <w:tc>
          <w:tcPr>
            <w:tcW w:type="dxa" w:w="1872"/>
            <w:shd w:val="clear" w:color="auto" w:fill="D9EAD3"/>
          </w:tcPr>
          <w:p>
            <w:r/>
            <w:r>
              <w:rPr>
                <w:b/>
                <w:sz w:val="17"/>
              </w:rPr>
              <w:t>Consistent with Phase II; see Stipulation 1 concern</w:t>
            </w:r>
          </w:p>
        </w:tc>
      </w:tr>
      <w:tr>
        <w:tc>
          <w:tcPr>
            <w:tcW w:type="dxa" w:w="1728"/>
          </w:tcPr>
          <w:p>
            <w:r/>
            <w:r>
              <w:rPr>
                <w:sz w:val="17"/>
              </w:rPr>
              <w:t>Less common AEs (1-10%)</w:t>
            </w:r>
          </w:p>
        </w:tc>
        <w:tc>
          <w:tcPr>
            <w:tcW w:type="dxa" w:w="3744"/>
          </w:tcPr>
          <w:p>
            <w:r/>
            <w:r>
              <w:rPr>
                <w:sz w:val="17"/>
              </w:rPr>
              <w:t>Vomiting 8%; abdominal pain 6%; fatigue 5%; dizziness 3%; hypoglycemia (esp. with sulfonylureas) 2% (§4)</w:t>
            </w:r>
          </w:p>
        </w:tc>
        <w:tc>
          <w:tcPr>
            <w:tcW w:type="dxa" w:w="3600"/>
          </w:tcPr>
          <w:p>
            <w:r/>
            <w:r>
              <w:rPr>
                <w:sz w:val="17"/>
              </w:rPr>
              <w:t>Identical (§9.1)</w:t>
            </w:r>
          </w:p>
        </w:tc>
        <w:tc>
          <w:tcPr>
            <w:tcW w:type="dxa" w:w="2880"/>
          </w:tcPr>
          <w:p>
            <w:r/>
            <w:r>
              <w:rPr>
                <w:sz w:val="17"/>
              </w:rPr>
              <w:t>Same</w:t>
            </w:r>
          </w:p>
        </w:tc>
        <w:tc>
          <w:tcPr>
            <w:tcW w:type="dxa" w:w="1872"/>
            <w:shd w:val="clear" w:color="auto" w:fill="D9EAD3"/>
          </w:tcPr>
          <w:p>
            <w:r/>
            <w:r>
              <w:rPr>
                <w:b/>
                <w:sz w:val="17"/>
              </w:rPr>
              <w:t>Consistent</w:t>
            </w:r>
          </w:p>
        </w:tc>
      </w:tr>
      <w:tr>
        <w:tc>
          <w:tcPr>
            <w:tcW w:type="dxa" w:w="1728"/>
          </w:tcPr>
          <w:p>
            <w:r/>
            <w:r>
              <w:rPr>
                <w:sz w:val="17"/>
              </w:rPr>
              <w:t>Serious / rare AEs (&lt;1%)</w:t>
            </w:r>
          </w:p>
        </w:tc>
        <w:tc>
          <w:tcPr>
            <w:tcW w:type="dxa" w:w="3744"/>
          </w:tcPr>
          <w:p>
            <w:r/>
            <w:r>
              <w:rPr>
                <w:sz w:val="17"/>
              </w:rPr>
              <w:t>Pancreatitis 0.7%; severe hypoglycemia 0.4%; acute kidney injury 0.3%; “Thyroid problems (rare)” (§4)</w:t>
            </w:r>
          </w:p>
        </w:tc>
        <w:tc>
          <w:tcPr>
            <w:tcW w:type="dxa" w:w="3600"/>
          </w:tcPr>
          <w:p>
            <w:r/>
            <w:r>
              <w:rPr>
                <w:sz w:val="17"/>
              </w:rPr>
              <w:t>Same rates; thyroid C-cell tumors incl. MTC in rodents; Boxed Warning; contraindicated with MTC/MEN 2 history (§§9.1-9.2)</w:t>
            </w:r>
          </w:p>
        </w:tc>
        <w:tc>
          <w:tcPr>
            <w:tcW w:type="dxa" w:w="2880"/>
          </w:tcPr>
          <w:p>
            <w:r/>
            <w:r>
              <w:rPr>
                <w:sz w:val="17"/>
              </w:rPr>
              <w:t>Reg. Files Item 8: IB includes Boxed Warning</w:t>
            </w:r>
          </w:p>
        </w:tc>
        <w:tc>
          <w:tcPr>
            <w:tcW w:type="dxa" w:w="1872"/>
            <w:shd w:val="clear" w:color="auto" w:fill="F4CCCC"/>
          </w:tcPr>
          <w:p>
            <w:r/>
            <w:r>
              <w:rPr>
                <w:b/>
                <w:sz w:val="17"/>
              </w:rPr>
              <w:t>DISCREPANCY (Critical)</w:t>
            </w:r>
          </w:p>
        </w:tc>
      </w:tr>
      <w:tr>
        <w:tc>
          <w:tcPr>
            <w:tcW w:type="dxa" w:w="1728"/>
          </w:tcPr>
          <w:p>
            <w:r/>
            <w:r>
              <w:rPr>
                <w:sz w:val="17"/>
              </w:rPr>
              <w:t>Reproductive</w:t>
            </w:r>
          </w:p>
        </w:tc>
        <w:tc>
          <w:tcPr>
            <w:tcW w:type="dxa" w:w="3744"/>
          </w:tcPr>
          <w:p>
            <w:r/>
            <w:r>
              <w:rPr>
                <w:sz w:val="17"/>
              </w:rPr>
              <w:t>“Effective birth control” during study and 4 weeks after last dose; pregnancy ends participation; male participants report partner pregnancy (§4)</w:t>
            </w:r>
          </w:p>
        </w:tc>
        <w:tc>
          <w:tcPr>
            <w:tcW w:type="dxa" w:w="3600"/>
          </w:tcPr>
          <w:p>
            <w:r/>
            <w:r>
              <w:rPr>
                <w:sz w:val="17"/>
              </w:rPr>
              <w:t>“Highly effective” contraception; breastfeeding excluded; obstetric follow-up arranged (§§4.2, 12.2)</w:t>
            </w:r>
          </w:p>
        </w:tc>
        <w:tc>
          <w:tcPr>
            <w:tcW w:type="dxa" w:w="2880"/>
          </w:tcPr>
          <w:p>
            <w:r/>
            <w:r>
              <w:rPr>
                <w:sz w:val="17"/>
              </w:rPr>
              <w:t>-</w:t>
            </w:r>
          </w:p>
        </w:tc>
        <w:tc>
          <w:tcPr>
            <w:tcW w:type="dxa" w:w="1872"/>
            <w:shd w:val="clear" w:color="auto" w:fill="FFF2CC"/>
          </w:tcPr>
          <w:p>
            <w:r/>
            <w:r>
              <w:rPr>
                <w:b/>
                <w:sz w:val="17"/>
              </w:rPr>
              <w:t>DISCREPANCY (Medium)</w:t>
            </w:r>
          </w:p>
        </w:tc>
      </w:tr>
      <w:tr>
        <w:tc>
          <w:tcPr>
            <w:tcW w:type="dxa" w:w="1728"/>
          </w:tcPr>
          <w:p>
            <w:r/>
            <w:r>
              <w:rPr>
                <w:sz w:val="17"/>
              </w:rPr>
              <w:t>Compensation</w:t>
            </w:r>
          </w:p>
        </w:tc>
        <w:tc>
          <w:tcPr>
            <w:tcW w:type="dxa" w:w="3744"/>
          </w:tcPr>
          <w:p>
            <w:r/>
            <w:r>
              <w:rPr>
                <w:sz w:val="17"/>
              </w:rPr>
              <w:t>$50 per completed visit; about 16 visits; max $800; paid at each visit by check or gift card; prorated on withdrawal; may be taxable (§6)</w:t>
            </w:r>
          </w:p>
        </w:tc>
        <w:tc>
          <w:tcPr>
            <w:tcW w:type="dxa" w:w="3600"/>
          </w:tcPr>
          <w:p>
            <w:r/>
            <w:r>
              <w:rPr>
                <w:sz w:val="17"/>
              </w:rPr>
              <w:t>$75 per visit; 18 visits; max $1,350; paid about quarterly by check or electronic payment; Form 1099-MISC; CIRB found not undue influence (§10.1)</w:t>
            </w:r>
          </w:p>
        </w:tc>
        <w:tc>
          <w:tcPr>
            <w:tcW w:type="dxa" w:w="2880"/>
          </w:tcPr>
          <w:p>
            <w:r/>
            <w:r>
              <w:rPr>
                <w:sz w:val="17"/>
              </w:rPr>
              <w:t>Checklist Item 18: $50 / 16 / $800 marked Complete</w:t>
            </w:r>
          </w:p>
        </w:tc>
        <w:tc>
          <w:tcPr>
            <w:tcW w:type="dxa" w:w="1872"/>
            <w:shd w:val="clear" w:color="auto" w:fill="FCE5CD"/>
          </w:tcPr>
          <w:p>
            <w:r/>
            <w:r>
              <w:rPr>
                <w:b/>
                <w:sz w:val="17"/>
              </w:rPr>
              <w:t>DISCREPANCY (High)</w:t>
            </w:r>
          </w:p>
        </w:tc>
      </w:tr>
      <w:tr>
        <w:tc>
          <w:tcPr>
            <w:tcW w:type="dxa" w:w="1728"/>
          </w:tcPr>
          <w:p>
            <w:r/>
            <w:r>
              <w:rPr>
                <w:sz w:val="17"/>
              </w:rPr>
              <w:t>Study costs</w:t>
            </w:r>
          </w:p>
        </w:tc>
        <w:tc>
          <w:tcPr>
            <w:tcW w:type="dxa" w:w="3744"/>
          </w:tcPr>
          <w:p>
            <w:r/>
            <w:r>
              <w:rPr>
                <w:sz w:val="17"/>
              </w:rPr>
              <w:t>Study procedures, labs and drug at no cost; no travel reimbursement; outside care at participant’s cost (§6)</w:t>
            </w:r>
          </w:p>
        </w:tc>
        <w:tc>
          <w:tcPr>
            <w:tcW w:type="dxa" w:w="3600"/>
          </w:tcPr>
          <w:p>
            <w:r/>
            <w:r>
              <w:rPr>
                <w:sz w:val="17"/>
              </w:rPr>
              <w:t>Same, plus participant and insurer will not be billed for research-only procedures (§10.2)</w:t>
            </w:r>
          </w:p>
        </w:tc>
        <w:tc>
          <w:tcPr>
            <w:tcW w:type="dxa" w:w="2880"/>
          </w:tcPr>
          <w:p>
            <w:r/>
            <w:r>
              <w:rPr>
                <w:sz w:val="17"/>
              </w:rPr>
              <w:t>Checklist Item 11</w:t>
            </w:r>
          </w:p>
        </w:tc>
        <w:tc>
          <w:tcPr>
            <w:tcW w:type="dxa" w:w="1872"/>
            <w:shd w:val="clear" w:color="auto" w:fill="D9EAD3"/>
          </w:tcPr>
          <w:p>
            <w:r/>
            <w:r>
              <w:rPr>
                <w:b/>
                <w:sz w:val="17"/>
              </w:rPr>
              <w:t>Consistent; ICF should add the no-billing-of-insurer statement</w:t>
            </w:r>
          </w:p>
        </w:tc>
      </w:tr>
      <w:tr>
        <w:tc>
          <w:tcPr>
            <w:tcW w:type="dxa" w:w="1728"/>
          </w:tcPr>
          <w:p>
            <w:r/>
            <w:r>
              <w:rPr>
                <w:sz w:val="17"/>
              </w:rPr>
              <w:t>Research injury</w:t>
            </w:r>
          </w:p>
        </w:tc>
        <w:tc>
          <w:tcPr>
            <w:tcW w:type="dxa" w:w="3744"/>
          </w:tcPr>
          <w:p>
            <w:r/>
            <w:r>
              <w:rPr>
                <w:sz w:val="17"/>
              </w:rPr>
              <w:t>Pinnacle “will provide medical treatment”; no guarantee of compensation beyond treatment; no waiver of rights; contact §10 (§9)</w:t>
            </w:r>
          </w:p>
        </w:tc>
        <w:tc>
          <w:tcPr>
            <w:tcW w:type="dxa" w:w="3600"/>
          </w:tcPr>
          <w:p>
            <w:r/>
            <w:r>
              <w:rPr>
                <w:sz w:val="17"/>
              </w:rPr>
              <w:t>Pinnacle bears cost of treatment for injuries directly resulting from study drug/procedures; insurer not billed; causation determined by PI with sponsor; no lost wages, pain and suffering (§10.3)</w:t>
            </w:r>
          </w:p>
        </w:tc>
        <w:tc>
          <w:tcPr>
            <w:tcW w:type="dxa" w:w="2880"/>
          </w:tcPr>
          <w:p>
            <w:r/>
            <w:r>
              <w:rPr>
                <w:sz w:val="17"/>
              </w:rPr>
              <w:t>Checklist Item 6</w:t>
            </w:r>
          </w:p>
        </w:tc>
        <w:tc>
          <w:tcPr>
            <w:tcW w:type="dxa" w:w="1872"/>
            <w:shd w:val="clear" w:color="auto" w:fill="FCE5CD"/>
          </w:tcPr>
          <w:p>
            <w:r/>
            <w:r>
              <w:rPr>
                <w:b/>
                <w:sz w:val="17"/>
              </w:rPr>
              <w:t>DISCREPANCY (High)</w:t>
            </w:r>
          </w:p>
        </w:tc>
      </w:tr>
      <w:tr>
        <w:tc>
          <w:tcPr>
            <w:tcW w:type="dxa" w:w="1728"/>
          </w:tcPr>
          <w:p>
            <w:r/>
            <w:r>
              <w:rPr>
                <w:sz w:val="17"/>
              </w:rPr>
              <w:t>Data access / sharing</w:t>
            </w:r>
          </w:p>
        </w:tc>
        <w:tc>
          <w:tcPr>
            <w:tcW w:type="dxa" w:w="3744"/>
          </w:tcPr>
          <w:p>
            <w:r/>
            <w:r>
              <w:rPr>
                <w:sz w:val="17"/>
              </w:rPr>
              <w:t>Study team; CIRB; FDA; “authorized representatives of Pinnacle”; coded data to unnamed “research partner”; de-identified data to other researchers (§7)</w:t>
            </w:r>
          </w:p>
        </w:tc>
        <w:tc>
          <w:tcPr>
            <w:tcW w:type="dxa" w:w="3600"/>
          </w:tcPr>
          <w:p>
            <w:r/>
            <w:r>
              <w:rPr>
                <w:sz w:val="17"/>
              </w:rPr>
              <w:t>Adds Ridgeline (coded data for regulatory submissions, safety, product development), Brenton Analytics (CRO), Crescent Labs; Ridgeline may inspect records; record retention rules; specimen storage and residual biomarker use (§§11, 15)</w:t>
            </w:r>
          </w:p>
        </w:tc>
        <w:tc>
          <w:tcPr>
            <w:tcW w:type="dxa" w:w="2880"/>
          </w:tcPr>
          <w:p>
            <w:r/>
            <w:r>
              <w:rPr>
                <w:sz w:val="17"/>
              </w:rPr>
              <w:t>Checklist Items 5, 15, 16</w:t>
            </w:r>
          </w:p>
        </w:tc>
        <w:tc>
          <w:tcPr>
            <w:tcW w:type="dxa" w:w="1872"/>
            <w:shd w:val="clear" w:color="auto" w:fill="FCE5CD"/>
          </w:tcPr>
          <w:p>
            <w:r/>
            <w:r>
              <w:rPr>
                <w:b/>
                <w:sz w:val="17"/>
              </w:rPr>
              <w:t>DISCREPANCY (High)</w:t>
            </w:r>
          </w:p>
        </w:tc>
      </w:tr>
      <w:tr>
        <w:tc>
          <w:tcPr>
            <w:tcW w:type="dxa" w:w="1728"/>
          </w:tcPr>
          <w:p>
            <w:r/>
            <w:r>
              <w:rPr>
                <w:sz w:val="17"/>
              </w:rPr>
              <w:t>Withdrawal</w:t>
            </w:r>
          </w:p>
        </w:tc>
        <w:tc>
          <w:tcPr>
            <w:tcW w:type="dxa" w:w="3744"/>
          </w:tcPr>
          <w:p>
            <w:r/>
            <w:r>
              <w:rPr>
                <w:sz w:val="17"/>
              </w:rPr>
              <w:t>May withdraw at any time; notify Dr. Choi; no reason needed; final safety visit requested; no effect on care at Pinnacle (§8)</w:t>
            </w:r>
          </w:p>
        </w:tc>
        <w:tc>
          <w:tcPr>
            <w:tcW w:type="dxa" w:w="3600"/>
          </w:tcPr>
          <w:p>
            <w:r/>
            <w:r>
              <w:rPr>
                <w:sz w:val="17"/>
              </w:rPr>
              <w:t>Same, plus no penalty or loss of benefits (§12.1); early termination visit (§12.2)</w:t>
            </w:r>
          </w:p>
        </w:tc>
        <w:tc>
          <w:tcPr>
            <w:tcW w:type="dxa" w:w="2880"/>
          </w:tcPr>
          <w:p>
            <w:r/>
            <w:r>
              <w:rPr>
                <w:sz w:val="17"/>
              </w:rPr>
              <w:t>Checklist Items 8, 12</w:t>
            </w:r>
          </w:p>
        </w:tc>
        <w:tc>
          <w:tcPr>
            <w:tcW w:type="dxa" w:w="1872"/>
            <w:shd w:val="clear" w:color="auto" w:fill="FCE5CD"/>
          </w:tcPr>
          <w:p>
            <w:r/>
            <w:r>
              <w:rPr>
                <w:b/>
                <w:sz w:val="17"/>
              </w:rPr>
              <w:t>DISCREPANCY: ICF lacks penalty/loss-of-benefits language</w:t>
            </w:r>
          </w:p>
        </w:tc>
      </w:tr>
      <w:tr>
        <w:tc>
          <w:tcPr>
            <w:tcW w:type="dxa" w:w="1728"/>
          </w:tcPr>
          <w:p>
            <w:r/>
            <w:r>
              <w:rPr>
                <w:sz w:val="17"/>
              </w:rPr>
              <w:t>Investigator termination</w:t>
            </w:r>
          </w:p>
        </w:tc>
        <w:tc>
          <w:tcPr>
            <w:tcW w:type="dxa" w:w="3744"/>
          </w:tcPr>
          <w:p>
            <w:r/>
            <w:r>
              <w:rPr>
                <w:sz w:val="17"/>
              </w:rPr>
              <w:t>(1) serious study-drug-related side effect; (2) pregnancy; (3) missing 3+ consecutive visits without contacting team; (4) PI judgment (§8)</w:t>
            </w:r>
          </w:p>
        </w:tc>
        <w:tc>
          <w:tcPr>
            <w:tcW w:type="dxa" w:w="3600"/>
          </w:tcPr>
          <w:p>
            <w:r/>
            <w:r>
              <w:rPr>
                <w:sz w:val="17"/>
              </w:rPr>
              <w:t>(3) is broader: noncompliance (missed visits, failure to dose, failure to follow instructions) on 3+ consecutive visits; (4) includes eligibility violations (§12.2)</w:t>
            </w:r>
          </w:p>
        </w:tc>
        <w:tc>
          <w:tcPr>
            <w:tcW w:type="dxa" w:w="2880"/>
          </w:tcPr>
          <w:p>
            <w:r/>
            <w:r>
              <w:rPr>
                <w:sz w:val="17"/>
              </w:rPr>
              <w:t>Checklist Item 10 paraphrases protocol, not ICF</w:t>
            </w:r>
          </w:p>
        </w:tc>
        <w:tc>
          <w:tcPr>
            <w:tcW w:type="dxa" w:w="1872"/>
            <w:shd w:val="clear" w:color="auto" w:fill="FFF2CC"/>
          </w:tcPr>
          <w:p>
            <w:r/>
            <w:r>
              <w:rPr>
                <w:b/>
                <w:sz w:val="17"/>
              </w:rPr>
              <w:t>DISCREPANCY (Medium)</w:t>
            </w:r>
          </w:p>
        </w:tc>
      </w:tr>
      <w:tr>
        <w:tc>
          <w:tcPr>
            <w:tcW w:type="dxa" w:w="1728"/>
          </w:tcPr>
          <w:p>
            <w:r/>
            <w:r>
              <w:rPr>
                <w:sz w:val="17"/>
              </w:rPr>
              <w:t>Sponsor termination</w:t>
            </w:r>
          </w:p>
        </w:tc>
        <w:tc>
          <w:tcPr>
            <w:tcW w:type="dxa" w:w="3744"/>
          </w:tcPr>
          <w:p>
            <w:r/>
            <w:r>
              <w:rPr>
                <w:sz w:val="17"/>
              </w:rPr>
              <w:t>“The sponsor may end the study early for safety or other reasons” (§8)</w:t>
            </w:r>
          </w:p>
        </w:tc>
        <w:tc>
          <w:tcPr>
            <w:tcW w:type="dxa" w:w="3600"/>
          </w:tcPr>
          <w:p>
            <w:r/>
            <w:r>
              <w:rPr>
                <w:sz w:val="17"/>
              </w:rPr>
              <w:t>Pinnacle, in consultation with Ridgeline, for safety, futility, regulatory action, loss of funding or business considerations; visits compensated (§12.3)</w:t>
            </w:r>
          </w:p>
        </w:tc>
        <w:tc>
          <w:tcPr>
            <w:tcW w:type="dxa" w:w="2880"/>
          </w:tcPr>
          <w:p>
            <w:r/>
            <w:r>
              <w:rPr>
                <w:sz w:val="17"/>
              </w:rPr>
              <w:t>-</w:t>
            </w:r>
          </w:p>
        </w:tc>
        <w:tc>
          <w:tcPr>
            <w:tcW w:type="dxa" w:w="1872"/>
          </w:tcPr>
          <w:p>
            <w:r/>
            <w:r>
              <w:rPr>
                <w:b/>
                <w:sz w:val="17"/>
              </w:rPr>
              <w:t>Minor; recommend fuller disclosure</w:t>
            </w:r>
          </w:p>
        </w:tc>
      </w:tr>
      <w:tr>
        <w:tc>
          <w:tcPr>
            <w:tcW w:type="dxa" w:w="1728"/>
          </w:tcPr>
          <w:p>
            <w:r/>
            <w:r>
              <w:rPr>
                <w:sz w:val="17"/>
              </w:rPr>
              <w:t>Alternatives</w:t>
            </w:r>
          </w:p>
        </w:tc>
        <w:tc>
          <w:tcPr>
            <w:tcW w:type="dxa" w:w="3744"/>
          </w:tcPr>
          <w:p>
            <w:r/>
            <w:r>
              <w:rPr>
                <w:sz w:val="17"/>
              </w:rPr>
              <w:t>None stated</w:t>
            </w:r>
          </w:p>
        </w:tc>
        <w:tc>
          <w:tcPr>
            <w:tcW w:type="dxa" w:w="3600"/>
          </w:tcPr>
          <w:p>
            <w:r/>
            <w:r>
              <w:rPr>
                <w:sz w:val="17"/>
              </w:rPr>
              <w:t>Metformin, insulin, SGLT-2 inhibitors, sulfonylureas, TZDs, DPP-4 inhibitors, other GLP-1 RAs (§5)</w:t>
            </w:r>
          </w:p>
        </w:tc>
        <w:tc>
          <w:tcPr>
            <w:tcW w:type="dxa" w:w="2880"/>
          </w:tcPr>
          <w:p>
            <w:r/>
            <w:r>
              <w:rPr>
                <w:sz w:val="17"/>
              </w:rPr>
              <w:t>Checklist Item 4: Complete (cites ICF §7)</w:t>
            </w:r>
          </w:p>
        </w:tc>
        <w:tc>
          <w:tcPr>
            <w:tcW w:type="dxa" w:w="1872"/>
            <w:shd w:val="clear" w:color="auto" w:fill="F4CCCC"/>
          </w:tcPr>
          <w:p>
            <w:r/>
            <w:r>
              <w:rPr>
                <w:b/>
                <w:sz w:val="17"/>
              </w:rPr>
              <w:t>DISCREPANCY (Critical)</w:t>
            </w:r>
          </w:p>
        </w:tc>
      </w:tr>
      <w:tr>
        <w:tc>
          <w:tcPr>
            <w:tcW w:type="dxa" w:w="1728"/>
          </w:tcPr>
          <w:p>
            <w:r/>
            <w:r>
              <w:rPr>
                <w:sz w:val="17"/>
              </w:rPr>
              <w:t>Funding / COI</w:t>
            </w:r>
          </w:p>
        </w:tc>
        <w:tc>
          <w:tcPr>
            <w:tcW w:type="dxa" w:w="3744"/>
          </w:tcPr>
          <w:p>
            <w:r/>
            <w:r>
              <w:rPr>
                <w:sz w:val="17"/>
              </w:rPr>
              <w:t>Not disclosed</w:t>
            </w:r>
          </w:p>
        </w:tc>
        <w:tc>
          <w:tcPr>
            <w:tcW w:type="dxa" w:w="3600"/>
          </w:tcPr>
          <w:p>
            <w:r/>
            <w:r>
              <w:rPr>
                <w:sz w:val="17"/>
              </w:rPr>
              <w:t>Ridgeline: $18.5M total; $8,200 per participant; $3.2M equipment grant (§§1, 14.3)</w:t>
            </w:r>
          </w:p>
        </w:tc>
        <w:tc>
          <w:tcPr>
            <w:tcW w:type="dxa" w:w="2880"/>
          </w:tcPr>
          <w:p>
            <w:r/>
            <w:r>
              <w:rPr>
                <w:sz w:val="17"/>
              </w:rPr>
              <w:t>PI equity in Ridgeline, 2,500 shares (about $87,500) (Reg. Files Item 9); CIRB does not require ICF language (Stip. 3)</w:t>
            </w:r>
          </w:p>
        </w:tc>
        <w:tc>
          <w:tcPr>
            <w:tcW w:type="dxa" w:w="1872"/>
          </w:tcPr>
          <w:p>
            <w:r/>
            <w:r>
              <w:rPr>
                <w:b/>
                <w:sz w:val="17"/>
              </w:rPr>
              <w:t>Gap (risk-management recommendation)</w:t>
            </w:r>
          </w:p>
        </w:tc>
      </w:tr>
      <w:tr>
        <w:tc>
          <w:tcPr>
            <w:tcW w:type="dxa" w:w="1728"/>
          </w:tcPr>
          <w:p>
            <w:r/>
            <w:r>
              <w:rPr>
                <w:sz w:val="17"/>
              </w:rPr>
              <w:t>Signature block</w:t>
            </w:r>
          </w:p>
        </w:tc>
        <w:tc>
          <w:tcPr>
            <w:tcW w:type="dxa" w:w="3744"/>
          </w:tcPr>
          <w:p>
            <w:r/>
            <w:r>
              <w:rPr>
                <w:sz w:val="17"/>
              </w:rPr>
              <w:t>Participant; person obtaining consent; LAR (if applicable); witness (if read to participant) (§11)</w:t>
            </w:r>
          </w:p>
        </w:tc>
        <w:tc>
          <w:tcPr>
            <w:tcW w:type="dxa" w:w="3600"/>
          </w:tcPr>
          <w:p>
            <w:r/>
            <w:r>
              <w:rPr>
                <w:sz w:val="17"/>
              </w:rPr>
              <w:t>Inclusion criterion 6: participant must be able and willing to give written consent (§4.1)</w:t>
            </w:r>
          </w:p>
        </w:tc>
        <w:tc>
          <w:tcPr>
            <w:tcW w:type="dxa" w:w="2880"/>
          </w:tcPr>
          <w:p>
            <w:r/>
            <w:r>
              <w:rPr>
                <w:sz w:val="17"/>
              </w:rPr>
              <w:t>Checklist Item 19</w:t>
            </w:r>
          </w:p>
        </w:tc>
        <w:tc>
          <w:tcPr>
            <w:tcW w:type="dxa" w:w="1872"/>
          </w:tcPr>
          <w:p>
            <w:r/>
            <w:r>
              <w:rPr>
                <w:b/>
                <w:sz w:val="17"/>
              </w:rPr>
              <w:t>Inconsistent: LAR block conflicts with inclusion criterion 6</w:t>
            </w:r>
          </w:p>
        </w:tc>
      </w:tr>
    </w:tbl>
    <w:p/>
    <w:p>
      <w:pPr>
        <w:pStyle w:val="Heading1"/>
      </w:pPr>
      <w:r>
        <w:rPr>
          <w:color w:val="1F3864"/>
        </w:rPr>
        <w:t>Part II. 21 CFR 50.25 Element-by-Element Compliance Assessment</w:t>
      </w:r>
    </w:p>
    <w:p>
      <w:r>
        <w:t>Each basic element (50.25(a)), additional element (50.25(b)) and the ClinicalTrials.gov statement (50.25(c)) is assessed, with related 50.20/50.27, Common Rule (45 CFR 46.116) and HIPAA (45 CFR 164.508) requirements. The status the site recorded in its checklist is shown next to our assessment.</w:t>
      </w:r>
    </w:p>
    <w:tbl>
      <w:tblPr>
        <w:tblStyle w:val="TableGrid"/>
        <w:tblW w:type="auto" w:w="0"/>
        <w:tblLook w:firstColumn="1" w:firstRow="1" w:lastColumn="0" w:lastRow="0" w:noHBand="0" w:noVBand="1" w:val="04A0"/>
      </w:tblPr>
      <w:tblGrid>
        <w:gridCol w:w="1975"/>
        <w:gridCol w:w="1975"/>
        <w:gridCol w:w="1975"/>
        <w:gridCol w:w="1975"/>
        <w:gridCol w:w="1975"/>
        <w:gridCol w:w="1975"/>
        <w:gridCol w:w="1975"/>
      </w:tblGrid>
      <w:tr>
        <w:trPr>
          <w:tblHeader w:val="true"/>
        </w:trPr>
        <w:tc>
          <w:tcPr>
            <w:tcW w:type="dxa" w:w="1152"/>
            <w:shd w:val="clear" w:color="auto" w:fill="1F3864"/>
          </w:tcPr>
          <w:p>
            <w:r/>
            <w:r>
              <w:rPr>
                <w:b/>
                <w:color w:val="FFFFFF"/>
                <w:sz w:val="18"/>
              </w:rPr>
              <w:t>Citation</w:t>
            </w:r>
          </w:p>
        </w:tc>
        <w:tc>
          <w:tcPr>
            <w:tcW w:type="dxa" w:w="2016"/>
            <w:shd w:val="clear" w:color="auto" w:fill="1F3864"/>
          </w:tcPr>
          <w:p>
            <w:r/>
            <w:r>
              <w:rPr>
                <w:b/>
                <w:color w:val="FFFFFF"/>
                <w:sz w:val="18"/>
              </w:rPr>
              <w:t>Requirement</w:t>
            </w:r>
          </w:p>
        </w:tc>
        <w:tc>
          <w:tcPr>
            <w:tcW w:type="dxa" w:w="864"/>
            <w:shd w:val="clear" w:color="auto" w:fill="1F3864"/>
          </w:tcPr>
          <w:p>
            <w:r/>
            <w:r>
              <w:rPr>
                <w:b/>
                <w:color w:val="FFFFFF"/>
                <w:sz w:val="18"/>
              </w:rPr>
              <w:t>ICF location</w:t>
            </w:r>
          </w:p>
        </w:tc>
        <w:tc>
          <w:tcPr>
            <w:tcW w:type="dxa" w:w="4464"/>
            <w:shd w:val="clear" w:color="auto" w:fill="1F3864"/>
          </w:tcPr>
          <w:p>
            <w:r/>
            <w:r>
              <w:rPr>
                <w:b/>
                <w:color w:val="FFFFFF"/>
                <w:sz w:val="18"/>
              </w:rPr>
              <w:t>Finding</w:t>
            </w:r>
          </w:p>
        </w:tc>
        <w:tc>
          <w:tcPr>
            <w:tcW w:type="dxa" w:w="1440"/>
            <w:shd w:val="clear" w:color="auto" w:fill="1F3864"/>
          </w:tcPr>
          <w:p>
            <w:r/>
            <w:r>
              <w:rPr>
                <w:b/>
                <w:color w:val="FFFFFF"/>
                <w:sz w:val="18"/>
              </w:rPr>
              <w:t>Our assessment</w:t>
            </w:r>
          </w:p>
        </w:tc>
        <w:tc>
          <w:tcPr>
            <w:tcW w:type="dxa" w:w="1296"/>
            <w:shd w:val="clear" w:color="auto" w:fill="1F3864"/>
          </w:tcPr>
          <w:p>
            <w:r/>
            <w:r>
              <w:rPr>
                <w:b/>
                <w:color w:val="FFFFFF"/>
                <w:sz w:val="18"/>
              </w:rPr>
              <w:t>Site checklist</w:t>
            </w:r>
          </w:p>
        </w:tc>
        <w:tc>
          <w:tcPr>
            <w:tcW w:type="dxa" w:w="2592"/>
            <w:shd w:val="clear" w:color="auto" w:fill="1F3864"/>
          </w:tcPr>
          <w:p>
            <w:r/>
            <w:r>
              <w:rPr>
                <w:b/>
                <w:color w:val="FFFFFF"/>
                <w:sz w:val="18"/>
              </w:rPr>
              <w:t>Required correction</w:t>
            </w:r>
          </w:p>
        </w:tc>
      </w:tr>
      <w:tr>
        <w:tc>
          <w:tcPr>
            <w:tcW w:type="dxa" w:w="1152"/>
          </w:tcPr>
          <w:p>
            <w:r/>
            <w:r>
              <w:rPr>
                <w:sz w:val="17"/>
              </w:rPr>
              <w:t>50.25(a)(1)</w:t>
            </w:r>
          </w:p>
        </w:tc>
        <w:tc>
          <w:tcPr>
            <w:tcW w:type="dxa" w:w="2016"/>
          </w:tcPr>
          <w:p>
            <w:r/>
            <w:r>
              <w:rPr>
                <w:sz w:val="17"/>
              </w:rPr>
              <w:t>Statement that the study involves research; purposes; expected duration; description of procedures; identification of experimental procedures</w:t>
            </w:r>
          </w:p>
        </w:tc>
        <w:tc>
          <w:tcPr>
            <w:tcW w:type="dxa" w:w="864"/>
          </w:tcPr>
          <w:p>
            <w:r/>
            <w:r>
              <w:rPr>
                <w:sz w:val="17"/>
              </w:rPr>
              <w:t>§§1-3</w:t>
            </w:r>
          </w:p>
        </w:tc>
        <w:tc>
          <w:tcPr>
            <w:tcW w:type="dxa" w:w="4464"/>
          </w:tcPr>
          <w:p>
            <w:r/>
            <w:r>
              <w:rPr>
                <w:sz w:val="17"/>
              </w:rPr>
              <w:t>Research purpose, duration (56 weeks) and core procedures are described. Deficiencies: (i) visit count stated as about 16 versus 18 in the protocol; (ii) omits screening-specific procedures (pregnancy testing, serum calcitonin), the 1-hour observed first dose at Visit 2, patient-reported outcome questionnaires, waist circumference, anti-drug antibody testing, and storage of residual specimens at Crescent Laboratories for exploratory biomarker work; (iii) does not identify which procedures are experimental (the study drug and placebo) as opposed to standard care.</w:t>
            </w:r>
          </w:p>
        </w:tc>
        <w:tc>
          <w:tcPr>
            <w:tcW w:type="dxa" w:w="1440"/>
            <w:shd w:val="clear" w:color="auto" w:fill="FFF2CC"/>
          </w:tcPr>
          <w:p>
            <w:r/>
            <w:r>
              <w:rPr>
                <w:b/>
                <w:sz w:val="17"/>
              </w:rPr>
              <w:t>Partially compliant</w:t>
            </w:r>
          </w:p>
        </w:tc>
        <w:tc>
          <w:tcPr>
            <w:tcW w:type="dxa" w:w="1296"/>
          </w:tcPr>
          <w:p>
            <w:r/>
            <w:r>
              <w:rPr>
                <w:sz w:val="17"/>
              </w:rPr>
              <w:t>Complete</w:t>
            </w:r>
          </w:p>
        </w:tc>
        <w:tc>
          <w:tcPr>
            <w:tcW w:type="dxa" w:w="2592"/>
          </w:tcPr>
          <w:p>
            <w:r/>
            <w:r>
              <w:rPr>
                <w:sz w:val="17"/>
              </w:rPr>
              <w:t>Conform visit count to 18; add a procedures-by-visit table; add an express statement identifying the investigational drug and placebo as experimental; describe calcitonin, PRO and antibody testing and specimen retention.</w:t>
            </w:r>
          </w:p>
        </w:tc>
      </w:tr>
      <w:tr>
        <w:tc>
          <w:tcPr>
            <w:tcW w:type="dxa" w:w="1152"/>
          </w:tcPr>
          <w:p>
            <w:r/>
            <w:r>
              <w:rPr>
                <w:sz w:val="17"/>
              </w:rPr>
              <w:t>50.25(a)(2)</w:t>
            </w:r>
          </w:p>
        </w:tc>
        <w:tc>
          <w:tcPr>
            <w:tcW w:type="dxa" w:w="2016"/>
          </w:tcPr>
          <w:p>
            <w:r/>
            <w:r>
              <w:rPr>
                <w:sz w:val="17"/>
              </w:rPr>
              <w:t>Reasonably foreseeable risks or discomforts</w:t>
            </w:r>
          </w:p>
        </w:tc>
        <w:tc>
          <w:tcPr>
            <w:tcW w:type="dxa" w:w="864"/>
          </w:tcPr>
          <w:p>
            <w:r/>
            <w:r>
              <w:rPr>
                <w:sz w:val="17"/>
              </w:rPr>
              <w:t>§4</w:t>
            </w:r>
          </w:p>
        </w:tc>
        <w:tc>
          <w:tcPr>
            <w:tcW w:type="dxa" w:w="4464"/>
          </w:tcPr>
          <w:p>
            <w:r/>
            <w:r>
              <w:rPr>
                <w:sz w:val="17"/>
              </w:rPr>
              <w:t>AE incidence tables track the Phase II data. Critical omission: no Boxed Warning disclosure of thyroid C-cell tumors and MTC in rodents, the unknown human relevance, the MTC/MEN 2 contraindication, or calcitonin monitoring. The protocol (§9.2) says this “must be prominently disclosed” under 50.25(a)(2). Other problems: (i) the placebo-risk paragraph says placebo subjects “will not receive active treatment for your diabetes,” which is inaccurate for the metformin-background stratum; (ii) the hypoglycemia text tells subjects on sulfonylureas their dose may be lowered, but the inclusion criteria permit only metformin or treatment-naive subjects; (iii) immunogenicity risk is not mentioned; (iv) it is unclear whether interim-analysis AE data (CIRB Stipulation 1) were incorporated, because the rates match the Phase II rates exactly and the checklist says the section was reviewed against Phase II data.</w:t>
            </w:r>
          </w:p>
        </w:tc>
        <w:tc>
          <w:tcPr>
            <w:tcW w:type="dxa" w:w="1440"/>
            <w:shd w:val="clear" w:color="auto" w:fill="F4CCCC"/>
          </w:tcPr>
          <w:p>
            <w:r/>
            <w:r>
              <w:rPr>
                <w:b/>
                <w:sz w:val="17"/>
              </w:rPr>
              <w:t>Non-compliant (Critical)</w:t>
            </w:r>
          </w:p>
        </w:tc>
        <w:tc>
          <w:tcPr>
            <w:tcW w:type="dxa" w:w="1296"/>
          </w:tcPr>
          <w:p>
            <w:r/>
            <w:r>
              <w:rPr>
                <w:sz w:val="17"/>
              </w:rPr>
              <w:t>Complete</w:t>
            </w:r>
          </w:p>
        </w:tc>
        <w:tc>
          <w:tcPr>
            <w:tcW w:type="dxa" w:w="2592"/>
          </w:tcPr>
          <w:p>
            <w:r/>
            <w:r>
              <w:rPr>
                <w:sz w:val="17"/>
              </w:rPr>
              <w:t>Insert a boxed, plain-language thyroid C-cell tumor warning near the start of the risk section and in a key-information summary; correct the placebo and sulfonylurea text; add immunogenicity; confirm against the Nov. 15, 2024 Interim Analysis Report and the cumulative AE summary through Dec. 31, 2024, and document the comparison.</w:t>
            </w:r>
          </w:p>
        </w:tc>
      </w:tr>
      <w:tr>
        <w:tc>
          <w:tcPr>
            <w:tcW w:type="dxa" w:w="1152"/>
          </w:tcPr>
          <w:p>
            <w:r/>
            <w:r>
              <w:rPr>
                <w:sz w:val="17"/>
              </w:rPr>
              <w:t>50.25(a)(3)</w:t>
            </w:r>
          </w:p>
        </w:tc>
        <w:tc>
          <w:tcPr>
            <w:tcW w:type="dxa" w:w="2016"/>
          </w:tcPr>
          <w:p>
            <w:r/>
            <w:r>
              <w:rPr>
                <w:sz w:val="17"/>
              </w:rPr>
              <w:t>Benefits to the subject or others reasonably expected</w:t>
            </w:r>
          </w:p>
        </w:tc>
        <w:tc>
          <w:tcPr>
            <w:tcW w:type="dxa" w:w="864"/>
          </w:tcPr>
          <w:p>
            <w:r/>
            <w:r>
              <w:rPr>
                <w:sz w:val="17"/>
              </w:rPr>
              <w:t>§5</w:t>
            </w:r>
          </w:p>
        </w:tc>
        <w:tc>
          <w:tcPr>
            <w:tcW w:type="dxa" w:w="4464"/>
          </w:tcPr>
          <w:p>
            <w:r/>
            <w:r>
              <w:rPr>
                <w:sz w:val="17"/>
              </w:rPr>
              <w:t>Adequate. Some promotional phrasing elsewhere (§2: “PNC-4187 is a medicine that helps your body control blood sugar”) risks therapeutic misconception.</w:t>
            </w:r>
          </w:p>
        </w:tc>
        <w:tc>
          <w:tcPr>
            <w:tcW w:type="dxa" w:w="1440"/>
            <w:shd w:val="clear" w:color="auto" w:fill="D9EAD3"/>
          </w:tcPr>
          <w:p>
            <w:r/>
            <w:r>
              <w:rPr>
                <w:b/>
                <w:sz w:val="17"/>
              </w:rPr>
              <w:t>Compliant (minor edit)</w:t>
            </w:r>
          </w:p>
        </w:tc>
        <w:tc>
          <w:tcPr>
            <w:tcW w:type="dxa" w:w="1296"/>
          </w:tcPr>
          <w:p>
            <w:r/>
            <w:r>
              <w:rPr>
                <w:sz w:val="17"/>
              </w:rPr>
              <w:t>Complete</w:t>
            </w:r>
          </w:p>
        </w:tc>
        <w:tc>
          <w:tcPr>
            <w:tcW w:type="dxa" w:w="2592"/>
          </w:tcPr>
          <w:p>
            <w:r/>
            <w:r>
              <w:rPr>
                <w:sz w:val="17"/>
              </w:rPr>
              <w:t>Change to “is an investigational drug designed to…”.</w:t>
            </w:r>
          </w:p>
        </w:tc>
      </w:tr>
      <w:tr>
        <w:tc>
          <w:tcPr>
            <w:tcW w:type="dxa" w:w="1152"/>
          </w:tcPr>
          <w:p>
            <w:r/>
            <w:r>
              <w:rPr>
                <w:sz w:val="17"/>
              </w:rPr>
              <w:t>50.25(a)(4)</w:t>
            </w:r>
          </w:p>
        </w:tc>
        <w:tc>
          <w:tcPr>
            <w:tcW w:type="dxa" w:w="2016"/>
          </w:tcPr>
          <w:p>
            <w:r/>
            <w:r>
              <w:rPr>
                <w:sz w:val="17"/>
              </w:rPr>
              <w:t>Appropriate alternative procedures or courses of treatment</w:t>
            </w:r>
          </w:p>
        </w:tc>
        <w:tc>
          <w:tcPr>
            <w:tcW w:type="dxa" w:w="864"/>
          </w:tcPr>
          <w:p>
            <w:r/>
            <w:r>
              <w:rPr>
                <w:sz w:val="17"/>
              </w:rPr>
              <w:t>None</w:t>
            </w:r>
          </w:p>
        </w:tc>
        <w:tc>
          <w:tcPr>
            <w:tcW w:type="dxa" w:w="4464"/>
          </w:tcPr>
          <w:p>
            <w:r/>
            <w:r>
              <w:rPr>
                <w:sz w:val="17"/>
              </w:rPr>
              <w:t>No alternatives disclosure anywhere in the ICF. The protocol (§5) contains the content and says it must be in the ICF.</w:t>
            </w:r>
          </w:p>
        </w:tc>
        <w:tc>
          <w:tcPr>
            <w:tcW w:type="dxa" w:w="1440"/>
            <w:shd w:val="clear" w:color="auto" w:fill="F4CCCC"/>
          </w:tcPr>
          <w:p>
            <w:r/>
            <w:r>
              <w:rPr>
                <w:b/>
                <w:sz w:val="17"/>
              </w:rPr>
              <w:t>Non-compliant (Critical)</w:t>
            </w:r>
          </w:p>
        </w:tc>
        <w:tc>
          <w:tcPr>
            <w:tcW w:type="dxa" w:w="1296"/>
          </w:tcPr>
          <w:p>
            <w:r/>
            <w:r>
              <w:rPr>
                <w:sz w:val="17"/>
              </w:rPr>
              <w:t>Complete (cites ICF §7, which is Confidentiality)</w:t>
            </w:r>
          </w:p>
        </w:tc>
        <w:tc>
          <w:tcPr>
            <w:tcW w:type="dxa" w:w="2592"/>
          </w:tcPr>
          <w:p>
            <w:r/>
            <w:r>
              <w:rPr>
                <w:sz w:val="17"/>
              </w:rPr>
              <w:t>Add an “Other Options” section covering metformin, insulin, SGLT-2 inhibitors, approved GLP-1 RAs and other approved agents, and the option of not participating.</w:t>
            </w:r>
          </w:p>
        </w:tc>
      </w:tr>
      <w:tr>
        <w:tc>
          <w:tcPr>
            <w:tcW w:type="dxa" w:w="1152"/>
          </w:tcPr>
          <w:p>
            <w:r/>
            <w:r>
              <w:rPr>
                <w:sz w:val="17"/>
              </w:rPr>
              <w:t>50.25(a)(5)</w:t>
            </w:r>
          </w:p>
        </w:tc>
        <w:tc>
          <w:tcPr>
            <w:tcW w:type="dxa" w:w="2016"/>
          </w:tcPr>
          <w:p>
            <w:r/>
            <w:r>
              <w:rPr>
                <w:sz w:val="17"/>
              </w:rPr>
              <w:t>Extent of confidentiality; possibility that FDA may inspect records</w:t>
            </w:r>
          </w:p>
        </w:tc>
        <w:tc>
          <w:tcPr>
            <w:tcW w:type="dxa" w:w="864"/>
          </w:tcPr>
          <w:p>
            <w:r/>
            <w:r>
              <w:rPr>
                <w:sz w:val="17"/>
              </w:rPr>
              <w:t>§7</w:t>
            </w:r>
          </w:p>
        </w:tc>
        <w:tc>
          <w:tcPr>
            <w:tcW w:type="dxa" w:w="4464"/>
          </w:tcPr>
          <w:p>
            <w:r/>
            <w:r>
              <w:rPr>
                <w:sz w:val="17"/>
              </w:rPr>
              <w:t>FDA inspection is disclosed, so the regulatory minimum is met. However, recipients are understated: Ridgeline, Brenton Analytics and Crescent Laboratories are not named, Ridgeline monitors’ record access (Protocol §15) is not disclosed, and record retention is not described. The checklist says the ICF references 21 CFR Part 11; it does not.</w:t>
            </w:r>
          </w:p>
        </w:tc>
        <w:tc>
          <w:tcPr>
            <w:tcW w:type="dxa" w:w="1440"/>
            <w:shd w:val="clear" w:color="auto" w:fill="FCE5CD"/>
          </w:tcPr>
          <w:p>
            <w:r/>
            <w:r>
              <w:rPr>
                <w:b/>
                <w:sz w:val="17"/>
              </w:rPr>
              <w:t>Partially compliant (High)</w:t>
            </w:r>
          </w:p>
        </w:tc>
        <w:tc>
          <w:tcPr>
            <w:tcW w:type="dxa" w:w="1296"/>
          </w:tcPr>
          <w:p>
            <w:r/>
            <w:r>
              <w:rPr>
                <w:sz w:val="17"/>
              </w:rPr>
              <w:t>Complete</w:t>
            </w:r>
          </w:p>
        </w:tc>
        <w:tc>
          <w:tcPr>
            <w:tcW w:type="dxa" w:w="2592"/>
          </w:tcPr>
          <w:p>
            <w:r/>
            <w:r>
              <w:rPr>
                <w:sz w:val="17"/>
              </w:rPr>
              <w:t>Name every recipient and its purpose; disclose Ridgeline’s product-development use and record access; describe retention.</w:t>
            </w:r>
          </w:p>
        </w:tc>
      </w:tr>
      <w:tr>
        <w:tc>
          <w:tcPr>
            <w:tcW w:type="dxa" w:w="1152"/>
          </w:tcPr>
          <w:p>
            <w:r/>
            <w:r>
              <w:rPr>
                <w:sz w:val="17"/>
              </w:rPr>
              <w:t>50.25(a)(6)</w:t>
            </w:r>
          </w:p>
        </w:tc>
        <w:tc>
          <w:tcPr>
            <w:tcW w:type="dxa" w:w="2016"/>
          </w:tcPr>
          <w:p>
            <w:r/>
            <w:r>
              <w:rPr>
                <w:sz w:val="17"/>
              </w:rPr>
              <w:t>More than minimal risk (CIRB so found): compensation and medical treatment available for injury, what they consist of, where to get more information</w:t>
            </w:r>
          </w:p>
        </w:tc>
        <w:tc>
          <w:tcPr>
            <w:tcW w:type="dxa" w:w="864"/>
          </w:tcPr>
          <w:p>
            <w:r/>
            <w:r>
              <w:rPr>
                <w:sz w:val="17"/>
              </w:rPr>
              <w:t>§9</w:t>
            </w:r>
          </w:p>
        </w:tc>
        <w:tc>
          <w:tcPr>
            <w:tcW w:type="dxa" w:w="4464"/>
          </w:tcPr>
          <w:p>
            <w:r/>
            <w:r>
              <w:rPr>
                <w:sz w:val="17"/>
              </w:rPr>
              <w:t>Says treatment will be “provided” but not who pays, whether the insurer will be billed, or how causation is decided. Inconsistent with Protocol §10.3, which says the cost is borne by Pinnacle for injuries “directly” resulting, as determined by the PI with the sponsor. The ICF’s “as a result of being in this study” is broader than the protocol and could be read as a promise Pinnacle has not made.</w:t>
            </w:r>
          </w:p>
        </w:tc>
        <w:tc>
          <w:tcPr>
            <w:tcW w:type="dxa" w:w="1440"/>
            <w:shd w:val="clear" w:color="auto" w:fill="FCE5CD"/>
          </w:tcPr>
          <w:p>
            <w:r/>
            <w:r>
              <w:rPr>
                <w:b/>
                <w:sz w:val="17"/>
              </w:rPr>
              <w:t>Non-compliant (High)</w:t>
            </w:r>
          </w:p>
        </w:tc>
        <w:tc>
          <w:tcPr>
            <w:tcW w:type="dxa" w:w="1296"/>
          </w:tcPr>
          <w:p>
            <w:r/>
            <w:r>
              <w:rPr>
                <w:sz w:val="17"/>
              </w:rPr>
              <w:t>Complete</w:t>
            </w:r>
          </w:p>
        </w:tc>
        <w:tc>
          <w:tcPr>
            <w:tcW w:type="dxa" w:w="2592"/>
          </w:tcPr>
          <w:p>
            <w:r/>
            <w:r>
              <w:rPr>
                <w:sz w:val="17"/>
              </w:rPr>
              <w:t>Restate the protocol commitment accurately: cost borne by Pinnacle, no billing to participant or insurer, scope, causation determination, no other compensation, and whom to contact.</w:t>
            </w:r>
          </w:p>
        </w:tc>
      </w:tr>
      <w:tr>
        <w:tc>
          <w:tcPr>
            <w:tcW w:type="dxa" w:w="1152"/>
          </w:tcPr>
          <w:p>
            <w:r/>
            <w:r>
              <w:rPr>
                <w:sz w:val="17"/>
              </w:rPr>
              <w:t>50.25(a)(7)</w:t>
            </w:r>
          </w:p>
        </w:tc>
        <w:tc>
          <w:tcPr>
            <w:tcW w:type="dxa" w:w="2016"/>
          </w:tcPr>
          <w:p>
            <w:r/>
            <w:r>
              <w:rPr>
                <w:sz w:val="17"/>
              </w:rPr>
              <w:t>Whom to contact for questions about the research, subjects’ rights, and research-related injury</w:t>
            </w:r>
          </w:p>
        </w:tc>
        <w:tc>
          <w:tcPr>
            <w:tcW w:type="dxa" w:w="864"/>
          </w:tcPr>
          <w:p>
            <w:r/>
            <w:r>
              <w:rPr>
                <w:sz w:val="17"/>
              </w:rPr>
              <w:t>§10</w:t>
            </w:r>
          </w:p>
        </w:tc>
        <w:tc>
          <w:tcPr>
            <w:tcW w:type="dxa" w:w="4464"/>
          </w:tcPr>
          <w:p>
            <w:r/>
            <w:r>
              <w:rPr>
                <w:sz w:val="17"/>
              </w:rPr>
              <w:t>PI, coordinator and 24-hour line are correct. The IRB telephone (704) 555-3829 is superseded; the current number is (704) 555-3920 (CIRB Stip. 2; letterhead; Protocol §§14.2, 16). The IRB email is missing. This is a repeat finding from CR#1 (Feb. 9, 2024).</w:t>
            </w:r>
          </w:p>
        </w:tc>
        <w:tc>
          <w:tcPr>
            <w:tcW w:type="dxa" w:w="1440"/>
            <w:shd w:val="clear" w:color="auto" w:fill="F4CCCC"/>
          </w:tcPr>
          <w:p>
            <w:r/>
            <w:r>
              <w:rPr>
                <w:b/>
                <w:sz w:val="17"/>
              </w:rPr>
              <w:t>Non-compliant (Critical)</w:t>
            </w:r>
          </w:p>
        </w:tc>
        <w:tc>
          <w:tcPr>
            <w:tcW w:type="dxa" w:w="1296"/>
          </w:tcPr>
          <w:p>
            <w:r/>
            <w:r>
              <w:rPr>
                <w:sz w:val="17"/>
              </w:rPr>
              <w:t>Complete; number “verified” (Items 7, 21)</w:t>
            </w:r>
          </w:p>
        </w:tc>
        <w:tc>
          <w:tcPr>
            <w:tcW w:type="dxa" w:w="2592"/>
          </w:tcPr>
          <w:p>
            <w:r/>
            <w:r>
              <w:rPr>
                <w:sz w:val="17"/>
              </w:rPr>
              <w:t>Correct the number, add the email, and issue an interim participant notice now, before v4.0, so current subjects have a working IRB contact.</w:t>
            </w:r>
          </w:p>
        </w:tc>
      </w:tr>
      <w:tr>
        <w:tc>
          <w:tcPr>
            <w:tcW w:type="dxa" w:w="1152"/>
          </w:tcPr>
          <w:p>
            <w:r/>
            <w:r>
              <w:rPr>
                <w:sz w:val="17"/>
              </w:rPr>
              <w:t>50.25(a)(8)</w:t>
            </w:r>
          </w:p>
        </w:tc>
        <w:tc>
          <w:tcPr>
            <w:tcW w:type="dxa" w:w="2016"/>
          </w:tcPr>
          <w:p>
            <w:r/>
            <w:r>
              <w:rPr>
                <w:sz w:val="17"/>
              </w:rPr>
              <w:t>Participation voluntary; refusal involves no penalty or loss of benefits; may discontinue at any time without penalty or loss of benefits</w:t>
            </w:r>
          </w:p>
        </w:tc>
        <w:tc>
          <w:tcPr>
            <w:tcW w:type="dxa" w:w="864"/>
          </w:tcPr>
          <w:p>
            <w:r/>
            <w:r>
              <w:rPr>
                <w:sz w:val="17"/>
              </w:rPr>
              <w:t>§§1, 8</w:t>
            </w:r>
          </w:p>
        </w:tc>
        <w:tc>
          <w:tcPr>
            <w:tcW w:type="dxa" w:w="4464"/>
          </w:tcPr>
          <w:p>
            <w:r/>
            <w:r>
              <w:rPr>
                <w:sz w:val="17"/>
              </w:rPr>
              <w:t>The ICF says the decision is “entirely up to you,” that the subject may withdraw at any time, and that withdrawal will not affect care at Pinnacle. It never states the “no penalty or loss of benefits to which the subject is otherwise entitled” elements for either refusal or discontinuation.</w:t>
            </w:r>
          </w:p>
        </w:tc>
        <w:tc>
          <w:tcPr>
            <w:tcW w:type="dxa" w:w="1440"/>
            <w:shd w:val="clear" w:color="auto" w:fill="FCE5CD"/>
          </w:tcPr>
          <w:p>
            <w:r/>
            <w:r>
              <w:rPr>
                <w:b/>
                <w:sz w:val="17"/>
              </w:rPr>
              <w:t>Non-compliant (High)</w:t>
            </w:r>
          </w:p>
        </w:tc>
        <w:tc>
          <w:tcPr>
            <w:tcW w:type="dxa" w:w="1296"/>
          </w:tcPr>
          <w:p>
            <w:r/>
            <w:r>
              <w:rPr>
                <w:sz w:val="17"/>
              </w:rPr>
              <w:t>Complete</w:t>
            </w:r>
          </w:p>
        </w:tc>
        <w:tc>
          <w:tcPr>
            <w:tcW w:type="dxa" w:w="2592"/>
          </w:tcPr>
          <w:p>
            <w:r/>
            <w:r>
              <w:rPr>
                <w:sz w:val="17"/>
              </w:rPr>
              <w:t>Insert the regulatory language (it appears verbatim in Protocol §12.1).</w:t>
            </w:r>
          </w:p>
        </w:tc>
      </w:tr>
      <w:tr>
        <w:tc>
          <w:tcPr>
            <w:tcW w:type="dxa" w:w="1152"/>
          </w:tcPr>
          <w:p>
            <w:r/>
            <w:r>
              <w:rPr>
                <w:sz w:val="17"/>
              </w:rPr>
              <w:t>50.25(b)(1)</w:t>
            </w:r>
          </w:p>
        </w:tc>
        <w:tc>
          <w:tcPr>
            <w:tcW w:type="dxa" w:w="2016"/>
          </w:tcPr>
          <w:p>
            <w:r/>
            <w:r>
              <w:rPr>
                <w:sz w:val="17"/>
              </w:rPr>
              <w:t>Risks currently unforeseeable, including to embryo/fetus if pregnant</w:t>
            </w:r>
          </w:p>
        </w:tc>
        <w:tc>
          <w:tcPr>
            <w:tcW w:type="dxa" w:w="864"/>
          </w:tcPr>
          <w:p>
            <w:r/>
            <w:r>
              <w:rPr>
                <w:sz w:val="17"/>
              </w:rPr>
              <w:t>§4</w:t>
            </w:r>
          </w:p>
        </w:tc>
        <w:tc>
          <w:tcPr>
            <w:tcW w:type="dxa" w:w="4464"/>
          </w:tcPr>
          <w:p>
            <w:r/>
            <w:r>
              <w:rPr>
                <w:sz w:val="17"/>
              </w:rPr>
              <w:t>Unknown-risks and pregnancy statements are present. Contraception standard (“effective”) is weaker than the protocol’s (“highly effective”). Breastfeeding is not addressed.</w:t>
            </w:r>
          </w:p>
        </w:tc>
        <w:tc>
          <w:tcPr>
            <w:tcW w:type="dxa" w:w="1440"/>
            <w:shd w:val="clear" w:color="auto" w:fill="D9EAD3"/>
          </w:tcPr>
          <w:p>
            <w:r/>
            <w:r>
              <w:rPr>
                <w:b/>
                <w:sz w:val="17"/>
              </w:rPr>
              <w:t>Compliant (correct inconsistency)</w:t>
            </w:r>
          </w:p>
        </w:tc>
        <w:tc>
          <w:tcPr>
            <w:tcW w:type="dxa" w:w="1296"/>
          </w:tcPr>
          <w:p>
            <w:r/>
            <w:r>
              <w:rPr>
                <w:sz w:val="17"/>
              </w:rPr>
              <w:t>Complete</w:t>
            </w:r>
          </w:p>
        </w:tc>
        <w:tc>
          <w:tcPr>
            <w:tcW w:type="dxa" w:w="2592"/>
          </w:tcPr>
          <w:p>
            <w:r/>
            <w:r>
              <w:rPr>
                <w:sz w:val="17"/>
              </w:rPr>
              <w:t>Conform to “highly effective” contraception with examples; add breastfeeding exclusion.</w:t>
            </w:r>
          </w:p>
        </w:tc>
      </w:tr>
      <w:tr>
        <w:tc>
          <w:tcPr>
            <w:tcW w:type="dxa" w:w="1152"/>
          </w:tcPr>
          <w:p>
            <w:r/>
            <w:r>
              <w:rPr>
                <w:sz w:val="17"/>
              </w:rPr>
              <w:t>50.25(b)(2)</w:t>
            </w:r>
          </w:p>
        </w:tc>
        <w:tc>
          <w:tcPr>
            <w:tcW w:type="dxa" w:w="2016"/>
          </w:tcPr>
          <w:p>
            <w:r/>
            <w:r>
              <w:rPr>
                <w:sz w:val="17"/>
              </w:rPr>
              <w:t>Circumstances in which the investigator may terminate participation without consent</w:t>
            </w:r>
          </w:p>
        </w:tc>
        <w:tc>
          <w:tcPr>
            <w:tcW w:type="dxa" w:w="864"/>
          </w:tcPr>
          <w:p>
            <w:r/>
            <w:r>
              <w:rPr>
                <w:sz w:val="17"/>
              </w:rPr>
              <w:t>§8</w:t>
            </w:r>
          </w:p>
        </w:tc>
        <w:tc>
          <w:tcPr>
            <w:tcW w:type="dxa" w:w="4464"/>
          </w:tcPr>
          <w:p>
            <w:r/>
            <w:r>
              <w:rPr>
                <w:sz w:val="17"/>
              </w:rPr>
              <w:t>Present, but criterion 3 is narrower than the protocol (missed visits without contact, versus any protocol noncompliance on 3 or more consecutive visits), and eligibility violations are not mentioned.</w:t>
            </w:r>
          </w:p>
        </w:tc>
        <w:tc>
          <w:tcPr>
            <w:tcW w:type="dxa" w:w="1440"/>
            <w:shd w:val="clear" w:color="auto" w:fill="FFF2CC"/>
          </w:tcPr>
          <w:p>
            <w:r/>
            <w:r>
              <w:rPr>
                <w:b/>
                <w:sz w:val="17"/>
              </w:rPr>
              <w:t>Partially compliant (Medium)</w:t>
            </w:r>
          </w:p>
        </w:tc>
        <w:tc>
          <w:tcPr>
            <w:tcW w:type="dxa" w:w="1296"/>
          </w:tcPr>
          <w:p>
            <w:r/>
            <w:r>
              <w:rPr>
                <w:sz w:val="17"/>
              </w:rPr>
              <w:t>Complete (summarizes protocol text, not ICF)</w:t>
            </w:r>
          </w:p>
        </w:tc>
        <w:tc>
          <w:tcPr>
            <w:tcW w:type="dxa" w:w="2592"/>
          </w:tcPr>
          <w:p>
            <w:r/>
            <w:r>
              <w:rPr>
                <w:sz w:val="17"/>
              </w:rPr>
              <w:t>Conform to Protocol §12.2.</w:t>
            </w:r>
          </w:p>
        </w:tc>
      </w:tr>
      <w:tr>
        <w:tc>
          <w:tcPr>
            <w:tcW w:type="dxa" w:w="1152"/>
          </w:tcPr>
          <w:p>
            <w:r/>
            <w:r>
              <w:rPr>
                <w:sz w:val="17"/>
              </w:rPr>
              <w:t>50.25(b)(3)</w:t>
            </w:r>
          </w:p>
        </w:tc>
        <w:tc>
          <w:tcPr>
            <w:tcW w:type="dxa" w:w="2016"/>
          </w:tcPr>
          <w:p>
            <w:r/>
            <w:r>
              <w:rPr>
                <w:sz w:val="17"/>
              </w:rPr>
              <w:t>Additional costs to the subject</w:t>
            </w:r>
          </w:p>
        </w:tc>
        <w:tc>
          <w:tcPr>
            <w:tcW w:type="dxa" w:w="864"/>
          </w:tcPr>
          <w:p>
            <w:r/>
            <w:r>
              <w:rPr>
                <w:sz w:val="17"/>
              </w:rPr>
              <w:t>§6</w:t>
            </w:r>
          </w:p>
        </w:tc>
        <w:tc>
          <w:tcPr>
            <w:tcW w:type="dxa" w:w="4464"/>
          </w:tcPr>
          <w:p>
            <w:r/>
            <w:r>
              <w:rPr>
                <w:sz w:val="17"/>
              </w:rPr>
              <w:t>Present (transportation, outside care).</w:t>
            </w:r>
          </w:p>
        </w:tc>
        <w:tc>
          <w:tcPr>
            <w:tcW w:type="dxa" w:w="1440"/>
            <w:shd w:val="clear" w:color="auto" w:fill="D9EAD3"/>
          </w:tcPr>
          <w:p>
            <w:r/>
            <w:r>
              <w:rPr>
                <w:b/>
                <w:sz w:val="17"/>
              </w:rPr>
              <w:t>Compliant</w:t>
            </w:r>
          </w:p>
        </w:tc>
        <w:tc>
          <w:tcPr>
            <w:tcW w:type="dxa" w:w="1296"/>
          </w:tcPr>
          <w:p>
            <w:r/>
            <w:r>
              <w:rPr>
                <w:sz w:val="17"/>
              </w:rPr>
              <w:t>Complete</w:t>
            </w:r>
          </w:p>
        </w:tc>
        <w:tc>
          <w:tcPr>
            <w:tcW w:type="dxa" w:w="2592"/>
          </w:tcPr>
          <w:p>
            <w:r/>
            <w:r>
              <w:rPr>
                <w:sz w:val="17"/>
              </w:rPr>
              <w:t>Add that the participant’s insurer will not be billed for research-only items.</w:t>
            </w:r>
          </w:p>
        </w:tc>
      </w:tr>
      <w:tr>
        <w:tc>
          <w:tcPr>
            <w:tcW w:type="dxa" w:w="1152"/>
          </w:tcPr>
          <w:p>
            <w:r/>
            <w:r>
              <w:rPr>
                <w:sz w:val="17"/>
              </w:rPr>
              <w:t>50.25(b)(4)</w:t>
            </w:r>
          </w:p>
        </w:tc>
        <w:tc>
          <w:tcPr>
            <w:tcW w:type="dxa" w:w="2016"/>
          </w:tcPr>
          <w:p>
            <w:r/>
            <w:r>
              <w:rPr>
                <w:sz w:val="17"/>
              </w:rPr>
              <w:t>Consequences of withdrawal; procedures for orderly termination</w:t>
            </w:r>
          </w:p>
        </w:tc>
        <w:tc>
          <w:tcPr>
            <w:tcW w:type="dxa" w:w="864"/>
          </w:tcPr>
          <w:p>
            <w:r/>
            <w:r>
              <w:rPr>
                <w:sz w:val="17"/>
              </w:rPr>
              <w:t>§8</w:t>
            </w:r>
          </w:p>
        </w:tc>
        <w:tc>
          <w:tcPr>
            <w:tcW w:type="dxa" w:w="4464"/>
          </w:tcPr>
          <w:p>
            <w:r/>
            <w:r>
              <w:rPr>
                <w:sz w:val="17"/>
              </w:rPr>
              <w:t>Final safety visit described. Missing: that data collected before withdrawal will be retained and used (FDA guidance on data retention, 2008); compensation for completed visits appears only in §6.</w:t>
            </w:r>
          </w:p>
        </w:tc>
        <w:tc>
          <w:tcPr>
            <w:tcW w:type="dxa" w:w="1440"/>
            <w:shd w:val="clear" w:color="auto" w:fill="FFF2CC"/>
          </w:tcPr>
          <w:p>
            <w:r/>
            <w:r>
              <w:rPr>
                <w:b/>
                <w:sz w:val="17"/>
              </w:rPr>
              <w:t>Partially compliant (Medium)</w:t>
            </w:r>
          </w:p>
        </w:tc>
        <w:tc>
          <w:tcPr>
            <w:tcW w:type="dxa" w:w="1296"/>
          </w:tcPr>
          <w:p>
            <w:r/>
            <w:r>
              <w:rPr>
                <w:sz w:val="17"/>
              </w:rPr>
              <w:t>Complete</w:t>
            </w:r>
          </w:p>
        </w:tc>
        <w:tc>
          <w:tcPr>
            <w:tcW w:type="dxa" w:w="2592"/>
          </w:tcPr>
          <w:p>
            <w:r/>
            <w:r>
              <w:rPr>
                <w:sz w:val="17"/>
              </w:rPr>
              <w:t>Add data-retention-on-withdrawal language and cross-reference compensation.</w:t>
            </w:r>
          </w:p>
        </w:tc>
      </w:tr>
      <w:tr>
        <w:tc>
          <w:tcPr>
            <w:tcW w:type="dxa" w:w="1152"/>
          </w:tcPr>
          <w:p>
            <w:r/>
            <w:r>
              <w:rPr>
                <w:sz w:val="17"/>
              </w:rPr>
              <w:t>50.25(b)(5)</w:t>
            </w:r>
          </w:p>
        </w:tc>
        <w:tc>
          <w:tcPr>
            <w:tcW w:type="dxa" w:w="2016"/>
          </w:tcPr>
          <w:p>
            <w:r/>
            <w:r>
              <w:rPr>
                <w:sz w:val="17"/>
              </w:rPr>
              <w:t>Significant new findings will be provided</w:t>
            </w:r>
          </w:p>
        </w:tc>
        <w:tc>
          <w:tcPr>
            <w:tcW w:type="dxa" w:w="864"/>
          </w:tcPr>
          <w:p>
            <w:r/>
            <w:r>
              <w:rPr>
                <w:sz w:val="17"/>
              </w:rPr>
              <w:t>§4 (Unknown Risks)</w:t>
            </w:r>
          </w:p>
        </w:tc>
        <w:tc>
          <w:tcPr>
            <w:tcW w:type="dxa" w:w="4464"/>
          </w:tcPr>
          <w:p>
            <w:r/>
            <w:r>
              <w:rPr>
                <w:sz w:val="17"/>
              </w:rPr>
              <w:t>Present in a single sentence.</w:t>
            </w:r>
          </w:p>
        </w:tc>
        <w:tc>
          <w:tcPr>
            <w:tcW w:type="dxa" w:w="1440"/>
            <w:shd w:val="clear" w:color="auto" w:fill="D9EAD3"/>
          </w:tcPr>
          <w:p>
            <w:r/>
            <w:r>
              <w:rPr>
                <w:b/>
                <w:sz w:val="17"/>
              </w:rPr>
              <w:t>Compliant</w:t>
            </w:r>
          </w:p>
        </w:tc>
        <w:tc>
          <w:tcPr>
            <w:tcW w:type="dxa" w:w="1296"/>
          </w:tcPr>
          <w:p>
            <w:r/>
            <w:r>
              <w:rPr>
                <w:sz w:val="17"/>
              </w:rPr>
              <w:t>Complete (cites §13, which does not exist)</w:t>
            </w:r>
          </w:p>
        </w:tc>
        <w:tc>
          <w:tcPr>
            <w:tcW w:type="dxa" w:w="2592"/>
          </w:tcPr>
          <w:p>
            <w:r/>
            <w:r>
              <w:rPr>
                <w:sz w:val="17"/>
              </w:rPr>
              <w:t>Consider a stand-alone heading.</w:t>
            </w:r>
          </w:p>
        </w:tc>
      </w:tr>
      <w:tr>
        <w:tc>
          <w:tcPr>
            <w:tcW w:type="dxa" w:w="1152"/>
          </w:tcPr>
          <w:p>
            <w:r/>
            <w:r>
              <w:rPr>
                <w:sz w:val="17"/>
              </w:rPr>
              <w:t>50.25(b)(6)</w:t>
            </w:r>
          </w:p>
        </w:tc>
        <w:tc>
          <w:tcPr>
            <w:tcW w:type="dxa" w:w="2016"/>
          </w:tcPr>
          <w:p>
            <w:r/>
            <w:r>
              <w:rPr>
                <w:sz w:val="17"/>
              </w:rPr>
              <w:t>Approximate number of subjects</w:t>
            </w:r>
          </w:p>
        </w:tc>
        <w:tc>
          <w:tcPr>
            <w:tcW w:type="dxa" w:w="864"/>
          </w:tcPr>
          <w:p>
            <w:r/>
            <w:r>
              <w:rPr>
                <w:sz w:val="17"/>
              </w:rPr>
              <w:t>§2</w:t>
            </w:r>
          </w:p>
        </w:tc>
        <w:tc>
          <w:tcPr>
            <w:tcW w:type="dxa" w:w="4464"/>
          </w:tcPr>
          <w:p>
            <w:r/>
            <w:r>
              <w:rPr>
                <w:sz w:val="17"/>
              </w:rPr>
              <w:t>500 at 6 sites. The “412 enrolled so far” figure will go stale.</w:t>
            </w:r>
          </w:p>
        </w:tc>
        <w:tc>
          <w:tcPr>
            <w:tcW w:type="dxa" w:w="1440"/>
            <w:shd w:val="clear" w:color="auto" w:fill="D9EAD3"/>
          </w:tcPr>
          <w:p>
            <w:r/>
            <w:r>
              <w:rPr>
                <w:b/>
                <w:sz w:val="17"/>
              </w:rPr>
              <w:t>Compliant</w:t>
            </w:r>
          </w:p>
        </w:tc>
        <w:tc>
          <w:tcPr>
            <w:tcW w:type="dxa" w:w="1296"/>
          </w:tcPr>
          <w:p>
            <w:r/>
            <w:r>
              <w:rPr>
                <w:sz w:val="17"/>
              </w:rPr>
              <w:t>Complete (cites §1)</w:t>
            </w:r>
          </w:p>
        </w:tc>
        <w:tc>
          <w:tcPr>
            <w:tcW w:type="dxa" w:w="2592"/>
          </w:tcPr>
          <w:p>
            <w:r/>
            <w:r>
              <w:rPr>
                <w:sz w:val="17"/>
              </w:rPr>
              <w:t>Delete the running enrollment count.</w:t>
            </w:r>
          </w:p>
        </w:tc>
      </w:tr>
      <w:tr>
        <w:tc>
          <w:tcPr>
            <w:tcW w:type="dxa" w:w="1152"/>
          </w:tcPr>
          <w:p>
            <w:r/>
            <w:r>
              <w:rPr>
                <w:sz w:val="17"/>
              </w:rPr>
              <w:t>50.25(c)</w:t>
            </w:r>
          </w:p>
        </w:tc>
        <w:tc>
          <w:tcPr>
            <w:tcW w:type="dxa" w:w="2016"/>
          </w:tcPr>
          <w:p>
            <w:r/>
            <w:r>
              <w:rPr>
                <w:sz w:val="17"/>
              </w:rPr>
              <w:t>Verbatim ClinicalTrials.gov statement for applicable clinical trials</w:t>
            </w:r>
          </w:p>
        </w:tc>
        <w:tc>
          <w:tcPr>
            <w:tcW w:type="dxa" w:w="864"/>
          </w:tcPr>
          <w:p>
            <w:r/>
            <w:r>
              <w:rPr>
                <w:sz w:val="17"/>
              </w:rPr>
              <w:t>None</w:t>
            </w:r>
          </w:p>
        </w:tc>
        <w:tc>
          <w:tcPr>
            <w:tcW w:type="dxa" w:w="4464"/>
          </w:tcPr>
          <w:p>
            <w:r/>
            <w:r>
              <w:rPr>
                <w:sz w:val="17"/>
              </w:rPr>
              <w:t>Absent. The study is registered (NCT05234817) and is an applicable clinical trial under 42 U.S.C. 282(j).</w:t>
            </w:r>
          </w:p>
        </w:tc>
        <w:tc>
          <w:tcPr>
            <w:tcW w:type="dxa" w:w="1440"/>
            <w:shd w:val="clear" w:color="auto" w:fill="FCE5CD"/>
          </w:tcPr>
          <w:p>
            <w:r/>
            <w:r>
              <w:rPr>
                <w:b/>
                <w:sz w:val="17"/>
              </w:rPr>
              <w:t>Non-compliant (High)</w:t>
            </w:r>
          </w:p>
        </w:tc>
        <w:tc>
          <w:tcPr>
            <w:tcW w:type="dxa" w:w="1296"/>
          </w:tcPr>
          <w:p>
            <w:r/>
            <w:r>
              <w:rPr>
                <w:sz w:val="17"/>
              </w:rPr>
              <w:t>Not assessed</w:t>
            </w:r>
          </w:p>
        </w:tc>
        <w:tc>
          <w:tcPr>
            <w:tcW w:type="dxa" w:w="2592"/>
          </w:tcPr>
          <w:p>
            <w:r/>
            <w:r>
              <w:rPr>
                <w:sz w:val="17"/>
              </w:rPr>
              <w:t>Insert the exact statement required by 50.25(c).</w:t>
            </w:r>
          </w:p>
        </w:tc>
      </w:tr>
      <w:tr>
        <w:tc>
          <w:tcPr>
            <w:tcW w:type="dxa" w:w="1152"/>
          </w:tcPr>
          <w:p>
            <w:r/>
            <w:r>
              <w:rPr>
                <w:sz w:val="17"/>
              </w:rPr>
              <w:t>50.27(a)</w:t>
            </w:r>
          </w:p>
        </w:tc>
        <w:tc>
          <w:tcPr>
            <w:tcW w:type="dxa" w:w="2016"/>
          </w:tcPr>
          <w:p>
            <w:r/>
            <w:r>
              <w:rPr>
                <w:sz w:val="17"/>
              </w:rPr>
              <w:t>Written consent signed and dated by subject or LAR; copy to subject</w:t>
            </w:r>
          </w:p>
        </w:tc>
        <w:tc>
          <w:tcPr>
            <w:tcW w:type="dxa" w:w="864"/>
          </w:tcPr>
          <w:p>
            <w:r/>
            <w:r>
              <w:rPr>
                <w:sz w:val="17"/>
              </w:rPr>
              <w:t>§§1, 11</w:t>
            </w:r>
          </w:p>
        </w:tc>
        <w:tc>
          <w:tcPr>
            <w:tcW w:type="dxa" w:w="4464"/>
          </w:tcPr>
          <w:p>
            <w:r/>
            <w:r>
              <w:rPr>
                <w:sz w:val="17"/>
              </w:rPr>
              <w:t>Signature and date lines and the copy statement are present. The LAR block conflicts with inclusion criterion 6 (subject must personally consent); the witness block is appropriate for 50.27(b)(1)-(2) use.</w:t>
            </w:r>
          </w:p>
        </w:tc>
        <w:tc>
          <w:tcPr>
            <w:tcW w:type="dxa" w:w="1440"/>
            <w:shd w:val="clear" w:color="auto" w:fill="D9EAD3"/>
          </w:tcPr>
          <w:p>
            <w:r/>
            <w:r>
              <w:rPr>
                <w:b/>
                <w:sz w:val="17"/>
              </w:rPr>
              <w:t>Compliant (clarify LAR)</w:t>
            </w:r>
          </w:p>
        </w:tc>
        <w:tc>
          <w:tcPr>
            <w:tcW w:type="dxa" w:w="1296"/>
          </w:tcPr>
          <w:p>
            <w:r/>
            <w:r>
              <w:rPr>
                <w:sz w:val="17"/>
              </w:rPr>
              <w:t>Complete</w:t>
            </w:r>
          </w:p>
        </w:tc>
        <w:tc>
          <w:tcPr>
            <w:tcW w:type="dxa" w:w="2592"/>
          </w:tcPr>
          <w:p>
            <w:r/>
            <w:r>
              <w:rPr>
                <w:sz w:val="17"/>
              </w:rPr>
              <w:t>Remove the LAR block or obtain a protocol/IRB determination permitting LAR consent.</w:t>
            </w:r>
          </w:p>
        </w:tc>
      </w:tr>
      <w:tr>
        <w:tc>
          <w:tcPr>
            <w:tcW w:type="dxa" w:w="1152"/>
          </w:tcPr>
          <w:p>
            <w:r/>
            <w:r>
              <w:rPr>
                <w:sz w:val="17"/>
              </w:rPr>
              <w:t>50.20</w:t>
            </w:r>
          </w:p>
        </w:tc>
        <w:tc>
          <w:tcPr>
            <w:tcW w:type="dxa" w:w="2016"/>
          </w:tcPr>
          <w:p>
            <w:r/>
            <w:r>
              <w:rPr>
                <w:sz w:val="17"/>
              </w:rPr>
              <w:t>No exculpatory language; understandable language; minimized coercion</w:t>
            </w:r>
          </w:p>
        </w:tc>
        <w:tc>
          <w:tcPr>
            <w:tcW w:type="dxa" w:w="864"/>
          </w:tcPr>
          <w:p>
            <w:r/>
            <w:r>
              <w:rPr>
                <w:sz w:val="17"/>
              </w:rPr>
              <w:t>Throughout</w:t>
            </w:r>
          </w:p>
        </w:tc>
        <w:tc>
          <w:tcPr>
            <w:tcW w:type="dxa" w:w="4464"/>
          </w:tcPr>
          <w:p>
            <w:r/>
            <w:r>
              <w:rPr>
                <w:sz w:val="17"/>
              </w:rPr>
              <w:t>No exculpatory language (§9 preserves legal rights). Reading level is generally acceptable.</w:t>
            </w:r>
          </w:p>
        </w:tc>
        <w:tc>
          <w:tcPr>
            <w:tcW w:type="dxa" w:w="1440"/>
            <w:shd w:val="clear" w:color="auto" w:fill="D9EAD3"/>
          </w:tcPr>
          <w:p>
            <w:r/>
            <w:r>
              <w:rPr>
                <w:b/>
                <w:sz w:val="17"/>
              </w:rPr>
              <w:t>Compliant</w:t>
            </w:r>
          </w:p>
        </w:tc>
        <w:tc>
          <w:tcPr>
            <w:tcW w:type="dxa" w:w="1296"/>
          </w:tcPr>
          <w:p>
            <w:r/>
            <w:r>
              <w:rPr>
                <w:sz w:val="17"/>
              </w:rPr>
              <w:t>-</w:t>
            </w:r>
          </w:p>
        </w:tc>
        <w:tc>
          <w:tcPr>
            <w:tcW w:type="dxa" w:w="2592"/>
          </w:tcPr>
          <w:p>
            <w:r/>
            <w:r>
              <w:rPr>
                <w:sz w:val="17"/>
              </w:rPr>
              <w:t>-</w:t>
            </w:r>
          </w:p>
        </w:tc>
      </w:tr>
      <w:tr>
        <w:tc>
          <w:tcPr>
            <w:tcW w:type="dxa" w:w="1152"/>
          </w:tcPr>
          <w:p>
            <w:r/>
            <w:r>
              <w:rPr>
                <w:sz w:val="17"/>
              </w:rPr>
              <w:t>45 CFR 46.116 (Common Rule, per Protocol §14.1)</w:t>
            </w:r>
          </w:p>
        </w:tc>
        <w:tc>
          <w:tcPr>
            <w:tcW w:type="dxa" w:w="2016"/>
          </w:tcPr>
          <w:p>
            <w:r/>
            <w:r>
              <w:rPr>
                <w:sz w:val="17"/>
              </w:rPr>
              <w:t>Concise key-information summary first (46.116(a)(5)(i)); identifiable data/biospecimen future-use statement (b)(9); commercial profit (c)(7); return of clinically relevant results (c)(8); whole genome sequencing (c)(9)</w:t>
            </w:r>
          </w:p>
        </w:tc>
        <w:tc>
          <w:tcPr>
            <w:tcW w:type="dxa" w:w="864"/>
          </w:tcPr>
          <w:p>
            <w:r/>
            <w:r>
              <w:rPr>
                <w:sz w:val="17"/>
              </w:rPr>
              <w:t>§§3, 7</w:t>
            </w:r>
          </w:p>
        </w:tc>
        <w:tc>
          <w:tcPr>
            <w:tcW w:type="dxa" w:w="4464"/>
          </w:tcPr>
          <w:p>
            <w:r/>
            <w:r>
              <w:rPr>
                <w:sz w:val="17"/>
              </w:rPr>
              <w:t>No key-information summary. No commercial-profit statement, although Ridgeline will use data for product development. Residual specimen storage and future-use consent (Protocol §11) are not described. Return of results is partly addressed. Note: whether the Common Rule applies turns on federal conduct or support of this study, not just on Pinnacle receiving federal funding; the protocol takes the position that it applies.</w:t>
            </w:r>
          </w:p>
        </w:tc>
        <w:tc>
          <w:tcPr>
            <w:tcW w:type="dxa" w:w="1440"/>
            <w:shd w:val="clear" w:color="auto" w:fill="FCE5CD"/>
          </w:tcPr>
          <w:p>
            <w:r/>
            <w:r>
              <w:rPr>
                <w:b/>
                <w:sz w:val="17"/>
              </w:rPr>
              <w:t>Non-compliant (as represented in protocol)</w:t>
            </w:r>
          </w:p>
        </w:tc>
        <w:tc>
          <w:tcPr>
            <w:tcW w:type="dxa" w:w="1296"/>
          </w:tcPr>
          <w:p>
            <w:r/>
            <w:r>
              <w:rPr>
                <w:sz w:val="17"/>
              </w:rPr>
              <w:t>Item 16 Complete</w:t>
            </w:r>
          </w:p>
        </w:tc>
        <w:tc>
          <w:tcPr>
            <w:tcW w:type="dxa" w:w="2592"/>
          </w:tcPr>
          <w:p>
            <w:r/>
            <w:r>
              <w:rPr>
                <w:sz w:val="17"/>
              </w:rPr>
              <w:t>Add a key-information page; commercial-profit statement; specimen and future-use disclosures; optional separate consent for future specimen use; confirm the regulatory basis for Common Rule applicability.</w:t>
            </w:r>
          </w:p>
        </w:tc>
      </w:tr>
      <w:tr>
        <w:tc>
          <w:tcPr>
            <w:tcW w:type="dxa" w:w="1152"/>
          </w:tcPr>
          <w:p>
            <w:r/>
            <w:r>
              <w:rPr>
                <w:sz w:val="17"/>
              </w:rPr>
              <w:t>45 CFR 164.508</w:t>
            </w:r>
          </w:p>
        </w:tc>
        <w:tc>
          <w:tcPr>
            <w:tcW w:type="dxa" w:w="2016"/>
          </w:tcPr>
          <w:p>
            <w:r/>
            <w:r>
              <w:rPr>
                <w:sz w:val="17"/>
              </w:rPr>
              <w:t>HIPAA authorization core elements and required statements</w:t>
            </w:r>
          </w:p>
        </w:tc>
        <w:tc>
          <w:tcPr>
            <w:tcW w:type="dxa" w:w="864"/>
          </w:tcPr>
          <w:p>
            <w:r/>
            <w:r>
              <w:rPr>
                <w:sz w:val="17"/>
              </w:rPr>
              <w:t>§§7, 11</w:t>
            </w:r>
          </w:p>
        </w:tc>
        <w:tc>
          <w:tcPr>
            <w:tcW w:type="dxa" w:w="4464"/>
          </w:tcPr>
          <w:p>
            <w:r/>
            <w:r>
              <w:rPr>
                <w:sz w:val="17"/>
              </w:rPr>
              <w:t>Section 7 only refers to HIPAA. It lacks a description of the PHI, the persons authorized to use and receive it, the purpose, an expiration date or event, the right to revoke and how, the redisclosure notice, and conditioning statements.</w:t>
            </w:r>
          </w:p>
        </w:tc>
        <w:tc>
          <w:tcPr>
            <w:tcW w:type="dxa" w:w="1440"/>
            <w:shd w:val="clear" w:color="auto" w:fill="FCE5CD"/>
          </w:tcPr>
          <w:p>
            <w:r/>
            <w:r>
              <w:rPr>
                <w:b/>
                <w:sz w:val="17"/>
              </w:rPr>
              <w:t>Non-compliant (High)</w:t>
            </w:r>
          </w:p>
        </w:tc>
        <w:tc>
          <w:tcPr>
            <w:tcW w:type="dxa" w:w="1296"/>
          </w:tcPr>
          <w:p>
            <w:r/>
            <w:r>
              <w:rPr>
                <w:sz w:val="17"/>
              </w:rPr>
              <w:t>Item 15 and Reg. Files Item 18 Complete</w:t>
            </w:r>
          </w:p>
        </w:tc>
        <w:tc>
          <w:tcPr>
            <w:tcW w:type="dxa" w:w="2592"/>
          </w:tcPr>
          <w:p>
            <w:r/>
            <w:r>
              <w:rPr>
                <w:sz w:val="17"/>
              </w:rPr>
              <w:t>Execute a stand-alone HIPAA authorization or integrate all 164.508(c) elements; obtain it from all current subjects.</w:t>
            </w:r>
          </w:p>
        </w:tc>
      </w:tr>
    </w:tbl>
    <w:p/>
    <w:p>
      <w:r>
        <w:t>Tally: of the eight 50.25(a) basic elements, five are non-compliant ((a)(2), (a)(4), (a)(6), (a)(7), (a)(8)), two are partially compliant ((a)(1), (a)(5)) and one is compliant ((a)(3)). 50.25(c) is non-compliant. The site checklist rates all of them Complete.</w:t>
      </w:r>
    </w:p>
    <w:p>
      <w:pPr>
        <w:pStyle w:val="Heading1"/>
      </w:pPr>
      <w:r>
        <w:rPr>
          <w:color w:val="1F3864"/>
        </w:rPr>
        <w:t>Part III. Cross-Document Discrepancy Register</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648"/>
            <w:shd w:val="clear" w:color="auto" w:fill="1F3864"/>
          </w:tcPr>
          <w:p>
            <w:r/>
            <w:r>
              <w:rPr>
                <w:b/>
                <w:color w:val="FFFFFF"/>
                <w:sz w:val="18"/>
              </w:rPr>
              <w:t>No.</w:t>
            </w:r>
          </w:p>
        </w:tc>
        <w:tc>
          <w:tcPr>
            <w:tcW w:type="dxa" w:w="1728"/>
            <w:shd w:val="clear" w:color="auto" w:fill="1F3864"/>
          </w:tcPr>
          <w:p>
            <w:r/>
            <w:r>
              <w:rPr>
                <w:b/>
                <w:color w:val="FFFFFF"/>
                <w:sz w:val="18"/>
              </w:rPr>
              <w:t>Issue</w:t>
            </w:r>
          </w:p>
        </w:tc>
        <w:tc>
          <w:tcPr>
            <w:tcW w:type="dxa" w:w="2304"/>
            <w:shd w:val="clear" w:color="auto" w:fill="1F3864"/>
          </w:tcPr>
          <w:p>
            <w:r/>
            <w:r>
              <w:rPr>
                <w:b/>
                <w:color w:val="FFFFFF"/>
                <w:sz w:val="18"/>
              </w:rPr>
              <w:t>Sources compared</w:t>
            </w:r>
          </w:p>
        </w:tc>
        <w:tc>
          <w:tcPr>
            <w:tcW w:type="dxa" w:w="5040"/>
            <w:shd w:val="clear" w:color="auto" w:fill="1F3864"/>
          </w:tcPr>
          <w:p>
            <w:r/>
            <w:r>
              <w:rPr>
                <w:b/>
                <w:color w:val="FFFFFF"/>
                <w:sz w:val="18"/>
              </w:rPr>
              <w:t>Detail</w:t>
            </w:r>
          </w:p>
        </w:tc>
        <w:tc>
          <w:tcPr>
            <w:tcW w:type="dxa" w:w="1080"/>
            <w:shd w:val="clear" w:color="auto" w:fill="1F3864"/>
          </w:tcPr>
          <w:p>
            <w:r/>
            <w:r>
              <w:rPr>
                <w:b/>
                <w:color w:val="FFFFFF"/>
                <w:sz w:val="18"/>
              </w:rPr>
              <w:t>Severity</w:t>
            </w:r>
          </w:p>
        </w:tc>
        <w:tc>
          <w:tcPr>
            <w:tcW w:type="dxa" w:w="3024"/>
            <w:shd w:val="clear" w:color="auto" w:fill="1F3864"/>
          </w:tcPr>
          <w:p>
            <w:r/>
            <w:r>
              <w:rPr>
                <w:b/>
                <w:color w:val="FFFFFF"/>
                <w:sz w:val="18"/>
              </w:rPr>
              <w:t>Recommended action</w:t>
            </w:r>
          </w:p>
        </w:tc>
      </w:tr>
      <w:tr>
        <w:tc>
          <w:tcPr>
            <w:tcW w:type="dxa" w:w="648"/>
          </w:tcPr>
          <w:p>
            <w:r/>
            <w:r>
              <w:rPr>
                <w:sz w:val="17"/>
              </w:rPr>
              <w:t>D-1</w:t>
            </w:r>
          </w:p>
        </w:tc>
        <w:tc>
          <w:tcPr>
            <w:tcW w:type="dxa" w:w="1728"/>
          </w:tcPr>
          <w:p>
            <w:r/>
            <w:r>
              <w:rPr>
                <w:sz w:val="17"/>
              </w:rPr>
              <w:t>CIRB telephone number</w:t>
            </w:r>
          </w:p>
        </w:tc>
        <w:tc>
          <w:tcPr>
            <w:tcW w:type="dxa" w:w="2304"/>
          </w:tcPr>
          <w:p>
            <w:r/>
            <w:r>
              <w:rPr>
                <w:sz w:val="17"/>
              </w:rPr>
              <w:t>ICF §10 vs. IRB letter Stip. 2 and letterhead; Protocol §§14.2, 16; Checklist Items 7, 21</w:t>
            </w:r>
          </w:p>
        </w:tc>
        <w:tc>
          <w:tcPr>
            <w:tcW w:type="dxa" w:w="5040"/>
          </w:tcPr>
          <w:p>
            <w:r/>
            <w:r>
              <w:rPr>
                <w:sz w:val="17"/>
              </w:rPr>
              <w:t>ICF: (704) 555-3829. All CIRB sources: (704) 555-3920. Repeats a CR#1 stipulation (Feb. 9, 2024). The checklist records the obsolete number as verified against the site directory, so the site directory itself may also be wrong.</w:t>
            </w:r>
          </w:p>
        </w:tc>
        <w:tc>
          <w:tcPr>
            <w:tcW w:type="dxa" w:w="1080"/>
            <w:shd w:val="clear" w:color="auto" w:fill="F4CCCC"/>
          </w:tcPr>
          <w:p>
            <w:r/>
            <w:r>
              <w:rPr>
                <w:b/>
                <w:sz w:val="17"/>
              </w:rPr>
              <w:t>Critical</w:t>
            </w:r>
          </w:p>
        </w:tc>
        <w:tc>
          <w:tcPr>
            <w:tcW w:type="dxa" w:w="3024"/>
          </w:tcPr>
          <w:p>
            <w:r/>
            <w:r>
              <w:rPr>
                <w:sz w:val="17"/>
              </w:rPr>
              <w:t>Correct in v4.0; send an interim notice to all active subjects; correct the site directory; disclose to CIRB.</w:t>
            </w:r>
          </w:p>
        </w:tc>
      </w:tr>
      <w:tr>
        <w:tc>
          <w:tcPr>
            <w:tcW w:type="dxa" w:w="648"/>
          </w:tcPr>
          <w:p>
            <w:r/>
            <w:r>
              <w:rPr>
                <w:sz w:val="17"/>
              </w:rPr>
              <w:t>D-2</w:t>
            </w:r>
          </w:p>
        </w:tc>
        <w:tc>
          <w:tcPr>
            <w:tcW w:type="dxa" w:w="1728"/>
          </w:tcPr>
          <w:p>
            <w:r/>
            <w:r>
              <w:rPr>
                <w:sz w:val="17"/>
              </w:rPr>
              <w:t>Thyroid C-cell tumor Boxed Warning</w:t>
            </w:r>
          </w:p>
        </w:tc>
        <w:tc>
          <w:tcPr>
            <w:tcW w:type="dxa" w:w="2304"/>
          </w:tcPr>
          <w:p>
            <w:r/>
            <w:r>
              <w:rPr>
                <w:sz w:val="17"/>
              </w:rPr>
              <w:t>ICF §4 vs. Protocol §§4.2, 9.1, 9.2; Reg. Files Item 8 (IB Ed. 4)</w:t>
            </w:r>
          </w:p>
        </w:tc>
        <w:tc>
          <w:tcPr>
            <w:tcW w:type="dxa" w:w="5040"/>
          </w:tcPr>
          <w:p>
            <w:r/>
            <w:r>
              <w:rPr>
                <w:sz w:val="17"/>
              </w:rPr>
              <w:t>The protocol requires prominent disclosure and excludes MTC/MEN 2 subjects. The ICF presents only “thyroid problems (rare)” as a human side effect and does not mention the rodent carcinogenicity findings, the contraindication or calcitonin monitoring.</w:t>
            </w:r>
          </w:p>
        </w:tc>
        <w:tc>
          <w:tcPr>
            <w:tcW w:type="dxa" w:w="1080"/>
            <w:shd w:val="clear" w:color="auto" w:fill="F4CCCC"/>
          </w:tcPr>
          <w:p>
            <w:r/>
            <w:r>
              <w:rPr>
                <w:b/>
                <w:sz w:val="17"/>
              </w:rPr>
              <w:t>Critical</w:t>
            </w:r>
          </w:p>
        </w:tc>
        <w:tc>
          <w:tcPr>
            <w:tcW w:type="dxa" w:w="3024"/>
          </w:tcPr>
          <w:p>
            <w:r/>
            <w:r>
              <w:rPr>
                <w:sz w:val="17"/>
              </w:rPr>
              <w:t>Add the warning; assess whether subjects consented on v1.0-v3.0 must be re-informed immediately as a significant new finding.</w:t>
            </w:r>
          </w:p>
        </w:tc>
      </w:tr>
      <w:tr>
        <w:tc>
          <w:tcPr>
            <w:tcW w:type="dxa" w:w="648"/>
          </w:tcPr>
          <w:p>
            <w:r/>
            <w:r>
              <w:rPr>
                <w:sz w:val="17"/>
              </w:rPr>
              <w:t>D-3</w:t>
            </w:r>
          </w:p>
        </w:tc>
        <w:tc>
          <w:tcPr>
            <w:tcW w:type="dxa" w:w="1728"/>
          </w:tcPr>
          <w:p>
            <w:r/>
            <w:r>
              <w:rPr>
                <w:sz w:val="17"/>
              </w:rPr>
              <w:t>Alternative treatments</w:t>
            </w:r>
          </w:p>
        </w:tc>
        <w:tc>
          <w:tcPr>
            <w:tcW w:type="dxa" w:w="2304"/>
          </w:tcPr>
          <w:p>
            <w:r/>
            <w:r>
              <w:rPr>
                <w:sz w:val="17"/>
              </w:rPr>
              <w:t>ICF (absent) vs. Protocol §5</w:t>
            </w:r>
          </w:p>
        </w:tc>
        <w:tc>
          <w:tcPr>
            <w:tcW w:type="dxa" w:w="5040"/>
          </w:tcPr>
          <w:p>
            <w:r/>
            <w:r>
              <w:rPr>
                <w:sz w:val="17"/>
              </w:rPr>
              <w:t>The protocol lists alternatives and says 50.25(a)(4) requires them in the ICF. The ICF is silent.</w:t>
            </w:r>
          </w:p>
        </w:tc>
        <w:tc>
          <w:tcPr>
            <w:tcW w:type="dxa" w:w="1080"/>
            <w:shd w:val="clear" w:color="auto" w:fill="F4CCCC"/>
          </w:tcPr>
          <w:p>
            <w:r/>
            <w:r>
              <w:rPr>
                <w:b/>
                <w:sz w:val="17"/>
              </w:rPr>
              <w:t>Critical</w:t>
            </w:r>
          </w:p>
        </w:tc>
        <w:tc>
          <w:tcPr>
            <w:tcW w:type="dxa" w:w="3024"/>
          </w:tcPr>
          <w:p>
            <w:r/>
            <w:r>
              <w:rPr>
                <w:sz w:val="17"/>
              </w:rPr>
              <w:t>Add an alternatives section.</w:t>
            </w:r>
          </w:p>
        </w:tc>
      </w:tr>
      <w:tr>
        <w:tc>
          <w:tcPr>
            <w:tcW w:type="dxa" w:w="648"/>
          </w:tcPr>
          <w:p>
            <w:r/>
            <w:r>
              <w:rPr>
                <w:sz w:val="17"/>
              </w:rPr>
              <w:t>D-4</w:t>
            </w:r>
          </w:p>
        </w:tc>
        <w:tc>
          <w:tcPr>
            <w:tcW w:type="dxa" w:w="1728"/>
          </w:tcPr>
          <w:p>
            <w:r/>
            <w:r>
              <w:rPr>
                <w:sz w:val="17"/>
              </w:rPr>
              <w:t>Compensation amount, visits, payment method</w:t>
            </w:r>
          </w:p>
        </w:tc>
        <w:tc>
          <w:tcPr>
            <w:tcW w:type="dxa" w:w="2304"/>
          </w:tcPr>
          <w:p>
            <w:r/>
            <w:r>
              <w:rPr>
                <w:sz w:val="17"/>
              </w:rPr>
              <w:t>ICF §6 vs. Protocol §§7, 10.1; Checklist Item 18</w:t>
            </w:r>
          </w:p>
        </w:tc>
        <w:tc>
          <w:tcPr>
            <w:tcW w:type="dxa" w:w="5040"/>
          </w:tcPr>
          <w:p>
            <w:r/>
            <w:r>
              <w:rPr>
                <w:sz w:val="17"/>
              </w:rPr>
              <w:t>$50 x ~16 = $800, paid per visit by check or gift card, versus $75 x 18 = $1,350, paid quarterly by check or electronic payment, with a Form 1099-MISC. The CIRB undue-influence finding attaches to the protocol amount.</w:t>
            </w:r>
          </w:p>
        </w:tc>
        <w:tc>
          <w:tcPr>
            <w:tcW w:type="dxa" w:w="1080"/>
            <w:shd w:val="clear" w:color="auto" w:fill="FCE5CD"/>
          </w:tcPr>
          <w:p>
            <w:r/>
            <w:r>
              <w:rPr>
                <w:b/>
                <w:sz w:val="17"/>
              </w:rPr>
              <w:t>High</w:t>
            </w:r>
          </w:p>
        </w:tc>
        <w:tc>
          <w:tcPr>
            <w:tcW w:type="dxa" w:w="3024"/>
          </w:tcPr>
          <w:p>
            <w:r/>
            <w:r>
              <w:rPr>
                <w:sz w:val="17"/>
              </w:rPr>
              <w:t>Determine which schedule the CIRB actually approved and which one the sites are paying; conform the ICF; if subjects were underpaid, true up and report.</w:t>
            </w:r>
          </w:p>
        </w:tc>
      </w:tr>
      <w:tr>
        <w:tc>
          <w:tcPr>
            <w:tcW w:type="dxa" w:w="648"/>
          </w:tcPr>
          <w:p>
            <w:r/>
            <w:r>
              <w:rPr>
                <w:sz w:val="17"/>
              </w:rPr>
              <w:t>D-5</w:t>
            </w:r>
          </w:p>
        </w:tc>
        <w:tc>
          <w:tcPr>
            <w:tcW w:type="dxa" w:w="1728"/>
          </w:tcPr>
          <w:p>
            <w:r/>
            <w:r>
              <w:rPr>
                <w:sz w:val="17"/>
              </w:rPr>
              <w:t>Number of visits</w:t>
            </w:r>
          </w:p>
        </w:tc>
        <w:tc>
          <w:tcPr>
            <w:tcW w:type="dxa" w:w="2304"/>
          </w:tcPr>
          <w:p>
            <w:r/>
            <w:r>
              <w:rPr>
                <w:sz w:val="17"/>
              </w:rPr>
              <w:t>ICF §§3.3, 6 vs. Protocol §7</w:t>
            </w:r>
          </w:p>
        </w:tc>
        <w:tc>
          <w:tcPr>
            <w:tcW w:type="dxa" w:w="5040"/>
          </w:tcPr>
          <w:p>
            <w:r/>
            <w:r>
              <w:rPr>
                <w:sz w:val="17"/>
              </w:rPr>
              <w:t>About 16 versus 18 scheduled visits (Weeks 0, 2, 4, then every 4 weeks to Week 52, plus Weeks 54 and 56).</w:t>
            </w:r>
          </w:p>
        </w:tc>
        <w:tc>
          <w:tcPr>
            <w:tcW w:type="dxa" w:w="1080"/>
            <w:shd w:val="clear" w:color="auto" w:fill="FCE5CD"/>
          </w:tcPr>
          <w:p>
            <w:r/>
            <w:r>
              <w:rPr>
                <w:b/>
                <w:sz w:val="17"/>
              </w:rPr>
              <w:t>High</w:t>
            </w:r>
          </w:p>
        </w:tc>
        <w:tc>
          <w:tcPr>
            <w:tcW w:type="dxa" w:w="3024"/>
          </w:tcPr>
          <w:p>
            <w:r/>
            <w:r>
              <w:rPr>
                <w:sz w:val="17"/>
              </w:rPr>
              <w:t>Conform to 18; add a visit table.</w:t>
            </w:r>
          </w:p>
        </w:tc>
      </w:tr>
      <w:tr>
        <w:tc>
          <w:tcPr>
            <w:tcW w:type="dxa" w:w="648"/>
          </w:tcPr>
          <w:p>
            <w:r/>
            <w:r>
              <w:rPr>
                <w:sz w:val="17"/>
              </w:rPr>
              <w:t>D-6</w:t>
            </w:r>
          </w:p>
        </w:tc>
        <w:tc>
          <w:tcPr>
            <w:tcW w:type="dxa" w:w="1728"/>
          </w:tcPr>
          <w:p>
            <w:r/>
            <w:r>
              <w:rPr>
                <w:sz w:val="17"/>
              </w:rPr>
              <w:t>Research-injury coverage</w:t>
            </w:r>
          </w:p>
        </w:tc>
        <w:tc>
          <w:tcPr>
            <w:tcW w:type="dxa" w:w="2304"/>
          </w:tcPr>
          <w:p>
            <w:r/>
            <w:r>
              <w:rPr>
                <w:sz w:val="17"/>
              </w:rPr>
              <w:t>ICF §9 vs. Protocol §10.3; Checklist Item 6</w:t>
            </w:r>
          </w:p>
        </w:tc>
        <w:tc>
          <w:tcPr>
            <w:tcW w:type="dxa" w:w="5040"/>
          </w:tcPr>
          <w:p>
            <w:r/>
            <w:r>
              <w:rPr>
                <w:sz w:val="17"/>
              </w:rPr>
              <w:t>The ICF does not disclose that the cost is borne by Pinnacle with no insurer billing, the “directly resulting” limitation, or the PI/sponsor causation determination.</w:t>
            </w:r>
          </w:p>
        </w:tc>
        <w:tc>
          <w:tcPr>
            <w:tcW w:type="dxa" w:w="1080"/>
            <w:shd w:val="clear" w:color="auto" w:fill="FCE5CD"/>
          </w:tcPr>
          <w:p>
            <w:r/>
            <w:r>
              <w:rPr>
                <w:b/>
                <w:sz w:val="17"/>
              </w:rPr>
              <w:t>High</w:t>
            </w:r>
          </w:p>
        </w:tc>
        <w:tc>
          <w:tcPr>
            <w:tcW w:type="dxa" w:w="3024"/>
          </w:tcPr>
          <w:p>
            <w:r/>
            <w:r>
              <w:rPr>
                <w:sz w:val="17"/>
              </w:rPr>
              <w:t>Restate accurately; confirm Pinnacle’s insurance and indemnity arrangements with Ridgeline under the co-development agreement.</w:t>
            </w:r>
          </w:p>
        </w:tc>
      </w:tr>
      <w:tr>
        <w:tc>
          <w:tcPr>
            <w:tcW w:type="dxa" w:w="648"/>
          </w:tcPr>
          <w:p>
            <w:r/>
            <w:r>
              <w:rPr>
                <w:sz w:val="17"/>
              </w:rPr>
              <w:t>D-7</w:t>
            </w:r>
          </w:p>
        </w:tc>
        <w:tc>
          <w:tcPr>
            <w:tcW w:type="dxa" w:w="1728"/>
          </w:tcPr>
          <w:p>
            <w:r/>
            <w:r>
              <w:rPr>
                <w:sz w:val="17"/>
              </w:rPr>
              <w:t>Data recipients and Ridgeline’s role</w:t>
            </w:r>
          </w:p>
        </w:tc>
        <w:tc>
          <w:tcPr>
            <w:tcW w:type="dxa" w:w="2304"/>
          </w:tcPr>
          <w:p>
            <w:r/>
            <w:r>
              <w:rPr>
                <w:sz w:val="17"/>
              </w:rPr>
              <w:t>ICF §§1, 7 vs. Protocol §§1, 6, 11, 12.3, 15; IRB letter §3</w:t>
            </w:r>
          </w:p>
        </w:tc>
        <w:tc>
          <w:tcPr>
            <w:tcW w:type="dxa" w:w="5040"/>
          </w:tcPr>
          <w:p>
            <w:r/>
            <w:r>
              <w:rPr>
                <w:sz w:val="17"/>
              </w:rPr>
              <w:t>The ICF’s “research partner” is unnamed. Ridgeline (manufacturer, funder, product-development data user, record inspector, consulted on termination), Brenton Analytics (CRO, holds the randomization code) and Crescent Laboratories (specimens) are undisclosed.</w:t>
            </w:r>
          </w:p>
        </w:tc>
        <w:tc>
          <w:tcPr>
            <w:tcW w:type="dxa" w:w="1080"/>
            <w:shd w:val="clear" w:color="auto" w:fill="FCE5CD"/>
          </w:tcPr>
          <w:p>
            <w:r/>
            <w:r>
              <w:rPr>
                <w:b/>
                <w:sz w:val="17"/>
              </w:rPr>
              <w:t>High</w:t>
            </w:r>
          </w:p>
        </w:tc>
        <w:tc>
          <w:tcPr>
            <w:tcW w:type="dxa" w:w="3024"/>
          </w:tcPr>
          <w:p>
            <w:r/>
            <w:r>
              <w:rPr>
                <w:sz w:val="17"/>
              </w:rPr>
              <w:t>Name the entities and their roles in the ICF and the HIPAA authorization.</w:t>
            </w:r>
          </w:p>
        </w:tc>
      </w:tr>
      <w:tr>
        <w:tc>
          <w:tcPr>
            <w:tcW w:type="dxa" w:w="648"/>
          </w:tcPr>
          <w:p>
            <w:r/>
            <w:r>
              <w:rPr>
                <w:sz w:val="17"/>
              </w:rPr>
              <w:t>D-8</w:t>
            </w:r>
          </w:p>
        </w:tc>
        <w:tc>
          <w:tcPr>
            <w:tcW w:type="dxa" w:w="1728"/>
          </w:tcPr>
          <w:p>
            <w:r/>
            <w:r>
              <w:rPr>
                <w:sz w:val="17"/>
              </w:rPr>
              <w:t>Voluntariness language</w:t>
            </w:r>
          </w:p>
        </w:tc>
        <w:tc>
          <w:tcPr>
            <w:tcW w:type="dxa" w:w="2304"/>
          </w:tcPr>
          <w:p>
            <w:r/>
            <w:r>
              <w:rPr>
                <w:sz w:val="17"/>
              </w:rPr>
              <w:t>ICF §§1, 8 vs. Protocol §12.1; Checklist Item 8</w:t>
            </w:r>
          </w:p>
        </w:tc>
        <w:tc>
          <w:tcPr>
            <w:tcW w:type="dxa" w:w="5040"/>
          </w:tcPr>
          <w:p>
            <w:r/>
            <w:r>
              <w:rPr>
                <w:sz w:val="17"/>
              </w:rPr>
              <w:t>The protocol contains the required penalty and loss-of-benefits language; the ICF does not.</w:t>
            </w:r>
          </w:p>
        </w:tc>
        <w:tc>
          <w:tcPr>
            <w:tcW w:type="dxa" w:w="1080"/>
            <w:shd w:val="clear" w:color="auto" w:fill="FCE5CD"/>
          </w:tcPr>
          <w:p>
            <w:r/>
            <w:r>
              <w:rPr>
                <w:b/>
                <w:sz w:val="17"/>
              </w:rPr>
              <w:t>High</w:t>
            </w:r>
          </w:p>
        </w:tc>
        <w:tc>
          <w:tcPr>
            <w:tcW w:type="dxa" w:w="3024"/>
          </w:tcPr>
          <w:p>
            <w:r/>
            <w:r>
              <w:rPr>
                <w:sz w:val="17"/>
              </w:rPr>
              <w:t>Insert the required language.</w:t>
            </w:r>
          </w:p>
        </w:tc>
      </w:tr>
      <w:tr>
        <w:tc>
          <w:tcPr>
            <w:tcW w:type="dxa" w:w="648"/>
          </w:tcPr>
          <w:p>
            <w:r/>
            <w:r>
              <w:rPr>
                <w:sz w:val="17"/>
              </w:rPr>
              <w:t>D-9</w:t>
            </w:r>
          </w:p>
        </w:tc>
        <w:tc>
          <w:tcPr>
            <w:tcW w:type="dxa" w:w="1728"/>
          </w:tcPr>
          <w:p>
            <w:r/>
            <w:r>
              <w:rPr>
                <w:sz w:val="17"/>
              </w:rPr>
              <w:t>CIRB approval legend on ICF</w:t>
            </w:r>
          </w:p>
        </w:tc>
        <w:tc>
          <w:tcPr>
            <w:tcW w:type="dxa" w:w="2304"/>
          </w:tcPr>
          <w:p>
            <w:r/>
            <w:r>
              <w:rPr>
                <w:sz w:val="17"/>
              </w:rPr>
              <w:t>ICF first line vs. IRB letter §§1, 4 (Stip. 1 addendum); Checklist Item 20</w:t>
            </w:r>
          </w:p>
        </w:tc>
        <w:tc>
          <w:tcPr>
            <w:tcW w:type="dxa" w:w="5040"/>
          </w:tcPr>
          <w:p>
            <w:r/>
            <w:r>
              <w:rPr>
                <w:sz w:val="17"/>
              </w:rPr>
              <w:t>The legend shows a Feb. 7, 2025 approval date on a form dated Mar. 15, 2025 and approved Mar. 21, 2025. The legend sits only in the first body line, not in the header, so it does not appear on each page. The footer contains literal placeholder text “Page [X] of [Y]” next to the page field. The checklist asserts a stamp on every page and “Page X of 18” (the file rendered to 17 pages in our conversion).</w:t>
            </w:r>
          </w:p>
        </w:tc>
        <w:tc>
          <w:tcPr>
            <w:tcW w:type="dxa" w:w="1080"/>
            <w:shd w:val="clear" w:color="auto" w:fill="FCE5CD"/>
          </w:tcPr>
          <w:p>
            <w:r/>
            <w:r>
              <w:rPr>
                <w:b/>
                <w:sz w:val="17"/>
              </w:rPr>
              <w:t>High</w:t>
            </w:r>
          </w:p>
        </w:tc>
        <w:tc>
          <w:tcPr>
            <w:tcW w:type="dxa" w:w="3024"/>
          </w:tcPr>
          <w:p>
            <w:r/>
            <w:r>
              <w:rPr>
                <w:sz w:val="17"/>
              </w:rPr>
              <w:t>Obtain a correct CIRB-issued approval stamp for v4.0 on every page; fix the footer; confirm that the copies subjects signed carry a valid stamp.</w:t>
            </w:r>
          </w:p>
        </w:tc>
      </w:tr>
      <w:tr>
        <w:tc>
          <w:tcPr>
            <w:tcW w:type="dxa" w:w="648"/>
          </w:tcPr>
          <w:p>
            <w:r/>
            <w:r>
              <w:rPr>
                <w:sz w:val="17"/>
              </w:rPr>
              <w:t>D-10</w:t>
            </w:r>
          </w:p>
        </w:tc>
        <w:tc>
          <w:tcPr>
            <w:tcW w:type="dxa" w:w="1728"/>
          </w:tcPr>
          <w:p>
            <w:r/>
            <w:r>
              <w:rPr>
                <w:sz w:val="17"/>
              </w:rPr>
              <w:t>Stipulation 1 timing and substance</w:t>
            </w:r>
          </w:p>
        </w:tc>
        <w:tc>
          <w:tcPr>
            <w:tcW w:type="dxa" w:w="2304"/>
          </w:tcPr>
          <w:p>
            <w:r/>
            <w:r>
              <w:rPr>
                <w:sz w:val="17"/>
              </w:rPr>
              <w:t>IRB letter Stip. 1 vs. ICF version date</w:t>
            </w:r>
          </w:p>
        </w:tc>
        <w:tc>
          <w:tcPr>
            <w:tcW w:type="dxa" w:w="5040"/>
          </w:tcPr>
          <w:p>
            <w:r/>
            <w:r>
              <w:rPr>
                <w:sz w:val="17"/>
              </w:rPr>
              <w:t>The revised ICF was due Mar. 9, 2025; v3.0 is dated Mar. 15 and was approved Mar. 21, so the submission was at least 6 days late. The AE rates in v3.0 are identical to the Phase II rates, and the checklist reviewed them against Phase II data only. The record does not show that interim-analysis frequencies were incorporated, although the CIRB accepted v3.0 as satisfying Stip. 1.</w:t>
            </w:r>
          </w:p>
        </w:tc>
        <w:tc>
          <w:tcPr>
            <w:tcW w:type="dxa" w:w="1080"/>
            <w:shd w:val="clear" w:color="auto" w:fill="FCE5CD"/>
          </w:tcPr>
          <w:p>
            <w:r/>
            <w:r>
              <w:rPr>
                <w:b/>
                <w:sz w:val="17"/>
              </w:rPr>
              <w:t>High</w:t>
            </w:r>
          </w:p>
        </w:tc>
        <w:tc>
          <w:tcPr>
            <w:tcW w:type="dxa" w:w="3024"/>
          </w:tcPr>
          <w:p>
            <w:r/>
            <w:r>
              <w:rPr>
                <w:sz w:val="17"/>
              </w:rPr>
              <w:t>Pull the Interim Analysis Report and cumulative AE summary; document the comparison; acknowledge the late submission to the CIRB.</w:t>
            </w:r>
          </w:p>
        </w:tc>
      </w:tr>
      <w:tr>
        <w:tc>
          <w:tcPr>
            <w:tcW w:type="dxa" w:w="648"/>
          </w:tcPr>
          <w:p>
            <w:r/>
            <w:r>
              <w:rPr>
                <w:sz w:val="17"/>
              </w:rPr>
              <w:t>D-11</w:t>
            </w:r>
          </w:p>
        </w:tc>
        <w:tc>
          <w:tcPr>
            <w:tcW w:type="dxa" w:w="1728"/>
          </w:tcPr>
          <w:p>
            <w:r/>
            <w:r>
              <w:rPr>
                <w:sz w:val="17"/>
              </w:rPr>
              <w:t>Stipulation 4 re-consent overdue</w:t>
            </w:r>
          </w:p>
        </w:tc>
        <w:tc>
          <w:tcPr>
            <w:tcW w:type="dxa" w:w="2304"/>
          </w:tcPr>
          <w:p>
            <w:r/>
            <w:r>
              <w:rPr>
                <w:sz w:val="17"/>
              </w:rPr>
              <w:t>IRB letter Stip. 4 vs. Site Doc. Item 5; Reg. Files Item 5</w:t>
            </w:r>
          </w:p>
        </w:tc>
        <w:tc>
          <w:tcPr>
            <w:tcW w:type="dxa" w:w="5040"/>
          </w:tcPr>
          <w:p>
            <w:r/>
            <w:r>
              <w:rPr>
                <w:sz w:val="17"/>
              </w:rPr>
              <w:t>Deadline May 20, 2025. Only 298 of 412 had re-consented by June; the remaining 114 are set for “next study visit,” with a July 31, 2025 target. Reg. Files Item 5 marks the ICF item “Complete.” Subjects continue dosing without consent to the current risk disclosure.</w:t>
            </w:r>
          </w:p>
        </w:tc>
        <w:tc>
          <w:tcPr>
            <w:tcW w:type="dxa" w:w="1080"/>
            <w:shd w:val="clear" w:color="auto" w:fill="F4CCCC"/>
          </w:tcPr>
          <w:p>
            <w:r/>
            <w:r>
              <w:rPr>
                <w:b/>
                <w:sz w:val="17"/>
              </w:rPr>
              <w:t>Critical</w:t>
            </w:r>
          </w:p>
        </w:tc>
        <w:tc>
          <w:tcPr>
            <w:tcW w:type="dxa" w:w="3024"/>
          </w:tcPr>
          <w:p>
            <w:r/>
            <w:r>
              <w:rPr>
                <w:sz w:val="17"/>
              </w:rPr>
              <w:t>Report the noncompliance to the CIRB promptly; schedule expedited re-consent visits or calls (as the CIRB permits); because v3.0 is itself deficient, coordinate with the CIRB on whether to re-consent on v4.0 instead.</w:t>
            </w:r>
          </w:p>
        </w:tc>
      </w:tr>
      <w:tr>
        <w:tc>
          <w:tcPr>
            <w:tcW w:type="dxa" w:w="648"/>
          </w:tcPr>
          <w:p>
            <w:r/>
            <w:r>
              <w:rPr>
                <w:sz w:val="17"/>
              </w:rPr>
              <w:t>D-12</w:t>
            </w:r>
          </w:p>
        </w:tc>
        <w:tc>
          <w:tcPr>
            <w:tcW w:type="dxa" w:w="1728"/>
          </w:tcPr>
          <w:p>
            <w:r/>
            <w:r>
              <w:rPr>
                <w:sz w:val="17"/>
              </w:rPr>
              <w:t>Hypoglycemia / sulfonylurea text vs. eligibility</w:t>
            </w:r>
          </w:p>
        </w:tc>
        <w:tc>
          <w:tcPr>
            <w:tcW w:type="dxa" w:w="2304"/>
          </w:tcPr>
          <w:p>
            <w:r/>
            <w:r>
              <w:rPr>
                <w:sz w:val="17"/>
              </w:rPr>
              <w:t>ICF §4 vs. Protocol §4.1(4)</w:t>
            </w:r>
          </w:p>
        </w:tc>
        <w:tc>
          <w:tcPr>
            <w:tcW w:type="dxa" w:w="5040"/>
          </w:tcPr>
          <w:p>
            <w:r/>
            <w:r>
              <w:rPr>
                <w:sz w:val="17"/>
              </w:rPr>
              <w:t>The ICF tells subjects on sulfonylureas their dose may be lowered, but eligibility allows only metformin monotherapy or treatment-naive subjects. Either the ICF is wrong or ineligible subjects may have been enrolled.</w:t>
            </w:r>
          </w:p>
        </w:tc>
        <w:tc>
          <w:tcPr>
            <w:tcW w:type="dxa" w:w="1080"/>
            <w:shd w:val="clear" w:color="auto" w:fill="FFF2CC"/>
          </w:tcPr>
          <w:p>
            <w:r/>
            <w:r>
              <w:rPr>
                <w:b/>
                <w:sz w:val="17"/>
              </w:rPr>
              <w:t>Medium</w:t>
            </w:r>
          </w:p>
        </w:tc>
        <w:tc>
          <w:tcPr>
            <w:tcW w:type="dxa" w:w="3024"/>
          </w:tcPr>
          <w:p>
            <w:r/>
            <w:r>
              <w:rPr>
                <w:sz w:val="17"/>
              </w:rPr>
              <w:t>Conform the ICF; check the concomitant-medication logs for sulfonylurea use.</w:t>
            </w:r>
          </w:p>
        </w:tc>
      </w:tr>
      <w:tr>
        <w:tc>
          <w:tcPr>
            <w:tcW w:type="dxa" w:w="648"/>
          </w:tcPr>
          <w:p>
            <w:r/>
            <w:r>
              <w:rPr>
                <w:sz w:val="17"/>
              </w:rPr>
              <w:t>D-13</w:t>
            </w:r>
          </w:p>
        </w:tc>
        <w:tc>
          <w:tcPr>
            <w:tcW w:type="dxa" w:w="1728"/>
          </w:tcPr>
          <w:p>
            <w:r/>
            <w:r>
              <w:rPr>
                <w:sz w:val="17"/>
              </w:rPr>
              <w:t>Contraception and breastfeeding</w:t>
            </w:r>
          </w:p>
        </w:tc>
        <w:tc>
          <w:tcPr>
            <w:tcW w:type="dxa" w:w="2304"/>
          </w:tcPr>
          <w:p>
            <w:r/>
            <w:r>
              <w:rPr>
                <w:sz w:val="17"/>
              </w:rPr>
              <w:t>ICF §4 vs. Protocol §4.2(7)</w:t>
            </w:r>
          </w:p>
        </w:tc>
        <w:tc>
          <w:tcPr>
            <w:tcW w:type="dxa" w:w="5040"/>
          </w:tcPr>
          <w:p>
            <w:r/>
            <w:r>
              <w:rPr>
                <w:sz w:val="17"/>
              </w:rPr>
              <w:t>“Effective” versus “highly effective” contraception; breastfeeding exclusion missing from the ICF.</w:t>
            </w:r>
          </w:p>
        </w:tc>
        <w:tc>
          <w:tcPr>
            <w:tcW w:type="dxa" w:w="1080"/>
            <w:shd w:val="clear" w:color="auto" w:fill="FFF2CC"/>
          </w:tcPr>
          <w:p>
            <w:r/>
            <w:r>
              <w:rPr>
                <w:b/>
                <w:sz w:val="17"/>
              </w:rPr>
              <w:t>Medium</w:t>
            </w:r>
          </w:p>
        </w:tc>
        <w:tc>
          <w:tcPr>
            <w:tcW w:type="dxa" w:w="3024"/>
          </w:tcPr>
          <w:p>
            <w:r/>
            <w:r>
              <w:rPr>
                <w:sz w:val="17"/>
              </w:rPr>
              <w:t>Conform.</w:t>
            </w:r>
          </w:p>
        </w:tc>
      </w:tr>
      <w:tr>
        <w:tc>
          <w:tcPr>
            <w:tcW w:type="dxa" w:w="648"/>
          </w:tcPr>
          <w:p>
            <w:r/>
            <w:r>
              <w:rPr>
                <w:sz w:val="17"/>
              </w:rPr>
              <w:t>D-14</w:t>
            </w:r>
          </w:p>
        </w:tc>
        <w:tc>
          <w:tcPr>
            <w:tcW w:type="dxa" w:w="1728"/>
          </w:tcPr>
          <w:p>
            <w:r/>
            <w:r>
              <w:rPr>
                <w:sz w:val="17"/>
              </w:rPr>
              <w:t>Investigator-termination criteria</w:t>
            </w:r>
          </w:p>
        </w:tc>
        <w:tc>
          <w:tcPr>
            <w:tcW w:type="dxa" w:w="2304"/>
          </w:tcPr>
          <w:p>
            <w:r/>
            <w:r>
              <w:rPr>
                <w:sz w:val="17"/>
              </w:rPr>
              <w:t>ICF §8 vs. Protocol §12.2</w:t>
            </w:r>
          </w:p>
        </w:tc>
        <w:tc>
          <w:tcPr>
            <w:tcW w:type="dxa" w:w="5040"/>
          </w:tcPr>
          <w:p>
            <w:r/>
            <w:r>
              <w:rPr>
                <w:sz w:val="17"/>
              </w:rPr>
              <w:t>The ICF narrows criterion 3 and omits eligibility violations. Checklist Item 10 describes the protocol rather than the ICF.</w:t>
            </w:r>
          </w:p>
        </w:tc>
        <w:tc>
          <w:tcPr>
            <w:tcW w:type="dxa" w:w="1080"/>
            <w:shd w:val="clear" w:color="auto" w:fill="FFF2CC"/>
          </w:tcPr>
          <w:p>
            <w:r/>
            <w:r>
              <w:rPr>
                <w:b/>
                <w:sz w:val="17"/>
              </w:rPr>
              <w:t>Medium</w:t>
            </w:r>
          </w:p>
        </w:tc>
        <w:tc>
          <w:tcPr>
            <w:tcW w:type="dxa" w:w="3024"/>
          </w:tcPr>
          <w:p>
            <w:r/>
            <w:r>
              <w:rPr>
                <w:sz w:val="17"/>
              </w:rPr>
              <w:t>Conform.</w:t>
            </w:r>
          </w:p>
        </w:tc>
      </w:tr>
      <w:tr>
        <w:tc>
          <w:tcPr>
            <w:tcW w:type="dxa" w:w="648"/>
          </w:tcPr>
          <w:p>
            <w:r/>
            <w:r>
              <w:rPr>
                <w:sz w:val="17"/>
              </w:rPr>
              <w:t>D-15</w:t>
            </w:r>
          </w:p>
        </w:tc>
        <w:tc>
          <w:tcPr>
            <w:tcW w:type="dxa" w:w="1728"/>
          </w:tcPr>
          <w:p>
            <w:r/>
            <w:r>
              <w:rPr>
                <w:sz w:val="17"/>
              </w:rPr>
              <w:t>Placebo-risk statement</w:t>
            </w:r>
          </w:p>
        </w:tc>
        <w:tc>
          <w:tcPr>
            <w:tcW w:type="dxa" w:w="2304"/>
          </w:tcPr>
          <w:p>
            <w:r/>
            <w:r>
              <w:rPr>
                <w:sz w:val="17"/>
              </w:rPr>
              <w:t>ICF §4 vs. Protocol §§3, 4.1</w:t>
            </w:r>
          </w:p>
        </w:tc>
        <w:tc>
          <w:tcPr>
            <w:tcW w:type="dxa" w:w="5040"/>
          </w:tcPr>
          <w:p>
            <w:r/>
            <w:r>
              <w:rPr>
                <w:sz w:val="17"/>
              </w:rPr>
              <w:t>“Will not receive active treatment for your diabetes” is inaccurate for subjects on background metformin (a stratification factor).</w:t>
            </w:r>
          </w:p>
        </w:tc>
        <w:tc>
          <w:tcPr>
            <w:tcW w:type="dxa" w:w="1080"/>
            <w:shd w:val="clear" w:color="auto" w:fill="FFF2CC"/>
          </w:tcPr>
          <w:p>
            <w:r/>
            <w:r>
              <w:rPr>
                <w:b/>
                <w:sz w:val="17"/>
              </w:rPr>
              <w:t>Medium</w:t>
            </w:r>
          </w:p>
        </w:tc>
        <w:tc>
          <w:tcPr>
            <w:tcW w:type="dxa" w:w="3024"/>
          </w:tcPr>
          <w:p>
            <w:r/>
            <w:r>
              <w:rPr>
                <w:sz w:val="17"/>
              </w:rPr>
              <w:t>Revise to: placebo subjects receive no study drug but continue background therapy.</w:t>
            </w:r>
          </w:p>
        </w:tc>
      </w:tr>
      <w:tr>
        <w:tc>
          <w:tcPr>
            <w:tcW w:type="dxa" w:w="648"/>
          </w:tcPr>
          <w:p>
            <w:r/>
            <w:r>
              <w:rPr>
                <w:sz w:val="17"/>
              </w:rPr>
              <w:t>D-16</w:t>
            </w:r>
          </w:p>
        </w:tc>
        <w:tc>
          <w:tcPr>
            <w:tcW w:type="dxa" w:w="1728"/>
          </w:tcPr>
          <w:p>
            <w:r/>
            <w:r>
              <w:rPr>
                <w:sz w:val="17"/>
              </w:rPr>
              <w:t>Omitted procedures</w:t>
            </w:r>
          </w:p>
        </w:tc>
        <w:tc>
          <w:tcPr>
            <w:tcW w:type="dxa" w:w="2304"/>
          </w:tcPr>
          <w:p>
            <w:r/>
            <w:r>
              <w:rPr>
                <w:sz w:val="17"/>
              </w:rPr>
              <w:t>ICF §3.3 vs. Protocol §§2.3, 7, 8.3, 9.2, 11</w:t>
            </w:r>
          </w:p>
        </w:tc>
        <w:tc>
          <w:tcPr>
            <w:tcW w:type="dxa" w:w="5040"/>
          </w:tcPr>
          <w:p>
            <w:r/>
            <w:r>
              <w:rPr>
                <w:sz w:val="17"/>
              </w:rPr>
              <w:t>Not described: serum calcitonin; 1-hour post-dose observation; PRO questionnaires; waist circumference; anti-drug antibody testing; pregnancy tests; residual specimen storage and exploratory biomarker use; separate future-use consent. The ICF says “thyroid function tests” where the protocol specifies calcitonin.</w:t>
            </w:r>
          </w:p>
        </w:tc>
        <w:tc>
          <w:tcPr>
            <w:tcW w:type="dxa" w:w="1080"/>
            <w:shd w:val="clear" w:color="auto" w:fill="FFF2CC"/>
          </w:tcPr>
          <w:p>
            <w:r/>
            <w:r>
              <w:rPr>
                <w:b/>
                <w:sz w:val="17"/>
              </w:rPr>
              <w:t>Medium</w:t>
            </w:r>
          </w:p>
        </w:tc>
        <w:tc>
          <w:tcPr>
            <w:tcW w:type="dxa" w:w="3024"/>
          </w:tcPr>
          <w:p>
            <w:r/>
            <w:r>
              <w:rPr>
                <w:sz w:val="17"/>
              </w:rPr>
              <w:t>Add to the procedures section and a visit table.</w:t>
            </w:r>
          </w:p>
        </w:tc>
      </w:tr>
      <w:tr>
        <w:tc>
          <w:tcPr>
            <w:tcW w:type="dxa" w:w="648"/>
          </w:tcPr>
          <w:p>
            <w:r/>
            <w:r>
              <w:rPr>
                <w:sz w:val="17"/>
              </w:rPr>
              <w:t>D-17</w:t>
            </w:r>
          </w:p>
        </w:tc>
        <w:tc>
          <w:tcPr>
            <w:tcW w:type="dxa" w:w="1728"/>
          </w:tcPr>
          <w:p>
            <w:r/>
            <w:r>
              <w:rPr>
                <w:sz w:val="17"/>
              </w:rPr>
              <w:t>LAR signature block</w:t>
            </w:r>
          </w:p>
        </w:tc>
        <w:tc>
          <w:tcPr>
            <w:tcW w:type="dxa" w:w="2304"/>
          </w:tcPr>
          <w:p>
            <w:r/>
            <w:r>
              <w:rPr>
                <w:sz w:val="17"/>
              </w:rPr>
              <w:t>ICF §11 vs. Protocol §4.1(6)</w:t>
            </w:r>
          </w:p>
        </w:tc>
        <w:tc>
          <w:tcPr>
            <w:tcW w:type="dxa" w:w="5040"/>
          </w:tcPr>
          <w:p>
            <w:r/>
            <w:r>
              <w:rPr>
                <w:sz w:val="17"/>
              </w:rPr>
              <w:t>The protocol requires subject capacity to consent; the ICF invites LAR consent.</w:t>
            </w:r>
          </w:p>
        </w:tc>
        <w:tc>
          <w:tcPr>
            <w:tcW w:type="dxa" w:w="1080"/>
            <w:shd w:val="clear" w:color="auto" w:fill="D9EAD3"/>
          </w:tcPr>
          <w:p>
            <w:r/>
            <w:r>
              <w:rPr>
                <w:b/>
                <w:sz w:val="17"/>
              </w:rPr>
              <w:t>Low</w:t>
            </w:r>
          </w:p>
        </w:tc>
        <w:tc>
          <w:tcPr>
            <w:tcW w:type="dxa" w:w="3024"/>
          </w:tcPr>
          <w:p>
            <w:r/>
            <w:r>
              <w:rPr>
                <w:sz w:val="17"/>
              </w:rPr>
              <w:t>Remove or reconcile.</w:t>
            </w:r>
          </w:p>
        </w:tc>
      </w:tr>
      <w:tr>
        <w:tc>
          <w:tcPr>
            <w:tcW w:type="dxa" w:w="648"/>
          </w:tcPr>
          <w:p>
            <w:r/>
            <w:r>
              <w:rPr>
                <w:sz w:val="17"/>
              </w:rPr>
              <w:t>D-18</w:t>
            </w:r>
          </w:p>
        </w:tc>
        <w:tc>
          <w:tcPr>
            <w:tcW w:type="dxa" w:w="1728"/>
          </w:tcPr>
          <w:p>
            <w:r/>
            <w:r>
              <w:rPr>
                <w:sz w:val="17"/>
              </w:rPr>
              <w:t>Investigational Brochure date</w:t>
            </w:r>
          </w:p>
        </w:tc>
        <w:tc>
          <w:tcPr>
            <w:tcW w:type="dxa" w:w="2304"/>
          </w:tcPr>
          <w:p>
            <w:r/>
            <w:r>
              <w:rPr>
                <w:sz w:val="17"/>
              </w:rPr>
              <w:t>IRB letter §2(4) vs. Reg. Files Item 8</w:t>
            </w:r>
          </w:p>
        </w:tc>
        <w:tc>
          <w:tcPr>
            <w:tcW w:type="dxa" w:w="5040"/>
          </w:tcPr>
          <w:p>
            <w:r/>
            <w:r>
              <w:rPr>
                <w:sz w:val="17"/>
              </w:rPr>
              <w:t>IB Edition 4 dated Aug. 20, 2024 (IRB) versus “September 2024” (checklist).</w:t>
            </w:r>
          </w:p>
        </w:tc>
        <w:tc>
          <w:tcPr>
            <w:tcW w:type="dxa" w:w="1080"/>
            <w:shd w:val="clear" w:color="auto" w:fill="D9EAD3"/>
          </w:tcPr>
          <w:p>
            <w:r/>
            <w:r>
              <w:rPr>
                <w:b/>
                <w:sz w:val="17"/>
              </w:rPr>
              <w:t>Low</w:t>
            </w:r>
          </w:p>
        </w:tc>
        <w:tc>
          <w:tcPr>
            <w:tcW w:type="dxa" w:w="3024"/>
          </w:tcPr>
          <w:p>
            <w:r/>
            <w:r>
              <w:rPr>
                <w:sz w:val="17"/>
              </w:rPr>
              <w:t>Correct the regulatory binder index.</w:t>
            </w:r>
          </w:p>
        </w:tc>
      </w:tr>
      <w:tr>
        <w:tc>
          <w:tcPr>
            <w:tcW w:type="dxa" w:w="648"/>
          </w:tcPr>
          <w:p>
            <w:r/>
            <w:r>
              <w:rPr>
                <w:sz w:val="17"/>
              </w:rPr>
              <w:t>D-19</w:t>
            </w:r>
          </w:p>
        </w:tc>
        <w:tc>
          <w:tcPr>
            <w:tcW w:type="dxa" w:w="1728"/>
          </w:tcPr>
          <w:p>
            <w:r/>
            <w:r>
              <w:rPr>
                <w:sz w:val="17"/>
              </w:rPr>
              <w:t>Protocol version</w:t>
            </w:r>
          </w:p>
        </w:tc>
        <w:tc>
          <w:tcPr>
            <w:tcW w:type="dxa" w:w="2304"/>
          </w:tcPr>
          <w:p>
            <w:r/>
            <w:r>
              <w:rPr>
                <w:sz w:val="17"/>
              </w:rPr>
              <w:t>IRB letter §2(2) vs. Reg. Files Item 7</w:t>
            </w:r>
          </w:p>
        </w:tc>
        <w:tc>
          <w:tcPr>
            <w:tcW w:type="dxa" w:w="5040"/>
          </w:tcPr>
          <w:p>
            <w:r/>
            <w:r>
              <w:rPr>
                <w:sz w:val="17"/>
              </w:rPr>
              <w:t>The CIRB reviewed Protocol v2.1 (Sept. 8, 2024); the binder lists “Amendment 3 (current).” Confirm that Amendment 3 is v2.1 or that it was separately CIRB-approved before implementation (21 CFR 56.108(a)(4)).</w:t>
            </w:r>
          </w:p>
        </w:tc>
        <w:tc>
          <w:tcPr>
            <w:tcW w:type="dxa" w:w="1080"/>
            <w:shd w:val="clear" w:color="auto" w:fill="FFF2CC"/>
          </w:tcPr>
          <w:p>
            <w:r/>
            <w:r>
              <w:rPr>
                <w:b/>
                <w:sz w:val="17"/>
              </w:rPr>
              <w:t>Medium</w:t>
            </w:r>
          </w:p>
        </w:tc>
        <w:tc>
          <w:tcPr>
            <w:tcW w:type="dxa" w:w="3024"/>
          </w:tcPr>
          <w:p>
            <w:r/>
            <w:r>
              <w:rPr>
                <w:sz w:val="17"/>
              </w:rPr>
              <w:t>Reconcile the version nomenclature and file the approval.</w:t>
            </w:r>
          </w:p>
        </w:tc>
      </w:tr>
      <w:tr>
        <w:tc>
          <w:tcPr>
            <w:tcW w:type="dxa" w:w="648"/>
          </w:tcPr>
          <w:p>
            <w:r/>
            <w:r>
              <w:rPr>
                <w:sz w:val="17"/>
              </w:rPr>
              <w:t>D-20</w:t>
            </w:r>
          </w:p>
        </w:tc>
        <w:tc>
          <w:tcPr>
            <w:tcW w:type="dxa" w:w="1728"/>
          </w:tcPr>
          <w:p>
            <w:r/>
            <w:r>
              <w:rPr>
                <w:sz w:val="17"/>
              </w:rPr>
              <w:t>Enrollment and timeline plausibility</w:t>
            </w:r>
          </w:p>
        </w:tc>
        <w:tc>
          <w:tcPr>
            <w:tcW w:type="dxa" w:w="2304"/>
          </w:tcPr>
          <w:p>
            <w:r/>
            <w:r>
              <w:rPr>
                <w:sz w:val="17"/>
              </w:rPr>
              <w:t>IRB letter §3; Protocol §§3, 9.3; Site Doc. Items 10, 15</w:t>
            </w:r>
          </w:p>
        </w:tc>
        <w:tc>
          <w:tcPr>
            <w:tcW w:type="dxa" w:w="5040"/>
          </w:tcPr>
          <w:p>
            <w:r/>
            <w:r>
              <w:rPr>
                <w:sz w:val="17"/>
              </w:rPr>
              <w:t>412 enrolled in Jan. 2025 and still 412 on June 1, 2025, yet the site reports that recruitment is ongoing and the rate supports the target. Completion in March 2026 is impossible if 88 more subjects must each complete 56 weeks. CIRB approval expires Feb. 6, 2026 (continuing review materials due by Jan. 7, 2026).</w:t>
            </w:r>
          </w:p>
        </w:tc>
        <w:tc>
          <w:tcPr>
            <w:tcW w:type="dxa" w:w="1080"/>
            <w:shd w:val="clear" w:color="auto" w:fill="FFF2CC"/>
          </w:tcPr>
          <w:p>
            <w:r/>
            <w:r>
              <w:rPr>
                <w:b/>
                <w:sz w:val="17"/>
              </w:rPr>
              <w:t>Medium</w:t>
            </w:r>
          </w:p>
        </w:tc>
        <w:tc>
          <w:tcPr>
            <w:tcW w:type="dxa" w:w="3024"/>
          </w:tcPr>
          <w:p>
            <w:r/>
            <w:r>
              <w:rPr>
                <w:sz w:val="17"/>
              </w:rPr>
              <w:t>Correct the timeline representation; calendar the continuing review submission; check whether a lapse in approval has occurred if the current date is past Feb. 6, 2026.</w:t>
            </w:r>
          </w:p>
        </w:tc>
      </w:tr>
      <w:tr>
        <w:tc>
          <w:tcPr>
            <w:tcW w:type="dxa" w:w="648"/>
          </w:tcPr>
          <w:p>
            <w:r/>
            <w:r>
              <w:rPr>
                <w:sz w:val="17"/>
              </w:rPr>
              <w:t>D-21</w:t>
            </w:r>
          </w:p>
        </w:tc>
        <w:tc>
          <w:tcPr>
            <w:tcW w:type="dxa" w:w="1728"/>
          </w:tcPr>
          <w:p>
            <w:r/>
            <w:r>
              <w:rPr>
                <w:sz w:val="17"/>
              </w:rPr>
              <w:t>Sponsor-investigator designation</w:t>
            </w:r>
          </w:p>
        </w:tc>
        <w:tc>
          <w:tcPr>
            <w:tcW w:type="dxa" w:w="2304"/>
          </w:tcPr>
          <w:p>
            <w:r/>
            <w:r>
              <w:rPr>
                <w:sz w:val="17"/>
              </w:rPr>
              <w:t>ICF §1; Protocol cover</w:t>
            </w:r>
          </w:p>
        </w:tc>
        <w:tc>
          <w:tcPr>
            <w:tcW w:type="dxa" w:w="5040"/>
          </w:tcPr>
          <w:p>
            <w:r/>
            <w:r>
              <w:rPr>
                <w:sz w:val="17"/>
              </w:rPr>
              <w:t>21 CFR 312.3(b) defines a sponsor-investigator as an individual; Pinnacle (an institution) is labeled sponsor-investigator while Dr. Vasquez is PI. Ridgeline’s manufacturing and funding role may also bear on sponsor obligations.</w:t>
            </w:r>
          </w:p>
        </w:tc>
        <w:tc>
          <w:tcPr>
            <w:tcW w:type="dxa" w:w="1080"/>
            <w:shd w:val="clear" w:color="auto" w:fill="D9EAD3"/>
          </w:tcPr>
          <w:p>
            <w:r/>
            <w:r>
              <w:rPr>
                <w:b/>
                <w:sz w:val="17"/>
              </w:rPr>
              <w:t>Low</w:t>
            </w:r>
          </w:p>
        </w:tc>
        <w:tc>
          <w:tcPr>
            <w:tcW w:type="dxa" w:w="3024"/>
          </w:tcPr>
          <w:p>
            <w:r/>
            <w:r>
              <w:rPr>
                <w:sz w:val="17"/>
              </w:rPr>
              <w:t>Confirm the IND holder of record and transfer-of-obligations documentation (21 CFR 312.52).</w:t>
            </w:r>
          </w:p>
        </w:tc>
      </w:tr>
      <w:tr>
        <w:tc>
          <w:tcPr>
            <w:tcW w:type="dxa" w:w="648"/>
          </w:tcPr>
          <w:p>
            <w:r/>
            <w:r>
              <w:rPr>
                <w:sz w:val="17"/>
              </w:rPr>
              <w:t>D-22</w:t>
            </w:r>
          </w:p>
        </w:tc>
        <w:tc>
          <w:tcPr>
            <w:tcW w:type="dxa" w:w="1728"/>
          </w:tcPr>
          <w:p>
            <w:r/>
            <w:r>
              <w:rPr>
                <w:sz w:val="17"/>
              </w:rPr>
              <w:t>Financial interest disclosure</w:t>
            </w:r>
          </w:p>
        </w:tc>
        <w:tc>
          <w:tcPr>
            <w:tcW w:type="dxa" w:w="2304"/>
          </w:tcPr>
          <w:p>
            <w:r/>
            <w:r>
              <w:rPr>
                <w:sz w:val="17"/>
              </w:rPr>
              <w:t>Reg. Files Items 9, 14; Protocol §14.3; IRB Stip. 3</w:t>
            </w:r>
          </w:p>
        </w:tc>
        <w:tc>
          <w:tcPr>
            <w:tcW w:type="dxa" w:w="5040"/>
          </w:tcPr>
          <w:p>
            <w:r/>
            <w:r>
              <w:rPr>
                <w:sz w:val="17"/>
              </w:rPr>
              <w:t>The PI holds about $87,500 of equity in Ridgeline; Ridgeline pays $8,200 per participant and gave a $3.2M grant. The ICF is silent. The CIRB does not require disclosure, so this is not a regulatory deficiency, but it is a likely inspection and litigation vulnerability.</w:t>
            </w:r>
          </w:p>
        </w:tc>
        <w:tc>
          <w:tcPr>
            <w:tcW w:type="dxa" w:w="1080"/>
            <w:shd w:val="clear" w:color="auto" w:fill="D9EAD3"/>
          </w:tcPr>
          <w:p>
            <w:r/>
            <w:r>
              <w:rPr>
                <w:b/>
                <w:sz w:val="17"/>
              </w:rPr>
              <w:t>Low (advisory)</w:t>
            </w:r>
          </w:p>
        </w:tc>
        <w:tc>
          <w:tcPr>
            <w:tcW w:type="dxa" w:w="3024"/>
          </w:tcPr>
          <w:p>
            <w:r/>
            <w:r>
              <w:rPr>
                <w:sz w:val="17"/>
              </w:rPr>
              <w:t>Consider adding a plain-language funding and financial-interest disclosure; confirm the institutional COI management plan is on file.</w:t>
            </w:r>
          </w:p>
        </w:tc>
      </w:tr>
    </w:tbl>
    <w:p/>
    <w:p>
      <w:pPr>
        <w:pStyle w:val="Heading1"/>
      </w:pPr>
      <w:r>
        <w:rPr>
          <w:color w:val="1F3864"/>
        </w:rPr>
        <w:t>Part IV. Reliability of the FDA Inspection-Readiness Checklist</w:t>
      </w:r>
    </w:p>
    <w:p>
      <w:r>
        <w:t>The checklist (ICF Compliance tab reviewed June 10, 2025; Regulatory Files and Site Documentation tabs June 8, 2025) concludes that “all required and additional elements [are] verified as present in ICF Version 3.0” and that the ICF is “ready for FDA inspection review.” That conclusion is unsupported. Specific defects:</w:t>
      </w:r>
    </w:p>
    <w:tbl>
      <w:tblPr>
        <w:tblStyle w:val="TableGrid"/>
        <w:tblW w:type="auto" w:w="0"/>
        <w:tblLook w:firstColumn="1" w:firstRow="1" w:lastColumn="0" w:lastRow="0" w:noHBand="0" w:noVBand="1" w:val="04A0"/>
      </w:tblPr>
      <w:tblGrid>
        <w:gridCol w:w="6912"/>
        <w:gridCol w:w="6912"/>
      </w:tblGrid>
      <w:tr>
        <w:trPr>
          <w:tblHeader w:val="true"/>
        </w:trPr>
        <w:tc>
          <w:tcPr>
            <w:tcW w:type="dxa" w:w="2880"/>
            <w:shd w:val="clear" w:color="auto" w:fill="1F3864"/>
          </w:tcPr>
          <w:p>
            <w:r/>
            <w:r>
              <w:rPr>
                <w:b/>
                <w:color w:val="FFFFFF"/>
                <w:sz w:val="18"/>
              </w:rPr>
              <w:t>Checklist item</w:t>
            </w:r>
          </w:p>
        </w:tc>
        <w:tc>
          <w:tcPr>
            <w:tcW w:type="dxa" w:w="10944"/>
            <w:shd w:val="clear" w:color="auto" w:fill="1F3864"/>
          </w:tcPr>
          <w:p>
            <w:r/>
            <w:r>
              <w:rPr>
                <w:b/>
                <w:color w:val="FFFFFF"/>
                <w:sz w:val="18"/>
              </w:rPr>
              <w:t>Defect</w:t>
            </w:r>
          </w:p>
        </w:tc>
      </w:tr>
      <w:tr>
        <w:tc>
          <w:tcPr>
            <w:tcW w:type="dxa" w:w="2880"/>
          </w:tcPr>
          <w:p>
            <w:r/>
            <w:r>
              <w:rPr>
                <w:sz w:val="17"/>
              </w:rPr>
              <w:t>ICF Compliance, all items</w:t>
            </w:r>
          </w:p>
        </w:tc>
        <w:tc>
          <w:tcPr>
            <w:tcW w:type="dxa" w:w="10944"/>
          </w:tcPr>
          <w:p>
            <w:r/>
            <w:r>
              <w:rPr>
                <w:sz w:val="17"/>
              </w:rPr>
              <w:t>Section references do not match ICF v3.0, which has 11 sections. The checklist cites Sections 5-14 for content found elsewhere (e.g., risks in §5 [actual §4]; alternatives in §7 [Confidentiality]; signatures in §14 [actual §11]; new findings in §13 [does not exist]). Together with the claimed “Page X of 18,” this suggests the review was done against a different draft, not the operative v3.0.</w:t>
            </w:r>
          </w:p>
        </w:tc>
      </w:tr>
      <w:tr>
        <w:tc>
          <w:tcPr>
            <w:tcW w:type="dxa" w:w="2880"/>
          </w:tcPr>
          <w:p>
            <w:r/>
            <w:r>
              <w:rPr>
                <w:sz w:val="17"/>
              </w:rPr>
              <w:t>Item 2 (a)(2)</w:t>
            </w:r>
          </w:p>
        </w:tc>
        <w:tc>
          <w:tcPr>
            <w:tcW w:type="dxa" w:w="10944"/>
          </w:tcPr>
          <w:p>
            <w:r/>
            <w:r>
              <w:rPr>
                <w:sz w:val="17"/>
              </w:rPr>
              <w:t>Accepts “thyroid problems” despite the protocol’s Boxed Warning; review was against Phase II data, not the interim analysis CIRB Stip. 1 required.</w:t>
            </w:r>
          </w:p>
        </w:tc>
      </w:tr>
      <w:tr>
        <w:tc>
          <w:tcPr>
            <w:tcW w:type="dxa" w:w="2880"/>
          </w:tcPr>
          <w:p>
            <w:r/>
            <w:r>
              <w:rPr>
                <w:sz w:val="17"/>
              </w:rPr>
              <w:t>Item 4 (a)(4)</w:t>
            </w:r>
          </w:p>
        </w:tc>
        <w:tc>
          <w:tcPr>
            <w:tcW w:type="dxa" w:w="10944"/>
          </w:tcPr>
          <w:p>
            <w:r/>
            <w:r>
              <w:rPr>
                <w:sz w:val="17"/>
              </w:rPr>
              <w:t>Marked Complete with a note (“discusses study procedures”) that itself shows the element is missing.</w:t>
            </w:r>
          </w:p>
        </w:tc>
      </w:tr>
      <w:tr>
        <w:tc>
          <w:tcPr>
            <w:tcW w:type="dxa" w:w="2880"/>
          </w:tcPr>
          <w:p>
            <w:r/>
            <w:r>
              <w:rPr>
                <w:sz w:val="17"/>
              </w:rPr>
              <w:t>Item 5 (a)(5)</w:t>
            </w:r>
          </w:p>
        </w:tc>
        <w:tc>
          <w:tcPr>
            <w:tcW w:type="dxa" w:w="10944"/>
          </w:tcPr>
          <w:p>
            <w:r/>
            <w:r>
              <w:rPr>
                <w:sz w:val="17"/>
              </w:rPr>
              <w:t>States the ICF mentions 21 CFR Part 11; it does not. Does not flag the unnamed research partner.</w:t>
            </w:r>
          </w:p>
        </w:tc>
      </w:tr>
      <w:tr>
        <w:tc>
          <w:tcPr>
            <w:tcW w:type="dxa" w:w="2880"/>
          </w:tcPr>
          <w:p>
            <w:r/>
            <w:r>
              <w:rPr>
                <w:sz w:val="17"/>
              </w:rPr>
              <w:t>Item 6 (a)(6)</w:t>
            </w:r>
          </w:p>
        </w:tc>
        <w:tc>
          <w:tcPr>
            <w:tcW w:type="dxa" w:w="10944"/>
          </w:tcPr>
          <w:p>
            <w:r/>
            <w:r>
              <w:rPr>
                <w:sz w:val="17"/>
              </w:rPr>
              <w:t>Accepts injury language that omits payment responsibility.</w:t>
            </w:r>
          </w:p>
        </w:tc>
      </w:tr>
      <w:tr>
        <w:tc>
          <w:tcPr>
            <w:tcW w:type="dxa" w:w="2880"/>
          </w:tcPr>
          <w:p>
            <w:r/>
            <w:r>
              <w:rPr>
                <w:sz w:val="17"/>
              </w:rPr>
              <w:t>Items 7, 21 (a)(7)</w:t>
            </w:r>
          </w:p>
        </w:tc>
        <w:tc>
          <w:tcPr>
            <w:tcW w:type="dxa" w:w="10944"/>
          </w:tcPr>
          <w:p>
            <w:r/>
            <w:r>
              <w:rPr>
                <w:sz w:val="17"/>
              </w:rPr>
              <w:t>Verifies the obsolete CIRB number (704) 555-3829 against the site directory, contrary to CIRB Stip. 2.</w:t>
            </w:r>
          </w:p>
        </w:tc>
      </w:tr>
      <w:tr>
        <w:tc>
          <w:tcPr>
            <w:tcW w:type="dxa" w:w="2880"/>
          </w:tcPr>
          <w:p>
            <w:r/>
            <w:r>
              <w:rPr>
                <w:sz w:val="17"/>
              </w:rPr>
              <w:t>Item 8 (a)(8)</w:t>
            </w:r>
          </w:p>
        </w:tc>
        <w:tc>
          <w:tcPr>
            <w:tcW w:type="dxa" w:w="10944"/>
          </w:tcPr>
          <w:p>
            <w:r/>
            <w:r>
              <w:rPr>
                <w:sz w:val="17"/>
              </w:rPr>
              <w:t>Accepts “You may withdraw” as satisfying all voluntariness elements.</w:t>
            </w:r>
          </w:p>
        </w:tc>
      </w:tr>
      <w:tr>
        <w:tc>
          <w:tcPr>
            <w:tcW w:type="dxa" w:w="2880"/>
          </w:tcPr>
          <w:p>
            <w:r/>
            <w:r>
              <w:rPr>
                <w:sz w:val="17"/>
              </w:rPr>
              <w:t>Items 15, 16; Reg. Files 18</w:t>
            </w:r>
          </w:p>
        </w:tc>
        <w:tc>
          <w:tcPr>
            <w:tcW w:type="dxa" w:w="10944"/>
          </w:tcPr>
          <w:p>
            <w:r/>
            <w:r>
              <w:rPr>
                <w:sz w:val="17"/>
              </w:rPr>
              <w:t>Treat a passing HIPAA reference as a 164.508 authorization; mischaracterize the 46.116 commercial-use element.</w:t>
            </w:r>
          </w:p>
        </w:tc>
      </w:tr>
      <w:tr>
        <w:tc>
          <w:tcPr>
            <w:tcW w:type="dxa" w:w="2880"/>
          </w:tcPr>
          <w:p>
            <w:r/>
            <w:r>
              <w:rPr>
                <w:sz w:val="17"/>
              </w:rPr>
              <w:t>Item 18</w:t>
            </w:r>
          </w:p>
        </w:tc>
        <w:tc>
          <w:tcPr>
            <w:tcW w:type="dxa" w:w="10944"/>
          </w:tcPr>
          <w:p>
            <w:r/>
            <w:r>
              <w:rPr>
                <w:sz w:val="17"/>
              </w:rPr>
              <w:t>Accepts $50/16/$800 without reconciliation to the protocol’s $75/18/$1,350.</w:t>
            </w:r>
          </w:p>
        </w:tc>
      </w:tr>
      <w:tr>
        <w:tc>
          <w:tcPr>
            <w:tcW w:type="dxa" w:w="2880"/>
          </w:tcPr>
          <w:p>
            <w:r/>
            <w:r>
              <w:rPr>
                <w:sz w:val="17"/>
              </w:rPr>
              <w:t>Item 20</w:t>
            </w:r>
          </w:p>
        </w:tc>
        <w:tc>
          <w:tcPr>
            <w:tcW w:type="dxa" w:w="10944"/>
          </w:tcPr>
          <w:p>
            <w:r/>
            <w:r>
              <w:rPr>
                <w:sz w:val="17"/>
              </w:rPr>
              <w:t>Asserts a CIRB stamp on every page and page numbering; the stamp appears once, carries the wrong approval date, and the footer shows a “[X] of [Y]” placeholder.</w:t>
            </w:r>
          </w:p>
        </w:tc>
      </w:tr>
      <w:tr>
        <w:tc>
          <w:tcPr>
            <w:tcW w:type="dxa" w:w="2880"/>
          </w:tcPr>
          <w:p>
            <w:r/>
            <w:r>
              <w:rPr>
                <w:sz w:val="17"/>
              </w:rPr>
              <w:t>Missing items</w:t>
            </w:r>
          </w:p>
        </w:tc>
        <w:tc>
          <w:tcPr>
            <w:tcW w:type="dxa" w:w="10944"/>
          </w:tcPr>
          <w:p>
            <w:r/>
            <w:r>
              <w:rPr>
                <w:sz w:val="17"/>
              </w:rPr>
              <w:t>No line for 50.25(c) (ClinicalTrials.gov), the 46.116(a)(5)(i) key-information summary, or re-consent status against Stip. 4.</w:t>
            </w:r>
          </w:p>
        </w:tc>
      </w:tr>
      <w:tr>
        <w:tc>
          <w:tcPr>
            <w:tcW w:type="dxa" w:w="2880"/>
          </w:tcPr>
          <w:p>
            <w:r/>
            <w:r>
              <w:rPr>
                <w:sz w:val="17"/>
              </w:rPr>
              <w:t>Summary arithmetic</w:t>
            </w:r>
          </w:p>
        </w:tc>
        <w:tc>
          <w:tcPr>
            <w:tcW w:type="dxa" w:w="10944"/>
          </w:tcPr>
          <w:p>
            <w:r/>
            <w:r>
              <w:rPr>
                <w:sz w:val="17"/>
              </w:rPr>
              <w:t>ICF tab lists 22 items, not the stated 21, with 21 Complete and 1 N/A (stated: 19 and 1). Site Documentation tab shows 11 Complete, 2 In Progress, 1 Pending and 1 On Track (stated: 12 Complete).</w:t>
            </w:r>
          </w:p>
        </w:tc>
      </w:tr>
      <w:tr>
        <w:tc>
          <w:tcPr>
            <w:tcW w:type="dxa" w:w="2880"/>
          </w:tcPr>
          <w:p>
            <w:r/>
            <w:r>
              <w:rPr>
                <w:sz w:val="17"/>
              </w:rPr>
              <w:t>Reg. Files Item 5</w:t>
            </w:r>
          </w:p>
        </w:tc>
        <w:tc>
          <w:tcPr>
            <w:tcW w:type="dxa" w:w="10944"/>
          </w:tcPr>
          <w:p>
            <w:r/>
            <w:r>
              <w:rPr>
                <w:sz w:val="17"/>
              </w:rPr>
              <w:t>“Complete” although re-consent is past the CIRB deadline.</w:t>
            </w:r>
          </w:p>
        </w:tc>
      </w:tr>
      <w:tr>
        <w:tc>
          <w:tcPr>
            <w:tcW w:type="dxa" w:w="2880"/>
          </w:tcPr>
          <w:p>
            <w:r/>
            <w:r>
              <w:rPr>
                <w:sz w:val="17"/>
              </w:rPr>
              <w:t>Independence</w:t>
            </w:r>
          </w:p>
        </w:tc>
        <w:tc>
          <w:tcPr>
            <w:tcW w:type="dxa" w:w="10944"/>
          </w:tcPr>
          <w:p>
            <w:r/>
            <w:r>
              <w:rPr>
                <w:sz w:val="17"/>
              </w:rPr>
              <w:t>Every item was self-reviewed by the Study Coordinator (June 8-10, 2025), who is named in and administers the ICF. FDA investigators will test this checklist; as drafted, it documents that the site certified deficient consent as compliant.</w:t>
            </w:r>
          </w:p>
        </w:tc>
      </w:tr>
    </w:tbl>
    <w:p/>
    <w:p>
      <w:r>
        <w:t>Recommendation: keep the June 2025 checklist (do not destroy or back-date it), prepare a corrected version through an independent reviewer, and present the correction history openly if the investigator asks. A self-identified, documented correction with a CAPA is much better than having the investigator find the errors.</w:t>
      </w:r>
    </w:p>
    <w:p>
      <w:pPr>
        <w:pStyle w:val="Heading1"/>
      </w:pPr>
      <w:r>
        <w:rPr>
          <w:color w:val="1F3864"/>
        </w:rPr>
        <w:t>Part V. CIRB Stipulation Compliance Status</w:t>
      </w:r>
    </w:p>
    <w:tbl>
      <w:tblPr>
        <w:tblStyle w:val="TableGrid"/>
        <w:tblW w:type="auto" w:w="0"/>
        <w:tblLook w:firstColumn="1" w:firstRow="1" w:lastColumn="0" w:lastRow="0" w:noHBand="0" w:noVBand="1" w:val="04A0"/>
      </w:tblPr>
      <w:tblGrid>
        <w:gridCol w:w="3456"/>
        <w:gridCol w:w="3456"/>
        <w:gridCol w:w="3456"/>
        <w:gridCol w:w="3456"/>
      </w:tblGrid>
      <w:tr>
        <w:trPr>
          <w:tblHeader w:val="true"/>
        </w:trPr>
        <w:tc>
          <w:tcPr>
            <w:tcW w:type="dxa" w:w="3744"/>
            <w:shd w:val="clear" w:color="auto" w:fill="1F3864"/>
          </w:tcPr>
          <w:p>
            <w:r/>
            <w:r>
              <w:rPr>
                <w:b/>
                <w:color w:val="FFFFFF"/>
                <w:sz w:val="18"/>
              </w:rPr>
              <w:t>Stipulation</w:t>
            </w:r>
          </w:p>
        </w:tc>
        <w:tc>
          <w:tcPr>
            <w:tcW w:type="dxa" w:w="2880"/>
            <w:shd w:val="clear" w:color="auto" w:fill="1F3864"/>
          </w:tcPr>
          <w:p>
            <w:r/>
            <w:r>
              <w:rPr>
                <w:b/>
                <w:color w:val="FFFFFF"/>
                <w:sz w:val="18"/>
              </w:rPr>
              <w:t>Deadline</w:t>
            </w:r>
          </w:p>
        </w:tc>
        <w:tc>
          <w:tcPr>
            <w:tcW w:type="dxa" w:w="4320"/>
            <w:shd w:val="clear" w:color="auto" w:fill="1F3864"/>
          </w:tcPr>
          <w:p>
            <w:r/>
            <w:r>
              <w:rPr>
                <w:b/>
                <w:color w:val="FFFFFF"/>
                <w:sz w:val="18"/>
              </w:rPr>
              <w:t>Record evidence</w:t>
            </w:r>
          </w:p>
        </w:tc>
        <w:tc>
          <w:tcPr>
            <w:tcW w:type="dxa" w:w="2880"/>
            <w:shd w:val="clear" w:color="auto" w:fill="1F3864"/>
          </w:tcPr>
          <w:p>
            <w:r/>
            <w:r>
              <w:rPr>
                <w:b/>
                <w:color w:val="FFFFFF"/>
                <w:sz w:val="18"/>
              </w:rPr>
              <w:t>Status</w:t>
            </w:r>
          </w:p>
        </w:tc>
      </w:tr>
      <w:tr>
        <w:tc>
          <w:tcPr>
            <w:tcW w:type="dxa" w:w="3744"/>
          </w:tcPr>
          <w:p>
            <w:r/>
            <w:r>
              <w:rPr>
                <w:sz w:val="17"/>
              </w:rPr>
              <w:t>Stip. 1: ICF update for interim-analysis AE data</w:t>
            </w:r>
          </w:p>
        </w:tc>
        <w:tc>
          <w:tcPr>
            <w:tcW w:type="dxa" w:w="2880"/>
          </w:tcPr>
          <w:p>
            <w:r/>
            <w:r>
              <w:rPr>
                <w:sz w:val="17"/>
              </w:rPr>
              <w:t>Due Mar. 9, 2025</w:t>
            </w:r>
          </w:p>
        </w:tc>
        <w:tc>
          <w:tcPr>
            <w:tcW w:type="dxa" w:w="4320"/>
          </w:tcPr>
          <w:p>
            <w:r/>
            <w:r>
              <w:rPr>
                <w:sz w:val="17"/>
              </w:rPr>
              <w:t>v3.0 dated Mar. 15, 2025; approved by expedited review Mar. 21, 2025</w:t>
            </w:r>
          </w:p>
        </w:tc>
        <w:tc>
          <w:tcPr>
            <w:tcW w:type="dxa" w:w="2880"/>
            <w:shd w:val="clear" w:color="auto" w:fill="D9EAD3"/>
          </w:tcPr>
          <w:p>
            <w:r/>
            <w:r>
              <w:rPr>
                <w:b/>
                <w:sz w:val="17"/>
              </w:rPr>
              <w:t>Met late; substantive incorporation not evidenced (D-10)</w:t>
            </w:r>
          </w:p>
        </w:tc>
      </w:tr>
      <w:tr>
        <w:tc>
          <w:tcPr>
            <w:tcW w:type="dxa" w:w="3744"/>
          </w:tcPr>
          <w:p>
            <w:r/>
            <w:r>
              <w:rPr>
                <w:sz w:val="17"/>
              </w:rPr>
              <w:t>Stip. 2: Current CIRB contact information</w:t>
            </w:r>
          </w:p>
        </w:tc>
        <w:tc>
          <w:tcPr>
            <w:tcW w:type="dxa" w:w="2880"/>
          </w:tcPr>
          <w:p>
            <w:r/>
            <w:r>
              <w:rPr>
                <w:sz w:val="17"/>
              </w:rPr>
              <w:t>Any ICF revision</w:t>
            </w:r>
          </w:p>
        </w:tc>
        <w:tc>
          <w:tcPr>
            <w:tcW w:type="dxa" w:w="4320"/>
          </w:tcPr>
          <w:p>
            <w:r/>
            <w:r>
              <w:rPr>
                <w:sz w:val="17"/>
              </w:rPr>
              <w:t>v3.0 still lists (704) 555-3829; no email</w:t>
            </w:r>
          </w:p>
        </w:tc>
        <w:tc>
          <w:tcPr>
            <w:tcW w:type="dxa" w:w="2880"/>
            <w:shd w:val="clear" w:color="auto" w:fill="FCE5CD"/>
          </w:tcPr>
          <w:p>
            <w:r/>
            <w:r>
              <w:rPr>
                <w:b/>
                <w:sz w:val="17"/>
              </w:rPr>
              <w:t>Not met (repeat of CR#1)</w:t>
            </w:r>
          </w:p>
        </w:tc>
      </w:tr>
      <w:tr>
        <w:tc>
          <w:tcPr>
            <w:tcW w:type="dxa" w:w="3744"/>
          </w:tcPr>
          <w:p>
            <w:r/>
            <w:r>
              <w:rPr>
                <w:sz w:val="17"/>
              </w:rPr>
              <w:t>Stip. 3: Financial disclosure reporting</w:t>
            </w:r>
          </w:p>
        </w:tc>
        <w:tc>
          <w:tcPr>
            <w:tcW w:type="dxa" w:w="2880"/>
          </w:tcPr>
          <w:p>
            <w:r/>
            <w:r>
              <w:rPr>
                <w:sz w:val="17"/>
              </w:rPr>
              <w:t>Ongoing; changes within 30 days</w:t>
            </w:r>
          </w:p>
        </w:tc>
        <w:tc>
          <w:tcPr>
            <w:tcW w:type="dxa" w:w="4320"/>
          </w:tcPr>
          <w:p>
            <w:r/>
            <w:r>
              <w:rPr>
                <w:sz w:val="17"/>
              </w:rPr>
              <w:t>Forms on file; updated Feb. 2025</w:t>
            </w:r>
          </w:p>
        </w:tc>
        <w:tc>
          <w:tcPr>
            <w:tcW w:type="dxa" w:w="2880"/>
            <w:shd w:val="clear" w:color="auto" w:fill="D9EAD3"/>
          </w:tcPr>
          <w:p>
            <w:r/>
            <w:r>
              <w:rPr>
                <w:b/>
                <w:sz w:val="17"/>
              </w:rPr>
              <w:t>Met, as far as the record shows</w:t>
            </w:r>
          </w:p>
        </w:tc>
      </w:tr>
      <w:tr>
        <w:tc>
          <w:tcPr>
            <w:tcW w:type="dxa" w:w="3744"/>
          </w:tcPr>
          <w:p>
            <w:r/>
            <w:r>
              <w:rPr>
                <w:sz w:val="17"/>
              </w:rPr>
              <w:t>Stip. 4: Re-consent all enrolled subjects on v3.0</w:t>
            </w:r>
          </w:p>
        </w:tc>
        <w:tc>
          <w:tcPr>
            <w:tcW w:type="dxa" w:w="2880"/>
          </w:tcPr>
          <w:p>
            <w:r/>
            <w:r>
              <w:rPr>
                <w:sz w:val="17"/>
              </w:rPr>
              <w:t>May 20, 2025</w:t>
            </w:r>
          </w:p>
        </w:tc>
        <w:tc>
          <w:tcPr>
            <w:tcW w:type="dxa" w:w="4320"/>
          </w:tcPr>
          <w:p>
            <w:r/>
            <w:r>
              <w:rPr>
                <w:sz w:val="17"/>
              </w:rPr>
              <w:t>298 of 412 as of June 2025; target July 31, 2025</w:t>
            </w:r>
          </w:p>
        </w:tc>
        <w:tc>
          <w:tcPr>
            <w:tcW w:type="dxa" w:w="2880"/>
            <w:shd w:val="clear" w:color="auto" w:fill="FCE5CD"/>
          </w:tcPr>
          <w:p>
            <w:r/>
            <w:r>
              <w:rPr>
                <w:b/>
                <w:sz w:val="17"/>
              </w:rPr>
              <w:t>Not met: 114 overdue</w:t>
            </w:r>
          </w:p>
        </w:tc>
      </w:tr>
      <w:tr>
        <w:tc>
          <w:tcPr>
            <w:tcW w:type="dxa" w:w="3744"/>
          </w:tcPr>
          <w:p>
            <w:r/>
            <w:r>
              <w:rPr>
                <w:sz w:val="17"/>
              </w:rPr>
              <w:t>Continuing review</w:t>
            </w:r>
          </w:p>
        </w:tc>
        <w:tc>
          <w:tcPr>
            <w:tcW w:type="dxa" w:w="2880"/>
          </w:tcPr>
          <w:p>
            <w:r/>
            <w:r>
              <w:rPr>
                <w:sz w:val="17"/>
              </w:rPr>
              <w:t>Submit by Jan. 7, 2026; approval expires Feb. 6, 2026</w:t>
            </w:r>
          </w:p>
        </w:tc>
        <w:tc>
          <w:tcPr>
            <w:tcW w:type="dxa" w:w="4320"/>
          </w:tcPr>
          <w:p>
            <w:r/>
            <w:r>
              <w:rPr>
                <w:sz w:val="17"/>
              </w:rPr>
              <w:t>Study completion estimate March 2026 or later</w:t>
            </w:r>
          </w:p>
        </w:tc>
        <w:tc>
          <w:tcPr>
            <w:tcW w:type="dxa" w:w="2880"/>
          </w:tcPr>
          <w:p>
            <w:r/>
            <w:r>
              <w:rPr>
                <w:b/>
                <w:sz w:val="17"/>
              </w:rPr>
              <w:t>Calendar; at risk</w:t>
            </w:r>
          </w:p>
        </w:tc>
      </w:tr>
    </w:tbl>
    <w:p/>
    <w:p>
      <w:pPr>
        <w:pStyle w:val="Heading1"/>
      </w:pPr>
      <w:r>
        <w:rPr>
          <w:color w:val="1F3864"/>
        </w:rPr>
        <w:t>Part VI. Recommended Remediation Plan</w:t>
      </w:r>
    </w:p>
    <w:tbl>
      <w:tblPr>
        <w:tblStyle w:val="TableGrid"/>
        <w:tblW w:type="auto" w:w="0"/>
        <w:tblLook w:firstColumn="1" w:firstRow="1" w:lastColumn="0" w:lastRow="0" w:noHBand="0" w:noVBand="1" w:val="04A0"/>
      </w:tblPr>
      <w:tblGrid>
        <w:gridCol w:w="6912"/>
        <w:gridCol w:w="6912"/>
      </w:tblGrid>
      <w:tr>
        <w:trPr>
          <w:tblHeader w:val="true"/>
        </w:trPr>
        <w:tc>
          <w:tcPr>
            <w:tcW w:type="dxa" w:w="2304"/>
            <w:shd w:val="clear" w:color="auto" w:fill="1F3864"/>
          </w:tcPr>
          <w:p>
            <w:r/>
            <w:r>
              <w:rPr>
                <w:b/>
                <w:color w:val="FFFFFF"/>
                <w:sz w:val="18"/>
              </w:rPr>
              <w:t>Timing</w:t>
            </w:r>
          </w:p>
        </w:tc>
        <w:tc>
          <w:tcPr>
            <w:tcW w:type="dxa" w:w="11520"/>
            <w:shd w:val="clear" w:color="auto" w:fill="1F3864"/>
          </w:tcPr>
          <w:p>
            <w:r/>
            <w:r>
              <w:rPr>
                <w:b/>
                <w:color w:val="FFFFFF"/>
                <w:sz w:val="18"/>
              </w:rPr>
              <w:t>Actions</w:t>
            </w:r>
          </w:p>
        </w:tc>
      </w:tr>
      <w:tr>
        <w:tc>
          <w:tcPr>
            <w:tcW w:type="dxa" w:w="2304"/>
          </w:tcPr>
          <w:p>
            <w:r/>
            <w:r>
              <w:rPr>
                <w:sz w:val="17"/>
              </w:rPr>
              <w:t>Immediately</w:t>
            </w:r>
          </w:p>
        </w:tc>
        <w:tc>
          <w:tcPr>
            <w:tcW w:type="dxa" w:w="11520"/>
          </w:tcPr>
          <w:p>
            <w:r/>
            <w:r>
              <w:rPr>
                <w:sz w:val="17"/>
              </w:rPr>
              <w:t>Send a written notice to all active participants with the correct CIRB phone and email. Report the Stip. 2 and Stip. 4 noncompliance and the late Stip. 1 submission to the CIRB under its noncompliance policy. Assess with the PI and CIRB whether the thyroid C-cell tumor information must be communicated to current subjects at once as a significant new finding (50.25(b)(5)).</w:t>
            </w:r>
          </w:p>
        </w:tc>
      </w:tr>
      <w:tr>
        <w:tc>
          <w:tcPr>
            <w:tcW w:type="dxa" w:w="2304"/>
          </w:tcPr>
          <w:p>
            <w:r/>
            <w:r>
              <w:rPr>
                <w:sz w:val="17"/>
              </w:rPr>
              <w:t>Within 2 weeks</w:t>
            </w:r>
          </w:p>
        </w:tc>
        <w:tc>
          <w:tcPr>
            <w:tcW w:type="dxa" w:w="11520"/>
          </w:tcPr>
          <w:p>
            <w:r/>
            <w:r>
              <w:rPr>
                <w:sz w:val="17"/>
              </w:rPr>
              <w:t>Prepare ICF v4.0 (key-information summary; Boxed Warning; alternatives; voluntariness; injury; compensation at $75/18/$1,350 or the IRB-approved figure; named data recipients; 50.25(c) statement; procedures table; contraception and breastfeeding; termination criteria; specimen and future-use language; corrected contacts). Prepare a stand-alone HIPAA authorization. Submit both to the CIRB.</w:t>
            </w:r>
          </w:p>
        </w:tc>
      </w:tr>
      <w:tr>
        <w:tc>
          <w:tcPr>
            <w:tcW w:type="dxa" w:w="2304"/>
          </w:tcPr>
          <w:p>
            <w:r/>
            <w:r>
              <w:rPr>
                <w:sz w:val="17"/>
              </w:rPr>
              <w:t>Before Aug. 11, 2025</w:t>
            </w:r>
          </w:p>
        </w:tc>
        <w:tc>
          <w:tcPr>
            <w:tcW w:type="dxa" w:w="11520"/>
          </w:tcPr>
          <w:p>
            <w:r/>
            <w:r>
              <w:rPr>
                <w:sz w:val="17"/>
              </w:rPr>
              <w:t>Re-perform the inspection checklist through an independent reviewer (Office of Research Compliance or counsel), with correct section cites, a 50.25(c) line, a re-consent line and corrected arithmetic. Keep the June version and its correction history; do not overwrite it. Reconcile protocol amendment and IB versions. Verify the compensation actually paid against the IRB-approved amount, and check concomitant-medication logs for sulfonylurea use.</w:t>
            </w:r>
          </w:p>
        </w:tc>
      </w:tr>
      <w:tr>
        <w:tc>
          <w:tcPr>
            <w:tcW w:type="dxa" w:w="2304"/>
          </w:tcPr>
          <w:p>
            <w:r/>
            <w:r>
              <w:rPr>
                <w:sz w:val="17"/>
              </w:rPr>
              <w:t>Before Aug. 18, 2025 inspection</w:t>
            </w:r>
          </w:p>
        </w:tc>
        <w:tc>
          <w:tcPr>
            <w:tcW w:type="dxa" w:w="11520"/>
          </w:tcPr>
          <w:p>
            <w:r/>
            <w:r>
              <w:rPr>
                <w:sz w:val="17"/>
              </w:rPr>
              <w:t>Open a CAPA covering ICF version control, stamp control and contact-information verification. Re-consent all subjects on the approved v4.0 and document each with a signed and dated copy. Prepare the PI and coordinator to explain each issue factually. Counsel should be present (Hartwell &amp; Calloway; notify Fielding &amp; Torrance as Ridgeline’s counsel where appropriate).</w:t>
            </w:r>
          </w:p>
        </w:tc>
      </w:tr>
    </w:tbl>
    <w:p/>
    <w:p>
      <w:pPr>
        <w:pStyle w:val="Heading1"/>
      </w:pPr>
      <w:r>
        <w:rPr>
          <w:color w:val="1F3864"/>
        </w:rPr>
        <w:t>Assumptions and Limitations</w:t>
      </w:r>
    </w:p>
    <w:p>
      <w:pPr>
        <w:pStyle w:val="ListBullet"/>
      </w:pPr>
      <w:r>
        <w:t>This review is limited to the four documents provided: ICF v3.0, the Protocol Synopsis, the CIRB CR#2 approval letter, and the three-tab FDA inspection checklist. We did not review the full protocol, the IB, the Interim Analysis Report, the CIRB-stamped signed consents, or the CIRB’s approved compensation schedule. Several findings (D-4, D-10, D-19) should be confirmed against those records.</w:t>
      </w:r>
    </w:p>
    <w:p>
      <w:pPr>
        <w:pStyle w:val="ListBullet"/>
      </w:pPr>
      <w:r>
        <w:t>Dates are assessed as of the documents (June 2025, ahead of the Aug. 18, 2025 inspection). If this report is relied on after Feb. 6, 2026, confirm that continuing review was approved and that CIRB approval did not lapse.</w:t>
      </w:r>
    </w:p>
    <w:p>
      <w:pPr>
        <w:pStyle w:val="ListBullet"/>
      </w:pPr>
      <w:r>
        <w:t>Page count and stamp observations come from the native .docx; rendered pagination may vary by application.</w:t>
      </w:r>
    </w:p>
    <w:p>
      <w:pPr>
        <w:pStyle w:val="ListBullet"/>
      </w:pPr>
      <w:r>
        <w:t>Common Rule findings assume the protocol’s statement that 45 CFR 46 applies is correct.</w:t>
      </w:r>
    </w:p>
    <w:sectPr w:rsidR="00FC693F" w:rsidRPr="0006063C" w:rsidSect="00034616">
      <w:headerReference w:type="default" r:id="rId9"/>
      <w:footerReference w:type="default" r:id="rId10"/>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PRIVILEGED &amp; CONFIDENTIAL | ATTORNEY WORK PRODUCT | PNC-4187-301 ICF v3.0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