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18"/>
        </w:rPr>
        <w:t>PRIVILEGED AND CONFIDENTIAL — ATTORNEY-CLIENT COMMUNICATION / ATTORNEY WORK PRODUCT</w:t>
      </w:r>
    </w:p>
    <w:p>
      <w:pPr>
        <w:spacing w:after="40"/>
        <w:jc w:val="center"/>
      </w:pPr>
      <w:r>
        <w:rPr>
          <w:b/>
          <w:i w:val="0"/>
          <w:sz w:val="26"/>
        </w:rPr>
        <w:t>LINDEN, ASHBY &amp; WHITMORE LLP</w:t>
      </w:r>
    </w:p>
    <w:p>
      <w:pPr>
        <w:spacing w:after="200"/>
        <w:jc w:val="center"/>
      </w:pPr>
      <w:r>
        <w:rPr>
          <w:b/>
          <w:i w:val="0"/>
          <w:sz w:val="26"/>
        </w:rPr>
        <w:t>MEMORANDUM</w:t>
      </w:r>
    </w:p>
    <w:p>
      <w:pPr>
        <w:spacing w:after="80"/>
      </w:pPr>
      <w:r>
        <w:rPr>
          <w:b/>
        </w:rPr>
        <w:t>TO:</w:t>
        <w:tab/>
        <w:tab/>
      </w:r>
      <w:r>
        <w:t>Margaret Yoon, Partner</w:t>
      </w:r>
    </w:p>
    <w:p>
      <w:pPr>
        <w:spacing w:after="80"/>
      </w:pPr>
      <w:r>
        <w:rPr>
          <w:b/>
        </w:rPr>
        <w:t>CC:</w:t>
        <w:tab/>
        <w:tab/>
      </w:r>
      <w:r>
        <w:t>Karen Chu, Vice President, and David Prescott, Managing Partner, Clearview Health Partners LLC (deal team)</w:t>
      </w:r>
    </w:p>
    <w:p>
      <w:pPr>
        <w:spacing w:after="80"/>
      </w:pPr>
      <w:r>
        <w:rPr>
          <w:b/>
        </w:rPr>
        <w:t>FROM:</w:t>
        <w:tab/>
        <w:tab/>
      </w:r>
      <w:r>
        <w:t>M&amp;A / Healthcare Transactions team</w:t>
      </w:r>
    </w:p>
    <w:p>
      <w:pPr>
        <w:spacing w:after="80"/>
      </w:pPr>
      <w:r>
        <w:rPr>
          <w:b/>
        </w:rPr>
        <w:t>DATE:</w:t>
        <w:tab/>
        <w:tab/>
      </w:r>
      <w:r>
        <w:t>February 18, 2025</w:t>
      </w:r>
    </w:p>
    <w:p>
      <w:pPr>
        <w:spacing w:after="80"/>
      </w:pPr>
      <w:r>
        <w:rPr>
          <w:b/>
        </w:rPr>
        <w:t>RE:</w:t>
        <w:tab/>
        <w:tab/>
      </w:r>
      <w:r>
        <w:t>Project Pinnacle — Issue Identification Memorandum on Seller’s Draft Agreement and Plan of Merger (Breckenridge Sloane draft circulated January 8, 2025) among Clearview HC Acquisition Sub, Inc., Clearview Health Partners Fund IV, L.P., Clearview Health Partners LLC, Pinnacle Medical Group, P.A. and Dr. Raymond Vasquez, as Seller Representative</w:t>
      </w:r>
    </w:p>
    <w:p>
      <w:pPr>
        <w:spacing w:after="40"/>
        <w:pBdr>
          <w:bottom w:val="single" w:sz="8" w:space="1" w:color="1F2A44"/>
        </w:pBdr>
      </w:pPr>
    </w:p>
    <w:p>
      <w:pPr>
        <w:pStyle w:val="Heading1"/>
      </w:pPr>
      <w:r>
        <w:t>I. Executive Summary</w:t>
      </w:r>
    </w:p>
    <w:p>
      <w:pPr>
        <w:spacing w:after="120"/>
      </w:pPr>
      <w:r>
        <w:rPr>
          <w:b w:val="0"/>
          <w:i w:val="0"/>
        </w:rPr>
        <w:t>We reviewed Seller’s January 8, 2025 draft Agreement and Plan of Merger (the “Draft”) against Seller’s counsel’s transmittal email, the Thornfield Advisory Group Quality of Earnings Summary (January 20, 2025) (the “QoE”), the Ridgeline/Thornfield Lease Summary Schedule (January 20, 2025) (the “Lease Schedule”), and our firm’s Regulatory and Compliance Due Diligence Memorandum (February 14, 2025) (the “Regulatory Memo”). This memorandum identifies the issues our client, Clearview (Buyer side), should raise in its markup and issues list ahead of the February 28 diligence expiration and the targeted March 15 signing.</w:t>
      </w:r>
    </w:p>
    <w:p>
      <w:pPr>
        <w:spacing w:after="120"/>
      </w:pPr>
      <w:r>
        <w:rPr>
          <w:b w:val="0"/>
          <w:i w:val="0"/>
        </w:rPr>
        <w:t>Bottom line: the Draft is not a workable basis for signing in its current form. Three problems are structural and must be fixed before any markup of individual provisions makes sense. (1) A private equity fund cannot own a Texas professional association, and the “ministerial” conversion of the practice into a business corporation would violate Texas corporate practice of medicine rules. (2) The stated §368(a) reorganization treatment is not available on these facts, and pursuing it would give up Buyer’s basis step-up. (3) The Draft prohibits an HSR filing that appears to be required. Separately, the Draft would require Buyer to continue, after closing, the related-party leases and ancillary arrangements that our diligence identifies as the principal Stark Law and Anti-Kickback Statute exposures. It also deems that continuation not to be a breach. Several known liabilities fall entirely within a general indemnity package that, for those liabilities, gives Buyer little real protection.</w:t>
      </w:r>
    </w:p>
    <w:p>
      <w:pPr>
        <w:spacing w:after="40"/>
      </w:pPr>
      <w:r>
        <w:rPr>
          <w:b/>
          <w:i w:val="0"/>
        </w:rPr>
        <w:t>Highest-priority items (Critical):</w:t>
      </w:r>
    </w:p>
    <w:p>
      <w:pPr>
        <w:pStyle w:val="ListBullet"/>
        <w:spacing w:after="60"/>
      </w:pPr>
      <w:r>
        <w:t>[A-1] Texas corporate practice of medicine (CPOM): Parent cannot own a Texas professional association, and the “ministerial” Post-Closing Conversion would put a lay business corporation in the business of practicing medicine</w:t>
      </w:r>
    </w:p>
    <w:p>
      <w:pPr>
        <w:pStyle w:val="ListBullet"/>
        <w:spacing w:after="60"/>
      </w:pPr>
      <w:r>
        <w:t>[A-2] Intended IRC §368(a) reorganization treatment is not available; no tax opinion; Buyer forgoes a basis step-up</w:t>
      </w:r>
    </w:p>
    <w:p>
      <w:pPr>
        <w:pStyle w:val="ListBullet"/>
        <w:spacing w:after="60"/>
      </w:pPr>
      <w:r>
        <w:t>[A-3] HSR Act: draft affirmatively states no filing is required and prohibits one, although the deal appears to exceed the size-of-transaction threshold</w:t>
      </w:r>
    </w:p>
    <w:p>
      <w:pPr>
        <w:pStyle w:val="ListBullet"/>
        <w:spacing w:after="60"/>
      </w:pPr>
      <w:r>
        <w:t>[B-1] Adjusted EBITDA overstated by $400,000; Base Enterprise Value overstated by about $3.0 million</w:t>
      </w:r>
    </w:p>
    <w:p>
      <w:pPr>
        <w:pStyle w:val="ListBullet"/>
        <w:spacing w:after="60"/>
      </w:pPr>
      <w:r>
        <w:t>[B-4] Net working capital true-up double-counts the $1.5 million estimated adjustment</w:t>
      </w:r>
    </w:p>
    <w:p>
      <w:pPr>
        <w:pStyle w:val="ListBullet"/>
        <w:spacing w:after="60"/>
      </w:pPr>
      <w:r>
        <w:t>[C-1] Known pain-management E&amp;M upcoding (about $1.8 million), not disclosed in the draft; 60-day overpayment rule; no specific indemnity</w:t>
      </w:r>
    </w:p>
    <w:p>
      <w:pPr>
        <w:pStyle w:val="ListBullet"/>
        <w:spacing w:after="60"/>
      </w:pPr>
      <w:r>
        <w:t>[C-2] Related-party Vasquez leases at about 22% above FMV; §6.10 locks them in post-closing; §4.13(c) FMV representation contradicted by Buyer’s own diligence</w:t>
      </w:r>
    </w:p>
    <w:p>
      <w:pPr>
        <w:pStyle w:val="ListBullet"/>
        <w:spacing w:after="60"/>
      </w:pPr>
      <w:r>
        <w:t>[C-3] Ancillary services (MRI, lab, PT) with Vasquez-owned entities: the in-office ancillary services exception likely unavailable; off-site PT is a clear failure</w:t>
      </w:r>
    </w:p>
    <w:p>
      <w:pPr>
        <w:pStyle w:val="ListBullet"/>
        <w:spacing w:after="60"/>
      </w:pPr>
      <w:r>
        <w:t>[C-4] Vasquez Employment Agreement: compensation above the 90th percentile; contractual FMV stipulation is not a defense; no restrictive covenants</w:t>
      </w:r>
    </w:p>
    <w:p>
      <w:pPr>
        <w:pStyle w:val="ListBullet"/>
        <w:spacing w:after="60"/>
      </w:pPr>
      <w:r>
        <w:t>[D-1] Indemnity is several (not joint), the Equity Holders are bound only by Articles III, IX and X, and post-escrow recovery is against individuals</w:t>
      </w:r>
    </w:p>
    <w:p>
      <w:pPr>
        <w:pStyle w:val="ListBullet"/>
        <w:spacing w:after="60"/>
      </w:pPr>
      <w:r>
        <w:t>[D-2] No specific (special) indemnities for known matters</w:t>
      </w:r>
    </w:p>
    <w:p>
      <w:pPr>
        <w:spacing w:after="120"/>
      </w:pPr>
      <w:r>
        <w:rPr>
          <w:b w:val="0"/>
          <w:i w:val="0"/>
        </w:rPr>
        <w:t>Key economics. On Buyer’s own QoE, Base Enterprise Value should be about $221.8 million, not $224.8 million (a $3.0 million overstatement), before further reductions for the non-recurring upcoded revenue (about $4.5 million of value at 7.5x) and the founder-compensation add-back. A drafting error in the NWC true-up would cause Buyer to pay the $1.5 million estimated NWC adjustment twice. The Draft does not deduct Seller transaction expenses (about $3.2 million) or debt incurred after the fixed Net Debt figure. The $15 million single escrow, released on a fixed date, is undersized against roughly $7–$20 million or more of identified exposures, before penalties, and post-escrow recovery is several-only against five individuals.</w:t>
      </w:r>
    </w:p>
    <w:p>
      <w:pPr>
        <w:spacing w:after="120"/>
      </w:pPr>
      <w:r>
        <w:rPr>
          <w:b w:val="0"/>
          <w:i w:val="0"/>
        </w:rPr>
        <w:t>Seller’s counsel’s transmittal characterizes the P.A. conversion as ministerial, the tax treatment as “well-supported,” the indemnity package as market, and the earnout targets as “readily achievable.” Each characterization is incorrect or incomplete (see Section IV). We recommend that the response to Seller lead with the structural points and the known-liability package rather than a line-by-line markup.</w:t>
      </w:r>
    </w:p>
    <w:p>
      <w:pPr>
        <w:pStyle w:val="Heading1"/>
      </w:pPr>
      <w:r>
        <w:t>II. Transaction Overview and Documents Reviewed</w:t>
      </w:r>
    </w:p>
    <w:p>
      <w:pPr>
        <w:spacing w:after="120"/>
      </w:pPr>
      <w:r>
        <w:rPr>
          <w:b w:val="0"/>
          <w:i/>
        </w:rPr>
        <w:t>Table 1 summarizes the principal economic terms as they appear in the Draft, with the corresponding diligence figure where the two differ.</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2A44"/>
          </w:tcPr>
          <w:p>
            <w:r/>
            <w:r>
              <w:rPr>
                <w:b/>
                <w:color w:val="FFFFFF"/>
                <w:sz w:val="18"/>
              </w:rPr>
              <w:t>Term</w:t>
            </w:r>
          </w:p>
        </w:tc>
        <w:tc>
          <w:tcPr>
            <w:tcW w:type="dxa" w:w="3744"/>
            <w:shd w:val="clear" w:color="auto" w:fill="1F2A44"/>
          </w:tcPr>
          <w:p>
            <w:r/>
            <w:r>
              <w:rPr>
                <w:b/>
                <w:color w:val="FFFFFF"/>
                <w:sz w:val="18"/>
              </w:rPr>
              <w:t>Draft (Jan. 8, 2025)</w:t>
            </w:r>
          </w:p>
        </w:tc>
        <w:tc>
          <w:tcPr>
            <w:tcW w:type="dxa" w:w="3600"/>
            <w:shd w:val="clear" w:color="auto" w:fill="1F2A44"/>
          </w:tcPr>
          <w:p>
            <w:r/>
            <w:r>
              <w:rPr>
                <w:b/>
                <w:color w:val="FFFFFF"/>
                <w:sz w:val="18"/>
              </w:rPr>
              <w:t>Diligence / Comment</w:t>
            </w:r>
          </w:p>
        </w:tc>
      </w:tr>
      <w:tr>
        <w:tc>
          <w:tcPr>
            <w:tcW w:type="dxa" w:w="2016"/>
          </w:tcPr>
          <w:p>
            <w:r/>
            <w:r>
              <w:rPr>
                <w:sz w:val="18"/>
              </w:rPr>
              <w:t>Structure</w:t>
            </w:r>
          </w:p>
        </w:tc>
        <w:tc>
          <w:tcPr>
            <w:tcW w:type="dxa" w:w="3744"/>
          </w:tcPr>
          <w:p>
            <w:r/>
            <w:r>
              <w:rPr>
                <w:sz w:val="18"/>
              </w:rPr>
              <w:t>Reverse triangular merger (TBOC); Merger Sub (TX corp.) into Pinnacle P.A.; P.A. converts to TX corporation within 30 days (§2.5)</w:t>
            </w:r>
          </w:p>
        </w:tc>
        <w:tc>
          <w:tcPr>
            <w:tcW w:type="dxa" w:w="3600"/>
          </w:tcPr>
          <w:p>
            <w:r/>
            <w:r>
              <w:rPr>
                <w:sz w:val="18"/>
              </w:rPr>
              <w:t>Impermissible under Texas CPOM; requires MSO / friendly-P.A. model (A-1)</w:t>
            </w:r>
          </w:p>
        </w:tc>
      </w:tr>
      <w:tr>
        <w:tc>
          <w:tcPr>
            <w:tcW w:type="dxa" w:w="2016"/>
          </w:tcPr>
          <w:p>
            <w:r/>
            <w:r>
              <w:rPr>
                <w:sz w:val="18"/>
              </w:rPr>
              <w:t>Parent / rollover issuer</w:t>
            </w:r>
          </w:p>
        </w:tc>
        <w:tc>
          <w:tcPr>
            <w:tcW w:type="dxa" w:w="3744"/>
          </w:tcPr>
          <w:p>
            <w:r/>
            <w:r>
              <w:rPr>
                <w:sz w:val="18"/>
              </w:rPr>
              <w:t>Clearview Health Partners Fund IV, L.P.; Clearview Health Partners LLC is “Buyer”</w:t>
            </w:r>
          </w:p>
        </w:tc>
        <w:tc>
          <w:tcPr>
            <w:tcW w:type="dxa" w:w="3600"/>
          </w:tcPr>
          <w:p>
            <w:r/>
            <w:r>
              <w:rPr>
                <w:sz w:val="18"/>
              </w:rPr>
              <w:t>QoE: Merger Sub owned by Clearview HC Holdings, LLC; rollover into Holdings (A-4)</w:t>
            </w:r>
          </w:p>
        </w:tc>
      </w:tr>
      <w:tr>
        <w:tc>
          <w:tcPr>
            <w:tcW w:type="dxa" w:w="2016"/>
          </w:tcPr>
          <w:p>
            <w:r/>
            <w:r>
              <w:rPr>
                <w:sz w:val="18"/>
              </w:rPr>
              <w:t>FY2024 revenue / EBITDA</w:t>
            </w:r>
          </w:p>
        </w:tc>
        <w:tc>
          <w:tcPr>
            <w:tcW w:type="dxa" w:w="3744"/>
          </w:tcPr>
          <w:p>
            <w:r/>
            <w:r>
              <w:rPr>
                <w:sz w:val="18"/>
              </w:rPr>
              <w:t>$187.3M / $25.6M (stated as audited)</w:t>
            </w:r>
          </w:p>
        </w:tc>
        <w:tc>
          <w:tcPr>
            <w:tcW w:type="dxa" w:w="3600"/>
          </w:tcPr>
          <w:p>
            <w:r/>
            <w:r>
              <w:rPr>
                <w:sz w:val="18"/>
              </w:rPr>
              <w:t>Consistent; confirm audit issued (B-1)</w:t>
            </w:r>
          </w:p>
        </w:tc>
      </w:tr>
      <w:tr>
        <w:tc>
          <w:tcPr>
            <w:tcW w:type="dxa" w:w="2016"/>
          </w:tcPr>
          <w:p>
            <w:r/>
            <w:r>
              <w:rPr>
                <w:sz w:val="18"/>
              </w:rPr>
              <w:t>Adjusted EBITDA</w:t>
            </w:r>
          </w:p>
        </w:tc>
        <w:tc>
          <w:tcPr>
            <w:tcW w:type="dxa" w:w="3744"/>
          </w:tcPr>
          <w:p>
            <w:r/>
            <w:r>
              <w:rPr>
                <w:sz w:val="18"/>
              </w:rPr>
              <w:t>$29.97M</w:t>
            </w:r>
          </w:p>
        </w:tc>
        <w:tc>
          <w:tcPr>
            <w:tcW w:type="dxa" w:w="3600"/>
          </w:tcPr>
          <w:p>
            <w:r/>
            <w:r>
              <w:rPr>
                <w:sz w:val="18"/>
              </w:rPr>
              <w:t>QoE: $29.57M (−$0.40M)</w:t>
            </w:r>
          </w:p>
        </w:tc>
      </w:tr>
      <w:tr>
        <w:tc>
          <w:tcPr>
            <w:tcW w:type="dxa" w:w="2016"/>
          </w:tcPr>
          <w:p>
            <w:r/>
            <w:r>
              <w:rPr>
                <w:sz w:val="18"/>
              </w:rPr>
              <w:t>Base Enterprise Value</w:t>
            </w:r>
          </w:p>
        </w:tc>
        <w:tc>
          <w:tcPr>
            <w:tcW w:type="dxa" w:w="3744"/>
          </w:tcPr>
          <w:p>
            <w:r/>
            <w:r>
              <w:rPr>
                <w:sz w:val="18"/>
              </w:rPr>
              <w:t>$224.8M (7.5x)</w:t>
            </w:r>
          </w:p>
        </w:tc>
        <w:tc>
          <w:tcPr>
            <w:tcW w:type="dxa" w:w="3600"/>
          </w:tcPr>
          <w:p>
            <w:r/>
            <w:r>
              <w:rPr>
                <w:sz w:val="18"/>
              </w:rPr>
              <w:t>$221.775M at 7.5x QoE Adj. EBITDA (−$3.025M)</w:t>
            </w:r>
          </w:p>
        </w:tc>
      </w:tr>
      <w:tr>
        <w:tc>
          <w:tcPr>
            <w:tcW w:type="dxa" w:w="2016"/>
          </w:tcPr>
          <w:p>
            <w:r/>
            <w:r>
              <w:rPr>
                <w:sz w:val="18"/>
              </w:rPr>
              <w:t>Net Debt</w:t>
            </w:r>
          </w:p>
        </w:tc>
        <w:tc>
          <w:tcPr>
            <w:tcW w:type="dxa" w:w="3744"/>
          </w:tcPr>
          <w:p>
            <w:r/>
            <w:r>
              <w:rPr>
                <w:sz w:val="18"/>
              </w:rPr>
              <w:t>$31.2M fixed (term loan $22.5M; equipment leases $4.7M; capital leases $4.0M)</w:t>
            </w:r>
          </w:p>
        </w:tc>
        <w:tc>
          <w:tcPr>
            <w:tcW w:type="dxa" w:w="3600"/>
          </w:tcPr>
          <w:p>
            <w:r/>
            <w:r>
              <w:rPr>
                <w:sz w:val="18"/>
              </w:rPr>
              <w:t>Fixed; no debt-like items; ~$3.2M Seller transaction expenses not deducted (B-3)</w:t>
            </w:r>
          </w:p>
        </w:tc>
      </w:tr>
      <w:tr>
        <w:tc>
          <w:tcPr>
            <w:tcW w:type="dxa" w:w="2016"/>
          </w:tcPr>
          <w:p>
            <w:r/>
            <w:r>
              <w:rPr>
                <w:sz w:val="18"/>
              </w:rPr>
              <w:t>NWC</w:t>
            </w:r>
          </w:p>
        </w:tc>
        <w:tc>
          <w:tcPr>
            <w:tcW w:type="dxa" w:w="3744"/>
          </w:tcPr>
          <w:p>
            <w:r/>
            <w:r>
              <w:rPr>
                <w:sz w:val="18"/>
              </w:rPr>
              <w:t>Estimated $18.4M vs. Peg $16.9M = +$1.5M included in Equity Value</w:t>
            </w:r>
          </w:p>
        </w:tc>
        <w:tc>
          <w:tcPr>
            <w:tcW w:type="dxa" w:w="3600"/>
          </w:tcPr>
          <w:p>
            <w:r/>
            <w:r>
              <w:rPr>
                <w:sz w:val="18"/>
              </w:rPr>
              <w:t>True-up measured against Peg, causing double count (B-4)</w:t>
            </w:r>
          </w:p>
        </w:tc>
      </w:tr>
      <w:tr>
        <w:tc>
          <w:tcPr>
            <w:tcW w:type="dxa" w:w="2016"/>
          </w:tcPr>
          <w:p>
            <w:r/>
            <w:r>
              <w:rPr>
                <w:sz w:val="18"/>
              </w:rPr>
              <w:t>Equity Value</w:t>
            </w:r>
          </w:p>
        </w:tc>
        <w:tc>
          <w:tcPr>
            <w:tcW w:type="dxa" w:w="3744"/>
          </w:tcPr>
          <w:p>
            <w:r/>
            <w:r>
              <w:rPr>
                <w:sz w:val="18"/>
              </w:rPr>
              <w:t>$195.1M = $156.08M cash (80%) + $39.02M rollover (20%)</w:t>
            </w:r>
          </w:p>
        </w:tc>
        <w:tc>
          <w:tcPr>
            <w:tcW w:type="dxa" w:w="3600"/>
          </w:tcPr>
          <w:p>
            <w:r/>
            <w:r>
              <w:rPr>
                <w:sz w:val="18"/>
              </w:rPr>
              <w:t>Allocation among holders internally inconsistent (B-5)</w:t>
            </w:r>
          </w:p>
        </w:tc>
      </w:tr>
      <w:tr>
        <w:tc>
          <w:tcPr>
            <w:tcW w:type="dxa" w:w="2016"/>
          </w:tcPr>
          <w:p>
            <w:r/>
            <w:r>
              <w:rPr>
                <w:sz w:val="18"/>
              </w:rPr>
              <w:t>Earnout</w:t>
            </w:r>
          </w:p>
        </w:tc>
        <w:tc>
          <w:tcPr>
            <w:tcW w:type="dxa" w:w="3744"/>
          </w:tcPr>
          <w:p>
            <w:r/>
            <w:r>
              <w:rPr>
                <w:sz w:val="18"/>
              </w:rPr>
              <w:t>Up to $20M: $8M if CY2025 revenue ≥ $205M; $12M if CY2026 revenue ≥ $225M</w:t>
            </w:r>
          </w:p>
        </w:tc>
        <w:tc>
          <w:tcPr>
            <w:tcW w:type="dxa" w:w="3600"/>
          </w:tcPr>
          <w:p>
            <w:r/>
            <w:r>
              <w:rPr>
                <w:sz w:val="18"/>
              </w:rPr>
              <w:t>Requires ~9.5%/9.8% growth vs. 8.4–8.8% historical; Stark/AKS concern (B-6)</w:t>
            </w:r>
          </w:p>
        </w:tc>
      </w:tr>
      <w:tr>
        <w:tc>
          <w:tcPr>
            <w:tcW w:type="dxa" w:w="2016"/>
          </w:tcPr>
          <w:p>
            <w:r/>
            <w:r>
              <w:rPr>
                <w:sz w:val="18"/>
              </w:rPr>
              <w:t>Escrow</w:t>
            </w:r>
          </w:p>
        </w:tc>
        <w:tc>
          <w:tcPr>
            <w:tcW w:type="dxa" w:w="3744"/>
          </w:tcPr>
          <w:p>
            <w:r/>
            <w:r>
              <w:rPr>
                <w:sz w:val="18"/>
              </w:rPr>
              <w:t>$15M, Granite Trust; released Dec. 1, 2026</w:t>
            </w:r>
          </w:p>
        </w:tc>
        <w:tc>
          <w:tcPr>
            <w:tcW w:type="dxa" w:w="3600"/>
          </w:tcPr>
          <w:p>
            <w:r/>
            <w:r>
              <w:rPr>
                <w:sz w:val="18"/>
              </w:rPr>
              <w:t>Undersized; fixed date; covers NWC too (B-7)</w:t>
            </w:r>
          </w:p>
        </w:tc>
      </w:tr>
      <w:tr>
        <w:tc>
          <w:tcPr>
            <w:tcW w:type="dxa" w:w="2016"/>
          </w:tcPr>
          <w:p>
            <w:r/>
            <w:r>
              <w:rPr>
                <w:sz w:val="18"/>
              </w:rPr>
              <w:t>Indemnity</w:t>
            </w:r>
          </w:p>
        </w:tc>
        <w:tc>
          <w:tcPr>
            <w:tcW w:type="dxa" w:w="3744"/>
          </w:tcPr>
          <w:p>
            <w:r/>
            <w:r>
              <w:rPr>
                <w:sz w:val="18"/>
              </w:rPr>
              <w:t>Several; $50K de minimis; $1.5M deductible; cap $19.51M (10% of Equity Value); Fundamental/Healthcare capped at Equity Value</w:t>
            </w:r>
          </w:p>
        </w:tc>
        <w:tc>
          <w:tcPr>
            <w:tcW w:type="dxa" w:w="3600"/>
          </w:tcPr>
          <w:p>
            <w:r/>
            <w:r>
              <w:rPr>
                <w:sz w:val="18"/>
              </w:rPr>
              <w:t>No special indemnities for known matters (D-2)</w:t>
            </w:r>
          </w:p>
        </w:tc>
      </w:tr>
      <w:tr>
        <w:tc>
          <w:tcPr>
            <w:tcW w:type="dxa" w:w="2016"/>
          </w:tcPr>
          <w:p>
            <w:r/>
            <w:r>
              <w:rPr>
                <w:sz w:val="18"/>
              </w:rPr>
              <w:t>Survival</w:t>
            </w:r>
          </w:p>
        </w:tc>
        <w:tc>
          <w:tcPr>
            <w:tcW w:type="dxa" w:w="3744"/>
          </w:tcPr>
          <w:p>
            <w:r/>
            <w:r>
              <w:rPr>
                <w:sz w:val="18"/>
              </w:rPr>
              <w:t>General 15 mo.; Healthcare (§§4.8–4.11) 3 yrs; Fundamental 6 yrs; Tax SOL+60 days</w:t>
            </w:r>
          </w:p>
        </w:tc>
        <w:tc>
          <w:tcPr>
            <w:tcW w:type="dxa" w:w="3600"/>
          </w:tcPr>
          <w:p>
            <w:r/>
            <w:r>
              <w:rPr>
                <w:sz w:val="18"/>
              </w:rPr>
              <w:t>Healthcare survival short of FCA 6–10 yr limitations (D-3)</w:t>
            </w:r>
          </w:p>
        </w:tc>
      </w:tr>
      <w:tr>
        <w:tc>
          <w:tcPr>
            <w:tcW w:type="dxa" w:w="2016"/>
          </w:tcPr>
          <w:p>
            <w:r/>
            <w:r>
              <w:rPr>
                <w:sz w:val="18"/>
              </w:rPr>
              <w:t>R&amp;W insurance</w:t>
            </w:r>
          </w:p>
        </w:tc>
        <w:tc>
          <w:tcPr>
            <w:tcW w:type="dxa" w:w="3744"/>
          </w:tcPr>
          <w:p>
            <w:r/>
            <w:r>
              <w:rPr>
                <w:sz w:val="18"/>
              </w:rPr>
              <w:t>$30M limit / $2M retention; Parent cost; no healthcare exclusions permitted</w:t>
            </w:r>
          </w:p>
        </w:tc>
        <w:tc>
          <w:tcPr>
            <w:tcW w:type="dxa" w:w="3600"/>
          </w:tcPr>
          <w:p>
            <w:r/>
            <w:r>
              <w:rPr>
                <w:sz w:val="18"/>
              </w:rPr>
              <w:t>Not obtainable on those terms (D-6)</w:t>
            </w:r>
          </w:p>
        </w:tc>
      </w:tr>
      <w:tr>
        <w:tc>
          <w:tcPr>
            <w:tcW w:type="dxa" w:w="2016"/>
          </w:tcPr>
          <w:p>
            <w:r/>
            <w:r>
              <w:rPr>
                <w:sz w:val="18"/>
              </w:rPr>
              <w:t>Termination fees</w:t>
            </w:r>
          </w:p>
        </w:tc>
        <w:tc>
          <w:tcPr>
            <w:tcW w:type="dxa" w:w="3744"/>
          </w:tcPr>
          <w:p>
            <w:r/>
            <w:r>
              <w:rPr>
                <w:sz w:val="18"/>
              </w:rPr>
              <w:t>Company: $4.496M (2% EV); Reverse: $6.744M (3% EV)</w:t>
            </w:r>
          </w:p>
        </w:tc>
        <w:tc>
          <w:tcPr>
            <w:tcW w:type="dxa" w:w="3600"/>
          </w:tcPr>
          <w:p>
            <w:r/>
            <w:r>
              <w:rPr>
                <w:sz w:val="18"/>
              </w:rPr>
              <w:t>Company fee keyed to undefined “Superior Proposal” (E-6)</w:t>
            </w:r>
          </w:p>
        </w:tc>
      </w:tr>
      <w:tr>
        <w:tc>
          <w:tcPr>
            <w:tcW w:type="dxa" w:w="2016"/>
          </w:tcPr>
          <w:p>
            <w:r/>
            <w:r>
              <w:rPr>
                <w:sz w:val="18"/>
              </w:rPr>
              <w:t>Key dates</w:t>
            </w:r>
          </w:p>
        </w:tc>
        <w:tc>
          <w:tcPr>
            <w:tcW w:type="dxa" w:w="3744"/>
          </w:tcPr>
          <w:p>
            <w:r/>
            <w:r>
              <w:rPr>
                <w:sz w:val="18"/>
              </w:rPr>
              <w:t>Expected closing June 1, 2025; Outside Date Sept. 30, 2025</w:t>
            </w:r>
          </w:p>
        </w:tc>
        <w:tc>
          <w:tcPr>
            <w:tcW w:type="dxa" w:w="3600"/>
          </w:tcPr>
          <w:p>
            <w:r/>
            <w:r>
              <w:rPr>
                <w:sz w:val="18"/>
              </w:rPr>
              <w:t>DD expiration Feb. 28; target signing Mar. 15; HSR not provided for (A-3)</w:t>
            </w:r>
          </w:p>
        </w:tc>
      </w:tr>
      <w:tr>
        <w:tc>
          <w:tcPr>
            <w:tcW w:type="dxa" w:w="2016"/>
          </w:tcPr>
          <w:p>
            <w:r/>
            <w:r>
              <w:rPr>
                <w:sz w:val="18"/>
              </w:rPr>
              <w:t>Vasquez employment</w:t>
            </w:r>
          </w:p>
        </w:tc>
        <w:tc>
          <w:tcPr>
            <w:tcW w:type="dxa" w:w="3744"/>
          </w:tcPr>
          <w:p>
            <w:r/>
            <w:r>
              <w:rPr>
                <w:sz w:val="18"/>
              </w:rPr>
              <w:t>Medical Director, 3 yrs, $1.2M base + up to 20% bonus</w:t>
            </w:r>
          </w:p>
        </w:tc>
        <w:tc>
          <w:tcPr>
            <w:tcW w:type="dxa" w:w="3600"/>
          </w:tcPr>
          <w:p>
            <w:r/>
            <w:r>
              <w:rPr>
                <w:sz w:val="18"/>
              </w:rPr>
              <w:t>90th percentile ≈ $1.05M; FMV opinion needed (C-4)</w:t>
            </w:r>
          </w:p>
        </w:tc>
      </w:tr>
    </w:tbl>
    <w:p>
      <w:pPr>
        <w:spacing w:after="40"/>
      </w:pPr>
    </w:p>
    <w:p>
      <w:pPr>
        <w:spacing w:after="120"/>
      </w:pPr>
      <w:r>
        <w:rPr>
          <w:b w:val="0"/>
          <w:i/>
        </w:rPr>
        <w:t>Table 2 shows how the Draft allocates consideration among the five Equity Holders, compared with a pro rata allocation.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872"/>
            <w:shd w:val="clear" w:color="auto" w:fill="1F2A44"/>
          </w:tcPr>
          <w:p>
            <w:r/>
            <w:r>
              <w:rPr>
                <w:b/>
                <w:color w:val="FFFFFF"/>
                <w:sz w:val="16"/>
              </w:rPr>
              <w:t>Equity Holder</w:t>
            </w:r>
          </w:p>
        </w:tc>
        <w:tc>
          <w:tcPr>
            <w:tcW w:type="dxa" w:w="720"/>
            <w:shd w:val="clear" w:color="auto" w:fill="1F2A44"/>
          </w:tcPr>
          <w:p>
            <w:r/>
            <w:r>
              <w:rPr>
                <w:b/>
                <w:color w:val="FFFFFF"/>
                <w:sz w:val="16"/>
              </w:rPr>
              <w:t>Own. %</w:t>
            </w:r>
          </w:p>
        </w:tc>
        <w:tc>
          <w:tcPr>
            <w:tcW w:type="dxa" w:w="1152"/>
            <w:shd w:val="clear" w:color="auto" w:fill="1F2A44"/>
          </w:tcPr>
          <w:p>
            <w:r/>
            <w:r>
              <w:rPr>
                <w:b/>
                <w:color w:val="FFFFFF"/>
                <w:sz w:val="16"/>
              </w:rPr>
              <w:t>Cash per §3.1(a)</w:t>
            </w:r>
          </w:p>
        </w:tc>
        <w:tc>
          <w:tcPr>
            <w:tcW w:type="dxa" w:w="1152"/>
            <w:shd w:val="clear" w:color="auto" w:fill="1F2A44"/>
          </w:tcPr>
          <w:p>
            <w:r/>
            <w:r>
              <w:rPr>
                <w:b/>
                <w:color w:val="FFFFFF"/>
                <w:sz w:val="16"/>
              </w:rPr>
              <w:t>Rollover per §3.1(b)</w:t>
            </w:r>
          </w:p>
        </w:tc>
        <w:tc>
          <w:tcPr>
            <w:tcW w:type="dxa" w:w="1440"/>
            <w:shd w:val="clear" w:color="auto" w:fill="1F2A44"/>
          </w:tcPr>
          <w:p>
            <w:r/>
            <w:r>
              <w:rPr>
                <w:b/>
                <w:color w:val="FFFFFF"/>
                <w:sz w:val="16"/>
              </w:rPr>
              <w:t>Total under Draft (% of EqV)</w:t>
            </w:r>
          </w:p>
        </w:tc>
        <w:tc>
          <w:tcPr>
            <w:tcW w:type="dxa" w:w="1152"/>
            <w:shd w:val="clear" w:color="auto" w:fill="1F2A44"/>
          </w:tcPr>
          <w:p>
            <w:r/>
            <w:r>
              <w:rPr>
                <w:b/>
                <w:color w:val="FFFFFF"/>
                <w:sz w:val="16"/>
              </w:rPr>
              <w:t>Pro rata share of $195.1M</w:t>
            </w:r>
          </w:p>
        </w:tc>
        <w:tc>
          <w:tcPr>
            <w:tcW w:type="dxa" w:w="1008"/>
            <w:shd w:val="clear" w:color="auto" w:fill="1F2A44"/>
          </w:tcPr>
          <w:p>
            <w:r/>
            <w:r>
              <w:rPr>
                <w:b/>
                <w:color w:val="FFFFFF"/>
                <w:sz w:val="16"/>
              </w:rPr>
              <w:t>Over/(under)</w:t>
            </w:r>
          </w:p>
        </w:tc>
        <w:tc>
          <w:tcPr>
            <w:tcW w:type="dxa" w:w="1152"/>
            <w:shd w:val="clear" w:color="auto" w:fill="1F2A44"/>
          </w:tcPr>
          <w:p>
            <w:r/>
            <w:r>
              <w:rPr>
                <w:b/>
                <w:color w:val="FFFFFF"/>
                <w:sz w:val="16"/>
              </w:rPr>
              <w:t>Corrected cash</w:t>
            </w:r>
          </w:p>
        </w:tc>
      </w:tr>
      <w:tr>
        <w:tc>
          <w:tcPr>
            <w:tcW w:type="dxa" w:w="1872"/>
          </w:tcPr>
          <w:p>
            <w:r/>
            <w:r>
              <w:rPr>
                <w:sz w:val="16"/>
              </w:rPr>
              <w:t>Dr. Raymond Vasquez</w:t>
            </w:r>
          </w:p>
        </w:tc>
        <w:tc>
          <w:tcPr>
            <w:tcW w:type="dxa" w:w="720"/>
          </w:tcPr>
          <w:p>
            <w:r/>
            <w:r>
              <w:rPr>
                <w:sz w:val="16"/>
              </w:rPr>
              <w:t>58%</w:t>
            </w:r>
          </w:p>
        </w:tc>
        <w:tc>
          <w:tcPr>
            <w:tcW w:type="dxa" w:w="1152"/>
          </w:tcPr>
          <w:p>
            <w:r/>
            <w:r>
              <w:rPr>
                <w:sz w:val="16"/>
              </w:rPr>
              <w:t>$90.526M</w:t>
            </w:r>
          </w:p>
        </w:tc>
        <w:tc>
          <w:tcPr>
            <w:tcW w:type="dxa" w:w="1152"/>
          </w:tcPr>
          <w:p>
            <w:r/>
            <w:r>
              <w:rPr>
                <w:sz w:val="16"/>
              </w:rPr>
              <w:t>$26.00M</w:t>
            </w:r>
          </w:p>
        </w:tc>
        <w:tc>
          <w:tcPr>
            <w:tcW w:type="dxa" w:w="1440"/>
          </w:tcPr>
          <w:p>
            <w:r/>
            <w:r>
              <w:rPr>
                <w:sz w:val="16"/>
              </w:rPr>
              <w:t>$116.526M (59.7%)</w:t>
            </w:r>
          </w:p>
        </w:tc>
        <w:tc>
          <w:tcPr>
            <w:tcW w:type="dxa" w:w="1152"/>
          </w:tcPr>
          <w:p>
            <w:r/>
            <w:r>
              <w:rPr>
                <w:sz w:val="16"/>
              </w:rPr>
              <w:t>$113.158M</w:t>
            </w:r>
          </w:p>
        </w:tc>
        <w:tc>
          <w:tcPr>
            <w:tcW w:type="dxa" w:w="1008"/>
          </w:tcPr>
          <w:p>
            <w:r/>
            <w:r>
              <w:rPr>
                <w:sz w:val="16"/>
              </w:rPr>
              <w:t>+$3.368M</w:t>
            </w:r>
          </w:p>
        </w:tc>
        <w:tc>
          <w:tcPr>
            <w:tcW w:type="dxa" w:w="1152"/>
          </w:tcPr>
          <w:p>
            <w:r/>
            <w:r>
              <w:rPr>
                <w:sz w:val="16"/>
              </w:rPr>
              <w:t>$87.158M</w:t>
            </w:r>
          </w:p>
        </w:tc>
      </w:tr>
      <w:tr>
        <w:tc>
          <w:tcPr>
            <w:tcW w:type="dxa" w:w="1872"/>
          </w:tcPr>
          <w:p>
            <w:r/>
            <w:r>
              <w:rPr>
                <w:sz w:val="16"/>
              </w:rPr>
              <w:t>Dr. Priya Chandrasekaran</w:t>
            </w:r>
          </w:p>
        </w:tc>
        <w:tc>
          <w:tcPr>
            <w:tcW w:type="dxa" w:w="720"/>
          </w:tcPr>
          <w:p>
            <w:r/>
            <w:r>
              <w:rPr>
                <w:sz w:val="16"/>
              </w:rPr>
              <w:t>14%</w:t>
            </w:r>
          </w:p>
        </w:tc>
        <w:tc>
          <w:tcPr>
            <w:tcW w:type="dxa" w:w="1152"/>
          </w:tcPr>
          <w:p>
            <w:r/>
            <w:r>
              <w:rPr>
                <w:sz w:val="16"/>
              </w:rPr>
              <w:t>$21.851M</w:t>
            </w:r>
          </w:p>
        </w:tc>
        <w:tc>
          <w:tcPr>
            <w:tcW w:type="dxa" w:w="1152"/>
          </w:tcPr>
          <w:p>
            <w:r/>
            <w:r>
              <w:rPr>
                <w:sz w:val="16"/>
              </w:rPr>
              <w:t>$8.00M</w:t>
            </w:r>
          </w:p>
        </w:tc>
        <w:tc>
          <w:tcPr>
            <w:tcW w:type="dxa" w:w="1440"/>
          </w:tcPr>
          <w:p>
            <w:r/>
            <w:r>
              <w:rPr>
                <w:sz w:val="16"/>
              </w:rPr>
              <w:t>$29.851M (15.3%)</w:t>
            </w:r>
          </w:p>
        </w:tc>
        <w:tc>
          <w:tcPr>
            <w:tcW w:type="dxa" w:w="1152"/>
          </w:tcPr>
          <w:p>
            <w:r/>
            <w:r>
              <w:rPr>
                <w:sz w:val="16"/>
              </w:rPr>
              <w:t>$27.314M</w:t>
            </w:r>
          </w:p>
        </w:tc>
        <w:tc>
          <w:tcPr>
            <w:tcW w:type="dxa" w:w="1008"/>
          </w:tcPr>
          <w:p>
            <w:r/>
            <w:r>
              <w:rPr>
                <w:sz w:val="16"/>
              </w:rPr>
              <w:t>+$2.537M</w:t>
            </w:r>
          </w:p>
        </w:tc>
        <w:tc>
          <w:tcPr>
            <w:tcW w:type="dxa" w:w="1152"/>
          </w:tcPr>
          <w:p>
            <w:r/>
            <w:r>
              <w:rPr>
                <w:sz w:val="16"/>
              </w:rPr>
              <w:t>$19.314M</w:t>
            </w:r>
          </w:p>
        </w:tc>
      </w:tr>
      <w:tr>
        <w:tc>
          <w:tcPr>
            <w:tcW w:type="dxa" w:w="1872"/>
          </w:tcPr>
          <w:p>
            <w:r/>
            <w:r>
              <w:rPr>
                <w:sz w:val="16"/>
              </w:rPr>
              <w:t>Dr. William “Bo” Hagerty</w:t>
            </w:r>
          </w:p>
        </w:tc>
        <w:tc>
          <w:tcPr>
            <w:tcW w:type="dxa" w:w="720"/>
          </w:tcPr>
          <w:p>
            <w:r/>
            <w:r>
              <w:rPr>
                <w:sz w:val="16"/>
              </w:rPr>
              <w:t>10%</w:t>
            </w:r>
          </w:p>
        </w:tc>
        <w:tc>
          <w:tcPr>
            <w:tcW w:type="dxa" w:w="1152"/>
          </w:tcPr>
          <w:p>
            <w:r/>
            <w:r>
              <w:rPr>
                <w:sz w:val="16"/>
              </w:rPr>
              <w:t>$15.608M</w:t>
            </w:r>
          </w:p>
        </w:tc>
        <w:tc>
          <w:tcPr>
            <w:tcW w:type="dxa" w:w="1152"/>
          </w:tcPr>
          <w:p>
            <w:r/>
            <w:r>
              <w:rPr>
                <w:sz w:val="16"/>
              </w:rPr>
              <w:t>$5.02M</w:t>
            </w:r>
          </w:p>
        </w:tc>
        <w:tc>
          <w:tcPr>
            <w:tcW w:type="dxa" w:w="1440"/>
          </w:tcPr>
          <w:p>
            <w:r/>
            <w:r>
              <w:rPr>
                <w:sz w:val="16"/>
              </w:rPr>
              <w:t>$20.628M (10.6%)</w:t>
            </w:r>
          </w:p>
        </w:tc>
        <w:tc>
          <w:tcPr>
            <w:tcW w:type="dxa" w:w="1152"/>
          </w:tcPr>
          <w:p>
            <w:r/>
            <w:r>
              <w:rPr>
                <w:sz w:val="16"/>
              </w:rPr>
              <w:t>$19.510M</w:t>
            </w:r>
          </w:p>
        </w:tc>
        <w:tc>
          <w:tcPr>
            <w:tcW w:type="dxa" w:w="1008"/>
          </w:tcPr>
          <w:p>
            <w:r/>
            <w:r>
              <w:rPr>
                <w:sz w:val="16"/>
              </w:rPr>
              <w:t>+$1.118M</w:t>
            </w:r>
          </w:p>
        </w:tc>
        <w:tc>
          <w:tcPr>
            <w:tcW w:type="dxa" w:w="1152"/>
          </w:tcPr>
          <w:p>
            <w:r/>
            <w:r>
              <w:rPr>
                <w:sz w:val="16"/>
              </w:rPr>
              <w:t>$14.490M</w:t>
            </w:r>
          </w:p>
        </w:tc>
      </w:tr>
      <w:tr>
        <w:tc>
          <w:tcPr>
            <w:tcW w:type="dxa" w:w="1872"/>
          </w:tcPr>
          <w:p>
            <w:r/>
            <w:r>
              <w:rPr>
                <w:sz w:val="16"/>
              </w:rPr>
              <w:t>Dr. Lina Okoro</w:t>
            </w:r>
          </w:p>
        </w:tc>
        <w:tc>
          <w:tcPr>
            <w:tcW w:type="dxa" w:w="720"/>
          </w:tcPr>
          <w:p>
            <w:r/>
            <w:r>
              <w:rPr>
                <w:sz w:val="16"/>
              </w:rPr>
              <w:t>9%</w:t>
            </w:r>
          </w:p>
        </w:tc>
        <w:tc>
          <w:tcPr>
            <w:tcW w:type="dxa" w:w="1152"/>
          </w:tcPr>
          <w:p>
            <w:r/>
            <w:r>
              <w:rPr>
                <w:sz w:val="16"/>
              </w:rPr>
              <w:t>$14.047M</w:t>
            </w:r>
          </w:p>
        </w:tc>
        <w:tc>
          <w:tcPr>
            <w:tcW w:type="dxa" w:w="1152"/>
          </w:tcPr>
          <w:p>
            <w:r/>
            <w:r>
              <w:rPr>
                <w:sz w:val="16"/>
              </w:rPr>
              <w:t>$0.00M</w:t>
            </w:r>
          </w:p>
        </w:tc>
        <w:tc>
          <w:tcPr>
            <w:tcW w:type="dxa" w:w="1440"/>
          </w:tcPr>
          <w:p>
            <w:r/>
            <w:r>
              <w:rPr>
                <w:sz w:val="16"/>
              </w:rPr>
              <w:t>$14.047M (7.2%)</w:t>
            </w:r>
          </w:p>
        </w:tc>
        <w:tc>
          <w:tcPr>
            <w:tcW w:type="dxa" w:w="1152"/>
          </w:tcPr>
          <w:p>
            <w:r/>
            <w:r>
              <w:rPr>
                <w:sz w:val="16"/>
              </w:rPr>
              <w:t>$17.559M</w:t>
            </w:r>
          </w:p>
        </w:tc>
        <w:tc>
          <w:tcPr>
            <w:tcW w:type="dxa" w:w="1008"/>
          </w:tcPr>
          <w:p>
            <w:r/>
            <w:r>
              <w:rPr>
                <w:sz w:val="16"/>
              </w:rPr>
              <w:t>−$3.512M</w:t>
            </w:r>
          </w:p>
        </w:tc>
        <w:tc>
          <w:tcPr>
            <w:tcW w:type="dxa" w:w="1152"/>
          </w:tcPr>
          <w:p>
            <w:r/>
            <w:r>
              <w:rPr>
                <w:sz w:val="16"/>
              </w:rPr>
              <w:t>$17.559M</w:t>
            </w:r>
          </w:p>
        </w:tc>
      </w:tr>
      <w:tr>
        <w:tc>
          <w:tcPr>
            <w:tcW w:type="dxa" w:w="1872"/>
          </w:tcPr>
          <w:p>
            <w:r/>
            <w:r>
              <w:rPr>
                <w:sz w:val="16"/>
              </w:rPr>
              <w:t>Dr. Steven Tran</w:t>
            </w:r>
          </w:p>
        </w:tc>
        <w:tc>
          <w:tcPr>
            <w:tcW w:type="dxa" w:w="720"/>
          </w:tcPr>
          <w:p>
            <w:r/>
            <w:r>
              <w:rPr>
                <w:sz w:val="16"/>
              </w:rPr>
              <w:t>9%</w:t>
            </w:r>
          </w:p>
        </w:tc>
        <w:tc>
          <w:tcPr>
            <w:tcW w:type="dxa" w:w="1152"/>
          </w:tcPr>
          <w:p>
            <w:r/>
            <w:r>
              <w:rPr>
                <w:sz w:val="16"/>
              </w:rPr>
              <w:t>$14.047M</w:t>
            </w:r>
          </w:p>
        </w:tc>
        <w:tc>
          <w:tcPr>
            <w:tcW w:type="dxa" w:w="1152"/>
          </w:tcPr>
          <w:p>
            <w:r/>
            <w:r>
              <w:rPr>
                <w:sz w:val="16"/>
              </w:rPr>
              <w:t>$0.00M</w:t>
            </w:r>
          </w:p>
        </w:tc>
        <w:tc>
          <w:tcPr>
            <w:tcW w:type="dxa" w:w="1440"/>
          </w:tcPr>
          <w:p>
            <w:r/>
            <w:r>
              <w:rPr>
                <w:sz w:val="16"/>
              </w:rPr>
              <w:t>$14.047M (7.2%)</w:t>
            </w:r>
          </w:p>
        </w:tc>
        <w:tc>
          <w:tcPr>
            <w:tcW w:type="dxa" w:w="1152"/>
          </w:tcPr>
          <w:p>
            <w:r/>
            <w:r>
              <w:rPr>
                <w:sz w:val="16"/>
              </w:rPr>
              <w:t>$17.559M</w:t>
            </w:r>
          </w:p>
        </w:tc>
        <w:tc>
          <w:tcPr>
            <w:tcW w:type="dxa" w:w="1008"/>
          </w:tcPr>
          <w:p>
            <w:r/>
            <w:r>
              <w:rPr>
                <w:sz w:val="16"/>
              </w:rPr>
              <w:t>−$3.512M</w:t>
            </w:r>
          </w:p>
        </w:tc>
        <w:tc>
          <w:tcPr>
            <w:tcW w:type="dxa" w:w="1152"/>
          </w:tcPr>
          <w:p>
            <w:r/>
            <w:r>
              <w:rPr>
                <w:sz w:val="16"/>
              </w:rPr>
              <w:t>$17.559M</w:t>
            </w:r>
          </w:p>
        </w:tc>
      </w:tr>
      <w:tr>
        <w:tc>
          <w:tcPr>
            <w:tcW w:type="dxa" w:w="1872"/>
          </w:tcPr>
          <w:p>
            <w:r/>
            <w:r>
              <w:rPr>
                <w:sz w:val="16"/>
              </w:rPr>
              <w:t>Total</w:t>
            </w:r>
          </w:p>
        </w:tc>
        <w:tc>
          <w:tcPr>
            <w:tcW w:type="dxa" w:w="720"/>
          </w:tcPr>
          <w:p>
            <w:r/>
            <w:r>
              <w:rPr>
                <w:sz w:val="16"/>
              </w:rPr>
              <w:t>100%</w:t>
            </w:r>
          </w:p>
        </w:tc>
        <w:tc>
          <w:tcPr>
            <w:tcW w:type="dxa" w:w="1152"/>
          </w:tcPr>
          <w:p>
            <w:r/>
            <w:r>
              <w:rPr>
                <w:sz w:val="16"/>
              </w:rPr>
              <w:t>$156.080M</w:t>
            </w:r>
          </w:p>
        </w:tc>
        <w:tc>
          <w:tcPr>
            <w:tcW w:type="dxa" w:w="1152"/>
          </w:tcPr>
          <w:p>
            <w:r/>
            <w:r>
              <w:rPr>
                <w:sz w:val="16"/>
              </w:rPr>
              <w:t>$39.02M</w:t>
            </w:r>
          </w:p>
        </w:tc>
        <w:tc>
          <w:tcPr>
            <w:tcW w:type="dxa" w:w="1440"/>
          </w:tcPr>
          <w:p>
            <w:r/>
            <w:r>
              <w:rPr>
                <w:sz w:val="16"/>
              </w:rPr>
              <w:t>$195.100M</w:t>
            </w:r>
          </w:p>
        </w:tc>
        <w:tc>
          <w:tcPr>
            <w:tcW w:type="dxa" w:w="1152"/>
          </w:tcPr>
          <w:p>
            <w:r/>
            <w:r>
              <w:rPr>
                <w:sz w:val="16"/>
              </w:rPr>
              <w:t>$195.100M</w:t>
            </w:r>
          </w:p>
        </w:tc>
        <w:tc>
          <w:tcPr>
            <w:tcW w:type="dxa" w:w="1008"/>
          </w:tcPr>
          <w:p>
            <w:r/>
            <w:r>
              <w:rPr>
                <w:sz w:val="16"/>
              </w:rPr>
              <w:t>$0</w:t>
            </w:r>
          </w:p>
        </w:tc>
        <w:tc>
          <w:tcPr>
            <w:tcW w:type="dxa" w:w="1152"/>
          </w:tcPr>
          <w:p>
            <w:r/>
            <w:r>
              <w:rPr>
                <w:sz w:val="16"/>
              </w:rPr>
              <w:t>$156.080M</w:t>
            </w:r>
          </w:p>
        </w:tc>
      </w:tr>
    </w:tbl>
    <w:p>
      <w:pPr>
        <w:spacing w:after="40"/>
      </w:pPr>
    </w:p>
    <w:p>
      <w:pPr>
        <w:spacing w:after="120"/>
      </w:pPr>
      <w:r>
        <w:rPr>
          <w:b w:val="0"/>
          <w:i w:val="0"/>
          <w:sz w:val="20"/>
        </w:rPr>
        <w:t>Documents reviewed: (1) Draft Agreement and Plan of Merger (Breckenridge Sloane draft dated as of [●], 2025, circulated January 8, 2025), including Exhibits A–C descriptions and the Schedule Index (Disclosure Schedules not yet delivered); (2) Seller’s counsel transmittal email from Thomas Okafor to Margaret Yoon dated January 8, 2025; (3) Thornfield QoE Summary Report dated January 20, 2025; (4) Ridgeline/Thornfield Lease Summary Schedule dated January 20, 2025; and (5) Linden, Ashby &amp; Whitmore Regulatory and Compliance Due Diligence Memorandum dated February 14, 2025. We have not reviewed the LOI, the underlying leases, the ancillary services, co-management or Apex agreements, the physician employment agreements, or the Disclosure Schedules. Several conclusions below are subject to review of those documents.</w:t>
      </w:r>
    </w:p>
    <w:p>
      <w:pPr>
        <w:spacing w:after="120"/>
      </w:pPr>
      <w:r>
        <w:rPr>
          <w:b w:val="0"/>
          <w:i/>
          <w:sz w:val="20"/>
        </w:rPr>
        <w:t>Priority key: Critical = must be resolved (or structurally addressed) before signing; High = required in Buyer’s markup and likely a negotiation point; Medium = important protective change; Low = clean-up / conforming.</w:t>
      </w:r>
    </w:p>
    <w:p>
      <w:pPr>
        <w:pStyle w:val="Heading1"/>
      </w:pPr>
      <w:r>
        <w:t>III. Detailed Issues and Recommendations</w:t>
      </w:r>
    </w:p>
    <w:p>
      <w:pPr>
        <w:pStyle w:val="Heading2"/>
      </w:pPr>
      <w:r>
        <w:t>A. Transaction Structure and Gating Regulatory Issues</w:t>
      </w:r>
    </w:p>
    <w:p>
      <w:pPr>
        <w:pStyle w:val="Heading3"/>
      </w:pPr>
      <w:r>
        <w:t>A-1. Texas corporate practice of medicine (CPOM): Parent cannot own a Texas professional association, and the “ministerial” Post-Closing Conversion would put a lay business corporation in the business of practicing medicine</w:t>
      </w:r>
    </w:p>
    <w:p>
      <w:pPr>
        <w:spacing w:after="80"/>
      </w:pPr>
      <w:r>
        <w:rPr>
          <w:b/>
        </w:rPr>
        <w:t xml:space="preserve">Priority: </w:t>
      </w:r>
      <w:r>
        <w:rPr>
          <w:b/>
          <w:color w:val="C00000"/>
        </w:rPr>
        <w:t>Critical</w:t>
      </w:r>
      <w:r>
        <w:t xml:space="preserve">     </w:t>
      </w:r>
      <w:r>
        <w:rPr>
          <w:b/>
        </w:rPr>
        <w:t xml:space="preserve">Provisions / sources: </w:t>
      </w:r>
      <w:r>
        <w:rPr>
          <w:i/>
        </w:rPr>
        <w:t>Preamble; Recitals (Post-Closing Conversion); §§2.1, 2.4, 2.5, 2.6; §4.9(d); Seller transmittal email (Jan. 8, 2025)</w:t>
      </w:r>
    </w:p>
    <w:p>
      <w:pPr>
        <w:spacing w:after="120"/>
      </w:pPr>
      <w:r>
        <w:rPr>
          <w:b w:val="0"/>
          <w:i w:val="0"/>
        </w:rPr>
        <w:t>The draft has Merger Sub (a Texas business corporation wholly owned by a Delaware private equity fund) merge into Pinnacle, a Texas professional association (P.A.) organized under the Texas Medical Practice Act. The P.A. survives as a “wholly owned subsidiary of Parent” (§2.1). Under §2.4, Merger Sub’s certificate of formation and bylaws (a business-corporation charter) become the P.A.’s governing documents at the Effective Time. Under §2.5, the P.A. then converts within 30 days into a Texas business corporation, “Pinnacle Medical Group, Inc.” Under §2.6, Karen Chu and David Prescott, who are not physicians, become directors and Chairman.</w:t>
      </w:r>
    </w:p>
    <w:p>
      <w:pPr>
        <w:spacing w:after="120"/>
      </w:pPr>
      <w:r>
        <w:rPr>
          <w:b w:val="0"/>
          <w:i w:val="0"/>
        </w:rPr>
        <w:t>Texas has one of the strictest CPOM regimes in the country. Only physicians may own, and generally only physicians may serve as governing persons of, a professional association formed to practice medicine (TBOC Chapters 301 and 302). A lay entity may not practice medicine, employ physicians to practice medicine, or control a physician’s medical judgment (see, e.g., Tex. Occ. Code §§155.001, 164.052 (aiding and abetting the unlicensed practice of medicine) and Texas Medical Board rules). The structure in the draft therefore fails at three separate points: (i) a non-physician Parent holding 100% of the P.A.’s equity; (ii) non-physician directors under §2.6 and a business-corporation charter under §2.4; and (iii) a converted business corporation that would employ the 62 physicians and 41 APPs and bill for professional services. If the structure is implemented, it could void or impair the physician employment agreements and the restrictive covenants in them, put Medicare and Medicaid enrollments and payer contracts at risk, expose the physicians to Texas Medical Board discipline, and support FCA theories based on claims submitted by an improperly organized entity.</w:t>
      </w:r>
    </w:p>
    <w:p>
      <w:pPr>
        <w:spacing w:after="120"/>
      </w:pPr>
      <w:r>
        <w:rPr>
          <w:b w:val="0"/>
          <w:i w:val="0"/>
        </w:rPr>
        <w:t>Seller’s counsel describes the conversion as “a ministerial organizational change” that does not raise “any substantive issues.” We disagree, and the draft compounds the problem: the parties’ stipulation in §2.5 that the conversion “shall not affect the validity or enforceability of any contract … license, Permit” has no effect on regulators or third parties. The Company’s own CPOM representation (§4.9(d)) speaks only to pre-closing compliance and would give Buyer no protection against a structure Buyer itself implements. Oklahoma’s CPOM doctrine is less restrictive, but the three Oklahoma clinics are operated by the same Texas P.A. and must be analyzed as part of the same structure. Notably, the February 14 regulatory diligence memorandum does not address CPOM. That gap needs to be closed before signing.</w:t>
      </w:r>
    </w:p>
    <w:p>
      <w:pPr>
        <w:spacing w:after="40"/>
      </w:pPr>
      <w:r>
        <w:rPr>
          <w:b/>
          <w:i w:val="0"/>
        </w:rPr>
        <w:t>Recommendation:</w:t>
      </w:r>
    </w:p>
    <w:p>
      <w:pPr>
        <w:pStyle w:val="ListBullet"/>
        <w:spacing w:after="60"/>
      </w:pPr>
      <w:r>
        <w:t>Restructure as a customary “friendly P.A.”/management services organization (MSO) model. Clearview would acquire (through Clearview HC Holdings, LLC or a new MSO subsidiary) the non-clinical assets, employees, leases and contracts of the practice. The P.A. would remain 100% owned by one or more Texas-licensed physicians acceptable to Buyer and would enter into a long-term management services agreement with the MSO, together with a stock transfer restriction/succession agreement (and, where permitted, security interests and continuity provisions).</w:t>
      </w:r>
    </w:p>
    <w:p>
      <w:pPr>
        <w:pStyle w:val="ListBullet"/>
        <w:spacing w:after="60"/>
      </w:pPr>
      <w:r>
        <w:t>Delete the Post-Closing Conversion recital and §2.5. Revise §§2.4 and 2.6 so that the P.A.’s governing documents and governing persons remain compliant with TBOC Chapters 301–302.</w:t>
      </w:r>
    </w:p>
    <w:p>
      <w:pPr>
        <w:pStyle w:val="ListBullet"/>
        <w:spacing w:after="60"/>
      </w:pPr>
      <w:r>
        <w:t>Structure the MSO fee at fair market value, and analyze it under Texas fee-splitting rules and the AKS. Avoid an uncapped percentage-of-professional-collections fee unless it is supported by a FMV opinion and Texas counsel analysis.</w:t>
      </w:r>
    </w:p>
    <w:p>
      <w:pPr>
        <w:pStyle w:val="ListBullet"/>
        <w:spacing w:after="60"/>
      </w:pPr>
      <w:r>
        <w:t>Obtain a Texas CPOM opinion/memo from regulatory counsel (and an Oklahoma analysis) as a pre-signing workstream. Consider adding receipt of satisfactory structuring confirmation as a Buyer closing condition.</w:t>
      </w:r>
    </w:p>
    <w:p>
      <w:pPr>
        <w:pStyle w:val="ListBullet"/>
        <w:spacing w:after="60"/>
      </w:pPr>
      <w:r>
        <w:t>Revisit every downstream provision that assumes Parent owns the P.A. directly: the rollover (Issue A-4), the J-1 waiver physicians (Issue C-7), payer enrollment (Issue A-5), physician employment covenants (§6.5), and the earnout revenue definition (Issue B-6).</w:t>
      </w:r>
    </w:p>
    <w:p>
      <w:pPr>
        <w:pStyle w:val="Heading3"/>
      </w:pPr>
      <w:r>
        <w:t>A-2. Intended IRC §368(a) reorganization treatment is not available; no tax opinion; Buyer forgoes a basis step-up</w:t>
      </w:r>
    </w:p>
    <w:p>
      <w:pPr>
        <w:spacing w:after="80"/>
      </w:pPr>
      <w:r>
        <w:rPr>
          <w:b/>
        </w:rPr>
        <w:t xml:space="preserve">Priority: </w:t>
      </w:r>
      <w:r>
        <w:rPr>
          <w:b/>
          <w:color w:val="C00000"/>
        </w:rPr>
        <w:t>Critical</w:t>
      </w:r>
      <w:r>
        <w:t xml:space="preserve">     </w:t>
      </w:r>
      <w:r>
        <w:rPr>
          <w:b/>
        </w:rPr>
        <w:t xml:space="preserve">Provisions / sources: </w:t>
      </w:r>
      <w:r>
        <w:rPr>
          <w:i/>
        </w:rPr>
        <w:t>Recitals; §4.15(c); §5.6; §6.7(a), (e); Seller transmittal email</w:t>
      </w:r>
    </w:p>
    <w:p>
      <w:pPr>
        <w:spacing w:after="120"/>
      </w:pPr>
      <w:r>
        <w:rPr>
          <w:b w:val="0"/>
          <w:i w:val="0"/>
        </w:rPr>
        <w:t>The draft states the parties’ intent that the Merger qualify as a §368(a) reorganization, obligates each party to report it as such (§6.7(a)), and expressly removes any tax opinion condition (§6.7(e)). On the agreed economics, that treatment is not supportable. (i) A reverse triangular merger under §368(a)(2)(E) requires that former target shareholders exchange an amount of target stock constituting control (80%) for voting stock of the corporation in control of the merger subsidiary. Here roughly 80% of the consideration is cash and only 20% is rollover. (ii) Even under general continuity-of-interest principles (Treas. Reg. §1.368-1(e)), 20% equity continuity falls well short of the roughly 40% generally treated as the minimum. (iii) The rollover is into interests of Clearview Health Partners Fund IV, L.P., a Delaware limited partnership (§3.1(b); Exhibit B). Partnership interests are not “stock” of a corporation, and a partnership cannot be the acquiring or controlling corporation in a §368 reorganization.</w:t>
      </w:r>
    </w:p>
    <w:p>
      <w:pPr>
        <w:spacing w:after="120"/>
      </w:pPr>
      <w:r>
        <w:rPr>
          <w:b w:val="0"/>
          <w:i w:val="0"/>
        </w:rPr>
        <w:t>Beyond being incorrect, the reorganization framing works against Buyer’s economics. A stock acquisition intended to be tax-free gives Buyer carryover basis and no step-up in the practice’s goodwill. A taxable structure would typically produce amortizable goodwill under §197, for example a pre-closing F reorganization with conversion of an LLC subsidiary, or a §338(h)(10)/§336(e) election if Pinnacle is an S corporation, which must be confirmed. The physician sellers’ legitimate objective (deferral on the rollover) can be achieved through a §721 contribution of rollover interests to an LLC holding company taxed as a partnership.</w:t>
      </w:r>
    </w:p>
    <w:p>
      <w:pPr>
        <w:spacing w:after="40"/>
      </w:pPr>
      <w:r>
        <w:rPr>
          <w:b/>
          <w:i w:val="0"/>
        </w:rPr>
        <w:t>Recommendation:</w:t>
      </w:r>
    </w:p>
    <w:p>
      <w:pPr>
        <w:pStyle w:val="ListBullet"/>
        <w:spacing w:after="60"/>
      </w:pPr>
      <w:r>
        <w:t>Delete the reorganization recital and §§4.15(c), 5.6 and 6.7(a) and (e). Replace them with a negotiated tax structure (taxable purchase of the cash portion; §721 rollover into Clearview HC Holdings, LLC or a new MSO topco), with purchase price allocation and Form 8594/§1060 mechanics as applicable.</w:t>
      </w:r>
    </w:p>
    <w:p>
      <w:pPr>
        <w:pStyle w:val="ListBullet"/>
        <w:spacing w:after="60"/>
      </w:pPr>
      <w:r>
        <w:t>Have tax counsel confirm Pinnacle’s federal tax classification (C or S corporation) and S-election validity. If Pinnacle is an S corporation, add S-corporation representations and an indemnity for a busted election.</w:t>
      </w:r>
    </w:p>
    <w:p>
      <w:pPr>
        <w:pStyle w:val="ListBullet"/>
        <w:spacing w:after="60"/>
      </w:pPr>
      <w:r>
        <w:t>Add a customary straddle-period allocation. The draft defines “Straddle Period” but never uses it, and “Pre-Closing Tax Period” covers only periods ending on or before closing. Add transfer-tax allocation, tax contest control, and a cooperation covenant that survives the conversion of the structure.</w:t>
      </w:r>
    </w:p>
    <w:p>
      <w:pPr>
        <w:pStyle w:val="ListBullet"/>
        <w:spacing w:after="60"/>
      </w:pPr>
      <w:r>
        <w:t>Fix the conflicting survival periods for the Tax representations (6 years as a Fundamental Representation under §9.1(a)(i) versus statute of limitations plus 60 days under §9.1(a)(ii)).</w:t>
      </w:r>
    </w:p>
    <w:p>
      <w:pPr>
        <w:pStyle w:val="ListBullet"/>
        <w:spacing w:after="60"/>
      </w:pPr>
      <w:r>
        <w:t>Note that the Equity Holders sign only for Articles III, IX and X. The pre-closing tax indemnity sits in §6.7(c), in Article VI, which the Equity Holders do not sign, so its enforceability against them is doubtful. Move it into Article IX or make the Equity Holders parties to Article VI.</w:t>
      </w:r>
    </w:p>
    <w:p>
      <w:pPr>
        <w:pStyle w:val="Heading3"/>
      </w:pPr>
      <w:r>
        <w:t>A-3. HSR Act: draft affirmatively states no filing is required and prohibits one, although the deal appears to exceed the size-of-transaction threshold</w:t>
      </w:r>
    </w:p>
    <w:p>
      <w:pPr>
        <w:spacing w:after="80"/>
      </w:pPr>
      <w:r>
        <w:rPr>
          <w:b/>
        </w:rPr>
        <w:t xml:space="preserve">Priority: </w:t>
      </w:r>
      <w:r>
        <w:rPr>
          <w:b/>
          <w:color w:val="C00000"/>
        </w:rPr>
        <w:t>Critical</w:t>
      </w:r>
      <w:r>
        <w:t xml:space="preserve">     </w:t>
      </w:r>
      <w:r>
        <w:rPr>
          <w:b/>
        </w:rPr>
        <w:t xml:space="preserve">Provisions / sources: </w:t>
      </w:r>
      <w:r>
        <w:rPr>
          <w:i/>
        </w:rPr>
        <w:t>§5.5; §6.3; §7.1; definition of “HSR Act”</w:t>
      </w:r>
    </w:p>
    <w:p>
      <w:pPr>
        <w:spacing w:after="120"/>
      </w:pPr>
      <w:r>
        <w:rPr>
          <w:b w:val="0"/>
          <w:i w:val="0"/>
        </w:rPr>
        <w:t>In §5.5, Parent represents that the transaction is not subject to HSR premerger notification, and the Parties “agree that no HSR Act filing shall be made or required.” The value of voting securities acquired, about $195.1 million of equity value plus the fair value of up to $20 million in earnout (and with an enterprise value of $224.8 million), substantially exceeds the HSR size-of-transaction threshold ($119.5 million for 2024 and $126.4 million for transactions closing on or after February 21, 2025). The transaction is also below the level at which the size-of-person test falls away, so that test must be run. Fund IV’s ultimate parent entity is very likely to meet the larger size-of-person test, and Pinnacle’s $187.3 million of annual net sales satisfies the smaller one. Absent an exemption, which we have not identified, a filing is required. Closing without one exposes Parent (not Seller) to civil penalties of more than $50,000 per day ($53,088 per day as adjusted for 2025) and potential unwinding.</w:t>
      </w:r>
    </w:p>
    <w:p>
      <w:pPr>
        <w:spacing w:after="120"/>
      </w:pPr>
      <w:r>
        <w:rPr>
          <w:b w:val="0"/>
          <w:i w:val="0"/>
        </w:rPr>
        <w:t>The new HSR form (effective February 10, 2025) requires materially more information and preparation time, and the FTC and DOJ have publicly prioritized private-equity physician-practice roll-ups. The second sentence of §5.5, that neither Parent nor any Affiliate holds any interest in any entity competing with the Company “in any relevant market,” is a broad, legally conclusory representation by our client. It needs to be verified against Clearview’s full portfolio, including other Fund IV and prior-fund healthcare holdings, or deleted. Seller’s draft tries to shift the regulatory risk to Buyer while also removing the regulatory condition.</w:t>
      </w:r>
    </w:p>
    <w:p>
      <w:pPr>
        <w:spacing w:after="40"/>
      </w:pPr>
      <w:r>
        <w:rPr>
          <w:b/>
          <w:i w:val="0"/>
        </w:rPr>
        <w:t>Recommendation:</w:t>
      </w:r>
    </w:p>
    <w:p>
      <w:pPr>
        <w:pStyle w:val="ListBullet"/>
        <w:spacing w:after="60"/>
      </w:pPr>
      <w:r>
        <w:t>Delete §5.5. Add an HSR filing covenant (filings within 10–15 Business Days after signing, with filing-fee allocation, cooperation, and a defined Buyer efforts standard that excludes any obligation to divest or litigate). Add expiration or termination of the HSR waiting period as a mutual condition in §7.1.</w:t>
      </w:r>
    </w:p>
    <w:p>
      <w:pPr>
        <w:pStyle w:val="ListBullet"/>
        <w:spacing w:after="60"/>
      </w:pPr>
      <w:r>
        <w:t>Run the full HSR analysis now (valuation of the earnout and rollover, size-of-person, aggregation with any acquisitions by Fund IV affiliates, and Item 7/overlap analysis) and confirm whether any state healthcare-transaction notice or approval law applies.</w:t>
      </w:r>
    </w:p>
    <w:p>
      <w:pPr>
        <w:pStyle w:val="ListBullet"/>
        <w:spacing w:after="60"/>
      </w:pPr>
      <w:r>
        <w:t>Extend the Outside Date (currently September 30, 2025) or add an automatic extension if HSR clearance or other regulatory conditions remain outstanding.</w:t>
      </w:r>
    </w:p>
    <w:p>
      <w:pPr>
        <w:pStyle w:val="Heading3"/>
      </w:pPr>
      <w:r>
        <w:t>A-4. Party and rollover vehicle mismatch: who is “Parent,” who is “Buyer,” and what equity the physicians receive</w:t>
      </w:r>
    </w:p>
    <w:p>
      <w:pPr>
        <w:spacing w:after="80"/>
      </w:pPr>
      <w:r>
        <w:rPr>
          <w:b/>
        </w:rPr>
        <w:t xml:space="preserve">Priority: </w:t>
      </w:r>
      <w:r>
        <w:rPr>
          <w:b/>
          <w:color w:val="C55A11"/>
        </w:rPr>
        <w:t>High</w:t>
      </w:r>
      <w:r>
        <w:t xml:space="preserve">     </w:t>
      </w:r>
      <w:r>
        <w:rPr>
          <w:b/>
        </w:rPr>
        <w:t xml:space="preserve">Provisions / sources: </w:t>
      </w:r>
      <w:r>
        <w:rPr>
          <w:i/>
        </w:rPr>
        <w:t>Preamble; signature blocks; §§2.6, 3.1(b), 3.3(b), 3.5(d), 5.1, 9.3; Exhibit B; QoE §I and §X</w:t>
      </w:r>
    </w:p>
    <w:p>
      <w:pPr>
        <w:spacing w:after="120"/>
      </w:pPr>
      <w:r>
        <w:rPr>
          <w:b w:val="0"/>
          <w:i w:val="0"/>
        </w:rPr>
        <w:t>The draft makes Clearview Health Partners LLC, the fund manager/general partner, a party as “Buyer,” and makes Fund IV itself “Parent,” issuer of the Rollover Equity, and the indemnitor under §9.3. The diligence materials describe a different structure. The QoE describes Merger Sub as a subsidiary of Clearview HC Holdings, LLC (controlled by Fund IV) and says rollover holders receive interests in Clearview HC Holdings, LLC. The regulatory memo describes Fund IV as “Buyer.” Exhibit B contemplates interests in “Clearview Health Partners Fund IV, L.P.”</w:t>
      </w:r>
    </w:p>
    <w:p>
      <w:pPr>
        <w:spacing w:after="120"/>
      </w:pPr>
      <w:r>
        <w:rPr>
          <w:b w:val="0"/>
          <w:i w:val="0"/>
        </w:rPr>
        <w:t>Issuing limited partnership interests in the fund itself to five practicing physicians who are referral sources raises fund-document, investor-suitability, securities-law and Stark/AKS (investment-interest) issues. It is inconsistent with standard sponsor practice. Making the management company and the fund direct parties also exposes them to direct contractual liability and to claims under §§3.3, 3.5, 6.5 and 9.3. The draft uses “Buyer” and “Parent” inconsistently: Buyer prepares the NWC statement and pays the NWC true-up, Parent pays the earnout, and the earnout dispute fees are split between Buyer and the Equity Holders.</w:t>
      </w:r>
    </w:p>
    <w:p>
      <w:pPr>
        <w:spacing w:after="40"/>
      </w:pPr>
      <w:r>
        <w:rPr>
          <w:b/>
          <w:i w:val="0"/>
        </w:rPr>
        <w:t>Recommendation:</w:t>
      </w:r>
    </w:p>
    <w:p>
      <w:pPr>
        <w:pStyle w:val="ListBullet"/>
        <w:spacing w:after="60"/>
      </w:pPr>
      <w:r>
        <w:t>Make a newly formed acquisition holding company or MSO (for example, Clearview HC Holdings, LLC) “Parent.” Remove the management company and Fund IV as parties. If Seller requires credit support, provide a limited guarantee or equity commitment letter from Fund IV capped at the Reverse Termination Fee.</w:t>
      </w:r>
    </w:p>
    <w:p>
      <w:pPr>
        <w:pStyle w:val="ListBullet"/>
        <w:spacing w:after="60"/>
      </w:pPr>
      <w:r>
        <w:t>Issue Rollover Equity in the holding company (not the fund) under an LLC agreement with customary transfer restrictions, drag/tag, repurchase on termination for cause or regulatory events, and Stark/AKS-compliant terms: returns proportional to capital invested and not tied to referrals.</w:t>
      </w:r>
    </w:p>
    <w:p>
      <w:pPr>
        <w:pStyle w:val="ListBullet"/>
        <w:spacing w:after="60"/>
      </w:pPr>
      <w:r>
        <w:t>Conform all references to “Buyer” and “Parent” and the signature blocks. The Fund IV signature block also describes Clearview Health Partners LLC as general partner while the preamble describes it as manager.</w:t>
      </w:r>
    </w:p>
    <w:p>
      <w:pPr>
        <w:pStyle w:val="Heading3"/>
      </w:pPr>
      <w:r>
        <w:t>A-5. Regulatory approvals and enrollment conditions are mis-specified (state “facility licensing,” Medicare “CHOW”); payer, MCO and lender consents are missing</w:t>
      </w:r>
    </w:p>
    <w:p>
      <w:pPr>
        <w:spacing w:after="80"/>
      </w:pPr>
      <w:r>
        <w:rPr>
          <w:b/>
        </w:rPr>
        <w:t xml:space="preserve">Priority: </w:t>
      </w:r>
      <w:r>
        <w:rPr>
          <w:b/>
          <w:color w:val="C55A11"/>
        </w:rPr>
        <w:t>High</w:t>
      </w:r>
      <w:r>
        <w:t xml:space="preserve">     </w:t>
      </w:r>
      <w:r>
        <w:rPr>
          <w:b/>
        </w:rPr>
        <w:t xml:space="preserve">Provisions / sources: </w:t>
      </w:r>
      <w:r>
        <w:rPr>
          <w:i/>
        </w:rPr>
        <w:t>§6.3(b); §7.1(b); §7.2(f); §4.8(a); Lease Schedule (Weatherford RHC); QoE §VIII; Regulatory Memo §VIII</w:t>
      </w:r>
    </w:p>
    <w:p>
      <w:pPr>
        <w:spacing w:after="120"/>
      </w:pPr>
      <w:r>
        <w:rPr>
          <w:b w:val="0"/>
          <w:i w:val="0"/>
        </w:rPr>
        <w:t>§7.1(b) makes Texas and Oklahoma “healthcare facility licensing approvals” a mutual condition. Physician office clinics generally are not HHSC-licensed facilities, so the condition must be tied to the specific Permits listed on Schedule 4.7. As drafted it is either meaningless or impossible to satisfy. §7.2(f) requires Medicare and Medicaid “CHOW” applications to have been submitted before closing. For a physician group practice (a Medicare supplier enrolled via CMS-855B) whose legal entity, TIN and enrollments survive, the change in ownership is generally reported as a change of information within 30 days after the change (42 C.F.R. §424.516(e)). It is not a §489.18 provider-agreement CHOW: under §489.18, the merger of another corporation into the provider corporation is not a change of ownership. The regulatory memo’s statement that the merger “constitutes a change of ownership triggering CHOW notification obligations” should be revisited. If the MSO restructuring in Issue A-1 changes the billing entity or reassignments, the analysis changes again.</w:t>
      </w:r>
    </w:p>
    <w:p>
      <w:pPr>
        <w:spacing w:after="120"/>
      </w:pPr>
      <w:r>
        <w:rPr>
          <w:b w:val="0"/>
          <w:i w:val="0"/>
        </w:rPr>
        <w:t>Two exceptions need to be addressed. (i) The Weatherford clinic carries a Rural Health Clinic designation (Lease Schedule, Clinic #10). An RHC is a certified provider for which provider-agreement CHOW rules and survey timing may apply, and §4.8 does not mention it. (ii) The Oklahoma SoonerSelect MCO agreements may require prior consent or notice (Regulatory Memo §VIII). Separately, the Regional Bank of Texas term loan ($22.5M) requires lender consent to a change of control (QoE §VIII), and the draft requires its payoff at closing, which should be expressly funded and deducted from the purchase price (Issue B-3). Commercial payer agreements (BCBSTX, Aetna, UnitedHealthcare) are not addressed as consents at all.</w:t>
      </w:r>
    </w:p>
    <w:p>
      <w:pPr>
        <w:spacing w:after="40"/>
      </w:pPr>
      <w:r>
        <w:rPr>
          <w:b/>
          <w:i w:val="0"/>
        </w:rPr>
        <w:t>Recommendation:</w:t>
      </w:r>
    </w:p>
    <w:p>
      <w:pPr>
        <w:pStyle w:val="ListBullet"/>
        <w:spacing w:after="60"/>
      </w:pPr>
      <w:r>
        <w:t>Replace §7.1(b) and §7.2(f) with conditions keyed to a scheduled list of required governmental notices and approvals, the HSR condition, and receipt of any required SoonerSelect MCO and material commercial payer consents. Add a covenant to file Medicare/Medicaid change-of-information (and, for the RHC, any CHOW) filings within required timeframes, with pre-closing preparation and cooperation.</w:t>
      </w:r>
    </w:p>
    <w:p>
      <w:pPr>
        <w:pStyle w:val="ListBullet"/>
        <w:spacing w:after="60"/>
      </w:pPr>
      <w:r>
        <w:t>Add representations on enrollment status (including RHC certification, reassignments, revalidation, and no payment suspensions or prepayment review).</w:t>
      </w:r>
    </w:p>
    <w:p>
      <w:pPr>
        <w:pStyle w:val="ListBullet"/>
        <w:spacing w:after="60"/>
      </w:pPr>
      <w:r>
        <w:t>Add the Regional Bank of Texas payoff letter (or consent) to the deliverables and confirm the treatment of the guaranteed equipment leases.</w:t>
      </w:r>
    </w:p>
    <w:p>
      <w:pPr>
        <w:pStyle w:val="Heading2"/>
      </w:pPr>
      <w:r>
        <w:t>B. Purchase Price, Valuation and Payment Mechanics</w:t>
      </w:r>
    </w:p>
    <w:p>
      <w:pPr>
        <w:pStyle w:val="Heading3"/>
      </w:pPr>
      <w:r>
        <w:t>B-1. Adjusted EBITDA overstated by $400,000; Base Enterprise Value overstated by about $3.0 million</w:t>
      </w:r>
    </w:p>
    <w:p>
      <w:pPr>
        <w:spacing w:after="80"/>
      </w:pPr>
      <w:r>
        <w:rPr>
          <w:b/>
        </w:rPr>
        <w:t xml:space="preserve">Priority: </w:t>
      </w:r>
      <w:r>
        <w:rPr>
          <w:b/>
          <w:color w:val="C00000"/>
        </w:rPr>
        <w:t>Critical</w:t>
      </w:r>
      <w:r>
        <w:t xml:space="preserve">     </w:t>
      </w:r>
      <w:r>
        <w:rPr>
          <w:b/>
        </w:rPr>
        <w:t xml:space="preserve">Provisions / sources: </w:t>
      </w:r>
      <w:r>
        <w:rPr>
          <w:i/>
        </w:rPr>
        <w:t>Definitions of “Adjusted EBITDA,” “Base Enterprise Value,” “Equity Value”; §4.5; QoE §§IV.B, IX.1, X</w:t>
      </w:r>
    </w:p>
    <w:p>
      <w:pPr>
        <w:spacing w:after="120"/>
      </w:pPr>
      <w:r>
        <w:rPr>
          <w:b w:val="0"/>
          <w:i w:val="0"/>
        </w:rPr>
        <w:t>The draft fixes Adjusted EBITDA at $29.97 million and Base Enterprise Value at $224.8 million (7.5x). Buyer’s own QoE (Thornfield, Jan. 20, 2025) supports only $3.97 million of adjustments to reported EBITDA of $25.6 million, or $29.57 million of Adjusted EBITDA. The draft’s figure implies $4.37 million of adjustments. The $0.40 million unexplained difference equals about $3.0 million of enterprise value at 7.5x ($224.8M versus $221.775M). Thornfield expressly flags the discrepancy as unreconciled (QoE §§IX.1, X).</w:t>
      </w:r>
    </w:p>
    <w:p>
      <w:pPr>
        <w:spacing w:after="120"/>
      </w:pPr>
      <w:r>
        <w:rPr>
          <w:b w:val="0"/>
          <w:i w:val="0"/>
        </w:rPr>
        <w:t>§4.5 also says the FY2024 financial statements are “audited” by Stonebridge &amp; Wills. The draft is dated January 8, 2025, eight days after year-end, so a FY2024 audit opinion is very unlikely to have been issued. The definition of Adjusted EBITDA cites the “audited financial statements for the period ending December 31, 2024.”</w:t>
      </w:r>
    </w:p>
    <w:p>
      <w:pPr>
        <w:spacing w:after="40"/>
      </w:pPr>
      <w:r>
        <w:rPr>
          <w:b/>
          <w:i w:val="0"/>
        </w:rPr>
        <w:t>Recommendation:</w:t>
      </w:r>
    </w:p>
    <w:p>
      <w:pPr>
        <w:pStyle w:val="ListBullet"/>
        <w:spacing w:after="60"/>
      </w:pPr>
      <w:r>
        <w:t>Reset Base Enterprise Value to $221,775,000 (7.5 x $29.57M), subject to the further adjustments below. Seller must document any additional add-back it contends supports $29.97M.</w:t>
      </w:r>
    </w:p>
    <w:p>
      <w:pPr>
        <w:pStyle w:val="ListBullet"/>
        <w:spacing w:after="60"/>
      </w:pPr>
      <w:r>
        <w:t>Confirm whether the FY2024 audit has been issued. If not, represent to unaudited FY2024 statements, require delivery of the audited statements before closing, and make a material variance from the QoE figures a condition or price-adjustment trigger.</w:t>
      </w:r>
    </w:p>
    <w:p>
      <w:pPr>
        <w:pStyle w:val="Heading3"/>
      </w:pPr>
      <w:r>
        <w:t>B-2. Additional diligence findings that should reduce valuation or be priced through special indemnities</w:t>
      </w:r>
    </w:p>
    <w:p>
      <w:pPr>
        <w:spacing w:after="80"/>
      </w:pPr>
      <w:r>
        <w:rPr>
          <w:b/>
        </w:rPr>
        <w:t xml:space="preserve">Priority: </w:t>
      </w:r>
      <w:r>
        <w:rPr>
          <w:b/>
          <w:color w:val="C55A11"/>
        </w:rPr>
        <w:t>High</w:t>
      </w:r>
      <w:r>
        <w:t xml:space="preserve">     </w:t>
      </w:r>
      <w:r>
        <w:rPr>
          <w:b/>
        </w:rPr>
        <w:t xml:space="preserve">Provisions / sources: </w:t>
      </w:r>
      <w:r>
        <w:rPr>
          <w:i/>
        </w:rPr>
        <w:t>QoE §§IV.B–C, VI, IX.8; Regulatory Memo §§III.B, IV.A, IV.C; Lease Schedule</w:t>
      </w:r>
    </w:p>
    <w:p>
      <w:pPr>
        <w:spacing w:after="120"/>
      </w:pPr>
      <w:r>
        <w:rPr>
          <w:b w:val="0"/>
          <w:i w:val="0"/>
        </w:rPr>
        <w:t>Several diligence findings are not reflected in the 7.5x multiple applied to the QoE Adjusted EBITDA. These amounts are illustrative and for negotiation planning. They are not a substitute for an updated QoE.</w:t>
      </w:r>
    </w:p>
    <w:p>
      <w:pPr>
        <w:spacing w:after="120"/>
      </w:pPr>
      <w:r>
        <w:rPr>
          <w:b w:val="0"/>
          <w:i w:val="0"/>
        </w:rPr>
        <w:t>(i) Pain-management E&amp;M upcoding. $1.8 million of overpayments over FY2022–2024 implies about $0.6 million per year of revenue that will not recur once coding is corrected. At 7.5x, that is about $4.5 million of enterprise value, before any refund liability (see Issue C-1).</w:t>
      </w:r>
    </w:p>
    <w:p>
      <w:pPr>
        <w:spacing w:after="120"/>
      </w:pPr>
      <w:r>
        <w:rPr>
          <w:b w:val="0"/>
          <w:i w:val="0"/>
        </w:rPr>
        <w:t>(ii) Founder compensation add-back. The $1.82 million add-back assumes normalized founder cost of $1.13 million. The Vasquez Employment Agreement sets base pay at $1.2 million plus a bonus of up to 20% (total of up to $1.44 million). The add-back is therefore overstated by $70,000–$310,000 (about $0.5–$2.3 million of enterprise value), and the agreed compensation itself exceeds the 90th percentile (Issue C-4).</w:t>
      </w:r>
    </w:p>
    <w:p>
      <w:pPr>
        <w:spacing w:after="120"/>
      </w:pPr>
      <w:r>
        <w:rPr>
          <w:b w:val="0"/>
          <w:i w:val="0"/>
        </w:rPr>
        <w:t>(iii) Ancillary physical therapy revenue. $2.8–$3.5 million of annual revenue is at risk if the off-site PT arrangement must be unwound (Issue C-3). Its EBITDA contribution should be quantified.</w:t>
      </w:r>
    </w:p>
    <w:p>
      <w:pPr>
        <w:spacing w:after="120"/>
      </w:pPr>
      <w:r>
        <w:rPr>
          <w:b w:val="0"/>
          <w:i w:val="0"/>
        </w:rPr>
        <w:t>(iv) Related-party rent. Resetting the Vasquez leases to fair market value would increase EBITDA by about $237,000 per year (+$1.8 million of enterprise value at 7.5x). This is an offset Seller will raise, and it is appropriate only if the leases are in fact reset (Issue C-2).</w:t>
      </w:r>
    </w:p>
    <w:p>
      <w:pPr>
        <w:spacing w:after="120"/>
      </w:pPr>
      <w:r>
        <w:rPr>
          <w:b w:val="0"/>
          <w:i w:val="0"/>
        </w:rPr>
        <w:t>(v) Plano and Frisco. These clinics ($26.5 million of 2024 revenue per the Lease Schedule; $28.5 million per the QoE) have leases expiring January and February 2026 with no renewal options.</w:t>
      </w:r>
    </w:p>
    <w:p>
      <w:pPr>
        <w:spacing w:after="120"/>
      </w:pPr>
      <w:r>
        <w:rPr>
          <w:b w:val="0"/>
          <w:i w:val="0"/>
        </w:rPr>
        <w:t>(vi) Co-management revenue. $1.4 million per year of St. Ambrose incentive payments depends on renewal and on metrics that raise AKS concerns (Issue C-5).</w:t>
      </w:r>
    </w:p>
    <w:p>
      <w:pPr>
        <w:spacing w:after="120"/>
      </w:pPr>
      <w:r>
        <w:rPr>
          <w:b w:val="0"/>
          <w:i w:val="0"/>
        </w:rPr>
        <w:t>(vii) Denton. The QoE adds back $0.60 million of “Denton clinic wind-down costs” on the basis that Denton closed in mid-2024 and its lease was terminated. However, the Lease Schedule (dated the same day) lists Denton as an operating clinic (#7) with a lease running to March 31, 2030 at $215,000 per year and a change-of-control consent requirement, and the draft represents that Pinnacle operates 14 clinics. Either the add-back is unsupported or the clinic count, lease schedule and §4.13 representations are wrong.</w:t>
      </w:r>
    </w:p>
    <w:p>
      <w:pPr>
        <w:spacing w:after="40"/>
      </w:pPr>
      <w:r>
        <w:rPr>
          <w:b/>
          <w:i w:val="0"/>
        </w:rPr>
        <w:t>Recommendation:</w:t>
      </w:r>
    </w:p>
    <w:p>
      <w:pPr>
        <w:pStyle w:val="ListBullet"/>
        <w:spacing w:after="60"/>
      </w:pPr>
      <w:r>
        <w:t>Have Thornfield issue a bring-down QoE reconciling items (i)–(vii), and use it to set the price.</w:t>
      </w:r>
    </w:p>
    <w:p>
      <w:pPr>
        <w:pStyle w:val="ListBullet"/>
        <w:spacing w:after="60"/>
      </w:pPr>
      <w:r>
        <w:t>Use a combination of price reduction (for run-rate items), special indemnities with a dedicated escrow (for known liabilities), and closing conditions (for leases and restructurings). Do not rely on general representations.</w:t>
      </w:r>
    </w:p>
    <w:p>
      <w:pPr>
        <w:pStyle w:val="Heading3"/>
      </w:pPr>
      <w:r>
        <w:t>B-3. Fixed Net Debt; no debt-like items; Seller transaction expenses not deducted; no closing estimate mechanics</w:t>
      </w:r>
    </w:p>
    <w:p>
      <w:pPr>
        <w:spacing w:after="80"/>
      </w:pPr>
      <w:r>
        <w:rPr>
          <w:b/>
        </w:rPr>
        <w:t xml:space="preserve">Priority: </w:t>
      </w:r>
      <w:r>
        <w:rPr>
          <w:b/>
          <w:color w:val="C55A11"/>
        </w:rPr>
        <w:t>High</w:t>
      </w:r>
      <w:r>
        <w:t xml:space="preserve">     </w:t>
      </w:r>
      <w:r>
        <w:rPr>
          <w:b/>
        </w:rPr>
        <w:t xml:space="preserve">Provisions / sources: </w:t>
      </w:r>
      <w:r>
        <w:rPr>
          <w:i/>
        </w:rPr>
        <w:t>Definitions of “Net Debt,” “Indebtedness,” “Equity Value,” “Transaction Expenses”; §§3.1, 3.2(e), 9.2(a)(iv), 11.11; QoE §VIII</w:t>
      </w:r>
    </w:p>
    <w:p>
      <w:pPr>
        <w:spacing w:after="120"/>
      </w:pPr>
      <w:r>
        <w:rPr>
          <w:b w:val="0"/>
          <w:i w:val="0"/>
        </w:rPr>
        <w:t>Net Debt is a stipulated $31.2 million figure (term loan $22.5M, equipment leases $4.7M, capital leases $4.0M), and Equity Value is a stipulated $195.1 million. There is no closing-date measurement of Indebtedness, no estimated closing statement and no post-closing true-up for debt. Any debt incurred between signing and closing (the interim covenants permit up to $500,000 plus ordinary-course revolver drawdowns, §6.1(f)(v)) falls on Buyer. Under §3.2(e), Parent must “repay … all outstanding Indebtedness,” and the draft does not say that repayment is funded out of, and reduces, the Cash Consideration.</w:t>
      </w:r>
    </w:p>
    <w:p>
      <w:pPr>
        <w:spacing w:after="120"/>
      </w:pPr>
      <w:r>
        <w:rPr>
          <w:b w:val="0"/>
          <w:i w:val="0"/>
        </w:rPr>
        <w:t>The QoE expects about $3.2 million of seller transaction expenses (financial advisor, Breckenridge Sloane, accountants) to be “deducted from the cash consideration at closing.” The draft does not deduct them. §11.11 has each party bear its own costs, but the Company’s costs become Buyer’s once Buyer owns the Company, and the only protection is a capped, several indemnity in §9.2(a)(iv). The usual debt-like items are absent: accrued but unpaid bonuses and payroll taxes, deferred compensation, unpaid pre-closing taxes, known overpayment liabilities (the $1.8M upcoding amount), patient and payer credit balances, deferred rent, change-of-control or retention payments, the Apex termination fee if triggered, and unpaid litigation settlements.</w:t>
      </w:r>
    </w:p>
    <w:p>
      <w:pPr>
        <w:spacing w:after="40"/>
      </w:pPr>
      <w:r>
        <w:rPr>
          <w:b/>
          <w:i w:val="0"/>
        </w:rPr>
        <w:t>Recommendation:</w:t>
      </w:r>
    </w:p>
    <w:p>
      <w:pPr>
        <w:pStyle w:val="ListBullet"/>
        <w:spacing w:after="60"/>
      </w:pPr>
      <w:r>
        <w:t>Convert to a customary cash-free, debt-free mechanic. Purchase Price = Base Enterprise Value – Closing Indebtedness – unpaid Transaction Expenses + Closing Cash (if agreed) ± NWC adjustment, with an estimated closing statement delivered three Business Days before closing and a post-closing true-up.</w:t>
      </w:r>
    </w:p>
    <w:p>
      <w:pPr>
        <w:pStyle w:val="ListBullet"/>
        <w:spacing w:after="60"/>
      </w:pPr>
      <w:r>
        <w:t>Expand “Indebtedness” to include the debt-like items listed above, and require payoff letters and invoices for all Indebtedness and Transaction Expenses, paid by Parent on the Company’s behalf out of the purchase price.</w:t>
      </w:r>
    </w:p>
    <w:p>
      <w:pPr>
        <w:pStyle w:val="Heading3"/>
      </w:pPr>
      <w:r>
        <w:t>B-4. Net working capital true-up double-counts the $1.5 million estimated adjustment</w:t>
      </w:r>
    </w:p>
    <w:p>
      <w:pPr>
        <w:spacing w:after="80"/>
      </w:pPr>
      <w:r>
        <w:rPr>
          <w:b/>
        </w:rPr>
        <w:t xml:space="preserve">Priority: </w:t>
      </w:r>
      <w:r>
        <w:rPr>
          <w:b/>
          <w:color w:val="C00000"/>
        </w:rPr>
        <w:t>Critical</w:t>
      </w:r>
      <w:r>
        <w:t xml:space="preserve">     </w:t>
      </w:r>
      <w:r>
        <w:rPr>
          <w:b/>
        </w:rPr>
        <w:t xml:space="preserve">Provisions / sources: </w:t>
      </w:r>
      <w:r>
        <w:rPr>
          <w:i/>
        </w:rPr>
        <w:t>Definitions of “Equity Value,” “Estimated Closing Net Working Capital,” “Net Working Capital Adjustment”; §3.3(a), (e); QoE §V</w:t>
      </w:r>
    </w:p>
    <w:p>
      <w:pPr>
        <w:spacing w:after="120"/>
      </w:pPr>
      <w:r>
        <w:rPr>
          <w:b w:val="0"/>
          <w:i w:val="0"/>
        </w:rPr>
        <w:t>The $1.5 million positive NWC adjustment ($18.4M estimated minus the $16.9M peg) is already built into the $195.1 million Equity Value paid at closing. §3.3(e), however, measures the post-closing true-up by comparing Final Closing NWC to the Target NWC, not to the Estimated Closing NWC. If Final Closing NWC equals the estimate ($18.4M), Buyer would owe the Equity Holders a further $1.5 million under §3.3(e)(i), paying the same adjustment twice. The error is symmetrical in the other direction only in Seller’s favor.</w:t>
      </w:r>
    </w:p>
    <w:p>
      <w:pPr>
        <w:spacing w:after="120"/>
      </w:pPr>
      <w:r>
        <w:rPr>
          <w:b w:val="0"/>
          <w:i w:val="0"/>
        </w:rPr>
        <w:t>In addition, the “Estimated Closing NWC” is a fixed number drawn from the December 31, 2024 balance sheet (QoE §V), not a good-faith estimate delivered before closing. The QoE also notes that 7.2% of receivables are more than 120 days old and that the allowance warrants monitoring. Receivables from upcoded claims should be reserved. Any NWC shortfall is paid first from the $15 million indemnity escrow, which depletes Buyer’s indemnity security.</w:t>
      </w:r>
    </w:p>
    <w:p>
      <w:pPr>
        <w:spacing w:after="40"/>
      </w:pPr>
      <w:r>
        <w:rPr>
          <w:b/>
          <w:i w:val="0"/>
        </w:rPr>
        <w:t>Recommendation:</w:t>
      </w:r>
    </w:p>
    <w:p>
      <w:pPr>
        <w:pStyle w:val="ListBullet"/>
        <w:spacing w:after="60"/>
      </w:pPr>
      <w:r>
        <w:t>Revise §3.3(e) so that the true-up equals Final Closing NWC minus Estimated Closing NWC (as delivered in a pre-closing statement). Delete the fixed $18.4M figure from the definitions.</w:t>
      </w:r>
    </w:p>
    <w:p>
      <w:pPr>
        <w:pStyle w:val="ListBullet"/>
        <w:spacing w:after="60"/>
      </w:pPr>
      <w:r>
        <w:t>Create a separate adjustment escrow (for example, $1.5–$2.0 million) as the first source of recovery for NWC and debt true-ups. Specify that the Accounting Principles include a specific reserve methodology for aged receivables and any identified overpayments or credit balances.</w:t>
      </w:r>
    </w:p>
    <w:p>
      <w:pPr>
        <w:pStyle w:val="ListBullet"/>
        <w:spacing w:after="60"/>
      </w:pPr>
      <w:r>
        <w:t>Have Parent (not the “Buyer” management company) prepare the closing statement. Consider a collar.</w:t>
      </w:r>
    </w:p>
    <w:p>
      <w:pPr>
        <w:pStyle w:val="Heading3"/>
      </w:pPr>
      <w:r>
        <w:t>B-5. Allocation of consideration is internally inconsistent; non-rolling holders are underpaid by about $3.5 million each, creating dissenters’ and fairness claims</w:t>
      </w:r>
    </w:p>
    <w:p>
      <w:pPr>
        <w:spacing w:after="80"/>
      </w:pPr>
      <w:r>
        <w:rPr>
          <w:b/>
        </w:rPr>
        <w:t xml:space="preserve">Priority: </w:t>
      </w:r>
      <w:r>
        <w:rPr>
          <w:b/>
          <w:color w:val="C55A11"/>
        </w:rPr>
        <w:t>High</w:t>
      </w:r>
      <w:r>
        <w:t xml:space="preserve">     </w:t>
      </w:r>
      <w:r>
        <w:rPr>
          <w:b/>
        </w:rPr>
        <w:t xml:space="preserve">Provisions / sources: </w:t>
      </w:r>
      <w:r>
        <w:rPr>
          <w:i/>
        </w:rPr>
        <w:t>§3.1(a)–(b); §3.2(a); §4.4; Article X</w:t>
      </w:r>
    </w:p>
    <w:p>
      <w:pPr>
        <w:spacing w:after="120"/>
      </w:pPr>
      <w:r>
        <w:rPr>
          <w:b w:val="0"/>
          <w:i w:val="0"/>
        </w:rPr>
        <w:t>§3.1(a) allocates the entire $156.08 million of Cash Consideration pro rata to all five holders by ownership percentage. §3.1(b) then gives the three Rollover Participants $39.02 million of Rollover Equity on top. The result is that each holder’s total consideration does not match his or her ownership percentage (see Table 2 in Section II). Drs. Okoro and Tran each own 9% (an equal-treatment entitlement of $17.559 million each of the $195.1 million Equity Value) but receive only $14.047 million. Dr. Vasquez (58%) receives $116.53 million (59.7%).</w:t>
      </w:r>
    </w:p>
    <w:p>
      <w:pPr>
        <w:spacing w:after="120"/>
      </w:pPr>
      <w:r>
        <w:rPr>
          <w:b w:val="0"/>
          <w:i w:val="0"/>
        </w:rPr>
        <w:t>This is not a Buyer economic cost, because the aggregate is unchanged, but it is a significant closing and litigation risk for Buyer. Non-rolling holders can be expected to object, and an unequal allocation in a merger supports dissenters’ (appraisal) rights under TBOC Chapter 10, Subchapter H and claims against the surviving entity, which Buyer will own. The several indemnity under §9.2 is also allocated by ownership percentage rather than by proceeds received, so the non-rolling holders bear indemnity exposure on consideration they did not receive.</w:t>
      </w:r>
    </w:p>
    <w:p>
      <w:pPr>
        <w:spacing w:after="40"/>
      </w:pPr>
      <w:r>
        <w:rPr>
          <w:b/>
          <w:i w:val="0"/>
        </w:rPr>
        <w:t>Recommendation:</w:t>
      </w:r>
    </w:p>
    <w:p>
      <w:pPr>
        <w:pStyle w:val="ListBullet"/>
        <w:spacing w:after="60"/>
      </w:pPr>
      <w:r>
        <w:t>Allocate cash per holder as (ownership % x Equity Value) minus that holder’s Rollover Equity (Table 2, right-hand column), or document any intended non-pro-rata allocation with the informed written consent of all five holders.</w:t>
      </w:r>
    </w:p>
    <w:p>
      <w:pPr>
        <w:pStyle w:val="ListBullet"/>
        <w:spacing w:after="60"/>
      </w:pPr>
      <w:r>
        <w:t>Require each Equity Holder to execute a joinder approving the Merger, waiving dissenters’ rights, and acknowledging the allocation (closing condition). Add a Seller indemnity for allocation and dissenter claims that is not subject to the basket or cap.</w:t>
      </w:r>
    </w:p>
    <w:p>
      <w:pPr>
        <w:pStyle w:val="ListBullet"/>
        <w:spacing w:after="60"/>
      </w:pPr>
      <w:r>
        <w:t>Allocate indemnity exposure by proceeds received (including rollover value), and make the payment schedule binding on the Equity Holders, with Parent entitled to rely on it.</w:t>
      </w:r>
    </w:p>
    <w:p>
      <w:pPr>
        <w:pStyle w:val="Heading3"/>
      </w:pPr>
      <w:r>
        <w:t>B-6. Earnout: revenue metric creates Stark/AKS risk; targets assume growth above historical trend; dispute resolver is not independent; no set-off</w:t>
      </w:r>
    </w:p>
    <w:p>
      <w:pPr>
        <w:spacing w:after="80"/>
      </w:pPr>
      <w:r>
        <w:rPr>
          <w:b/>
        </w:rPr>
        <w:t xml:space="preserve">Priority: </w:t>
      </w:r>
      <w:r>
        <w:rPr>
          <w:b/>
          <w:color w:val="C55A11"/>
        </w:rPr>
        <w:t>High</w:t>
      </w:r>
      <w:r>
        <w:t xml:space="preserve">     </w:t>
      </w:r>
      <w:r>
        <w:rPr>
          <w:b/>
        </w:rPr>
        <w:t xml:space="preserve">Provisions / sources: </w:t>
      </w:r>
      <w:r>
        <w:rPr>
          <w:i/>
        </w:rPr>
        <w:t>§3.1(c); §3.5; definition of “Consolidated Revenue”; QoE §§III.A, X; Lease Schedule (Key Risk Items)</w:t>
      </w:r>
    </w:p>
    <w:p>
      <w:pPr>
        <w:spacing w:after="120"/>
      </w:pPr>
      <w:r>
        <w:rPr>
          <w:b w:val="0"/>
          <w:i w:val="0"/>
        </w:rPr>
        <w:t>Healthcare regulatory risk. The earnout pays up to $20 million to the five physician-sellers, who (on the information available) are expected to continue practicing at and referring within Pinnacle, based on Consolidated Revenue. That revenue includes designated health services (MRI, laboratory, PT) and other federal program revenue generated by their own referrals. A contingent payment that varies with post-closing revenue the payees themselves generate is difficult to fit within the Stark isolated-transaction exception (42 C.F.R. §411.357(f)), which permits only installment payments and post-closing adjustments that do not take into account the volume or value of referrals. It is also a classic AKS concern (remuneration that rises with referrals). Seller’s counsel did not flag this.</w:t>
      </w:r>
    </w:p>
    <w:p>
      <w:pPr>
        <w:spacing w:after="120"/>
      </w:pPr>
      <w:r>
        <w:rPr>
          <w:b w:val="0"/>
          <w:i w:val="0"/>
        </w:rPr>
        <w:t>Commercial terms. The 2025 target ($205.0M) requires 9.5% growth and the 2026 target ($225.0M) a further 9.8%, against historical growth of 8.4%–8.8% (QoE §III.A). Plano and Frisco (about $26.5–$28.5M of revenue) face lease expirations in early 2026, and coding remediation and any PT unwind will reduce revenue. The targets are therefore not “readily achievable,” as the transmittal asserts. That favors Buyer economically, but it heightens the likelihood of a dispute.</w:t>
      </w:r>
    </w:p>
    <w:p>
      <w:pPr>
        <w:spacing w:after="120"/>
      </w:pPr>
      <w:r>
        <w:rPr>
          <w:b w:val="0"/>
          <w:i w:val="0"/>
        </w:rPr>
        <w:t>Seller has drafted §3.5(e) with Buyer-favorable sole-discretion language. We should expect it to be negotiated, and Texas law implies no general duty of good faith in contract, so the express language governs. The dispute resolver in §3.5(d), “Parent’s Auditor” (Stonebridge &amp; Wills), is in fact the Company’s historical auditor (§4.5). Using it is inappropriate for both sides and creates an independence issue for the post-closing audit. §3.5(g) prohibits set-off “except as expressly provided,” and nothing expressly provides it. The QoE describes payment “within ninety (90) days following completion of the applicable calendar year audit,” whereas §3.5(f) requires payment within 10 Business Days of final determination.</w:t>
      </w:r>
    </w:p>
    <w:p>
      <w:pPr>
        <w:spacing w:after="40"/>
      </w:pPr>
      <w:r>
        <w:rPr>
          <w:b/>
          <w:i w:val="0"/>
        </w:rPr>
        <w:t>Recommendation:</w:t>
      </w:r>
    </w:p>
    <w:p>
      <w:pPr>
        <w:pStyle w:val="ListBullet"/>
        <w:spacing w:after="60"/>
      </w:pPr>
      <w:r>
        <w:t>Obtain healthcare regulatory sign-off on any earnout to referring physicians. Preferably convert the earnout to an EBITDA-based metric, exclude DHS revenue and revenue from any Equity Holder’s personally performed or referred services, or replace the earnout with fixed deferred consideration or rollover equity value. Support any retained earnout with an FMV/commercial reasonableness analysis.</w:t>
      </w:r>
    </w:p>
    <w:p>
      <w:pPr>
        <w:pStyle w:val="ListBullet"/>
        <w:spacing w:after="60"/>
      </w:pPr>
      <w:r>
        <w:t>Define Consolidated Revenue precisely: net patient service revenue under the Accounting Principles; excluding acquired practices, de novo clinics funded by Parent, and revenue later determined to be an overpayment; with clawback of earnout paid on revenue subsequently refunded.</w:t>
      </w:r>
    </w:p>
    <w:p>
      <w:pPr>
        <w:pStyle w:val="ListBullet"/>
        <w:spacing w:after="60"/>
      </w:pPr>
      <w:r>
        <w:t>Replace Parent’s Auditor with an independent nationally recognized accounting firm acting as expert. Add an express right to set off finally determined (or, with escrow of disputed amounts, claimed) indemnity amounts against earnout payments.</w:t>
      </w:r>
    </w:p>
    <w:p>
      <w:pPr>
        <w:pStyle w:val="ListBullet"/>
        <w:spacing w:after="60"/>
      </w:pPr>
      <w:r>
        <w:t>Keep §3.5(e) operational discretion, with an express acknowledgment of no implied covenants and that the earnout is speculative.</w:t>
      </w:r>
    </w:p>
    <w:p>
      <w:pPr>
        <w:pStyle w:val="Heading3"/>
      </w:pPr>
      <w:r>
        <w:t>B-7. Escrow sizing and term do not match the risk profile or the survival periods</w:t>
      </w:r>
    </w:p>
    <w:p>
      <w:pPr>
        <w:spacing w:after="80"/>
      </w:pPr>
      <w:r>
        <w:rPr>
          <w:b/>
        </w:rPr>
        <w:t xml:space="preserve">Priority: </w:t>
      </w:r>
      <w:r>
        <w:rPr>
          <w:b/>
          <w:color w:val="C55A11"/>
        </w:rPr>
        <w:t>High</w:t>
      </w:r>
      <w:r>
        <w:t xml:space="preserve">     </w:t>
      </w:r>
      <w:r>
        <w:rPr>
          <w:b/>
        </w:rPr>
        <w:t xml:space="preserve">Provisions / sources: </w:t>
      </w:r>
      <w:r>
        <w:rPr>
          <w:i/>
        </w:rPr>
        <w:t>Definitions of “Escrow Amount,” “Escrow Release Date”; §§3.3(e)(ii), 3.4, 9.1, 9.6; Exhibit A</w:t>
      </w:r>
    </w:p>
    <w:p>
      <w:pPr>
        <w:spacing w:after="120"/>
      </w:pPr>
      <w:r>
        <w:rPr>
          <w:b w:val="0"/>
          <w:i w:val="0"/>
        </w:rPr>
        <w:t>The single $15 million escrow (6.7% of enterprise value; 7.7% of Equity Value) secures both NWC shortfalls and all indemnification claims. It is released on a fixed calendar date (December 1, 2026). If closing slips toward the September 30, 2025 Outside Date, the escrow period shrinks to about 14 months. The release date is also mismatched with survival: general representations survive 15 months, Healthcare Representations 3 years, and Fundamental Representations 6 years. After release, recovery is solely against five individuals, severally. Two of them (Okoro and Tran) receive all-cash consideration and have no rollover equity that could be recovered against.</w:t>
      </w:r>
    </w:p>
    <w:p>
      <w:pPr>
        <w:spacing w:after="120"/>
      </w:pPr>
      <w:r>
        <w:rPr>
          <w:b w:val="0"/>
          <w:i w:val="0"/>
        </w:rPr>
        <w:t>Known exposures already identified in diligence total, on the regulatory team’s ranges, roughly $7–$20 million or more before penalties: upcoding refund and settlement ($2.7M at 1.5x through OIG self-disclosure up to $5.4M treble), PT Stark refunds ($3.4–$10.5M), HIPAA/OCR penalties and litigation, and lease and AKS exposure. Those exposures alone could consume the escrow.</w:t>
      </w:r>
    </w:p>
    <w:p>
      <w:pPr>
        <w:spacing w:after="40"/>
      </w:pPr>
      <w:r>
        <w:rPr>
          <w:b/>
          <w:i w:val="0"/>
        </w:rPr>
        <w:t>Recommendation:</w:t>
      </w:r>
    </w:p>
    <w:p>
      <w:pPr>
        <w:pStyle w:val="ListBullet"/>
        <w:spacing w:after="60"/>
      </w:pPr>
      <w:r>
        <w:t>Split the escrow into (a) an adjustment escrow (Issue B-4); (b) a general indemnity escrow sized to the R&amp;W retention and the general cap, running 18 months from the actual Closing Date; and (c) a special indemnity escrow (for example, $10–$15 million, sized after the coding audit and PT billing review) securing the specific indemnities in Issue D-2 and released in tranches upon resolution of each matter and the applicable statutes of limitation.</w:t>
      </w:r>
    </w:p>
    <w:p>
      <w:pPr>
        <w:pStyle w:val="ListBullet"/>
        <w:spacing w:after="60"/>
      </w:pPr>
      <w:r>
        <w:t>Peg all release dates to the actual Closing Date, not to calendar dates. Add rights to recover against rollover equity (forfeiture or redemption at the lower of cost and FMV) and against earnout payments.</w:t>
      </w:r>
    </w:p>
    <w:p>
      <w:pPr>
        <w:pStyle w:val="Heading2"/>
      </w:pPr>
      <w:r>
        <w:t>C. Healthcare Fraud-and-Abuse, Compliance and Regulatory Exposure</w:t>
      </w:r>
    </w:p>
    <w:p>
      <w:pPr>
        <w:pStyle w:val="Heading3"/>
      </w:pPr>
      <w:r>
        <w:t>C-1. Known pain-management E&amp;M upcoding (about $1.8 million), not disclosed in the draft; 60-day overpayment rule; no specific indemnity</w:t>
      </w:r>
    </w:p>
    <w:p>
      <w:pPr>
        <w:spacing w:after="80"/>
      </w:pPr>
      <w:r>
        <w:rPr>
          <w:b/>
        </w:rPr>
        <w:t xml:space="preserve">Priority: </w:t>
      </w:r>
      <w:r>
        <w:rPr>
          <w:b/>
          <w:color w:val="C00000"/>
        </w:rPr>
        <w:t>Critical</w:t>
      </w:r>
      <w:r>
        <w:t xml:space="preserve">     </w:t>
      </w:r>
      <w:r>
        <w:rPr>
          <w:b/>
        </w:rPr>
        <w:t xml:space="preserve">Provisions / sources: </w:t>
      </w:r>
      <w:r>
        <w:rPr>
          <w:i/>
        </w:rPr>
        <w:t>§§4.7(a), 4.8(b)–(c), 4.9(b); Schedule 4.8; QoE §IX.8; Regulatory Memo §§III.B–C</w:t>
      </w:r>
    </w:p>
    <w:p>
      <w:pPr>
        <w:spacing w:after="120"/>
      </w:pPr>
      <w:r>
        <w:rPr>
          <w:b w:val="0"/>
          <w:i w:val="0"/>
        </w:rPr>
        <w:t>Pinnacle’s own Q3 2024 internal audit found systematic billing of CPT 99214 where documentation supported 99213, across multiple pain-management physicians at several Texas clinics. It extrapolated about $1.8 million of overpayments for 2022–2024. The audit did not extend to orthopedics, cardiology or primary care. No refund, self-disclosure or external audit has occurred more than five months later, and the CCO describes the matter as “pending management review.” Neither the draft nor (as far as we can tell) Schedule 4.8 discloses it, even though §4.8(b) represents that all claims have been accurate and complete in all material respects and §4.9(b) represents an effective OIG-compliant compliance program.</w:t>
      </w:r>
    </w:p>
    <w:p>
      <w:pPr>
        <w:spacing w:after="120"/>
      </w:pPr>
      <w:r>
        <w:rPr>
          <w:b w:val="0"/>
          <w:i w:val="0"/>
        </w:rPr>
        <w:t>Under the ACA 60-day rule (42 U.S.C. §1320a-7k(d); 42 C.F.R. §401.305, as amended effective January 1, 2025, permitting suspension of the deadline for up to 180 days for a timely, good-faith investigation), a retained, identified overpayment becomes an “obligation” for reverse-false-claims purposes. Every month of delay increases FCA exposure (treble damages plus per-claim penalties of $13,508–$27,018), and a sealed qui tam cannot be ruled out. Under the draft, this known liability falls into the general representations: Buyer would absorb the first $1.5 million (deductible basket), recovery would be capped, and the R&amp;W insurer will exclude it as known. The QoE did not reduce Adjusted EBITDA for this item.</w:t>
      </w:r>
    </w:p>
    <w:p>
      <w:pPr>
        <w:spacing w:after="40"/>
      </w:pPr>
      <w:r>
        <w:rPr>
          <w:b/>
          <w:i w:val="0"/>
        </w:rPr>
        <w:t>Recommendation:</w:t>
      </w:r>
    </w:p>
    <w:p>
      <w:pPr>
        <w:pStyle w:val="ListBullet"/>
        <w:spacing w:after="60"/>
      </w:pPr>
      <w:r>
        <w:t>Require disclosure of the audit on Schedule 4.8, together with a dollar-one specific indemnity outside the basket, de minimis and general cap, covering refunds, settlement multiples, penalties, defense costs, corrective-action costs and lost-revenue clawback. Secure it with the special escrow, and have it survive until 60 days after the FCA limitation period.</w:t>
      </w:r>
    </w:p>
    <w:p>
      <w:pPr>
        <w:pStyle w:val="ListBullet"/>
        <w:spacing w:after="60"/>
      </w:pPr>
      <w:r>
        <w:t>Pre-closing covenant: engage an independent coding firm (scope including other specialties on a statistically valid sample) and, as Buyer directs, quantify and repay the overpayments through the MAC voluntary refund process or the OIG Self-Disclosure Protocol before closing. Buyer participates in, and approves, all communications with the government. Completion of the independent audit should be a closing condition.</w:t>
      </w:r>
    </w:p>
    <w:p>
      <w:pPr>
        <w:pStyle w:val="ListBullet"/>
        <w:spacing w:after="60"/>
      </w:pPr>
      <w:r>
        <w:t>Adjust valuation for the non-recurring upcoded revenue (Issue B-2(i)) and require that receivables tied to upcoded claims be reserved in Closing NWC.</w:t>
      </w:r>
    </w:p>
    <w:p>
      <w:pPr>
        <w:pStyle w:val="Heading3"/>
      </w:pPr>
      <w:r>
        <w:t>C-2. Related-party Vasquez leases at about 22% above FMV; §6.10 locks them in post-closing; §4.13(c) FMV representation contradicted by Buyer’s own diligence</w:t>
      </w:r>
    </w:p>
    <w:p>
      <w:pPr>
        <w:spacing w:after="80"/>
      </w:pPr>
      <w:r>
        <w:rPr>
          <w:b/>
        </w:rPr>
        <w:t xml:space="preserve">Priority: </w:t>
      </w:r>
      <w:r>
        <w:rPr>
          <w:b/>
          <w:color w:val="C00000"/>
        </w:rPr>
        <w:t>Critical</w:t>
      </w:r>
      <w:r>
        <w:t xml:space="preserve">     </w:t>
      </w:r>
      <w:r>
        <w:rPr>
          <w:b/>
        </w:rPr>
        <w:t xml:space="preserve">Provisions / sources: </w:t>
      </w:r>
      <w:r>
        <w:rPr>
          <w:i/>
        </w:rPr>
        <w:t>§§4.9(c), 4.13(b)–(c), 6.10; Lease Schedule (Clinics #1–3; Key Risk Items); QoE §§IV.C, VI, VII</w:t>
      </w:r>
    </w:p>
    <w:p>
      <w:pPr>
        <w:spacing w:after="120"/>
      </w:pPr>
      <w:r>
        <w:rPr>
          <w:b w:val="0"/>
          <w:i w:val="0"/>
        </w:rPr>
        <w:t>Three clinics are leased from Vasquez Medical Properties LLC (sole member: Dr. Vasquez, 58% owner and the principal referring physician) at $1,315,000 per year. Ridgeline/Thornfield estimate FMV at about $1,077,000–$1,078,000, roughly 22% (about $237,000 per year) above market. The Stark rental exception (42 U.S.C. §1395nn(e)(1)(A); 42 C.F.R. §411.357(a)) and the AKS space-rental safe harbor (42 C.F.R. §1001.952(b)) both require FMV rent that does not take into account the volume or value of referrals. On these facts, every DHS referral by Dr. Vasquez to Pinnacle during the lease terms is potentially tainted.</w:t>
      </w:r>
    </w:p>
    <w:p>
      <w:pPr>
        <w:spacing w:after="120"/>
      </w:pPr>
      <w:r>
        <w:rPr>
          <w:b w:val="0"/>
          <w:i w:val="0"/>
        </w:rPr>
        <w:t>§6.10 is the most problematic provision in the draft from a regulatory standpoint. It exempts the Vasquez leases (and the ancillary services agreements) from the general termination of related-party arrangements, requires them to continue “in accordance with their existing terms, conditions, and rental rates,” states that they “shall not be required to be renegotiated,” and deems their continuation not to be a breach of any representation, warranty or covenant. Post-closing, Buyer would be knowingly paying above-FMV remuneration to a referral source, which supplies the intent element for AKS purposes. At the same time, §6.10 would wipe out Buyer’s indemnity claim under §4.13(c), which represents that each Related-Party Lease is at FMV. Moreover, §4.13(c) sits outside the “Healthcare Representations” definition, so even without §6.10 it would be subject to the basket, the 10% cap and 15-month survival.</w:t>
      </w:r>
    </w:p>
    <w:p>
      <w:pPr>
        <w:spacing w:after="120"/>
      </w:pPr>
      <w:r>
        <w:rPr>
          <w:b w:val="0"/>
          <w:i w:val="0"/>
        </w:rPr>
        <w:t>Lease data is also unreliable. The Lease Schedule shows the Vasquez leases expiring in 2031–2033 (Fort Worth Medical Parkway, Fort Worth West, Arlington), whereas QoE Appendix C shows December 2028, June 2028 and March 2029 for “Fort Worth Clinic B,” “Fort Worth Clinic D” and Arlington. The schedules also differ on clinic identities and rents across most of the portfolio (Issue F-2). The lease abstracts were prepared by management, and estoppels and rent rolls have not been received.</w:t>
      </w:r>
    </w:p>
    <w:p>
      <w:pPr>
        <w:spacing w:after="40"/>
      </w:pPr>
      <w:r>
        <w:rPr>
          <w:b/>
          <w:i w:val="0"/>
        </w:rPr>
        <w:t>Recommendation:</w:t>
      </w:r>
    </w:p>
    <w:p>
      <w:pPr>
        <w:pStyle w:val="ListBullet"/>
        <w:spacing w:after="60"/>
      </w:pPr>
      <w:r>
        <w:t>Delete §6.10(i) and the deemed-no-breach sentence. As a closing condition, require amendment of each Vasquez lease to FMV rent (with commercially reasonable terms) supported by an independent MAI appraisal. Alternatively, Buyer may acquire the real estate at appraised FMV, or terminate and relocate.</w:t>
      </w:r>
    </w:p>
    <w:p>
      <w:pPr>
        <w:pStyle w:val="ListBullet"/>
        <w:spacing w:after="60"/>
      </w:pPr>
      <w:r>
        <w:t>Add a specific indemnity for all Losses arising from the pre-closing lease arrangements, including Stark refunds for tainted DHS referrals, AKS/CMP exposure and costs of any self-disclosure under the CMS Voluntary Self-Referral Disclosure Protocol. Move §4.13(c) into the Healthcare Representations, or make it a Fundamental Representation for this purpose.</w:t>
      </w:r>
    </w:p>
    <w:p>
      <w:pPr>
        <w:pStyle w:val="ListBullet"/>
        <w:spacing w:after="60"/>
      </w:pPr>
      <w:r>
        <w:t>Require delivery of all original leases, amendments and landlord estoppels, and reconcile the Lease Schedule against QoE Appendix C before signing.</w:t>
      </w:r>
    </w:p>
    <w:p>
      <w:pPr>
        <w:pStyle w:val="Heading3"/>
      </w:pPr>
      <w:r>
        <w:t>C-3. Ancillary services (MRI, lab, PT) with Vasquez-owned entities: the in-office ancillary services exception likely unavailable; off-site PT is a clear failure</w:t>
      </w:r>
    </w:p>
    <w:p>
      <w:pPr>
        <w:spacing w:after="80"/>
      </w:pPr>
      <w:r>
        <w:rPr>
          <w:b/>
        </w:rPr>
        <w:t xml:space="preserve">Priority: </w:t>
      </w:r>
      <w:r>
        <w:rPr>
          <w:b/>
          <w:color w:val="C00000"/>
        </w:rPr>
        <w:t>Critical</w:t>
      </w:r>
      <w:r>
        <w:t xml:space="preserve">     </w:t>
      </w:r>
      <w:r>
        <w:rPr>
          <w:b/>
        </w:rPr>
        <w:t xml:space="preserve">Provisions / sources: </w:t>
      </w:r>
      <w:r>
        <w:rPr>
          <w:i/>
        </w:rPr>
        <w:t>§§4.7(c), 4.14(a)(iii), 6.10(ii); QoE §§III.B, VII.2; Regulatory Memo §IV.C</w:t>
      </w:r>
    </w:p>
    <w:p>
      <w:pPr>
        <w:spacing w:after="120"/>
      </w:pPr>
      <w:r>
        <w:rPr>
          <w:b w:val="0"/>
          <w:i w:val="0"/>
        </w:rPr>
        <w:t>§4.7(c) represents that the MRI, laboratory and PT arrangements comply with the Stark in-office ancillary services (IOAS) exception, and §4.14(a)(iii) describes them as agreements “between the Company and entities in which Dr. Raymond Vasquez … holds a partial ownership interest.” The IOAS exception (42 U.S.C. §1395nn(b)(2); 42 C.F.R. §411.355(b)) requires that DHS be furnished personally by the referring physician, by a member of the same group practice, or under supervision within the group, in the same building or a centralized building of the group practice, and billed by the group practice (or an entity wholly owned by the physician or the group). Services furnished and billed by a separate entity that Dr. Vasquez only partly owns generally cannot use the IOAS exception at all. Physician ownership in a separate DHS entity requires its own ownership exception, which is rarely available for MRI, lab or PT entities. The regulatory memo treats MRI and lab as “facially compliant” subject to the billing requirement. In our view the billing and ownership requirements are likely dispositive and need immediate confirmation.</w:t>
      </w:r>
    </w:p>
    <w:p>
      <w:pPr>
        <w:spacing w:after="120"/>
      </w:pPr>
      <w:r>
        <w:rPr>
          <w:b w:val="0"/>
          <w:i w:val="0"/>
        </w:rPr>
        <w:t>The PT facility sits at a separate address about two miles from the main clinic and cannot meet the “same building” test. It is unlikely to be a “centralized building” because the group does not own or lease it. The regulatory team estimates PT revenue at $2.8–$3.5 million per year and refund exposure at $3.4–$10.5 million over a 6-year lookback, exclusive of CMPs (up to $15,000 per service) and FCA trebling. Thornfield reports that the ownership structure of these entities “was not fully disclosed.” As with the leases, §6.10(ii) requires these agreements to continue post-closing and deems that continuation not to be a breach. In addition, §4.7(c) is not a “Healthcare Representation” (§9.1(a)(iii) covers only §§4.8–4.11), so a breach is subject to the basket and the general cap and survives only 15 months.</w:t>
      </w:r>
    </w:p>
    <w:p>
      <w:pPr>
        <w:spacing w:after="40"/>
      </w:pPr>
      <w:r>
        <w:rPr>
          <w:b/>
          <w:i w:val="0"/>
        </w:rPr>
        <w:t>Recommendation:</w:t>
      </w:r>
    </w:p>
    <w:p>
      <w:pPr>
        <w:pStyle w:val="ListBullet"/>
        <w:spacing w:after="60"/>
      </w:pPr>
      <w:r>
        <w:t>Delete §6.10(ii). Require, as a pre-closing covenant and closing condition, either termination of the ancillary arrangements or their restructuring into a compliant model. For example, Pinnacle (or the MSO structure) could acquire the ancillary businesses at independently appraised FMV so that DHS are furnished and billed by the group practice in qualifying locations, with Dr. Vasquez divested.</w:t>
      </w:r>
    </w:p>
    <w:p>
      <w:pPr>
        <w:pStyle w:val="ListBullet"/>
        <w:spacing w:after="60"/>
      </w:pPr>
      <w:r>
        <w:t>Obtain ownership documents for each ancillary entity, the agreements themselves and claims-level billing data. Expand §4.14 and add a representation listing every financial relationship between the Company and any referral source.</w:t>
      </w:r>
    </w:p>
    <w:p>
      <w:pPr>
        <w:pStyle w:val="ListBullet"/>
        <w:spacing w:after="60"/>
      </w:pPr>
      <w:r>
        <w:t>Add a specific dollar-one indemnity for ancillary-services Stark/AKS/FCA exposure, secured by the special escrow, with survival tied to the FCA limitation period. Include §4.7(c) in the Healthcare Representations.</w:t>
      </w:r>
    </w:p>
    <w:p>
      <w:pPr>
        <w:pStyle w:val="Heading3"/>
      </w:pPr>
      <w:r>
        <w:t>C-4. Vasquez Employment Agreement: compensation above the 90th percentile; contractual FMV stipulation is not a defense; no restrictive covenants</w:t>
      </w:r>
    </w:p>
    <w:p>
      <w:pPr>
        <w:spacing w:after="80"/>
      </w:pPr>
      <w:r>
        <w:rPr>
          <w:b/>
        </w:rPr>
        <w:t xml:space="preserve">Priority: </w:t>
      </w:r>
      <w:r>
        <w:rPr>
          <w:b/>
          <w:color w:val="C00000"/>
        </w:rPr>
        <w:t>Critical</w:t>
      </w:r>
      <w:r>
        <w:t xml:space="preserve">     </w:t>
      </w:r>
      <w:r>
        <w:rPr>
          <w:b/>
        </w:rPr>
        <w:t xml:space="preserve">Provisions / sources: </w:t>
      </w:r>
      <w:r>
        <w:rPr>
          <w:i/>
        </w:rPr>
        <w:t>§6.5(b); Exhibit C; definition of “Ancillary Agreements”; §7.4(b)(iv); QoE §§IV.B, VII.4; Regulatory Memo §IV.A</w:t>
      </w:r>
    </w:p>
    <w:p>
      <w:pPr>
        <w:spacing w:after="120"/>
      </w:pPr>
      <w:r>
        <w:rPr>
          <w:b w:val="0"/>
          <w:i w:val="0"/>
        </w:rPr>
        <w:t>Dr. Vasquez would receive $1.2 million in base salary plus a bonus of up to 20% ($1.44 million total) as Medical Director for three years. Benchmarks in the diligence materials put the 50th percentile at about $750,000 and the 90th at about $1,050,000. Base salary alone is about 14% above the 90th percentile. §6.5(b) has the Parties “acknowledge and agree” that the compensation reflects FMV. A contractual stipulation does not establish FMV for Stark (employment exception, 42 U.S.C. §1395nn(e)(2)) or AKS (42 C.F.R. §1001.952(i)) purposes. Because Dr. Vasquez is the largest referral source, the landlord, the ancillary owner, a $26 million rollover holder and an earnout recipient, regulators would assess his remuneration in the aggregate.</w:t>
      </w:r>
    </w:p>
    <w:p>
      <w:pPr>
        <w:spacing w:after="120"/>
      </w:pPr>
      <w:r>
        <w:rPr>
          <w:b w:val="0"/>
          <w:i w:val="0"/>
        </w:rPr>
        <w:t>The draft also obliges Parent, not Dr. Vasquez, to deliver the executed employment agreement at closing (§7.4(b)(iv)). Execution by Dr. Vasquez is not a Buyer closing condition. The agreement contains no stated non-compete, non-solicit, duty-allocation, time-documentation or termination-for-regulatory-cause provisions, and the bonus metrics are left to be “mutually agreed.”</w:t>
      </w:r>
    </w:p>
    <w:p>
      <w:pPr>
        <w:spacing w:after="40"/>
      </w:pPr>
      <w:r>
        <w:rPr>
          <w:b/>
          <w:i w:val="0"/>
        </w:rPr>
        <w:t>Recommendation:</w:t>
      </w:r>
    </w:p>
    <w:p>
      <w:pPr>
        <w:pStyle w:val="ListBullet"/>
        <w:spacing w:after="60"/>
      </w:pPr>
      <w:r>
        <w:t>Make an independent FMV and commercial-reasonableness opinion (VMG Health, HealthCare Appraisers or similar) covering salary, bonus, benefits and the rollover terms a pre-signing deliverable. Delete the FMV stipulation from §6.5(b), and reset compensation to the level the opinion supports (the regulatory team suggests at or below the 75th percentile absent documented justification).</w:t>
      </w:r>
    </w:p>
    <w:p>
      <w:pPr>
        <w:pStyle w:val="ListBullet"/>
        <w:spacing w:after="60"/>
      </w:pPr>
      <w:r>
        <w:t>Add execution of the Vasquez Employment Agreement (with Buyer-acceptable restrictive covenants, duty and time documentation, quality-only bonus metrics fixed in advance, and termination for exclusion or regulatory cause) as a Buyer closing condition.</w:t>
      </w:r>
    </w:p>
    <w:p>
      <w:pPr>
        <w:pStyle w:val="ListBullet"/>
        <w:spacing w:after="60"/>
      </w:pPr>
      <w:r>
        <w:t>Add annual FMV review and a regulatory-reformation clause.</w:t>
      </w:r>
    </w:p>
    <w:p>
      <w:pPr>
        <w:pStyle w:val="Heading3"/>
      </w:pPr>
      <w:r>
        <w:t>C-5. St. Ambrose co-management agreement: volume-based and cost-savings incentive metrics; term inconsistency</w:t>
      </w:r>
    </w:p>
    <w:p>
      <w:pPr>
        <w:spacing w:after="80"/>
      </w:pPr>
      <w:r>
        <w:rPr>
          <w:b/>
        </w:rPr>
        <w:t xml:space="preserve">Priority: </w:t>
      </w:r>
      <w:r>
        <w:rPr>
          <w:b/>
          <w:color w:val="C55A11"/>
        </w:rPr>
        <w:t>High</w:t>
      </w:r>
      <w:r>
        <w:t xml:space="preserve">     </w:t>
      </w:r>
      <w:r>
        <w:rPr>
          <w:b/>
        </w:rPr>
        <w:t xml:space="preserve">Provisions / sources: </w:t>
      </w:r>
      <w:r>
        <w:rPr>
          <w:i/>
        </w:rPr>
        <w:t>Definition of “Company Material Contracts” clause (b); §4.14(a)(ii); QoE §IV.C; Regulatory Memo §IV.D</w:t>
      </w:r>
    </w:p>
    <w:p>
      <w:pPr>
        <w:spacing w:after="120"/>
      </w:pPr>
      <w:r>
        <w:rPr>
          <w:b w:val="0"/>
          <w:i w:val="0"/>
        </w:rPr>
        <w:t>The co-management agreement pays incentive compensation (about $1.4 million in FY2024) tied partly to orthopedic case volume and outpatient visit growth, as well as to “cost savings targets” (§4.14(a)(ii)). Volume-based metrics paid by a hospital to a referring physician group fall outside the personal services safe harbor (42 C.F.R. §1001.952(d)) and raise AKS concerns. Cost-savings payments raise the Civil Monetary Penalties Law gainsharing prohibition (42 U.S.C. §1320a-7a(b)) unless they are structured within OIG guidance. On the hospital side, the arrangement is also a Stark compensation arrangement. The renewal term ends February 28, 2027 per §4.14(a)(ii) but December 2026 per the QoE.</w:t>
      </w:r>
    </w:p>
    <w:p>
      <w:pPr>
        <w:spacing w:after="40"/>
      </w:pPr>
      <w:r>
        <w:rPr>
          <w:b/>
          <w:i w:val="0"/>
        </w:rPr>
        <w:t>Recommendation:</w:t>
      </w:r>
    </w:p>
    <w:p>
      <w:pPr>
        <w:pStyle w:val="ListBullet"/>
        <w:spacing w:after="60"/>
      </w:pPr>
      <w:r>
        <w:t>Obtain the agreement and an FMV opinion. Require restructuring to quality-only metrics before closing, or as a post-closing covenant with indemnity. Confirm the term and any change-of-control provisions, and add the agreement to the specific indemnity for pre-closing payments.</w:t>
      </w:r>
    </w:p>
    <w:p>
      <w:pPr>
        <w:pStyle w:val="Heading3"/>
      </w:pPr>
      <w:r>
        <w:t>C-6. HIPAA: August 2024 breach and open OCR compliance review; the §4.10(c) risk-assessment representation is inaccurate on its face</w:t>
      </w:r>
    </w:p>
    <w:p>
      <w:pPr>
        <w:spacing w:after="80"/>
      </w:pPr>
      <w:r>
        <w:rPr>
          <w:b/>
        </w:rPr>
        <w:t xml:space="preserve">Priority: </w:t>
      </w:r>
      <w:r>
        <w:rPr>
          <w:b/>
          <w:color w:val="C55A11"/>
        </w:rPr>
        <w:t>High</w:t>
      </w:r>
      <w:r>
        <w:t xml:space="preserve">     </w:t>
      </w:r>
      <w:r>
        <w:rPr>
          <w:b/>
        </w:rPr>
        <w:t xml:space="preserve">Provisions / sources: </w:t>
      </w:r>
      <w:r>
        <w:rPr>
          <w:i/>
        </w:rPr>
        <w:t>§§4.10, 4.18; Schedules 4.10, 4.18; Regulatory Memo §VI</w:t>
      </w:r>
    </w:p>
    <w:p>
      <w:pPr>
        <w:spacing w:after="120"/>
      </w:pPr>
      <w:r>
        <w:rPr>
          <w:b w:val="0"/>
          <w:i w:val="0"/>
        </w:rPr>
        <w:t>About 3,200 patients’ PHI (diagnoses, treatment and medication records, insurance data) was exposed for six weeks through a patient-portal misconfiguration. OCR has opened a compliance review, and Pinnacle has not yet answered OCR’s data requests. §4.10(c) represents that an enterprise-wide risk analysis was conducted within the past 12 months, but diligence shows the most recent one was an internal analysis in 2021. That representation is untrue today. Pinnacle has never commissioned an independent risk analysis, which is a common aggravating factor in OCR resolutions and supports “willful neglect” tier penalties. The HIPAA policies date from 2022, and the Privacy Officer is also the VP-HR and part-time CCO. Private class-action claims are not time-barred. The R&amp;W insurer will exclude this known matter, and Seller will rely on the disclosure in Schedule 4.10 to defeat any representation claim.</w:t>
      </w:r>
    </w:p>
    <w:p>
      <w:pPr>
        <w:spacing w:after="40"/>
      </w:pPr>
      <w:r>
        <w:rPr>
          <w:b/>
          <w:i w:val="0"/>
        </w:rPr>
        <w:t>Recommendation:</w:t>
      </w:r>
    </w:p>
    <w:p>
      <w:pPr>
        <w:pStyle w:val="ListBullet"/>
        <w:spacing w:after="60"/>
      </w:pPr>
      <w:r>
        <w:t>Add a dollar-one specific indemnity (OCR penalties, resolution agreement and CAP compliance costs, notification, credit monitoring, forensic, remediation and litigation costs), secured by the special escrow.</w:t>
      </w:r>
    </w:p>
    <w:p>
      <w:pPr>
        <w:pStyle w:val="ListBullet"/>
        <w:spacing w:after="60"/>
      </w:pPr>
      <w:r>
        <w:t>Pre-closing covenants: submit complete OCR responses (with Buyer review) promptly, commission an independent security risk analysis and penetration test, and remediate high-risk findings. Maintain cyber coverage, and obtain a run-off/tail at Seller’s cost.</w:t>
      </w:r>
    </w:p>
    <w:p>
      <w:pPr>
        <w:pStyle w:val="ListBullet"/>
        <w:spacing w:after="60"/>
      </w:pPr>
      <w:r>
        <w:t>Consider a closing condition requiring no adverse OCR development (for example, no proposed CMP or resolution agreement above a threshold). Correct §4.10(c) or schedule the exception (the inaccuracy supports a fraud or knowing-breach argument if it is not corrected).</w:t>
      </w:r>
    </w:p>
    <w:p>
      <w:pPr>
        <w:pStyle w:val="Heading3"/>
      </w:pPr>
      <w:r>
        <w:t>C-7. Undisclosed Oklahoma Medical Board warning to Dr. Hagerty; Schedule 4.11(b) states “None”</w:t>
      </w:r>
    </w:p>
    <w:p>
      <w:pPr>
        <w:spacing w:after="80"/>
      </w:pPr>
      <w:r>
        <w:rPr>
          <w:b/>
        </w:rPr>
        <w:t xml:space="preserve">Priority: </w:t>
      </w:r>
      <w:r>
        <w:rPr>
          <w:b/>
          <w:color w:val="C55A11"/>
        </w:rPr>
        <w:t>High</w:t>
      </w:r>
      <w:r>
        <w:t xml:space="preserve">     </w:t>
      </w:r>
      <w:r>
        <w:rPr>
          <w:b/>
        </w:rPr>
        <w:t xml:space="preserve">Provisions / sources: </w:t>
      </w:r>
      <w:r>
        <w:rPr>
          <w:i/>
        </w:rPr>
        <w:t>§4.11(b); Schedule 4.11(b); Regulatory Memo §V.B</w:t>
      </w:r>
    </w:p>
    <w:p>
      <w:pPr>
        <w:spacing w:after="120"/>
      </w:pPr>
      <w:r>
        <w:rPr>
          <w:b w:val="0"/>
          <w:i w:val="0"/>
        </w:rPr>
        <w:t>Our independent search found a 2022 informal warning letter from the Oklahoma Medical Board to Dr. Hagerty (10% holder and Rollover Participant) about Schedule II/III controlled-substance documentation. §4.11(b) is a flat representation, with no knowledge qualifier and no lookback period, that no physician has been the subject of any “investigation, inquiry, warning, reprimand, or disciplinary action,” except as set forth on Schedule 4.11(b), which reads “None.” (The regulatory memo describes this representation as knowledge-qualified with a five-year lookback. That description does not match the January 8 draft, and the actual text is more favorable to Buyer. The memo should be corrected.) Dr. Hagerty is himself an Equity Holder, so Seller cannot credibly claim lack of knowledge. Read together with the pain-management documentation and coding findings, the warning points to a pattern of weak documentation.</w:t>
      </w:r>
    </w:p>
    <w:p>
      <w:pPr>
        <w:spacing w:after="40"/>
      </w:pPr>
      <w:r>
        <w:rPr>
          <w:b/>
          <w:i w:val="0"/>
        </w:rPr>
        <w:t>Recommendation:</w:t>
      </w:r>
    </w:p>
    <w:p>
      <w:pPr>
        <w:pStyle w:val="ListBullet"/>
        <w:spacing w:after="60"/>
      </w:pPr>
      <w:r>
        <w:t>Require a corrected schedule. Obtain the warning letter and any response, review PMP data in Texas and Oklahoma since 2022, and confirm hospital privileges and payer credentialing status.</w:t>
      </w:r>
    </w:p>
    <w:p>
      <w:pPr>
        <w:pStyle w:val="ListBullet"/>
        <w:spacing w:after="60"/>
      </w:pPr>
      <w:r>
        <w:t>Do not accept a schedule update as a cure. Add an express provision that post-signing schedule supplements do not cure breaches for indemnity or closing-condition purposes, and add a pro-sandbagging clause (Issue D-5).</w:t>
      </w:r>
    </w:p>
    <w:p>
      <w:pPr>
        <w:pStyle w:val="ListBullet"/>
        <w:spacing w:after="60"/>
      </w:pPr>
      <w:r>
        <w:t>Consider making Dr. Hagerty’s rollover equity subject to forfeiture or repurchase for future licensure or DEA actions, and add a specific indemnity for losses arising from his pre-closing prescribing practices.</w:t>
      </w:r>
    </w:p>
    <w:p>
      <w:pPr>
        <w:pStyle w:val="Heading3"/>
      </w:pPr>
      <w:r>
        <w:t>C-8. J-1 (Conrad 30) waiver physicians: no representations or covenants; structural changes could jeopardize waivers</w:t>
      </w:r>
    </w:p>
    <w:p>
      <w:pPr>
        <w:spacing w:after="80"/>
      </w:pPr>
      <w:r>
        <w:rPr>
          <w:b/>
        </w:rPr>
        <w:t xml:space="preserve">Priority: </w:t>
      </w:r>
      <w:r>
        <w:rPr>
          <w:b/>
          <w:color w:val="C55A11"/>
        </w:rPr>
        <w:t>High</w:t>
      </w:r>
      <w:r>
        <w:t xml:space="preserve">     </w:t>
      </w:r>
      <w:r>
        <w:rPr>
          <w:b/>
        </w:rPr>
        <w:t xml:space="preserve">Provisions / sources: </w:t>
      </w:r>
      <w:r>
        <w:rPr>
          <w:i/>
        </w:rPr>
        <w:t>§4.12(d); Schedule 4.12(d); §§2.5, 3.5(e), 6.5(a); Regulatory Memo §VII</w:t>
      </w:r>
    </w:p>
    <w:p>
      <w:pPr>
        <w:spacing w:after="120"/>
      </w:pPr>
      <w:r>
        <w:rPr>
          <w:b w:val="0"/>
          <w:i w:val="0"/>
        </w:rPr>
        <w:t>Four physicians are serving three-year J-1 waiver obligations (INA §214(l); 8 C.F.R. §212.7(c)(9)) at designated HPSA/MUA sites. The obligation attaches to a specific employer and practice location. A reverse triangular merger in which the P.A. remains the employer is the least disruptive structure. However, the Post-Closing Conversion (§2.5), the MSO restructuring we recommend (Issue A-1) if it changes the employing entity, any H-1B amended-petition requirement, and the clinic closure or relocation rights reserved in §3.5(e) could each cause a waiver violation and trigger the two-year home residency requirement. HPSA sites and service end dates have not been produced, and the draft does not cross-check them against the Plano and Frisco lease expirations.</w:t>
      </w:r>
    </w:p>
    <w:p>
      <w:pPr>
        <w:spacing w:after="40"/>
      </w:pPr>
      <w:r>
        <w:rPr>
          <w:b/>
          <w:i w:val="0"/>
        </w:rPr>
        <w:t>Recommendation:</w:t>
      </w:r>
    </w:p>
    <w:p>
      <w:pPr>
        <w:pStyle w:val="ListBullet"/>
        <w:spacing w:after="60"/>
      </w:pPr>
      <w:r>
        <w:t>Expand §4.12(d) into a full immigration representation (identity, sponsoring agency, HPSA site, service dates, current status, I-9 compliance) and require delivery of the complete files before signing.</w:t>
      </w:r>
    </w:p>
    <w:p>
      <w:pPr>
        <w:pStyle w:val="ListBullet"/>
        <w:spacing w:after="60"/>
      </w:pPr>
      <w:r>
        <w:t>Ensure the final structure keeps the waiver employer and site unchanged, or obtain immigration counsel sign-off on any successor-in-interest or amended filings. Any Buyer covenant on site continuity should be limited and subject to legal and regulatory requirements; do not accept an absolute restriction on clinic operations.</w:t>
      </w:r>
    </w:p>
    <w:p>
      <w:pPr>
        <w:pStyle w:val="Heading3"/>
      </w:pPr>
      <w:r>
        <w:t>C-9. Physician non-competes: enforceability representation is legally inaccurate in Oklahoma and doubtful in Texas; Buyer is obligated to enforce them; no seller-level non-compete</w:t>
      </w:r>
    </w:p>
    <w:p>
      <w:pPr>
        <w:spacing w:after="80"/>
      </w:pPr>
      <w:r>
        <w:rPr>
          <w:b/>
        </w:rPr>
        <w:t xml:space="preserve">Priority: </w:t>
      </w:r>
      <w:r>
        <w:rPr>
          <w:b/>
          <w:color w:val="C55A11"/>
        </w:rPr>
        <w:t>High</w:t>
      </w:r>
      <w:r>
        <w:t xml:space="preserve">     </w:t>
      </w:r>
      <w:r>
        <w:rPr>
          <w:b/>
        </w:rPr>
        <w:t xml:space="preserve">Provisions / sources: </w:t>
      </w:r>
      <w:r>
        <w:rPr>
          <w:i/>
        </w:rPr>
        <w:t>§§4.12(b)–(c), 6.5(c)</w:t>
      </w:r>
    </w:p>
    <w:p>
      <w:pPr>
        <w:spacing w:after="120"/>
      </w:pPr>
      <w:r>
        <w:rPr>
          <w:b w:val="0"/>
          <w:i w:val="0"/>
        </w:rPr>
        <w:t>§4.12(b) represents that every physician non-compete (2 years, 15-mile radius around each clinic worked in the prior 12 months) is “valid, binding, and enforceable … under the laws of each applicable jurisdiction.” In Oklahoma, employee non-competes are generally void (15 O.S. §219A permits only non-solicitation of established customers). In Texas, physician covenants must satisfy Tex. Bus. &amp; Com. Code §15.50(b) (buy-out at a reasonable price, continuing-care and medical-records access provisions) in addition to reasonableness. A 15-mile radius measured from every clinic worked is vulnerable, and further statutory limits on physician non-competes are under active consideration in the 2025 Texas legislative session. §6.5(c) then obliges Buyer to “use commercially reasonable efforts to enforce” these covenants and calls them “a material asset.”</w:t>
      </w:r>
    </w:p>
    <w:p>
      <w:pPr>
        <w:spacing w:after="120"/>
      </w:pPr>
      <w:r>
        <w:rPr>
          <w:b w:val="0"/>
          <w:i w:val="0"/>
        </w:rPr>
        <w:t>Most importantly, the draft contains no non-competition covenant from the Equity Holders themselves. §4.12(c) refers only to pre-existing three-year non-solicitation agreements. Sale-of-business covenants from the five selling physicians (and especially from Drs. Okoro and Tran, who are cashing out entirely) are the primary protection for the goodwill Buyer is paying about 7.5x EBITDA to acquire.</w:t>
      </w:r>
    </w:p>
    <w:p>
      <w:pPr>
        <w:spacing w:after="40"/>
      </w:pPr>
      <w:r>
        <w:rPr>
          <w:b/>
          <w:i w:val="0"/>
        </w:rPr>
        <w:t>Recommendation:</w:t>
      </w:r>
    </w:p>
    <w:p>
      <w:pPr>
        <w:pStyle w:val="ListBullet"/>
        <w:spacing w:after="60"/>
      </w:pPr>
      <w:r>
        <w:t>Limit §4.12(b) to representations about the existence and terms of the covenants (with copies), with no legal-conclusion enforceability representation, or schedule the Oklahoma physicians as exceptions. Delete Buyer’s enforcement obligation in §6.5(c).</w:t>
      </w:r>
    </w:p>
    <w:p>
      <w:pPr>
        <w:pStyle w:val="ListBullet"/>
        <w:spacing w:after="60"/>
      </w:pPr>
      <w:r>
        <w:t>Add, as a closing deliverable, a restrictive covenant agreement from each Equity Holder (for example, a 5-year non-compete and non-solicit tied to the sale of goodwill, drafted to satisfy §15.50 and Oklahoma’s sale-of-business exception in 15 O.S. §218), signed at signing and effective at closing.</w:t>
      </w:r>
    </w:p>
    <w:p>
      <w:pPr>
        <w:pStyle w:val="ListBullet"/>
        <w:spacing w:after="60"/>
      </w:pPr>
      <w:r>
        <w:t>Add closing conditions on physician retention (for example, executed employment agreements with Drs. Chandrasekaran, Hagerty, Okoro and Tran, and with at least an agreed percentage of the remaining physicians, weighted by revenue).</w:t>
      </w:r>
    </w:p>
    <w:p>
      <w:pPr>
        <w:pStyle w:val="Heading3"/>
      </w:pPr>
      <w:r>
        <w:t>C-10. Apex Practice Solutions MSA: percentage-of-collections billing compensation, possible role in upcoding, and a $2.5 million exit fee</w:t>
      </w:r>
    </w:p>
    <w:p>
      <w:pPr>
        <w:spacing w:after="80"/>
      </w:pPr>
      <w:r>
        <w:rPr>
          <w:b/>
        </w:rPr>
        <w:t xml:space="preserve">Priority: </w:t>
      </w:r>
      <w:r>
        <w:rPr>
          <w:b/>
          <w:color w:val="7F6000"/>
        </w:rPr>
        <w:t>Medium</w:t>
      </w:r>
      <w:r>
        <w:t xml:space="preserve">     </w:t>
      </w:r>
      <w:r>
        <w:rPr>
          <w:b/>
        </w:rPr>
        <w:t xml:space="preserve">Provisions / sources: </w:t>
      </w:r>
      <w:r>
        <w:rPr>
          <w:i/>
        </w:rPr>
        <w:t>Definition of “Company Material Contracts” clause (a); §4.14(a)(i); QoE §§IV.C, IX.6; Regulatory Memo §IX.A</w:t>
      </w:r>
    </w:p>
    <w:p>
      <w:pPr>
        <w:spacing w:after="120"/>
      </w:pPr>
      <w:r>
        <w:rPr>
          <w:b w:val="0"/>
          <w:i w:val="0"/>
        </w:rPr>
        <w:t>Apex handles billing and coding for 6.5% of net collections (about $11.2 million in 2024; term to December 15, 2027; 180 days’ notice; a $2.5 million termination-for-convenience fee). Percentage-based billing compensation must satisfy the Medicare billing-agent and reassignment rules (42 C.F.R. §§424.73(b), 424.80(b)(5)) and is a recognized AKS and FCA risk factor because it rewards higher coding. Diligence has not determined whether Apex’s coders or algorithms contributed to the 99214 pattern. The draft does not say whether the transaction (or the MSO restructuring) triggers a consent requirement, nor does it allocate the termination fee.</w:t>
      </w:r>
    </w:p>
    <w:p>
      <w:pPr>
        <w:spacing w:after="40"/>
      </w:pPr>
      <w:r>
        <w:rPr>
          <w:b/>
          <w:i w:val="0"/>
        </w:rPr>
        <w:t>Recommendation:</w:t>
      </w:r>
    </w:p>
    <w:p>
      <w:pPr>
        <w:pStyle w:val="ListBullet"/>
        <w:spacing w:after="60"/>
      </w:pPr>
      <w:r>
        <w:t>Obtain the MSA and BAA. Confirm the assignment and change-of-control terms, as well as Apex’s indemnity and audit obligations. Preserve claims against Apex for upcoding.</w:t>
      </w:r>
    </w:p>
    <w:p>
      <w:pPr>
        <w:pStyle w:val="ListBullet"/>
        <w:spacing w:after="60"/>
      </w:pPr>
      <w:r>
        <w:t>Treat any termination fee triggered by the transaction as Seller Indebtedness or a Transaction Expense. Have the MSA reviewed for compliance with the billing-agent rules.</w:t>
      </w:r>
    </w:p>
    <w:p>
      <w:pPr>
        <w:pStyle w:val="Heading3"/>
      </w:pPr>
      <w:r>
        <w:t>C-11. Compliance program and Knowledge group: the CCO identified in the draft is not the compliance officer found in diligence</w:t>
      </w:r>
    </w:p>
    <w:p>
      <w:pPr>
        <w:spacing w:after="80"/>
      </w:pPr>
      <w:r>
        <w:rPr>
          <w:b/>
        </w:rPr>
        <w:t xml:space="preserve">Priority: </w:t>
      </w:r>
      <w:r>
        <w:rPr>
          <w:b/>
          <w:color w:val="7F6000"/>
        </w:rPr>
        <w:t>Medium</w:t>
      </w:r>
      <w:r>
        <w:t xml:space="preserve">     </w:t>
      </w:r>
      <w:r>
        <w:rPr>
          <w:b/>
        </w:rPr>
        <w:t xml:space="preserve">Provisions / sources: </w:t>
      </w:r>
      <w:r>
        <w:rPr>
          <w:i/>
        </w:rPr>
        <w:t>Definition of “Knowledge”; §4.9(b); QoE §I; Regulatory Memo §§I, III.C</w:t>
      </w:r>
    </w:p>
    <w:p>
      <w:pPr>
        <w:spacing w:after="120"/>
      </w:pPr>
      <w:r>
        <w:rPr>
          <w:b w:val="0"/>
          <w:i w:val="0"/>
        </w:rPr>
        <w:t>The draft names “Michael Davenport” as Chief Compliance Officer (definition of Knowledge; §4.9(b)). The QoE and the regulatory memo both identify Janet Morales (VP-HR and part-time CCO since 2019) as the compliance officer and Privacy Officer. Ms. Morales knew of the upcoding audit, yet she is not in the Knowledge group. §4.9(b) represents that the program “satisfies” OIG guidance. The regulatory memo concludes the program is plainly inadequate: a dual-hat CCO, no external review ever, and a five-month delay on a material finding.</w:t>
      </w:r>
    </w:p>
    <w:p>
      <w:pPr>
        <w:spacing w:after="40"/>
      </w:pPr>
      <w:r>
        <w:rPr>
          <w:b/>
          <w:i w:val="0"/>
        </w:rPr>
        <w:t>Recommendation:</w:t>
      </w:r>
    </w:p>
    <w:p>
      <w:pPr>
        <w:pStyle w:val="ListBullet"/>
        <w:spacing w:after="60"/>
      </w:pPr>
      <w:r>
        <w:t>Add Janet Morales, the billing manager, the IT security officer, Dr. Hagerty and the division chiefs to the Knowledge group (constructive knowledge after due inquiry), and clarify Mr. Davenport’s role.</w:t>
      </w:r>
    </w:p>
    <w:p>
      <w:pPr>
        <w:pStyle w:val="ListBullet"/>
        <w:spacing w:after="60"/>
      </w:pPr>
      <w:r>
        <w:t>Schedule the compliance program’s deficiencies. Add a post-closing remediation plan (an independent full-time CCO reporting to the board, and an external program assessment) to Buyer’s 100-day plan, at Seller’s cost to the extent it is remediation of pre-closing non-compliance.</w:t>
      </w:r>
    </w:p>
    <w:p>
      <w:pPr>
        <w:pStyle w:val="Heading2"/>
      </w:pPr>
      <w:r>
        <w:t>D. Indemnification and Risk Allocation</w:t>
      </w:r>
    </w:p>
    <w:p>
      <w:pPr>
        <w:pStyle w:val="Heading3"/>
      </w:pPr>
      <w:r>
        <w:t>D-1. Indemnity is several (not joint), the Equity Holders are bound only by Articles III, IX and X, and post-escrow recovery is against individuals</w:t>
      </w:r>
    </w:p>
    <w:p>
      <w:pPr>
        <w:spacing w:after="80"/>
      </w:pPr>
      <w:r>
        <w:rPr>
          <w:b/>
        </w:rPr>
        <w:t xml:space="preserve">Priority: </w:t>
      </w:r>
      <w:r>
        <w:rPr>
          <w:b/>
          <w:color w:val="C00000"/>
        </w:rPr>
        <w:t>Critical</w:t>
      </w:r>
      <w:r>
        <w:t xml:space="preserve">     </w:t>
      </w:r>
      <w:r>
        <w:rPr>
          <w:b/>
        </w:rPr>
        <w:t xml:space="preserve">Provisions / sources: </w:t>
      </w:r>
      <w:r>
        <w:rPr>
          <w:i/>
        </w:rPr>
        <w:t>Preamble (last sentence); §§6.6, 6.7(c), 9.2(a), 9.6; signature page</w:t>
      </w:r>
    </w:p>
    <w:p>
      <w:pPr>
        <w:spacing w:after="120"/>
      </w:pPr>
      <w:r>
        <w:rPr>
          <w:b w:val="0"/>
          <w:i w:val="0"/>
        </w:rPr>
        <w:t>Each Equity Holder is liable only for his or her percentage share of each Loss. After the escrow is released, Buyer would have to sue up to five physicians individually, and two of them hold no rollover equity. The Equity Holders sign “solely for purposes of Article III, Article IX, and Article X.” As a result, they are not bound by the no-shop (§6.6, which purports to bind them), the tax indemnity (§6.7(c)), confidentiality (§11.12), the governing law and forum provisions in Article XI, or any restrictive covenant. The §9.2(a)(ii) indemnity for breaches of covenants “of … any Equity Holder” has little content.</w:t>
      </w:r>
    </w:p>
    <w:p>
      <w:pPr>
        <w:spacing w:after="40"/>
      </w:pPr>
      <w:r>
        <w:rPr>
          <w:b/>
          <w:i w:val="0"/>
        </w:rPr>
        <w:t>Recommendation:</w:t>
      </w:r>
    </w:p>
    <w:p>
      <w:pPr>
        <w:pStyle w:val="ListBullet"/>
        <w:spacing w:after="60"/>
      </w:pPr>
      <w:r>
        <w:t>Make the Equity Holders parties for all purposes other than the Company’s representations, or at a minimum for Articles VI, IX, X and XI. Add individual Equity Holder representations (title, authority, no conflicts, no claims against the Company, accredited-investor status for the rollover). Add a general release of the Company by each Equity Holder, effective at closing.</w:t>
      </w:r>
    </w:p>
    <w:p>
      <w:pPr>
        <w:pStyle w:val="ListBullet"/>
        <w:spacing w:after="60"/>
      </w:pPr>
      <w:r>
        <w:t>Make liability joint and several for Healthcare, Fundamental and specific indemnity claims and for fraud, or at least joint and several up to each holder’s proceeds. Add recourse against rollover equity and earnout payments.</w:t>
      </w:r>
    </w:p>
    <w:p>
      <w:pPr>
        <w:pStyle w:val="Heading3"/>
      </w:pPr>
      <w:r>
        <w:t>D-2. No specific (special) indemnities for known matters</w:t>
      </w:r>
    </w:p>
    <w:p>
      <w:pPr>
        <w:spacing w:after="80"/>
      </w:pPr>
      <w:r>
        <w:rPr>
          <w:b/>
        </w:rPr>
        <w:t xml:space="preserve">Priority: </w:t>
      </w:r>
      <w:r>
        <w:rPr>
          <w:b/>
          <w:color w:val="C00000"/>
        </w:rPr>
        <w:t>Critical</w:t>
      </w:r>
      <w:r>
        <w:t xml:space="preserve">     </w:t>
      </w:r>
      <w:r>
        <w:rPr>
          <w:b/>
        </w:rPr>
        <w:t xml:space="preserve">Provisions / sources: </w:t>
      </w:r>
      <w:r>
        <w:rPr>
          <w:i/>
        </w:rPr>
        <w:t>§9.2(a); §9.4</w:t>
      </w:r>
    </w:p>
    <w:p>
      <w:pPr>
        <w:spacing w:after="120"/>
      </w:pPr>
      <w:r>
        <w:rPr>
          <w:b w:val="0"/>
          <w:i w:val="0"/>
        </w:rPr>
        <w:t>The diligence findings described in Section C are known, quantifiable or semi-quantifiable pre-closing liabilities. Under the draft they could be recovered only as representation breaches, which brings into play disclosure-schedule exceptions, the de minimis threshold, the deductible basket, the cap and survival limits, plus any anti-sandbagging argument. R&amp;W insurance will exclude them as known matters.</w:t>
      </w:r>
    </w:p>
    <w:p>
      <w:pPr>
        <w:spacing w:after="40"/>
      </w:pPr>
      <w:r>
        <w:rPr>
          <w:b/>
          <w:i w:val="0"/>
        </w:rPr>
        <w:t>Recommendation:</w:t>
      </w:r>
    </w:p>
    <w:p>
      <w:pPr>
        <w:pStyle w:val="ListBullet"/>
        <w:spacing w:after="60"/>
      </w:pPr>
      <w:r>
        <w:t>Add a §9.2(a)(v) list of special indemnities: dollar one; not subject to the de minimis, basket or general cap; capped (if at all) at the purchase price including rollover and earnout; surviving until 60 days after the applicable statute of limitations; and secured by the special escrow. The list should cover (a) pain-management and any other coding or billing overpayments for pre-closing dates of service; (b) the Vasquez related-party leases; (c) the ancillary services (MRI, laboratory, PT) arrangements; (d) the St. Ambrose co-management agreement; (e) the August 2024 HIPAA breach and the OCR review; (f) the Hagerty licensure and prescribing matter; (g) any pre-closing CPOM non-compliance; (h) J-1 waiver violations caused by pre-closing facts; (i) allocation and dissenters’ claims; (j) pre-closing taxes; and (k) any Indebtedness and Transaction Expenses not paid at closing.</w:t>
      </w:r>
    </w:p>
    <w:p>
      <w:pPr>
        <w:pStyle w:val="Heading3"/>
      </w:pPr>
      <w:r>
        <w:t>D-3. Survival, basket, cap and de minimis do not fit a healthcare target</w:t>
      </w:r>
    </w:p>
    <w:p>
      <w:pPr>
        <w:spacing w:after="80"/>
      </w:pPr>
      <w:r>
        <w:rPr>
          <w:b/>
        </w:rPr>
        <w:t xml:space="preserve">Priority: </w:t>
      </w:r>
      <w:r>
        <w:rPr>
          <w:b/>
          <w:color w:val="C55A11"/>
        </w:rPr>
        <w:t>High</w:t>
      </w:r>
      <w:r>
        <w:t xml:space="preserve">     </w:t>
      </w:r>
      <w:r>
        <w:rPr>
          <w:b/>
        </w:rPr>
        <w:t xml:space="preserve">Provisions / sources: </w:t>
      </w:r>
      <w:r>
        <w:rPr>
          <w:i/>
        </w:rPr>
        <w:t>§§9.1, 9.4(a)–(d)</w:t>
      </w:r>
    </w:p>
    <w:p>
      <w:pPr>
        <w:spacing w:after="120"/>
      </w:pPr>
      <w:r>
        <w:rPr>
          <w:b w:val="0"/>
          <w:i w:val="0"/>
        </w:rPr>
        <w:t>(i) Healthcare Representations survive 3 years, but the FCA limitation period is 6 years (up to 10) under 31 U.S.C. §3731(b), and Medicare reopening for fraud is unlimited. (ii) The “Healthcare Representations” definition covers only §§4.8–4.11. It omits §4.7 (compliance with Laws and Permits, including the IOAS representation in §4.7(c)), §4.12 (employment, non-competes, J-1), §4.13(c) (FMV of the related-party leases) and §4.14(a)(iii) (ancillary agreements). (iii) The $50,000 de minimis threshold applies to Healthcare Representation claims and could exclude many individual overpayment or penalty claims, because there is no aggregation of related claims. (iv) The $1.5 million true deductible (0.67% of enterprise value) is at the high end of market. (v) The 10% cap is calculated on Equity Value ($19.51M), not enterprise value ($22.48M), and it exceeds the $15 million escrow without any security for the excess. (vi) Covenants have no stated survival period, and §9.2(a)(ii) reaches only pre-closing covenants. (vii) §9.3(a)(iii) has Parent indemnify the sellers for post-closing Company taxes, which is atypical and unnecessary.</w:t>
      </w:r>
    </w:p>
    <w:p>
      <w:pPr>
        <w:spacing w:after="40"/>
      </w:pPr>
      <w:r>
        <w:rPr>
          <w:b/>
          <w:i w:val="0"/>
        </w:rPr>
        <w:t>Recommendation:</w:t>
      </w:r>
    </w:p>
    <w:p>
      <w:pPr>
        <w:pStyle w:val="ListBullet"/>
        <w:spacing w:after="60"/>
      </w:pPr>
      <w:r>
        <w:t>Healthcare Representations should survive until 60 days after the statute of limitations, and their definition should be expanded to §§4.7, 4.12(b)–(d), 4.13(c) and 4.14(a)(ii)–(iii). Add CPOM (§4.9(d)) to the Fundamental Representations.</w:t>
      </w:r>
    </w:p>
    <w:p>
      <w:pPr>
        <w:pStyle w:val="ListBullet"/>
        <w:spacing w:after="60"/>
      </w:pPr>
      <w:r>
        <w:t>Treat related claims as a single claim for the de minimis threshold, and disapply it for Healthcare and Fundamental claims. Reduce the basket to about 0.5% of enterprise value, as a tipping basket or deductible, and do not apply it to Healthcare claims. Consider calculating the cap on enterprise value.</w:t>
      </w:r>
    </w:p>
    <w:p>
      <w:pPr>
        <w:pStyle w:val="ListBullet"/>
        <w:spacing w:after="60"/>
      </w:pPr>
      <w:r>
        <w:t>Covenants survive until fully performed. Delete §9.3(a)(iii).</w:t>
      </w:r>
    </w:p>
    <w:p>
      <w:pPr>
        <w:pStyle w:val="Heading3"/>
      </w:pPr>
      <w:r>
        <w:t>D-4. Defense control, fraud carve-out, damages waiver and mitigation</w:t>
      </w:r>
    </w:p>
    <w:p>
      <w:pPr>
        <w:spacing w:after="80"/>
      </w:pPr>
      <w:r>
        <w:rPr>
          <w:b/>
        </w:rPr>
        <w:t xml:space="preserve">Priority: </w:t>
      </w:r>
      <w:r>
        <w:rPr>
          <w:b/>
          <w:color w:val="7F6000"/>
        </w:rPr>
        <w:t>Medium</w:t>
      </w:r>
      <w:r>
        <w:t xml:space="preserve">     </w:t>
      </w:r>
      <w:r>
        <w:rPr>
          <w:b/>
        </w:rPr>
        <w:t xml:space="preserve">Provisions / sources: </w:t>
      </w:r>
      <w:r>
        <w:rPr>
          <w:i/>
        </w:rPr>
        <w:t>§§9.4(e), (g)–(h), 9.5, 9.7</w:t>
      </w:r>
    </w:p>
    <w:p>
      <w:pPr>
        <w:spacing w:after="120"/>
      </w:pPr>
      <w:r>
        <w:rPr>
          <w:b w:val="0"/>
          <w:i w:val="0"/>
        </w:rPr>
        <w:t>Under §9.5(b), the Indemnifying Party (here the Seller Representative, Dr. Vasquez) may assume the defense of any Third-Party Claim, including government investigations, qui tam actions, OCR matters, payer audits and licensing proceedings, all of which affect Buyer’s ongoing business, enrollment and relationships with regulators. The fraud carve-out in §9.4(e) applies only to fraud “by such Party,” so Equity Holder liability for fraud committed by the Company or its officers (for example, the inaccurate §§4.10(c) and 4.11(b) representations) is unclear. §9.7 bars “special or consequential damages,” which sellers routinely argue excludes diminution in value and lost profits, and the 30-day claim notice requirement in §9.5(a) is tight.</w:t>
      </w:r>
    </w:p>
    <w:p>
      <w:pPr>
        <w:spacing w:after="40"/>
      </w:pPr>
      <w:r>
        <w:rPr>
          <w:b/>
          <w:i w:val="0"/>
        </w:rPr>
        <w:t>Recommendation:</w:t>
      </w:r>
    </w:p>
    <w:p>
      <w:pPr>
        <w:pStyle w:val="ListBullet"/>
        <w:spacing w:after="60"/>
      </w:pPr>
      <w:r>
        <w:t>Buyer controls the defense of any claim involving a Governmental Authority, Government Healthcare Program, payer audit or recoupment, criminal allegation, injunctive relief, material customer or referral relationships, or exposure exceeding the remaining escrow or cap. Seller has consultation rights only.</w:t>
      </w:r>
    </w:p>
    <w:p>
      <w:pPr>
        <w:pStyle w:val="ListBullet"/>
        <w:spacing w:after="60"/>
      </w:pPr>
      <w:r>
        <w:t>The fraud carve-out should cover fraud by the Company or any Equity Holder in making the representations. Clarify that recoverable Losses include diminution in value and reasonably foreseeable consequential damages, and that any multiple-based valuation used in pricing may be considered. Insurance offsets should exclude the R&amp;W Policy (consistent with §9.8).</w:t>
      </w:r>
    </w:p>
    <w:p>
      <w:pPr>
        <w:pStyle w:val="Heading3"/>
      </w:pPr>
      <w:r>
        <w:t>D-5. No pro-sandbagging clause; no prohibition on schedule updates; known breaches already identified</w:t>
      </w:r>
    </w:p>
    <w:p>
      <w:pPr>
        <w:spacing w:after="80"/>
      </w:pPr>
      <w:r>
        <w:rPr>
          <w:b/>
        </w:rPr>
        <w:t xml:space="preserve">Priority: </w:t>
      </w:r>
      <w:r>
        <w:rPr>
          <w:b/>
          <w:color w:val="C55A11"/>
        </w:rPr>
        <w:t>High</w:t>
      </w:r>
      <w:r>
        <w:t xml:space="preserve">     </w:t>
      </w:r>
      <w:r>
        <w:rPr>
          <w:b/>
        </w:rPr>
        <w:t xml:space="preserve">Provisions / sources: </w:t>
      </w:r>
      <w:r>
        <w:rPr>
          <w:i/>
        </w:rPr>
        <w:t>Article IX; §7.2(a); Disclosure Schedules (not delivered)</w:t>
      </w:r>
    </w:p>
    <w:p>
      <w:pPr>
        <w:spacing w:after="120"/>
      </w:pPr>
      <w:r>
        <w:rPr>
          <w:b w:val="0"/>
          <w:i w:val="0"/>
        </w:rPr>
        <w:t>The draft is silent on whether Buyer may recover for breaches it knew about before signing or closing. Texas law on reliance in contract-based indemnity is unsettled, and Seller will argue waiver or estoppel. Buyer already knows that at least §§4.8(b), 4.9(b)–(c), 4.10(c), 4.11(b), 4.12(b) and 4.13(c) are, or are likely, inaccurate. The Disclosure Schedules have not been delivered (the transmittal promises them around January 22), and nothing prevents Seller from supplementing them between signing and closing.</w:t>
      </w:r>
    </w:p>
    <w:p>
      <w:pPr>
        <w:spacing w:after="40"/>
      </w:pPr>
      <w:r>
        <w:rPr>
          <w:b/>
          <w:i w:val="0"/>
        </w:rPr>
        <w:t>Recommendation:</w:t>
      </w:r>
    </w:p>
    <w:p>
      <w:pPr>
        <w:pStyle w:val="ListBullet"/>
        <w:spacing w:after="60"/>
      </w:pPr>
      <w:r>
        <w:t>Add an express pro-sandbagging provision (rights are not affected by any investigation or knowledge of Buyer) and a provision that schedule supplements are for information only and do not cure breaches. Do not sign until complete schedules are received and reviewed. Because the known breaches are covered by special indemnities, they should not be disclosed against the general representations in a way that eliminates recovery.</w:t>
      </w:r>
    </w:p>
    <w:p>
      <w:pPr>
        <w:pStyle w:val="Heading3"/>
      </w:pPr>
      <w:r>
        <w:t>D-6. R&amp;W insurance covenant is unachievable as drafted</w:t>
      </w:r>
    </w:p>
    <w:p>
      <w:pPr>
        <w:spacing w:after="80"/>
      </w:pPr>
      <w:r>
        <w:rPr>
          <w:b/>
        </w:rPr>
        <w:t xml:space="preserve">Priority: </w:t>
      </w:r>
      <w:r>
        <w:rPr>
          <w:b/>
          <w:color w:val="7F6000"/>
        </w:rPr>
        <w:t>Medium</w:t>
      </w:r>
      <w:r>
        <w:t xml:space="preserve">     </w:t>
      </w:r>
      <w:r>
        <w:rPr>
          <w:b/>
        </w:rPr>
        <w:t xml:space="preserve">Provisions / sources: </w:t>
      </w:r>
      <w:r>
        <w:rPr>
          <w:i/>
        </w:rPr>
        <w:t>§§6.8, 9.8</w:t>
      </w:r>
    </w:p>
    <w:p>
      <w:pPr>
        <w:spacing w:after="120"/>
      </w:pPr>
      <w:r>
        <w:rPr>
          <w:b w:val="0"/>
          <w:i w:val="0"/>
        </w:rPr>
        <w:t>§6.8 obliges Parent to obtain a $30 million policy with a $2 million retention, at Parent’s sole cost, that “shall not contain any exclusion … that would preclude coverage for Losses arising from breaches of the Healthcare Representations.” Healthcare R&amp;W policies routinely exclude known matters, billing and coding overpayments, Stark/AKS liabilities for identified arrangements, HIPAA fines and CPOM structure. Parent could be in breach of covenant from day one. §9.8, by contrast, is Buyer-favorable (the policy is supplemental and need not be exhausted first) and should be preserved.</w:t>
      </w:r>
    </w:p>
    <w:p>
      <w:pPr>
        <w:spacing w:after="40"/>
      </w:pPr>
      <w:r>
        <w:rPr>
          <w:b/>
          <w:i w:val="0"/>
        </w:rPr>
        <w:t>Recommendation:</w:t>
      </w:r>
    </w:p>
    <w:p>
      <w:pPr>
        <w:pStyle w:val="ListBullet"/>
        <w:spacing w:after="60"/>
      </w:pPr>
      <w:r>
        <w:t>Make the R&amp;W Policy optional for Buyer, or limit the obligation to commercially reasonable efforts to bind a policy on terms acceptable to Buyer. Delete the no-exclusion requirement. Consider splitting the premium, underwriting fee and retention 50/50 with Seller. Add a subrogation waiver against the sellers except for fraud.</w:t>
      </w:r>
    </w:p>
    <w:p>
      <w:pPr>
        <w:pStyle w:val="Heading2"/>
      </w:pPr>
      <w:r>
        <w:t>E. MAE, Conditions, Covenants, Termination and Other Representations</w:t>
      </w:r>
    </w:p>
    <w:p>
      <w:pPr>
        <w:pStyle w:val="Heading3"/>
      </w:pPr>
      <w:r>
        <w:t>E-1. Leases: Plano/Frisco expirations and 11 landlord consents</w:t>
      </w:r>
    </w:p>
    <w:p>
      <w:pPr>
        <w:spacing w:after="80"/>
      </w:pPr>
      <w:r>
        <w:rPr>
          <w:b/>
        </w:rPr>
        <w:t xml:space="preserve">Priority: </w:t>
      </w:r>
      <w:r>
        <w:rPr>
          <w:b/>
          <w:color w:val="C55A11"/>
        </w:rPr>
        <w:t>High</w:t>
      </w:r>
      <w:r>
        <w:t xml:space="preserve">     </w:t>
      </w:r>
      <w:r>
        <w:rPr>
          <w:b/>
        </w:rPr>
        <w:t xml:space="preserve">Provisions / sources: </w:t>
      </w:r>
      <w:r>
        <w:rPr>
          <w:i/>
        </w:rPr>
        <w:t>§§4.3, 4.13(d)–(e), 6.4, 7.2(d), 7.4(a)(vii); Lease Schedule (Clinics #4–14; Key Risk Items)</w:t>
      </w:r>
    </w:p>
    <w:p>
      <w:pPr>
        <w:spacing w:after="120"/>
      </w:pPr>
      <w:r>
        <w:rPr>
          <w:b w:val="0"/>
          <w:i w:val="0"/>
        </w:rPr>
        <w:t>Plano (expiring January 31, 2026) and Frisco (expiring February 28, 2026) have no renewal options and together generated about $26.5 million (Lease Schedule) to $28.5 million (QoE) of 2024 revenue. They expire 8–9 months after the targeted closing and in the middle of the first earnout year. A guaranteed equipment lease is also deployed at Plano. The draft has no covenant or condition requiring extensions. All 11 third-party leases require landlord consent to a change of control, and none has been obtained (the schedule says solicitation will begin after signing). §7.2(d) helpfully conditions closing on all Schedule 6.4 consents, but Seller controls the content of Schedule 6.4, and the Company’s obligation in §6.4 is only commercially reasonable efforts.</w:t>
      </w:r>
    </w:p>
    <w:p>
      <w:pPr>
        <w:spacing w:after="40"/>
      </w:pPr>
      <w:r>
        <w:rPr>
          <w:b/>
          <w:i w:val="0"/>
        </w:rPr>
        <w:t>Recommendation:</w:t>
      </w:r>
    </w:p>
    <w:p>
      <w:pPr>
        <w:pStyle w:val="ListBullet"/>
        <w:spacing w:after="60"/>
      </w:pPr>
      <w:r>
        <w:t>Add as a closing condition the execution of Plano and Frisco extensions (for example, at least 5 years plus renewal options, at rent within an agreed band), or Buyer-approved replacement leases. Make landlord consents and estoppels for all 11 third-party leases a condition, with the required list fixed in the Agreement rather than in Schedule 6.4.</w:t>
      </w:r>
    </w:p>
    <w:p>
      <w:pPr>
        <w:pStyle w:val="ListBullet"/>
        <w:spacing w:after="60"/>
      </w:pPr>
      <w:r>
        <w:t>Prohibit lease amendments, terminations or renewals without Buyer consent during the interim period.</w:t>
      </w:r>
    </w:p>
    <w:p>
      <w:pPr>
        <w:pStyle w:val="Heading3"/>
      </w:pPr>
      <w:r>
        <w:t>E-2. Material Adverse Effect definition lacks a disproportionate-effect qualifier and healthcare-specific triggers</w:t>
      </w:r>
    </w:p>
    <w:p>
      <w:pPr>
        <w:spacing w:after="80"/>
      </w:pPr>
      <w:r>
        <w:rPr>
          <w:b/>
        </w:rPr>
        <w:t xml:space="preserve">Priority: </w:t>
      </w:r>
      <w:r>
        <w:rPr>
          <w:b/>
          <w:color w:val="7F6000"/>
        </w:rPr>
        <w:t>Medium</w:t>
      </w:r>
      <w:r>
        <w:t xml:space="preserve">     </w:t>
      </w:r>
      <w:r>
        <w:rPr>
          <w:b/>
        </w:rPr>
        <w:t xml:space="preserve">Provisions / sources: </w:t>
      </w:r>
      <w:r>
        <w:rPr>
          <w:i/>
        </w:rPr>
        <w:t>Definition of “Material Adverse Effect”; §§4.6(b), 7.2(a)(ii), 7.2(c)</w:t>
      </w:r>
    </w:p>
    <w:p>
      <w:pPr>
        <w:spacing w:after="120"/>
      </w:pPr>
      <w:r>
        <w:rPr>
          <w:b w:val="0"/>
          <w:i w:val="0"/>
        </w:rPr>
        <w:t>The MAE carve-outs (general economic conditions, changes in law other than Healthcare Laws specifically applicable to the Company, financial markets, GAAP changes, natural disaster, terrorism, cyberattack not directed at the Company, military conflict) apply without the customary exception for events that disproportionately affect the Company relative to other physician practices. Changes to the Medicare Physician Fee Schedule or SoonerSelect rebidding could be argued to fall within carve-out (ii) as changes in law of general application. The general representations bring down only at the MAE standard (§7.2(a)(ii)), so serious healthcare breaches may not give Buyer a walk right in light of the high Texas and Delaware threshold for proving an MAE.</w:t>
      </w:r>
    </w:p>
    <w:p>
      <w:pPr>
        <w:spacing w:after="40"/>
      </w:pPr>
      <w:r>
        <w:rPr>
          <w:b/>
          <w:i w:val="0"/>
        </w:rPr>
        <w:t>Recommendation:</w:t>
      </w:r>
    </w:p>
    <w:p>
      <w:pPr>
        <w:pStyle w:val="ListBullet"/>
        <w:spacing w:after="60"/>
      </w:pPr>
      <w:r>
        <w:t>Add the disproportionate-effect qualifier. Add express MAE or closing-condition triggers for exclusion, suspension or revocation of any Medicare, Medicaid or TRICARE enrollment, payment suspension, a CIA, or loss of key physicians or of material payer contracts.</w:t>
      </w:r>
    </w:p>
    <w:p>
      <w:pPr>
        <w:pStyle w:val="ListBullet"/>
        <w:spacing w:after="60"/>
      </w:pPr>
      <w:r>
        <w:t>Bring down Healthcare Representations and the CPOM and related-party representations “in all material respects” (with the materiality scrape in §9.4(f) applying only for indemnity purposes).</w:t>
      </w:r>
    </w:p>
    <w:p>
      <w:pPr>
        <w:pStyle w:val="Heading3"/>
      </w:pPr>
      <w:r>
        <w:t>E-3. Missing Buyer closing conditions and deliverables</w:t>
      </w:r>
    </w:p>
    <w:p>
      <w:pPr>
        <w:spacing w:after="80"/>
      </w:pPr>
      <w:r>
        <w:rPr>
          <w:b/>
        </w:rPr>
        <w:t xml:space="preserve">Priority: </w:t>
      </w:r>
      <w:r>
        <w:rPr>
          <w:b/>
          <w:color w:val="C55A11"/>
        </w:rPr>
        <w:t>High</w:t>
      </w:r>
      <w:r>
        <w:t xml:space="preserve">     </w:t>
      </w:r>
      <w:r>
        <w:rPr>
          <w:b/>
        </w:rPr>
        <w:t xml:space="preserve">Provisions / sources: </w:t>
      </w:r>
      <w:r>
        <w:rPr>
          <w:i/>
        </w:rPr>
        <w:t>§§7.2, 7.4(a)</w:t>
      </w:r>
    </w:p>
    <w:p>
      <w:pPr>
        <w:spacing w:after="120"/>
      </w:pPr>
      <w:r>
        <w:rPr>
          <w:b w:val="0"/>
          <w:i w:val="0"/>
        </w:rPr>
        <w:t>In addition to the conditions recommended elsewhere (HSR, CPOM restructuring, lease FMV amendments, Plano/Frisco extensions, ancillary restructuring, coding audit and refund, FMV opinion, OCR status), the draft lacks the following as conditions or deliverables: execution by Dr. Vasquez of the Vasquez Employment Agreement; execution by each Rollover Participant of the Rollover Equity Agreement and contribution documents; Equity Holder joinders, restrictive covenant agreements, releases and dissenters’ waivers; the Regional Bank of Texas payoff letter and lien releases; release or replacement of the Vasquez personal guarantees (§6.9 is only an efforts covenant, backed by an uncapped Parent indemnity); termination of all other affiliate arrangements; physician retention thresholds; no exclusion of the Company or any physician; and a bring-down officer’s certificate covering the Healthcare Representations specifically. The FIRPTA certificate in §7.4(a)(iv) should be an IRS Form W-9 from each Equity Holder, or a Treas. Reg. §1.1445-2(c)(3) certificate issued properly by the Company.</w:t>
      </w:r>
    </w:p>
    <w:p>
      <w:pPr>
        <w:spacing w:after="40"/>
      </w:pPr>
      <w:r>
        <w:rPr>
          <w:b/>
          <w:i w:val="0"/>
        </w:rPr>
        <w:t>Recommendation:</w:t>
      </w:r>
    </w:p>
    <w:p>
      <w:pPr>
        <w:pStyle w:val="ListBullet"/>
        <w:spacing w:after="60"/>
      </w:pPr>
      <w:r>
        <w:t>Add these items to §§7.2 and 7.4(a). Limit Parent’s guarantee indemnity in §6.9 to post-closing obligations, conditioned on the lessor’s refusal to release, with Seller cooperation.</w:t>
      </w:r>
    </w:p>
    <w:p>
      <w:pPr>
        <w:pStyle w:val="Heading3"/>
      </w:pPr>
      <w:r>
        <w:t>E-4. Interim operating covenants are too thin for a healthcare target</w:t>
      </w:r>
    </w:p>
    <w:p>
      <w:pPr>
        <w:spacing w:after="80"/>
      </w:pPr>
      <w:r>
        <w:rPr>
          <w:b/>
        </w:rPr>
        <w:t xml:space="preserve">Priority: </w:t>
      </w:r>
      <w:r>
        <w:rPr>
          <w:b/>
          <w:color w:val="7F6000"/>
        </w:rPr>
        <w:t>Medium</w:t>
      </w:r>
      <w:r>
        <w:t xml:space="preserve">     </w:t>
      </w:r>
      <w:r>
        <w:rPr>
          <w:b/>
        </w:rPr>
        <w:t xml:space="preserve">Provisions / sources: </w:t>
      </w:r>
      <w:r>
        <w:rPr>
          <w:i/>
        </w:rPr>
        <w:t>§§6.1–6.4</w:t>
      </w:r>
    </w:p>
    <w:p>
      <w:pPr>
        <w:spacing w:after="120"/>
      </w:pPr>
      <w:r>
        <w:rPr>
          <w:b w:val="0"/>
          <w:i w:val="0"/>
        </w:rPr>
        <w:t>§6.1 lacks restrictions on the following: new or amended arrangements with referral sources or affiliates; amendments to the Vasquez leases or ancillary agreements; communications with or submissions to OIG, CMS, OCR or a MAC (including self-disclosures and OCR responses) without Buyer review; changes to coding policies or billing vendors; opening, closing or relocating clinics (including HPSA sites); payer contract changes; changes to physician compensation plans below the $200,000 threshold where tied to productivity; and waivers of restrictive covenants. §6.2 lets the Company withhold information whose disclosure would violate HIPAA, but disclosure to Buyer for due-diligence purposes is permitted under the HIPAA “health care operations” definition (sale or merger) with appropriate safeguards. The carve-out should be narrowed accordingly. §6.3’s commercially reasonable efforts standard should be reviewed against the HSR covenant.</w:t>
      </w:r>
    </w:p>
    <w:p>
      <w:pPr>
        <w:spacing w:after="40"/>
      </w:pPr>
      <w:r>
        <w:rPr>
          <w:b/>
          <w:i w:val="0"/>
        </w:rPr>
        <w:t>Recommendation:</w:t>
      </w:r>
    </w:p>
    <w:p>
      <w:pPr>
        <w:pStyle w:val="ListBullet"/>
        <w:spacing w:after="60"/>
      </w:pPr>
      <w:r>
        <w:t>Expand §6.1(f) along these lines, add a covenant to cooperate with Buyer’s compliance review, and narrow the HIPAA carve-out in §6.2 to require a BAA or limited data set where needed.</w:t>
      </w:r>
    </w:p>
    <w:p>
      <w:pPr>
        <w:pStyle w:val="Heading3"/>
      </w:pPr>
      <w:r>
        <w:t>E-5. Twelve-month employment and compensation guarantee for all employees (§6.5(a)) conflicts with Buyer’s operating discretion and regulatory remediation</w:t>
      </w:r>
    </w:p>
    <w:p>
      <w:pPr>
        <w:spacing w:after="80"/>
      </w:pPr>
      <w:r>
        <w:rPr>
          <w:b/>
        </w:rPr>
        <w:t xml:space="preserve">Priority: </w:t>
      </w:r>
      <w:r>
        <w:rPr>
          <w:b/>
          <w:color w:val="7F6000"/>
        </w:rPr>
        <w:t>Medium</w:t>
      </w:r>
      <w:r>
        <w:t xml:space="preserve">     </w:t>
      </w:r>
      <w:r>
        <w:rPr>
          <w:b/>
        </w:rPr>
        <w:t xml:space="preserve">Provisions / sources: </w:t>
      </w:r>
      <w:r>
        <w:rPr>
          <w:i/>
        </w:rPr>
        <w:t>§§3.5(e), 6.5(a), 6.1(f)(ix)</w:t>
      </w:r>
    </w:p>
    <w:p>
      <w:pPr>
        <w:spacing w:after="120"/>
      </w:pPr>
      <w:r>
        <w:rPr>
          <w:b w:val="0"/>
          <w:i w:val="0"/>
        </w:rPr>
        <w:t>§6.5(a) requires Buyer to continue employing every one of the roughly 633 employees and providers for 12 months on terms no less favorable in the aggregate, terminable only for cause. That is inconsistent with Buyer’s sole discretion under §3.5(e), with the possible need to exit non-compliant physicians or arrangements (for example, the upcoding providers or the PT arrangement), with compensation resets required for FMV, and with the restructuring to an MSO and P.A. model. Even with the third-party beneficiary disclaimer, Equity Holders could argue that a breach depresses the earnout.</w:t>
      </w:r>
    </w:p>
    <w:p>
      <w:pPr>
        <w:spacing w:after="40"/>
      </w:pPr>
      <w:r>
        <w:rPr>
          <w:b/>
          <w:i w:val="0"/>
        </w:rPr>
        <w:t>Recommendation:</w:t>
      </w:r>
    </w:p>
    <w:p>
      <w:pPr>
        <w:pStyle w:val="ListBullet"/>
        <w:spacing w:after="60"/>
      </w:pPr>
      <w:r>
        <w:t>Replace with a customary 12-month covenant to maintain base pay and benefits that are substantially comparable in the aggregate for employees who remain employed. Expressly preserve at-will employment and terminations for regulatory, compliance or business reasons.</w:t>
      </w:r>
    </w:p>
    <w:p>
      <w:pPr>
        <w:pStyle w:val="Heading3"/>
      </w:pPr>
      <w:r>
        <w:t>E-6. Termination and fees: Company Termination Fee keyed to an undefined “Superior Proposal” that the Agreement never permits</w:t>
      </w:r>
    </w:p>
    <w:p>
      <w:pPr>
        <w:spacing w:after="80"/>
      </w:pPr>
      <w:r>
        <w:rPr>
          <w:b/>
        </w:rPr>
        <w:t xml:space="preserve">Priority: </w:t>
      </w:r>
      <w:r>
        <w:rPr>
          <w:b/>
          <w:color w:val="7F6000"/>
        </w:rPr>
        <w:t>Medium</w:t>
      </w:r>
      <w:r>
        <w:t xml:space="preserve">     </w:t>
      </w:r>
      <w:r>
        <w:rPr>
          <w:b/>
        </w:rPr>
        <w:t xml:space="preserve">Provisions / sources: </w:t>
      </w:r>
      <w:r>
        <w:rPr>
          <w:i/>
        </w:rPr>
        <w:t>§§6.6, 8.1, 8.3</w:t>
      </w:r>
    </w:p>
    <w:p>
      <w:pPr>
        <w:spacing w:after="120"/>
      </w:pPr>
      <w:r>
        <w:rPr>
          <w:b w:val="0"/>
          <w:i w:val="0"/>
        </w:rPr>
        <w:t>§8.3(a) makes the $4,496,000 Company Termination Fee payable if the Agreement is terminated because the Company accepts a “Superior Proposal (as defined in Section 6.6).” §6.6 does not define the term, there is no fiduciary-out termination right in §8.1, and the no-shop does not bind the Equity Holders (Issue D-1). The fee is therefore likely never payable. The $6,744,000 Reverse Termination Fee (3% of enterprise value) is the sole remedy “upon payment.” Its interaction with specific performance (§11.10) and with the Company’s financing-evidence condition in §7.3(c) should be clarified, especially because Buyer’s financing is committed debt plus equity. The RTF triggers whenever Parent fails to close when “obligated,” and the draft has no HSR or regulatory-failure carve-out.</w:t>
      </w:r>
    </w:p>
    <w:p>
      <w:pPr>
        <w:spacing w:after="40"/>
      </w:pPr>
      <w:r>
        <w:rPr>
          <w:b/>
          <w:i w:val="0"/>
        </w:rPr>
        <w:t>Recommendation:</w:t>
      </w:r>
    </w:p>
    <w:p>
      <w:pPr>
        <w:pStyle w:val="ListBullet"/>
        <w:spacing w:after="60"/>
      </w:pPr>
      <w:r>
        <w:t>Delete the “Superior Proposal” construct (no fiduciary out is needed for a closely held P.A.). Instead, make the Company Termination Fee payable on termination for willful breach of the no-shop, or if an Alternative Transaction is signed within 12 months after termination for Company breach. Bind the Equity Holders to the no-shop personally.</w:t>
      </w:r>
    </w:p>
    <w:p>
      <w:pPr>
        <w:pStyle w:val="ListBullet"/>
        <w:spacing w:after="60"/>
      </w:pPr>
      <w:r>
        <w:t>Specify that the RTF is the cap on Parent’s total liability and that specific performance of Parent’s obligation to close is available only if debt financing is funded. Confirm that a failure of the HSR or regulatory conditions does not trigger the RTF. Add an Outside Date extension (Issue A-3).</w:t>
      </w:r>
    </w:p>
    <w:p>
      <w:pPr>
        <w:pStyle w:val="Heading3"/>
      </w:pPr>
      <w:r>
        <w:t>E-7. Other representation gaps</w:t>
      </w:r>
    </w:p>
    <w:p>
      <w:pPr>
        <w:spacing w:after="80"/>
      </w:pPr>
      <w:r>
        <w:rPr>
          <w:b/>
        </w:rPr>
        <w:t xml:space="preserve">Priority: </w:t>
      </w:r>
      <w:r>
        <w:rPr>
          <w:b/>
          <w:color w:val="7F6000"/>
        </w:rPr>
        <w:t>Medium</w:t>
      </w:r>
      <w:r>
        <w:t xml:space="preserve">     </w:t>
      </w:r>
      <w:r>
        <w:rPr>
          <w:b/>
        </w:rPr>
        <w:t xml:space="preserve">Provisions / sources: </w:t>
      </w:r>
      <w:r>
        <w:rPr>
          <w:i/>
        </w:rPr>
        <w:t>Article IV</w:t>
      </w:r>
    </w:p>
    <w:p>
      <w:pPr>
        <w:spacing w:after="120"/>
      </w:pPr>
      <w:r>
        <w:rPr>
          <w:b w:val="0"/>
          <w:i w:val="0"/>
        </w:rPr>
        <w:t>The draft lacks or should strengthen the following representations: undisclosed liabilities (the §4.5 “no off-balance sheet arrangements” sentence is not a substitute); a full-disclosure or no-misleading-statements representation; accounts receivable and credit balances; payer contracts and reimbursement (including rate notices, rebids and recoupments); overpayments, internal audits and the 60-day rule; coding and documentation; Medicare/Medicaid enrollment, revalidation and the RHC; a complete list of every financial relationship with any referral source; Subsidiaries (the term is used throughout but never represented to, which matters given the ancillary entities); sufficiency and title of assets; medical records and EHR; privileges and credentialing; affiliate transactions (§4.6(c)(ix) is limited to transactions since the balance sheet date); immigration (Issue C-8); controlled substances/DEA site registrations (21 C.F.R. §1301.12) for the Oklahoma clinics; and Equity Holder representations (Issue D-1). The healthcare compliance representation in §4.7(a) has a 3-year lookback, which should be 6 years to match the FCA limitation period.</w:t>
      </w:r>
    </w:p>
    <w:p>
      <w:pPr>
        <w:spacing w:after="40"/>
      </w:pPr>
      <w:r>
        <w:rPr>
          <w:b/>
          <w:i w:val="0"/>
        </w:rPr>
        <w:t>Recommendation:</w:t>
      </w:r>
    </w:p>
    <w:p>
      <w:pPr>
        <w:pStyle w:val="ListBullet"/>
        <w:spacing w:after="60"/>
      </w:pPr>
      <w:r>
        <w:t>Add these representations in the Buyer markup. Make them Healthcare Representations where relevant.</w:t>
      </w:r>
    </w:p>
    <w:p>
      <w:pPr>
        <w:pStyle w:val="Heading3"/>
      </w:pPr>
      <w:r>
        <w:t>E-8. Seller Representative: Dr. Vasquez is conflicted</w:t>
      </w:r>
    </w:p>
    <w:p>
      <w:pPr>
        <w:spacing w:after="80"/>
      </w:pPr>
      <w:r>
        <w:rPr>
          <w:b/>
        </w:rPr>
        <w:t xml:space="preserve">Priority: </w:t>
      </w:r>
      <w:r>
        <w:rPr>
          <w:b/>
          <w:color w:val="385723"/>
        </w:rPr>
        <w:t>Low</w:t>
      </w:r>
      <w:r>
        <w:t xml:space="preserve">     </w:t>
      </w:r>
      <w:r>
        <w:rPr>
          <w:b/>
        </w:rPr>
        <w:t xml:space="preserve">Provisions / sources: </w:t>
      </w:r>
      <w:r>
        <w:rPr>
          <w:i/>
        </w:rPr>
        <w:t>Article X; §§3.2(d), 10.3</w:t>
      </w:r>
    </w:p>
    <w:p>
      <w:pPr>
        <w:spacing w:after="120"/>
      </w:pPr>
      <w:r>
        <w:rPr>
          <w:b w:val="0"/>
          <w:i w:val="0"/>
        </w:rPr>
        <w:t>Dr. Vasquez would serve at once as Seller Representative, 58% holder, landlord, ancillary owner, Medical Director employee, guarantor and earnout recipient. He would control the defense and settlement of indemnity claims (§10.2(b)) that may relate to his own arrangements. He would also act for the non-rolling minority holders, whose consideration the draft misallocates (Issue B-5). The draft has no successor, resignation, exculpation or Seller-Representative-indemnity mechanics. The $500,000 expense fund is described as funded by Parent in §3.2(d) but as withheld from the Equity Holders’ proceeds in §10.3.</w:t>
      </w:r>
    </w:p>
    <w:p>
      <w:pPr>
        <w:spacing w:after="40"/>
      </w:pPr>
      <w:r>
        <w:rPr>
          <w:b/>
          <w:i w:val="0"/>
        </w:rPr>
        <w:t>Recommendation:</w:t>
      </w:r>
    </w:p>
    <w:p>
      <w:pPr>
        <w:pStyle w:val="ListBullet"/>
        <w:spacing w:after="60"/>
      </w:pPr>
      <w:r>
        <w:t>Use a professional representative (for example, SRS Acquiom) or add successor and removal mechanics. Exclude matters relating to Dr. Vasquez’s own affiliate arrangements from his authority. Conform §3.2(d) to §10.3.</w:t>
      </w:r>
    </w:p>
    <w:p>
      <w:pPr>
        <w:pStyle w:val="Heading2"/>
      </w:pPr>
      <w:r>
        <w:t>F. Factual Inconsistencies Across the Documents and Drafting Errors</w:t>
      </w:r>
    </w:p>
    <w:p>
      <w:pPr>
        <w:pStyle w:val="Heading3"/>
      </w:pPr>
      <w:r>
        <w:t>F-1. Party names, addresses and contact details</w:t>
      </w:r>
    </w:p>
    <w:p>
      <w:pPr>
        <w:spacing w:after="80"/>
      </w:pPr>
      <w:r>
        <w:rPr>
          <w:b/>
        </w:rPr>
        <w:t xml:space="preserve">Priority: </w:t>
      </w:r>
      <w:r>
        <w:rPr>
          <w:b/>
          <w:color w:val="385723"/>
        </w:rPr>
        <w:t>Low</w:t>
      </w:r>
      <w:r>
        <w:t xml:space="preserve">     </w:t>
      </w:r>
      <w:r>
        <w:rPr>
          <w:b/>
        </w:rPr>
        <w:t xml:space="preserve">Provisions / sources: </w:t>
      </w:r>
      <w:r>
        <w:rPr>
          <w:i/>
        </w:rPr>
        <w:t>Preamble; Recitals; §§3.1, 4.4, 11.1; QoE; Regulatory Memo; Transmittal</w:t>
      </w:r>
    </w:p>
    <w:p>
      <w:pPr>
        <w:spacing w:after="120"/>
      </w:pPr>
      <w:r>
        <w:rPr>
          <w:b w:val="0"/>
          <w:i w:val="0"/>
        </w:rPr>
        <w:t>Physician names differ across the documents. The agreement and transmittal have Dr. Priya Chandrasekaran, Dr. Lina Okoro and Dr. Steven Tran. The QoE has “Dr. Anand Chandrasekaran.” The regulatory memo has “Dr. Anita Chandrasekaran,” “Dr. Emeka Okoro” and “Dr. Linh Tran.” Legal names must be confirmed for the capitalization table, payment schedule, signature blocks and licensure checks, and diligence must confirm that the licensure searches covered the right individuals.</w:t>
      </w:r>
    </w:p>
    <w:p>
      <w:pPr>
        <w:spacing w:after="120"/>
      </w:pPr>
      <w:r>
        <w:rPr>
          <w:b w:val="0"/>
          <w:i w:val="0"/>
        </w:rPr>
        <w:t>Firm details also conflict. Our notice email is listed as myoon@lawllp.com in §11.1 but is myoon@lindenashby.com in the transmittal. Our address appears as 1717 Main Street, Suite 4000 (§11.1) and as 3100 McKinney Avenue, Suite 2400 (regulatory memo). Breckenridge Sloane is shown at 500 Throckmorton Street, Fort Worth (§11.1) but at 1200 Travis Street, Houston (transmittal signature).</w:t>
      </w:r>
    </w:p>
    <w:p>
      <w:pPr>
        <w:spacing w:after="120"/>
      </w:pPr>
      <w:r>
        <w:rPr>
          <w:b w:val="0"/>
          <w:i w:val="0"/>
        </w:rPr>
        <w:t>The Clearview contact email is kchu@clearviewhp.com in the transmittal but kchu@clearviewhealthpartners.com in the QoE. Pinnacle’s HQ is at Suite 300 of 4200 Medical Parkway (§11.1 and the Lease Schedule notes), while the related-party leased HQ clinic is Suite 100. The Lease Schedule notes that Vasquez Medical Properties LLC’s registered address is Pinnacle’s HQ suite.</w:t>
      </w:r>
    </w:p>
    <w:p>
      <w:pPr>
        <w:spacing w:after="120"/>
      </w:pPr>
      <w:r>
        <w:rPr>
          <w:b w:val="0"/>
          <w:i w:val="0"/>
        </w:rPr>
        <w:t>The Lease Schedule’s notes refer to “Buyer’s counsel at Breckenridge Sloane LLP,” but Breckenridge Sloane is Seller’s counsel. The adviser should correct this, and we should confirm that the schedule was not shared with Seller.</w:t>
      </w:r>
    </w:p>
    <w:p>
      <w:pPr>
        <w:spacing w:after="40"/>
      </w:pPr>
      <w:r>
        <w:rPr>
          <w:b/>
          <w:i w:val="0"/>
        </w:rPr>
        <w:t>Recommendation:</w:t>
      </w:r>
    </w:p>
    <w:p>
      <w:pPr>
        <w:pStyle w:val="ListBullet"/>
        <w:spacing w:after="60"/>
      </w:pPr>
      <w:r>
        <w:t>Correct all of these in the Buyer markup, and confirm legal names against the stock ledger and licensure records.</w:t>
      </w:r>
    </w:p>
    <w:p>
      <w:pPr>
        <w:pStyle w:val="Heading3"/>
      </w:pPr>
      <w:r>
        <w:t>F-2. Lease data conflicts between the Lease Summary Schedule and QoE Appendix C</w:t>
      </w:r>
    </w:p>
    <w:p>
      <w:pPr>
        <w:spacing w:after="80"/>
      </w:pPr>
      <w:r>
        <w:rPr>
          <w:b/>
        </w:rPr>
        <w:t xml:space="preserve">Priority: </w:t>
      </w:r>
      <w:r>
        <w:rPr>
          <w:b/>
          <w:color w:val="C55A11"/>
        </w:rPr>
        <w:t>High</w:t>
      </w:r>
      <w:r>
        <w:t xml:space="preserve">     </w:t>
      </w:r>
      <w:r>
        <w:rPr>
          <w:b/>
        </w:rPr>
        <w:t xml:space="preserve">Provisions / sources: </w:t>
      </w:r>
      <w:r>
        <w:rPr>
          <w:i/>
        </w:rPr>
        <w:t>§4.13; Lease Schedule; QoE §VI and Appendix C</w:t>
      </w:r>
    </w:p>
    <w:p>
      <w:pPr>
        <w:spacing w:after="120"/>
      </w:pPr>
      <w:r>
        <w:rPr>
          <w:b w:val="0"/>
          <w:i w:val="0"/>
        </w:rPr>
        <w:t>The two diligence lease summaries cannot be reconciled. (i) Clinic roster: the Lease Schedule lists Dallas Uptown, Denton, Southlake, Weatherford, Mansfield, two Oklahoma City locations (South and North) and Tulsa. QoE Appendix C lists Dallas North, Dallas South, Fort Worth Clinic C, Denton (closed), Oklahoma City Central and South, and Tulsa, and omits Southlake, Weatherford and Mansfield. (ii) Rents: for example, Plano is $295,000 versus $545,000, Frisco $282,000 versus $490,000, and Tulsa $210,000 versus $480,000. (iii) Expirations of the related-party leases: 2031–2033 versus 2028–2029. (iv) Denton: operating with a lease to 2030 versus closed and terminated in 2024. (v) Fort Worth main campus: QoE Appendix C shows a third-party lease at $680,000, whereas the Lease Schedule shows the Medical Parkway HQ clinic leased from Vasquez Medical Properties at $510,000. (vi) Total occupancy: QoE reports about $6.8 million inclusive of CAM, tax and insurance, against base rent of $4.013 million on the Lease Schedule. The two summaries agree only on the aggregate related-party rent of $1.315 million.</w:t>
      </w:r>
    </w:p>
    <w:p>
      <w:pPr>
        <w:spacing w:after="120"/>
      </w:pPr>
      <w:r>
        <w:rPr>
          <w:b w:val="0"/>
          <w:i w:val="0"/>
        </w:rPr>
        <w:t>These conflicts go directly to the §4.13 representations, the clinic count in the Recitals and §4.13(a), the FMV analysis, the consents required, and the J-1 HPSA site analysis.</w:t>
      </w:r>
    </w:p>
    <w:p>
      <w:pPr>
        <w:spacing w:after="40"/>
      </w:pPr>
      <w:r>
        <w:rPr>
          <w:b/>
          <w:i w:val="0"/>
        </w:rPr>
        <w:t>Recommendation:</w:t>
      </w:r>
    </w:p>
    <w:p>
      <w:pPr>
        <w:pStyle w:val="ListBullet"/>
        <w:spacing w:after="60"/>
      </w:pPr>
      <w:r>
        <w:t>Require original leases, amendments and estoppels. Have Ridgeline/Thornfield issue a single reconciled schedule before signing. Attach the definitive lease list to the Agreement as Schedule 4.13, with rent, term, renewal and consent data represented.</w:t>
      </w:r>
    </w:p>
    <w:p>
      <w:pPr>
        <w:pStyle w:val="Heading3"/>
      </w:pPr>
      <w:r>
        <w:t>F-3. Other internal inconsistencies and drafting errors</w:t>
      </w:r>
    </w:p>
    <w:p>
      <w:pPr>
        <w:spacing w:after="80"/>
      </w:pPr>
      <w:r>
        <w:rPr>
          <w:b/>
        </w:rPr>
        <w:t xml:space="preserve">Priority: </w:t>
      </w:r>
      <w:r>
        <w:rPr>
          <w:b/>
          <w:color w:val="385723"/>
        </w:rPr>
        <w:t>Low</w:t>
      </w:r>
      <w:r>
        <w:t xml:space="preserve">     </w:t>
      </w:r>
      <w:r>
        <w:rPr>
          <w:b/>
        </w:rPr>
        <w:t xml:space="preserve">Provisions / sources: </w:t>
      </w:r>
      <w:r>
        <w:rPr>
          <w:i/>
        </w:rPr>
        <w:t>Various</w:t>
      </w:r>
    </w:p>
    <w:p>
      <w:pPr>
        <w:spacing w:after="120"/>
      </w:pPr>
      <w:r>
        <w:rPr>
          <w:b w:val="0"/>
          <w:i w:val="0"/>
        </w:rPr>
        <w:t>(i) Escrow release is a fixed date (December 1, 2026) described as “approximately eighteen (18) months” after an expected closing date (Issue B-7). (ii) “Pre-Closing Tax Period” is defined twice (Article I and §6.7(c)), and “Straddle Period” is defined but unused. (iii) Tax representations are given two different survival periods (§9.1(a)(i) and (ii)). (iv) “Superior Proposal” is undefined (§8.3(a)). (v) §8.2 cross-refers to “Section 6.2 (Access to Information; Confidentiality),” but confidentiality is in §11.12, which separately survives. (vi) The Company Material Contracts definition dates the Apex MSA “December 2022,” whereas §4.14(a)(i) gives December 15, 2022. The St. Ambrose term ends February 28, 2027 per the Agreement but December 2026 per the QoE. (vii) The earnout payment timing differs between §3.5(f) and the QoE. (viii) §3.1(a) makes cash “subject to adjustment for … the Net Working Capital Adjustment,” even though that adjustment is already included in Equity Value (Issue B-4). (ix) The Cap is 10% of Equity Value, while the transmittal describes a “10% cap” without specifying the base. (x) §2.4 renames the Surviving Entity “Pinnacle Medical Group, Inc.” at the Effective Time, before the conversion that §2.5 contemplates. (xi) The Knowledge group names a CCO inconsistent with diligence (Issue C-11). (xii) The Disclosure Schedule index lists Schedule 4.11(b) as “None,” which is inaccurate (Issue C-7). (xiii) The Rollover Equity issuer differs between Exhibit B (Fund IV) and the QoE (Clearview HC Holdings, LLC) (Issue A-4). (xiv) The QoE states the transaction is at about 7.6x its Adjusted EBITDA but applies 7.5x.</w:t>
      </w:r>
    </w:p>
    <w:p>
      <w:pPr>
        <w:spacing w:after="40"/>
      </w:pPr>
      <w:r>
        <w:rPr>
          <w:b/>
          <w:i w:val="0"/>
        </w:rPr>
        <w:t>Recommendation:</w:t>
      </w:r>
    </w:p>
    <w:p>
      <w:pPr>
        <w:pStyle w:val="ListBullet"/>
        <w:spacing w:after="60"/>
      </w:pPr>
      <w:r>
        <w:t>Clean these up in the Buyer markup.</w:t>
      </w:r>
    </w:p>
    <w:p>
      <w:pPr>
        <w:pStyle w:val="Heading1"/>
      </w:pPr>
      <w:r>
        <w:t>IV. Response to Positions Taken in Seller’s Transmittal</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2A44"/>
          </w:tcPr>
          <w:p>
            <w:r/>
            <w:r>
              <w:rPr>
                <w:b/>
                <w:color w:val="FFFFFF"/>
                <w:sz w:val="18"/>
              </w:rPr>
              <w:t>Seller position (Okafor email, Jan. 8, 2025)</w:t>
            </w:r>
          </w:p>
        </w:tc>
        <w:tc>
          <w:tcPr>
            <w:tcW w:type="dxa" w:w="5184"/>
            <w:shd w:val="clear" w:color="auto" w:fill="1F2A44"/>
          </w:tcPr>
          <w:p>
            <w:r/>
            <w:r>
              <w:rPr>
                <w:b/>
                <w:color w:val="FFFFFF"/>
                <w:sz w:val="18"/>
              </w:rPr>
              <w:t>Our assessment</w:t>
            </w:r>
          </w:p>
        </w:tc>
        <w:tc>
          <w:tcPr>
            <w:tcW w:type="dxa" w:w="1008"/>
            <w:shd w:val="clear" w:color="auto" w:fill="1F2A44"/>
          </w:tcPr>
          <w:p>
            <w:r/>
            <w:r>
              <w:rPr>
                <w:b/>
                <w:color w:val="FFFFFF"/>
                <w:sz w:val="18"/>
              </w:rPr>
              <w:t>Ref.</w:t>
            </w:r>
          </w:p>
        </w:tc>
      </w:tr>
      <w:tr>
        <w:tc>
          <w:tcPr>
            <w:tcW w:type="dxa" w:w="3168"/>
          </w:tcPr>
          <w:p>
            <w:r/>
            <w:r>
              <w:rPr>
                <w:sz w:val="18"/>
              </w:rPr>
              <w:t>P.A. conversion is “a ministerial organizational change … [not] raising any substantive issues.”</w:t>
            </w:r>
          </w:p>
        </w:tc>
        <w:tc>
          <w:tcPr>
            <w:tcW w:type="dxa" w:w="5184"/>
          </w:tcPr>
          <w:p>
            <w:r/>
            <w:r>
              <w:rPr>
                <w:sz w:val="18"/>
              </w:rPr>
              <w:t>Incorrect. Texas CPOM bars lay ownership and control of a medical P.A. and bars a business corporation from practicing medicine. This is the threshold structural issue in the deal.</w:t>
            </w:r>
          </w:p>
        </w:tc>
        <w:tc>
          <w:tcPr>
            <w:tcW w:type="dxa" w:w="1008"/>
          </w:tcPr>
          <w:p>
            <w:r/>
            <w:r>
              <w:rPr>
                <w:sz w:val="18"/>
              </w:rPr>
              <w:t>A-1</w:t>
            </w:r>
          </w:p>
        </w:tc>
      </w:tr>
      <w:tr>
        <w:tc>
          <w:tcPr>
            <w:tcW w:type="dxa" w:w="3168"/>
          </w:tcPr>
          <w:p>
            <w:r/>
            <w:r>
              <w:rPr>
                <w:sz w:val="18"/>
              </w:rPr>
              <w:t>§368(a) reorganization treatment is “well-supported”; no tax opinion needed.</w:t>
            </w:r>
          </w:p>
        </w:tc>
        <w:tc>
          <w:tcPr>
            <w:tcW w:type="dxa" w:w="5184"/>
          </w:tcPr>
          <w:p>
            <w:r/>
            <w:r>
              <w:rPr>
                <w:sz w:val="18"/>
              </w:rPr>
              <w:t>Not supportable. About 80% cash consideration fails the §368(a)(2)(E) control-for-voting-stock requirement and continuity of interest, and the rollover is into partnership interests. The structure also gives up Buyer’s basis step-up.</w:t>
            </w:r>
          </w:p>
        </w:tc>
        <w:tc>
          <w:tcPr>
            <w:tcW w:type="dxa" w:w="1008"/>
          </w:tcPr>
          <w:p>
            <w:r/>
            <w:r>
              <w:rPr>
                <w:sz w:val="18"/>
              </w:rPr>
              <w:t>A-2</w:t>
            </w:r>
          </w:p>
        </w:tc>
      </w:tr>
      <w:tr>
        <w:tc>
          <w:tcPr>
            <w:tcW w:type="dxa" w:w="3168"/>
          </w:tcPr>
          <w:p>
            <w:r/>
            <w:r>
              <w:rPr>
                <w:sz w:val="18"/>
              </w:rPr>
              <w:t>10% cap, 18-month escrow and $1.5M basket are “consistent with market norms”; Seller expects them to “remain substantially as drafted.”</w:t>
            </w:r>
          </w:p>
        </w:tc>
        <w:tc>
          <w:tcPr>
            <w:tcW w:type="dxa" w:w="5184"/>
          </w:tcPr>
          <w:p>
            <w:r/>
            <w:r>
              <w:rPr>
                <w:sz w:val="18"/>
              </w:rPr>
              <w:t>The general package may be within a market range for unknown risks. It does not address known, quantified healthcare liabilities, which require special indemnities and a special escrow. Healthcare survival and several-only liability are off-market for a target with this profile.</w:t>
            </w:r>
          </w:p>
        </w:tc>
        <w:tc>
          <w:tcPr>
            <w:tcW w:type="dxa" w:w="1008"/>
          </w:tcPr>
          <w:p>
            <w:r/>
            <w:r>
              <w:rPr>
                <w:sz w:val="18"/>
              </w:rPr>
              <w:t>B-7; D-1 to D-3</w:t>
            </w:r>
          </w:p>
        </w:tc>
      </w:tr>
      <w:tr>
        <w:tc>
          <w:tcPr>
            <w:tcW w:type="dxa" w:w="3168"/>
          </w:tcPr>
          <w:p>
            <w:r/>
            <w:r>
              <w:rPr>
                <w:sz w:val="18"/>
              </w:rPr>
              <w:t>Earnout targets are “readily achievable”; earnout is “mutually fair.”</w:t>
            </w:r>
          </w:p>
        </w:tc>
        <w:tc>
          <w:tcPr>
            <w:tcW w:type="dxa" w:w="5184"/>
          </w:tcPr>
          <w:p>
            <w:r/>
            <w:r>
              <w:rPr>
                <w:sz w:val="18"/>
              </w:rPr>
              <w:t>The targets require growth above the historical trend while about $26.5–$28.5M of Plano/Frisco revenue faces lease expiration and coding remediation reduces revenue. More importantly, a revenue-based earnout paid to referring physicians raises Stark/AKS issues that Seller did not flag.</w:t>
            </w:r>
          </w:p>
        </w:tc>
        <w:tc>
          <w:tcPr>
            <w:tcW w:type="dxa" w:w="1008"/>
          </w:tcPr>
          <w:p>
            <w:r/>
            <w:r>
              <w:rPr>
                <w:sz w:val="18"/>
              </w:rPr>
              <w:t>B-6</w:t>
            </w:r>
          </w:p>
        </w:tc>
      </w:tr>
      <w:tr>
        <w:tc>
          <w:tcPr>
            <w:tcW w:type="dxa" w:w="3168"/>
          </w:tcPr>
          <w:p>
            <w:r/>
            <w:r>
              <w:rPr>
                <w:sz w:val="18"/>
              </w:rPr>
              <w:t>MAE definition “appropriately balances” risk.</w:t>
            </w:r>
          </w:p>
        </w:tc>
        <w:tc>
          <w:tcPr>
            <w:tcW w:type="dxa" w:w="5184"/>
          </w:tcPr>
          <w:p>
            <w:r/>
            <w:r>
              <w:rPr>
                <w:sz w:val="18"/>
              </w:rPr>
              <w:t>It lacks a disproportionate-effect qualifier and healthcare-specific triggers, and the bring-down is at an MAE standard.</w:t>
            </w:r>
          </w:p>
        </w:tc>
        <w:tc>
          <w:tcPr>
            <w:tcW w:type="dxa" w:w="1008"/>
          </w:tcPr>
          <w:p>
            <w:r/>
            <w:r>
              <w:rPr>
                <w:sz w:val="18"/>
              </w:rPr>
              <w:t>E-2</w:t>
            </w:r>
          </w:p>
        </w:tc>
      </w:tr>
      <w:tr>
        <w:tc>
          <w:tcPr>
            <w:tcW w:type="dxa" w:w="3168"/>
          </w:tcPr>
          <w:p>
            <w:r/>
            <w:r>
              <w:rPr>
                <w:sz w:val="18"/>
              </w:rPr>
              <w:t>Disclosure Schedules to follow ~Jan. 22; ancillaries to follow.</w:t>
            </w:r>
          </w:p>
        </w:tc>
        <w:tc>
          <w:tcPr>
            <w:tcW w:type="dxa" w:w="5184"/>
          </w:tcPr>
          <w:p>
            <w:r/>
            <w:r>
              <w:rPr>
                <w:sz w:val="18"/>
              </w:rPr>
              <w:t>We have not received final schedules. Diligence already shows that Schedule 4.11(b) (“None”) is inaccurate. Signing should be conditioned on complete schedules, and post-signing updates should not cure breaches.</w:t>
            </w:r>
          </w:p>
        </w:tc>
        <w:tc>
          <w:tcPr>
            <w:tcW w:type="dxa" w:w="1008"/>
          </w:tcPr>
          <w:p>
            <w:r/>
            <w:r>
              <w:rPr>
                <w:sz w:val="18"/>
              </w:rPr>
              <w:t>C-7; D-5</w:t>
            </w:r>
          </w:p>
        </w:tc>
      </w:tr>
    </w:tbl>
    <w:p>
      <w:pPr>
        <w:spacing w:after="40"/>
      </w:pPr>
    </w:p>
    <w:p>
      <w:pPr>
        <w:pStyle w:val="Heading1"/>
      </w:pPr>
      <w:r>
        <w:t>V. Recommended Next Steps</w:t>
      </w:r>
    </w:p>
    <w:p>
      <w:pPr>
        <w:spacing w:after="40"/>
      </w:pPr>
      <w:r>
        <w:rPr>
          <w:b/>
          <w:i w:val="0"/>
        </w:rPr>
        <w:t>Before the February 28, 2025 diligence expiration:</w:t>
      </w:r>
    </w:p>
    <w:p>
      <w:pPr>
        <w:pStyle w:val="ListNumber"/>
        <w:spacing w:after="60"/>
      </w:pPr>
      <w:r>
        <w:t>Convene the structuring call (corporate, tax, healthcare regulatory) to settle the MSO / friendly-P.A. structure, the rollover vehicle (Clearview HC Holdings, LLC under §721) and the taxable acquisition structure. Run the HSR analysis and confirm Pinnacle’s tax classification.</w:t>
      </w:r>
    </w:p>
    <w:p>
      <w:pPr>
        <w:pStyle w:val="ListNumber"/>
        <w:spacing w:after="60"/>
      </w:pPr>
      <w:r>
        <w:t>Ask Thornfield for a bring-down QoE reconciling the $0.40M Adjusted EBITDA gap, Denton, the lease data conflicts, upcoding run-rate, founder compensation, PT revenue at risk and transaction expenses. Obtain a reconciled lease schedule with original leases and estoppels.</w:t>
      </w:r>
    </w:p>
    <w:p>
      <w:pPr>
        <w:pStyle w:val="ListNumber"/>
        <w:spacing w:after="60"/>
      </w:pPr>
      <w:r>
        <w:t>Commission an independent FMV opinion (Dr. Vasquez compensation, rollover terms, co-management) and an MAI appraisal of the three Vasquez properties.</w:t>
      </w:r>
    </w:p>
    <w:p>
      <w:pPr>
        <w:pStyle w:val="ListNumber"/>
        <w:spacing w:after="60"/>
      </w:pPr>
      <w:r>
        <w:t>Obtain outstanding diligence items: the ancillary entity ownership and agreements and the PT claims-level data; the Q3 2024 internal audit work papers; the OCR correspondence and draft responses; the Hagerty warning letter and PMP data; the J-1 files and HPSA sites; the Apex MSA; the St. Ambrose agreement; the Regional Bank of Texas credit agreement; the SoonerSelect MCO agreements; and the Weatherford RHC certification documents.</w:t>
      </w:r>
    </w:p>
    <w:p>
      <w:pPr>
        <w:pStyle w:val="ListNumber"/>
        <w:spacing w:after="60"/>
      </w:pPr>
      <w:r>
        <w:t>Correct the Regulatory Memo’s description of §4.11(b) (Issue C-7) and its CHOW analysis (Issue A-5), and add a CPOM section (Issue A-1).</w:t>
      </w:r>
    </w:p>
    <w:p>
      <w:pPr>
        <w:spacing w:after="40"/>
      </w:pPr>
      <w:r>
        <w:rPr>
          <w:b/>
          <w:i w:val="0"/>
        </w:rPr>
        <w:t>For the Buyer markup and issues list (target: circulate by early March for a March 15 signing, or reset the signing date if structural items are open):</w:t>
      </w:r>
    </w:p>
    <w:p>
      <w:pPr>
        <w:pStyle w:val="ListNumber"/>
        <w:spacing w:after="60"/>
      </w:pPr>
      <w:r>
        <w:t>Lead with the structural package (CPOM restructuring, tax structure, HSR covenant and condition, holdco as Parent/rollover issuer).</w:t>
      </w:r>
    </w:p>
    <w:p>
      <w:pPr>
        <w:pStyle w:val="ListNumber"/>
        <w:spacing w:after="60"/>
      </w:pPr>
      <w:r>
        <w:t>Purchase price: reset enterprise value; move to cash-free, debt-free with an estimated closing statement and true-up; fix the NWC double count; deduct transaction expenses; correct the per-holder allocation.</w:t>
      </w:r>
    </w:p>
    <w:p>
      <w:pPr>
        <w:pStyle w:val="ListNumber"/>
        <w:spacing w:after="60"/>
      </w:pPr>
      <w:r>
        <w:t>Known-liability package: special indemnities and a special escrow; pre-closing coding audit and refund or self-disclosure; FMV lease amendments; ancillary unwind or restructuring; OCR remediation; deletion of §6.10.</w:t>
      </w:r>
    </w:p>
    <w:p>
      <w:pPr>
        <w:pStyle w:val="ListNumber"/>
        <w:spacing w:after="60"/>
      </w:pPr>
      <w:r>
        <w:t>Indemnity architecture: joint and several liability (or liability tied to proceeds) for healthcare and fundamental claims; expanded Healthcare Representations with SOL-based survival; pro-sandbagging; Buyer control of government matters; a realistic R&amp;W covenant.</w:t>
      </w:r>
    </w:p>
    <w:p>
      <w:pPr>
        <w:pStyle w:val="ListNumber"/>
        <w:spacing w:after="60"/>
      </w:pPr>
      <w:r>
        <w:t>Conditions and deliverables: Plano/Frisco extensions; landlord, lender and MCO consents; executed Vasquez employment and Equity Holder restrictive covenant agreements; physician retention; releases; guarantees.</w:t>
      </w:r>
    </w:p>
    <w:p>
      <w:pPr>
        <w:pStyle w:val="ListNumber"/>
        <w:spacing w:after="60"/>
      </w:pPr>
      <w:r>
        <w:t>Earnout redesign with regulatory sign-off, an independent accountant, and set-off rights.</w:t>
      </w:r>
    </w:p>
    <w:p>
      <w:r>
        <w:br w:type="page"/>
      </w:r>
    </w:p>
    <w:p>
      <w:pPr>
        <w:pStyle w:val="Heading1"/>
      </w:pPr>
      <w:r>
        <w:t>Appendix A — Consolidated Issues 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color="auto" w:fill="1F2A44"/>
          </w:tcPr>
          <w:p>
            <w:r/>
            <w:r>
              <w:rPr>
                <w:b/>
                <w:color w:val="FFFFFF"/>
                <w:sz w:val="16"/>
              </w:rPr>
              <w:t>ID</w:t>
            </w:r>
          </w:p>
        </w:tc>
        <w:tc>
          <w:tcPr>
            <w:tcW w:type="dxa" w:w="4896"/>
            <w:shd w:val="clear" w:color="auto" w:fill="1F2A44"/>
          </w:tcPr>
          <w:p>
            <w:r/>
            <w:r>
              <w:rPr>
                <w:b/>
                <w:color w:val="FFFFFF"/>
                <w:sz w:val="16"/>
              </w:rPr>
              <w:t>Issue</w:t>
            </w:r>
          </w:p>
        </w:tc>
        <w:tc>
          <w:tcPr>
            <w:tcW w:type="dxa" w:w="1080"/>
            <w:shd w:val="clear" w:color="auto" w:fill="1F2A44"/>
          </w:tcPr>
          <w:p>
            <w:r/>
            <w:r>
              <w:rPr>
                <w:b/>
                <w:color w:val="FFFFFF"/>
                <w:sz w:val="16"/>
              </w:rPr>
              <w:t>Priority</w:t>
            </w:r>
          </w:p>
        </w:tc>
        <w:tc>
          <w:tcPr>
            <w:tcW w:type="dxa" w:w="2736"/>
            <w:shd w:val="clear" w:color="auto" w:fill="1F2A44"/>
          </w:tcPr>
          <w:p>
            <w:r/>
            <w:r>
              <w:rPr>
                <w:b/>
                <w:color w:val="FFFFFF"/>
                <w:sz w:val="16"/>
              </w:rPr>
              <w:t>Draft provisions / sources</w:t>
            </w:r>
          </w:p>
        </w:tc>
      </w:tr>
      <w:tr>
        <w:tc>
          <w:tcPr>
            <w:tcW w:type="dxa" w:w="648"/>
          </w:tcPr>
          <w:p>
            <w:r/>
            <w:r>
              <w:rPr>
                <w:sz w:val="16"/>
              </w:rPr>
              <w:t>A-1</w:t>
            </w:r>
          </w:p>
        </w:tc>
        <w:tc>
          <w:tcPr>
            <w:tcW w:type="dxa" w:w="4896"/>
          </w:tcPr>
          <w:p>
            <w:r/>
            <w:r>
              <w:rPr>
                <w:sz w:val="16"/>
              </w:rPr>
              <w:t>Texas corporate practice of medicine (CPOM): Parent cannot own a Texas professional association, and the “ministerial” Post-Closing Conversion would put a lay business corporation in the business of practicing medicine</w:t>
            </w:r>
          </w:p>
        </w:tc>
        <w:tc>
          <w:tcPr>
            <w:tcW w:type="dxa" w:w="1080"/>
          </w:tcPr>
          <w:p>
            <w:r/>
            <w:r>
              <w:rPr>
                <w:b/>
                <w:color w:val="C00000"/>
                <w:sz w:val="16"/>
              </w:rPr>
              <w:t>Critical</w:t>
            </w:r>
          </w:p>
        </w:tc>
        <w:tc>
          <w:tcPr>
            <w:tcW w:type="dxa" w:w="2736"/>
          </w:tcPr>
          <w:p>
            <w:r/>
            <w:r>
              <w:rPr>
                <w:sz w:val="16"/>
              </w:rPr>
              <w:t>Preamble; Recitals (Post-Closing Conversion); §§2.1, 2.4, 2.5, 2.6; §4.9(d); Seller transmittal email (Jan. 8, 2025)</w:t>
            </w:r>
          </w:p>
        </w:tc>
      </w:tr>
      <w:tr>
        <w:tc>
          <w:tcPr>
            <w:tcW w:type="dxa" w:w="648"/>
          </w:tcPr>
          <w:p>
            <w:r/>
            <w:r>
              <w:rPr>
                <w:sz w:val="16"/>
              </w:rPr>
              <w:t>A-2</w:t>
            </w:r>
          </w:p>
        </w:tc>
        <w:tc>
          <w:tcPr>
            <w:tcW w:type="dxa" w:w="4896"/>
          </w:tcPr>
          <w:p>
            <w:r/>
            <w:r>
              <w:rPr>
                <w:sz w:val="16"/>
              </w:rPr>
              <w:t>Intended IRC §368(a) reorganization treatment is not available; no tax opinion; Buyer forgoes a basis step-up</w:t>
            </w:r>
          </w:p>
        </w:tc>
        <w:tc>
          <w:tcPr>
            <w:tcW w:type="dxa" w:w="1080"/>
          </w:tcPr>
          <w:p>
            <w:r/>
            <w:r>
              <w:rPr>
                <w:b/>
                <w:color w:val="C00000"/>
                <w:sz w:val="16"/>
              </w:rPr>
              <w:t>Critical</w:t>
            </w:r>
          </w:p>
        </w:tc>
        <w:tc>
          <w:tcPr>
            <w:tcW w:type="dxa" w:w="2736"/>
          </w:tcPr>
          <w:p>
            <w:r/>
            <w:r>
              <w:rPr>
                <w:sz w:val="16"/>
              </w:rPr>
              <w:t>Recitals; §4.15(c); §5.6; §6.7(a), (e); Seller transmittal email</w:t>
            </w:r>
          </w:p>
        </w:tc>
      </w:tr>
      <w:tr>
        <w:tc>
          <w:tcPr>
            <w:tcW w:type="dxa" w:w="648"/>
          </w:tcPr>
          <w:p>
            <w:r/>
            <w:r>
              <w:rPr>
                <w:sz w:val="16"/>
              </w:rPr>
              <w:t>A-3</w:t>
            </w:r>
          </w:p>
        </w:tc>
        <w:tc>
          <w:tcPr>
            <w:tcW w:type="dxa" w:w="4896"/>
          </w:tcPr>
          <w:p>
            <w:r/>
            <w:r>
              <w:rPr>
                <w:sz w:val="16"/>
              </w:rPr>
              <w:t>HSR Act: draft affirmatively states no filing is required and prohibits one, although the deal appears to exceed the size-of-transaction threshold</w:t>
            </w:r>
          </w:p>
        </w:tc>
        <w:tc>
          <w:tcPr>
            <w:tcW w:type="dxa" w:w="1080"/>
          </w:tcPr>
          <w:p>
            <w:r/>
            <w:r>
              <w:rPr>
                <w:b/>
                <w:color w:val="C00000"/>
                <w:sz w:val="16"/>
              </w:rPr>
              <w:t>Critical</w:t>
            </w:r>
          </w:p>
        </w:tc>
        <w:tc>
          <w:tcPr>
            <w:tcW w:type="dxa" w:w="2736"/>
          </w:tcPr>
          <w:p>
            <w:r/>
            <w:r>
              <w:rPr>
                <w:sz w:val="16"/>
              </w:rPr>
              <w:t>§5.5; §6.3; §7.1; definition of “HSR Act”</w:t>
            </w:r>
          </w:p>
        </w:tc>
      </w:tr>
      <w:tr>
        <w:tc>
          <w:tcPr>
            <w:tcW w:type="dxa" w:w="648"/>
          </w:tcPr>
          <w:p>
            <w:r/>
            <w:r>
              <w:rPr>
                <w:sz w:val="16"/>
              </w:rPr>
              <w:t>A-4</w:t>
            </w:r>
          </w:p>
        </w:tc>
        <w:tc>
          <w:tcPr>
            <w:tcW w:type="dxa" w:w="4896"/>
          </w:tcPr>
          <w:p>
            <w:r/>
            <w:r>
              <w:rPr>
                <w:sz w:val="16"/>
              </w:rPr>
              <w:t>Party and rollover vehicle mismatch: who is “Parent,” who is “Buyer,” and what equity the physicians receive</w:t>
            </w:r>
          </w:p>
        </w:tc>
        <w:tc>
          <w:tcPr>
            <w:tcW w:type="dxa" w:w="1080"/>
          </w:tcPr>
          <w:p>
            <w:r/>
            <w:r>
              <w:rPr>
                <w:b/>
                <w:color w:val="C55A11"/>
                <w:sz w:val="16"/>
              </w:rPr>
              <w:t>High</w:t>
            </w:r>
          </w:p>
        </w:tc>
        <w:tc>
          <w:tcPr>
            <w:tcW w:type="dxa" w:w="2736"/>
          </w:tcPr>
          <w:p>
            <w:r/>
            <w:r>
              <w:rPr>
                <w:sz w:val="16"/>
              </w:rPr>
              <w:t>Preamble; signature blocks; §§2.6, 3.1(b), 3.3(b), 3.5(d), 5.1, 9.3; Exhibit B; QoE §I and §X</w:t>
            </w:r>
          </w:p>
        </w:tc>
      </w:tr>
      <w:tr>
        <w:tc>
          <w:tcPr>
            <w:tcW w:type="dxa" w:w="648"/>
          </w:tcPr>
          <w:p>
            <w:r/>
            <w:r>
              <w:rPr>
                <w:sz w:val="16"/>
              </w:rPr>
              <w:t>A-5</w:t>
            </w:r>
          </w:p>
        </w:tc>
        <w:tc>
          <w:tcPr>
            <w:tcW w:type="dxa" w:w="4896"/>
          </w:tcPr>
          <w:p>
            <w:r/>
            <w:r>
              <w:rPr>
                <w:sz w:val="16"/>
              </w:rPr>
              <w:t>Regulatory approvals and enrollment conditions are mis-specified (state “facility licensing,” Medicare “CHOW”); payer, MCO and lender consents are missing</w:t>
            </w:r>
          </w:p>
        </w:tc>
        <w:tc>
          <w:tcPr>
            <w:tcW w:type="dxa" w:w="1080"/>
          </w:tcPr>
          <w:p>
            <w:r/>
            <w:r>
              <w:rPr>
                <w:b/>
                <w:color w:val="C55A11"/>
                <w:sz w:val="16"/>
              </w:rPr>
              <w:t>High</w:t>
            </w:r>
          </w:p>
        </w:tc>
        <w:tc>
          <w:tcPr>
            <w:tcW w:type="dxa" w:w="2736"/>
          </w:tcPr>
          <w:p>
            <w:r/>
            <w:r>
              <w:rPr>
                <w:sz w:val="16"/>
              </w:rPr>
              <w:t>§6.3(b); §7.1(b); §7.2(f); §4.8(a); Lease Schedule (Weatherford RHC); QoE §VIII; Regulatory Memo §VIII</w:t>
            </w:r>
          </w:p>
        </w:tc>
      </w:tr>
      <w:tr>
        <w:tc>
          <w:tcPr>
            <w:tcW w:type="dxa" w:w="648"/>
          </w:tcPr>
          <w:p>
            <w:r/>
            <w:r>
              <w:rPr>
                <w:sz w:val="16"/>
              </w:rPr>
              <w:t>B-1</w:t>
            </w:r>
          </w:p>
        </w:tc>
        <w:tc>
          <w:tcPr>
            <w:tcW w:type="dxa" w:w="4896"/>
          </w:tcPr>
          <w:p>
            <w:r/>
            <w:r>
              <w:rPr>
                <w:sz w:val="16"/>
              </w:rPr>
              <w:t>Adjusted EBITDA overstated by $400,000; Base Enterprise Value overstated by about $3.0 million</w:t>
            </w:r>
          </w:p>
        </w:tc>
        <w:tc>
          <w:tcPr>
            <w:tcW w:type="dxa" w:w="1080"/>
          </w:tcPr>
          <w:p>
            <w:r/>
            <w:r>
              <w:rPr>
                <w:b/>
                <w:color w:val="C00000"/>
                <w:sz w:val="16"/>
              </w:rPr>
              <w:t>Critical</w:t>
            </w:r>
          </w:p>
        </w:tc>
        <w:tc>
          <w:tcPr>
            <w:tcW w:type="dxa" w:w="2736"/>
          </w:tcPr>
          <w:p>
            <w:r/>
            <w:r>
              <w:rPr>
                <w:sz w:val="16"/>
              </w:rPr>
              <w:t>Definitions of “Adjusted EBITDA,” “Base Enterprise Value,” “Equity Value”; §4.5; QoE §§IV.B, IX.1, X</w:t>
            </w:r>
          </w:p>
        </w:tc>
      </w:tr>
      <w:tr>
        <w:tc>
          <w:tcPr>
            <w:tcW w:type="dxa" w:w="648"/>
          </w:tcPr>
          <w:p>
            <w:r/>
            <w:r>
              <w:rPr>
                <w:sz w:val="16"/>
              </w:rPr>
              <w:t>B-2</w:t>
            </w:r>
          </w:p>
        </w:tc>
        <w:tc>
          <w:tcPr>
            <w:tcW w:type="dxa" w:w="4896"/>
          </w:tcPr>
          <w:p>
            <w:r/>
            <w:r>
              <w:rPr>
                <w:sz w:val="16"/>
              </w:rPr>
              <w:t>Additional diligence findings that should reduce valuation or be priced through special indemnities</w:t>
            </w:r>
          </w:p>
        </w:tc>
        <w:tc>
          <w:tcPr>
            <w:tcW w:type="dxa" w:w="1080"/>
          </w:tcPr>
          <w:p>
            <w:r/>
            <w:r>
              <w:rPr>
                <w:b/>
                <w:color w:val="C55A11"/>
                <w:sz w:val="16"/>
              </w:rPr>
              <w:t>High</w:t>
            </w:r>
          </w:p>
        </w:tc>
        <w:tc>
          <w:tcPr>
            <w:tcW w:type="dxa" w:w="2736"/>
          </w:tcPr>
          <w:p>
            <w:r/>
            <w:r>
              <w:rPr>
                <w:sz w:val="16"/>
              </w:rPr>
              <w:t>QoE §§IV.B–C, VI, IX.8; Regulatory Memo §§III.B, IV.A, IV.C; Lease Schedule</w:t>
            </w:r>
          </w:p>
        </w:tc>
      </w:tr>
      <w:tr>
        <w:tc>
          <w:tcPr>
            <w:tcW w:type="dxa" w:w="648"/>
          </w:tcPr>
          <w:p>
            <w:r/>
            <w:r>
              <w:rPr>
                <w:sz w:val="16"/>
              </w:rPr>
              <w:t>B-3</w:t>
            </w:r>
          </w:p>
        </w:tc>
        <w:tc>
          <w:tcPr>
            <w:tcW w:type="dxa" w:w="4896"/>
          </w:tcPr>
          <w:p>
            <w:r/>
            <w:r>
              <w:rPr>
                <w:sz w:val="16"/>
              </w:rPr>
              <w:t>Fixed Net Debt; no debt-like items; Seller transaction expenses not deducted; no closing estimate mechanics</w:t>
            </w:r>
          </w:p>
        </w:tc>
        <w:tc>
          <w:tcPr>
            <w:tcW w:type="dxa" w:w="1080"/>
          </w:tcPr>
          <w:p>
            <w:r/>
            <w:r>
              <w:rPr>
                <w:b/>
                <w:color w:val="C55A11"/>
                <w:sz w:val="16"/>
              </w:rPr>
              <w:t>High</w:t>
            </w:r>
          </w:p>
        </w:tc>
        <w:tc>
          <w:tcPr>
            <w:tcW w:type="dxa" w:w="2736"/>
          </w:tcPr>
          <w:p>
            <w:r/>
            <w:r>
              <w:rPr>
                <w:sz w:val="16"/>
              </w:rPr>
              <w:t>Definitions of “Net Debt,” “Indebtedness,” “Equity Value,” “Transaction Expenses”; §§3.1, 3.2(e), 9.2(a)(iv), 11.11; QoE §VIII</w:t>
            </w:r>
          </w:p>
        </w:tc>
      </w:tr>
      <w:tr>
        <w:tc>
          <w:tcPr>
            <w:tcW w:type="dxa" w:w="648"/>
          </w:tcPr>
          <w:p>
            <w:r/>
            <w:r>
              <w:rPr>
                <w:sz w:val="16"/>
              </w:rPr>
              <w:t>B-4</w:t>
            </w:r>
          </w:p>
        </w:tc>
        <w:tc>
          <w:tcPr>
            <w:tcW w:type="dxa" w:w="4896"/>
          </w:tcPr>
          <w:p>
            <w:r/>
            <w:r>
              <w:rPr>
                <w:sz w:val="16"/>
              </w:rPr>
              <w:t>Net working capital true-up double-counts the $1.5 million estimated adjustment</w:t>
            </w:r>
          </w:p>
        </w:tc>
        <w:tc>
          <w:tcPr>
            <w:tcW w:type="dxa" w:w="1080"/>
          </w:tcPr>
          <w:p>
            <w:r/>
            <w:r>
              <w:rPr>
                <w:b/>
                <w:color w:val="C00000"/>
                <w:sz w:val="16"/>
              </w:rPr>
              <w:t>Critical</w:t>
            </w:r>
          </w:p>
        </w:tc>
        <w:tc>
          <w:tcPr>
            <w:tcW w:type="dxa" w:w="2736"/>
          </w:tcPr>
          <w:p>
            <w:r/>
            <w:r>
              <w:rPr>
                <w:sz w:val="16"/>
              </w:rPr>
              <w:t>Definitions of “Equity Value,” “Estimated Closing Net Working Capital,” “Net Working Capital Adjustment”; §3.3(a), (e); QoE §V</w:t>
            </w:r>
          </w:p>
        </w:tc>
      </w:tr>
      <w:tr>
        <w:tc>
          <w:tcPr>
            <w:tcW w:type="dxa" w:w="648"/>
          </w:tcPr>
          <w:p>
            <w:r/>
            <w:r>
              <w:rPr>
                <w:sz w:val="16"/>
              </w:rPr>
              <w:t>B-5</w:t>
            </w:r>
          </w:p>
        </w:tc>
        <w:tc>
          <w:tcPr>
            <w:tcW w:type="dxa" w:w="4896"/>
          </w:tcPr>
          <w:p>
            <w:r/>
            <w:r>
              <w:rPr>
                <w:sz w:val="16"/>
              </w:rPr>
              <w:t>Allocation of consideration is internally inconsistent; non-rolling holders are underpaid by about $3.5 million each, creating dissenters’ and fairness claims</w:t>
            </w:r>
          </w:p>
        </w:tc>
        <w:tc>
          <w:tcPr>
            <w:tcW w:type="dxa" w:w="1080"/>
          </w:tcPr>
          <w:p>
            <w:r/>
            <w:r>
              <w:rPr>
                <w:b/>
                <w:color w:val="C55A11"/>
                <w:sz w:val="16"/>
              </w:rPr>
              <w:t>High</w:t>
            </w:r>
          </w:p>
        </w:tc>
        <w:tc>
          <w:tcPr>
            <w:tcW w:type="dxa" w:w="2736"/>
          </w:tcPr>
          <w:p>
            <w:r/>
            <w:r>
              <w:rPr>
                <w:sz w:val="16"/>
              </w:rPr>
              <w:t>§3.1(a)–(b); §3.2(a); §4.4; Article X</w:t>
            </w:r>
          </w:p>
        </w:tc>
      </w:tr>
      <w:tr>
        <w:tc>
          <w:tcPr>
            <w:tcW w:type="dxa" w:w="648"/>
          </w:tcPr>
          <w:p>
            <w:r/>
            <w:r>
              <w:rPr>
                <w:sz w:val="16"/>
              </w:rPr>
              <w:t>B-6</w:t>
            </w:r>
          </w:p>
        </w:tc>
        <w:tc>
          <w:tcPr>
            <w:tcW w:type="dxa" w:w="4896"/>
          </w:tcPr>
          <w:p>
            <w:r/>
            <w:r>
              <w:rPr>
                <w:sz w:val="16"/>
              </w:rPr>
              <w:t>Earnout: revenue metric creates Stark/AKS risk; targets assume growth above historical trend; dispute resolver is not independent; no set-off</w:t>
            </w:r>
          </w:p>
        </w:tc>
        <w:tc>
          <w:tcPr>
            <w:tcW w:type="dxa" w:w="1080"/>
          </w:tcPr>
          <w:p>
            <w:r/>
            <w:r>
              <w:rPr>
                <w:b/>
                <w:color w:val="C55A11"/>
                <w:sz w:val="16"/>
              </w:rPr>
              <w:t>High</w:t>
            </w:r>
          </w:p>
        </w:tc>
        <w:tc>
          <w:tcPr>
            <w:tcW w:type="dxa" w:w="2736"/>
          </w:tcPr>
          <w:p>
            <w:r/>
            <w:r>
              <w:rPr>
                <w:sz w:val="16"/>
              </w:rPr>
              <w:t>§3.1(c); §3.5; definition of “Consolidated Revenue”; QoE §§III.A, X; Lease Schedule (Key Risk Items)</w:t>
            </w:r>
          </w:p>
        </w:tc>
      </w:tr>
      <w:tr>
        <w:tc>
          <w:tcPr>
            <w:tcW w:type="dxa" w:w="648"/>
          </w:tcPr>
          <w:p>
            <w:r/>
            <w:r>
              <w:rPr>
                <w:sz w:val="16"/>
              </w:rPr>
              <w:t>B-7</w:t>
            </w:r>
          </w:p>
        </w:tc>
        <w:tc>
          <w:tcPr>
            <w:tcW w:type="dxa" w:w="4896"/>
          </w:tcPr>
          <w:p>
            <w:r/>
            <w:r>
              <w:rPr>
                <w:sz w:val="16"/>
              </w:rPr>
              <w:t>Escrow sizing and term do not match the risk profile or the survival periods</w:t>
            </w:r>
          </w:p>
        </w:tc>
        <w:tc>
          <w:tcPr>
            <w:tcW w:type="dxa" w:w="1080"/>
          </w:tcPr>
          <w:p>
            <w:r/>
            <w:r>
              <w:rPr>
                <w:b/>
                <w:color w:val="C55A11"/>
                <w:sz w:val="16"/>
              </w:rPr>
              <w:t>High</w:t>
            </w:r>
          </w:p>
        </w:tc>
        <w:tc>
          <w:tcPr>
            <w:tcW w:type="dxa" w:w="2736"/>
          </w:tcPr>
          <w:p>
            <w:r/>
            <w:r>
              <w:rPr>
                <w:sz w:val="16"/>
              </w:rPr>
              <w:t>Definitions of “Escrow Amount,” “Escrow Release Date”; §§3.3(e)(ii), 3.4, 9.1, 9.6; Exhibit A</w:t>
            </w:r>
          </w:p>
        </w:tc>
      </w:tr>
      <w:tr>
        <w:tc>
          <w:tcPr>
            <w:tcW w:type="dxa" w:w="648"/>
          </w:tcPr>
          <w:p>
            <w:r/>
            <w:r>
              <w:rPr>
                <w:sz w:val="16"/>
              </w:rPr>
              <w:t>C-1</w:t>
            </w:r>
          </w:p>
        </w:tc>
        <w:tc>
          <w:tcPr>
            <w:tcW w:type="dxa" w:w="4896"/>
          </w:tcPr>
          <w:p>
            <w:r/>
            <w:r>
              <w:rPr>
                <w:sz w:val="16"/>
              </w:rPr>
              <w:t>Known pain-management E&amp;M upcoding (about $1.8 million), not disclosed in the draft; 60-day overpayment rule; no specific indemnity</w:t>
            </w:r>
          </w:p>
        </w:tc>
        <w:tc>
          <w:tcPr>
            <w:tcW w:type="dxa" w:w="1080"/>
          </w:tcPr>
          <w:p>
            <w:r/>
            <w:r>
              <w:rPr>
                <w:b/>
                <w:color w:val="C00000"/>
                <w:sz w:val="16"/>
              </w:rPr>
              <w:t>Critical</w:t>
            </w:r>
          </w:p>
        </w:tc>
        <w:tc>
          <w:tcPr>
            <w:tcW w:type="dxa" w:w="2736"/>
          </w:tcPr>
          <w:p>
            <w:r/>
            <w:r>
              <w:rPr>
                <w:sz w:val="16"/>
              </w:rPr>
              <w:t>§§4.7(a), 4.8(b)–(c), 4.9(b); Schedule 4.8; QoE §IX.8; Regulatory Memo §§III.B–C</w:t>
            </w:r>
          </w:p>
        </w:tc>
      </w:tr>
      <w:tr>
        <w:tc>
          <w:tcPr>
            <w:tcW w:type="dxa" w:w="648"/>
          </w:tcPr>
          <w:p>
            <w:r/>
            <w:r>
              <w:rPr>
                <w:sz w:val="16"/>
              </w:rPr>
              <w:t>C-2</w:t>
            </w:r>
          </w:p>
        </w:tc>
        <w:tc>
          <w:tcPr>
            <w:tcW w:type="dxa" w:w="4896"/>
          </w:tcPr>
          <w:p>
            <w:r/>
            <w:r>
              <w:rPr>
                <w:sz w:val="16"/>
              </w:rPr>
              <w:t>Related-party Vasquez leases at about 22% above FMV; §6.10 locks them in post-closing; §4.13(c) FMV representation contradicted by Buyer’s own diligence</w:t>
            </w:r>
          </w:p>
        </w:tc>
        <w:tc>
          <w:tcPr>
            <w:tcW w:type="dxa" w:w="1080"/>
          </w:tcPr>
          <w:p>
            <w:r/>
            <w:r>
              <w:rPr>
                <w:b/>
                <w:color w:val="C00000"/>
                <w:sz w:val="16"/>
              </w:rPr>
              <w:t>Critical</w:t>
            </w:r>
          </w:p>
        </w:tc>
        <w:tc>
          <w:tcPr>
            <w:tcW w:type="dxa" w:w="2736"/>
          </w:tcPr>
          <w:p>
            <w:r/>
            <w:r>
              <w:rPr>
                <w:sz w:val="16"/>
              </w:rPr>
              <w:t>§§4.9(c), 4.13(b)–(c), 6.10; Lease Schedule (Clinics #1–3; Key Risk Items); QoE §§IV.C, VI, VII</w:t>
            </w:r>
          </w:p>
        </w:tc>
      </w:tr>
      <w:tr>
        <w:tc>
          <w:tcPr>
            <w:tcW w:type="dxa" w:w="648"/>
          </w:tcPr>
          <w:p>
            <w:r/>
            <w:r>
              <w:rPr>
                <w:sz w:val="16"/>
              </w:rPr>
              <w:t>C-3</w:t>
            </w:r>
          </w:p>
        </w:tc>
        <w:tc>
          <w:tcPr>
            <w:tcW w:type="dxa" w:w="4896"/>
          </w:tcPr>
          <w:p>
            <w:r/>
            <w:r>
              <w:rPr>
                <w:sz w:val="16"/>
              </w:rPr>
              <w:t>Ancillary services (MRI, lab, PT) with Vasquez-owned entities: the in-office ancillary services exception likely unavailable; off-site PT is a clear failure</w:t>
            </w:r>
          </w:p>
        </w:tc>
        <w:tc>
          <w:tcPr>
            <w:tcW w:type="dxa" w:w="1080"/>
          </w:tcPr>
          <w:p>
            <w:r/>
            <w:r>
              <w:rPr>
                <w:b/>
                <w:color w:val="C00000"/>
                <w:sz w:val="16"/>
              </w:rPr>
              <w:t>Critical</w:t>
            </w:r>
          </w:p>
        </w:tc>
        <w:tc>
          <w:tcPr>
            <w:tcW w:type="dxa" w:w="2736"/>
          </w:tcPr>
          <w:p>
            <w:r/>
            <w:r>
              <w:rPr>
                <w:sz w:val="16"/>
              </w:rPr>
              <w:t>§§4.7(c), 4.14(a)(iii), 6.10(ii); QoE §§III.B, VII.2; Regulatory Memo §IV.C</w:t>
            </w:r>
          </w:p>
        </w:tc>
      </w:tr>
      <w:tr>
        <w:tc>
          <w:tcPr>
            <w:tcW w:type="dxa" w:w="648"/>
          </w:tcPr>
          <w:p>
            <w:r/>
            <w:r>
              <w:rPr>
                <w:sz w:val="16"/>
              </w:rPr>
              <w:t>C-4</w:t>
            </w:r>
          </w:p>
        </w:tc>
        <w:tc>
          <w:tcPr>
            <w:tcW w:type="dxa" w:w="4896"/>
          </w:tcPr>
          <w:p>
            <w:r/>
            <w:r>
              <w:rPr>
                <w:sz w:val="16"/>
              </w:rPr>
              <w:t>Vasquez Employment Agreement: compensation above the 90th percentile; contractual FMV stipulation is not a defense; no restrictive covenants</w:t>
            </w:r>
          </w:p>
        </w:tc>
        <w:tc>
          <w:tcPr>
            <w:tcW w:type="dxa" w:w="1080"/>
          </w:tcPr>
          <w:p>
            <w:r/>
            <w:r>
              <w:rPr>
                <w:b/>
                <w:color w:val="C00000"/>
                <w:sz w:val="16"/>
              </w:rPr>
              <w:t>Critical</w:t>
            </w:r>
          </w:p>
        </w:tc>
        <w:tc>
          <w:tcPr>
            <w:tcW w:type="dxa" w:w="2736"/>
          </w:tcPr>
          <w:p>
            <w:r/>
            <w:r>
              <w:rPr>
                <w:sz w:val="16"/>
              </w:rPr>
              <w:t>§6.5(b); Exhibit C; definition of “Ancillary Agreements”; §7.4(b)(iv); QoE §§IV.B, VII.4; Regulatory Memo §IV.A</w:t>
            </w:r>
          </w:p>
        </w:tc>
      </w:tr>
      <w:tr>
        <w:tc>
          <w:tcPr>
            <w:tcW w:type="dxa" w:w="648"/>
          </w:tcPr>
          <w:p>
            <w:r/>
            <w:r>
              <w:rPr>
                <w:sz w:val="16"/>
              </w:rPr>
              <w:t>C-5</w:t>
            </w:r>
          </w:p>
        </w:tc>
        <w:tc>
          <w:tcPr>
            <w:tcW w:type="dxa" w:w="4896"/>
          </w:tcPr>
          <w:p>
            <w:r/>
            <w:r>
              <w:rPr>
                <w:sz w:val="16"/>
              </w:rPr>
              <w:t>St. Ambrose co-management agreement: volume-based and cost-savings incentive metrics; term inconsistency</w:t>
            </w:r>
          </w:p>
        </w:tc>
        <w:tc>
          <w:tcPr>
            <w:tcW w:type="dxa" w:w="1080"/>
          </w:tcPr>
          <w:p>
            <w:r/>
            <w:r>
              <w:rPr>
                <w:b/>
                <w:color w:val="C55A11"/>
                <w:sz w:val="16"/>
              </w:rPr>
              <w:t>High</w:t>
            </w:r>
          </w:p>
        </w:tc>
        <w:tc>
          <w:tcPr>
            <w:tcW w:type="dxa" w:w="2736"/>
          </w:tcPr>
          <w:p>
            <w:r/>
            <w:r>
              <w:rPr>
                <w:sz w:val="16"/>
              </w:rPr>
              <w:t>Definition of “Company Material Contracts” clause (b); §4.14(a)(ii); QoE §IV.C; Regulatory Memo §IV.D</w:t>
            </w:r>
          </w:p>
        </w:tc>
      </w:tr>
      <w:tr>
        <w:tc>
          <w:tcPr>
            <w:tcW w:type="dxa" w:w="648"/>
          </w:tcPr>
          <w:p>
            <w:r/>
            <w:r>
              <w:rPr>
                <w:sz w:val="16"/>
              </w:rPr>
              <w:t>C-6</w:t>
            </w:r>
          </w:p>
        </w:tc>
        <w:tc>
          <w:tcPr>
            <w:tcW w:type="dxa" w:w="4896"/>
          </w:tcPr>
          <w:p>
            <w:r/>
            <w:r>
              <w:rPr>
                <w:sz w:val="16"/>
              </w:rPr>
              <w:t>HIPAA: August 2024 breach and open OCR compliance review; the §4.10(c) risk-assessment representation is inaccurate on its face</w:t>
            </w:r>
          </w:p>
        </w:tc>
        <w:tc>
          <w:tcPr>
            <w:tcW w:type="dxa" w:w="1080"/>
          </w:tcPr>
          <w:p>
            <w:r/>
            <w:r>
              <w:rPr>
                <w:b/>
                <w:color w:val="C55A11"/>
                <w:sz w:val="16"/>
              </w:rPr>
              <w:t>High</w:t>
            </w:r>
          </w:p>
        </w:tc>
        <w:tc>
          <w:tcPr>
            <w:tcW w:type="dxa" w:w="2736"/>
          </w:tcPr>
          <w:p>
            <w:r/>
            <w:r>
              <w:rPr>
                <w:sz w:val="16"/>
              </w:rPr>
              <w:t>§§4.10, 4.18; Schedules 4.10, 4.18; Regulatory Memo §VI</w:t>
            </w:r>
          </w:p>
        </w:tc>
      </w:tr>
      <w:tr>
        <w:tc>
          <w:tcPr>
            <w:tcW w:type="dxa" w:w="648"/>
          </w:tcPr>
          <w:p>
            <w:r/>
            <w:r>
              <w:rPr>
                <w:sz w:val="16"/>
              </w:rPr>
              <w:t>C-7</w:t>
            </w:r>
          </w:p>
        </w:tc>
        <w:tc>
          <w:tcPr>
            <w:tcW w:type="dxa" w:w="4896"/>
          </w:tcPr>
          <w:p>
            <w:r/>
            <w:r>
              <w:rPr>
                <w:sz w:val="16"/>
              </w:rPr>
              <w:t>Undisclosed Oklahoma Medical Board warning to Dr. Hagerty; Schedule 4.11(b) states “None”</w:t>
            </w:r>
          </w:p>
        </w:tc>
        <w:tc>
          <w:tcPr>
            <w:tcW w:type="dxa" w:w="1080"/>
          </w:tcPr>
          <w:p>
            <w:r/>
            <w:r>
              <w:rPr>
                <w:b/>
                <w:color w:val="C55A11"/>
                <w:sz w:val="16"/>
              </w:rPr>
              <w:t>High</w:t>
            </w:r>
          </w:p>
        </w:tc>
        <w:tc>
          <w:tcPr>
            <w:tcW w:type="dxa" w:w="2736"/>
          </w:tcPr>
          <w:p>
            <w:r/>
            <w:r>
              <w:rPr>
                <w:sz w:val="16"/>
              </w:rPr>
              <w:t>§4.11(b); Schedule 4.11(b); Regulatory Memo §V.B</w:t>
            </w:r>
          </w:p>
        </w:tc>
      </w:tr>
      <w:tr>
        <w:tc>
          <w:tcPr>
            <w:tcW w:type="dxa" w:w="648"/>
          </w:tcPr>
          <w:p>
            <w:r/>
            <w:r>
              <w:rPr>
                <w:sz w:val="16"/>
              </w:rPr>
              <w:t>C-8</w:t>
            </w:r>
          </w:p>
        </w:tc>
        <w:tc>
          <w:tcPr>
            <w:tcW w:type="dxa" w:w="4896"/>
          </w:tcPr>
          <w:p>
            <w:r/>
            <w:r>
              <w:rPr>
                <w:sz w:val="16"/>
              </w:rPr>
              <w:t>J-1 (Conrad 30) waiver physicians: no representations or covenants; structural changes could jeopardize waivers</w:t>
            </w:r>
          </w:p>
        </w:tc>
        <w:tc>
          <w:tcPr>
            <w:tcW w:type="dxa" w:w="1080"/>
          </w:tcPr>
          <w:p>
            <w:r/>
            <w:r>
              <w:rPr>
                <w:b/>
                <w:color w:val="C55A11"/>
                <w:sz w:val="16"/>
              </w:rPr>
              <w:t>High</w:t>
            </w:r>
          </w:p>
        </w:tc>
        <w:tc>
          <w:tcPr>
            <w:tcW w:type="dxa" w:w="2736"/>
          </w:tcPr>
          <w:p>
            <w:r/>
            <w:r>
              <w:rPr>
                <w:sz w:val="16"/>
              </w:rPr>
              <w:t>§4.12(d); Schedule 4.12(d); §§2.5, 3.5(e), 6.5(a); Regulatory Memo §VII</w:t>
            </w:r>
          </w:p>
        </w:tc>
      </w:tr>
      <w:tr>
        <w:tc>
          <w:tcPr>
            <w:tcW w:type="dxa" w:w="648"/>
          </w:tcPr>
          <w:p>
            <w:r/>
            <w:r>
              <w:rPr>
                <w:sz w:val="16"/>
              </w:rPr>
              <w:t>C-9</w:t>
            </w:r>
          </w:p>
        </w:tc>
        <w:tc>
          <w:tcPr>
            <w:tcW w:type="dxa" w:w="4896"/>
          </w:tcPr>
          <w:p>
            <w:r/>
            <w:r>
              <w:rPr>
                <w:sz w:val="16"/>
              </w:rPr>
              <w:t>Physician non-competes: enforceability representation is legally inaccurate in Oklahoma and doubtful in Texas; Buyer is obligated to enforce them; no seller-level non-compete</w:t>
            </w:r>
          </w:p>
        </w:tc>
        <w:tc>
          <w:tcPr>
            <w:tcW w:type="dxa" w:w="1080"/>
          </w:tcPr>
          <w:p>
            <w:r/>
            <w:r>
              <w:rPr>
                <w:b/>
                <w:color w:val="C55A11"/>
                <w:sz w:val="16"/>
              </w:rPr>
              <w:t>High</w:t>
            </w:r>
          </w:p>
        </w:tc>
        <w:tc>
          <w:tcPr>
            <w:tcW w:type="dxa" w:w="2736"/>
          </w:tcPr>
          <w:p>
            <w:r/>
            <w:r>
              <w:rPr>
                <w:sz w:val="16"/>
              </w:rPr>
              <w:t>§§4.12(b)–(c), 6.5(c)</w:t>
            </w:r>
          </w:p>
        </w:tc>
      </w:tr>
      <w:tr>
        <w:tc>
          <w:tcPr>
            <w:tcW w:type="dxa" w:w="648"/>
          </w:tcPr>
          <w:p>
            <w:r/>
            <w:r>
              <w:rPr>
                <w:sz w:val="16"/>
              </w:rPr>
              <w:t>C-10</w:t>
            </w:r>
          </w:p>
        </w:tc>
        <w:tc>
          <w:tcPr>
            <w:tcW w:type="dxa" w:w="4896"/>
          </w:tcPr>
          <w:p>
            <w:r/>
            <w:r>
              <w:rPr>
                <w:sz w:val="16"/>
              </w:rPr>
              <w:t>Apex Practice Solutions MSA: percentage-of-collections billing compensation, possible role in upcoding, and a $2.5 million exit fee</w:t>
            </w:r>
          </w:p>
        </w:tc>
        <w:tc>
          <w:tcPr>
            <w:tcW w:type="dxa" w:w="1080"/>
          </w:tcPr>
          <w:p>
            <w:r/>
            <w:r>
              <w:rPr>
                <w:b/>
                <w:color w:val="7F6000"/>
                <w:sz w:val="16"/>
              </w:rPr>
              <w:t>Medium</w:t>
            </w:r>
          </w:p>
        </w:tc>
        <w:tc>
          <w:tcPr>
            <w:tcW w:type="dxa" w:w="2736"/>
          </w:tcPr>
          <w:p>
            <w:r/>
            <w:r>
              <w:rPr>
                <w:sz w:val="16"/>
              </w:rPr>
              <w:t>Definition of “Company Material Contracts” clause (a); §4.14(a)(i); QoE §§IV.C, IX.6; Regulatory Memo §IX.A</w:t>
            </w:r>
          </w:p>
        </w:tc>
      </w:tr>
      <w:tr>
        <w:tc>
          <w:tcPr>
            <w:tcW w:type="dxa" w:w="648"/>
          </w:tcPr>
          <w:p>
            <w:r/>
            <w:r>
              <w:rPr>
                <w:sz w:val="16"/>
              </w:rPr>
              <w:t>C-11</w:t>
            </w:r>
          </w:p>
        </w:tc>
        <w:tc>
          <w:tcPr>
            <w:tcW w:type="dxa" w:w="4896"/>
          </w:tcPr>
          <w:p>
            <w:r/>
            <w:r>
              <w:rPr>
                <w:sz w:val="16"/>
              </w:rPr>
              <w:t>Compliance program and Knowledge group: the CCO identified in the draft is not the compliance officer found in diligence</w:t>
            </w:r>
          </w:p>
        </w:tc>
        <w:tc>
          <w:tcPr>
            <w:tcW w:type="dxa" w:w="1080"/>
          </w:tcPr>
          <w:p>
            <w:r/>
            <w:r>
              <w:rPr>
                <w:b/>
                <w:color w:val="7F6000"/>
                <w:sz w:val="16"/>
              </w:rPr>
              <w:t>Medium</w:t>
            </w:r>
          </w:p>
        </w:tc>
        <w:tc>
          <w:tcPr>
            <w:tcW w:type="dxa" w:w="2736"/>
          </w:tcPr>
          <w:p>
            <w:r/>
            <w:r>
              <w:rPr>
                <w:sz w:val="16"/>
              </w:rPr>
              <w:t>Definition of “Knowledge”; §4.9(b); QoE §I; Regulatory Memo §§I, III.C</w:t>
            </w:r>
          </w:p>
        </w:tc>
      </w:tr>
      <w:tr>
        <w:tc>
          <w:tcPr>
            <w:tcW w:type="dxa" w:w="648"/>
          </w:tcPr>
          <w:p>
            <w:r/>
            <w:r>
              <w:rPr>
                <w:sz w:val="16"/>
              </w:rPr>
              <w:t>D-1</w:t>
            </w:r>
          </w:p>
        </w:tc>
        <w:tc>
          <w:tcPr>
            <w:tcW w:type="dxa" w:w="4896"/>
          </w:tcPr>
          <w:p>
            <w:r/>
            <w:r>
              <w:rPr>
                <w:sz w:val="16"/>
              </w:rPr>
              <w:t>Indemnity is several (not joint), the Equity Holders are bound only by Articles III, IX and X, and post-escrow recovery is against individuals</w:t>
            </w:r>
          </w:p>
        </w:tc>
        <w:tc>
          <w:tcPr>
            <w:tcW w:type="dxa" w:w="1080"/>
          </w:tcPr>
          <w:p>
            <w:r/>
            <w:r>
              <w:rPr>
                <w:b/>
                <w:color w:val="C00000"/>
                <w:sz w:val="16"/>
              </w:rPr>
              <w:t>Critical</w:t>
            </w:r>
          </w:p>
        </w:tc>
        <w:tc>
          <w:tcPr>
            <w:tcW w:type="dxa" w:w="2736"/>
          </w:tcPr>
          <w:p>
            <w:r/>
            <w:r>
              <w:rPr>
                <w:sz w:val="16"/>
              </w:rPr>
              <w:t>Preamble (last sentence); §§6.6, 6.7(c), 9.2(a), 9.6; signature page</w:t>
            </w:r>
          </w:p>
        </w:tc>
      </w:tr>
      <w:tr>
        <w:tc>
          <w:tcPr>
            <w:tcW w:type="dxa" w:w="648"/>
          </w:tcPr>
          <w:p>
            <w:r/>
            <w:r>
              <w:rPr>
                <w:sz w:val="16"/>
              </w:rPr>
              <w:t>D-2</w:t>
            </w:r>
          </w:p>
        </w:tc>
        <w:tc>
          <w:tcPr>
            <w:tcW w:type="dxa" w:w="4896"/>
          </w:tcPr>
          <w:p>
            <w:r/>
            <w:r>
              <w:rPr>
                <w:sz w:val="16"/>
              </w:rPr>
              <w:t>No specific (special) indemnities for known matters</w:t>
            </w:r>
          </w:p>
        </w:tc>
        <w:tc>
          <w:tcPr>
            <w:tcW w:type="dxa" w:w="1080"/>
          </w:tcPr>
          <w:p>
            <w:r/>
            <w:r>
              <w:rPr>
                <w:b/>
                <w:color w:val="C00000"/>
                <w:sz w:val="16"/>
              </w:rPr>
              <w:t>Critical</w:t>
            </w:r>
          </w:p>
        </w:tc>
        <w:tc>
          <w:tcPr>
            <w:tcW w:type="dxa" w:w="2736"/>
          </w:tcPr>
          <w:p>
            <w:r/>
            <w:r>
              <w:rPr>
                <w:sz w:val="16"/>
              </w:rPr>
              <w:t>§9.2(a); §9.4</w:t>
            </w:r>
          </w:p>
        </w:tc>
      </w:tr>
      <w:tr>
        <w:tc>
          <w:tcPr>
            <w:tcW w:type="dxa" w:w="648"/>
          </w:tcPr>
          <w:p>
            <w:r/>
            <w:r>
              <w:rPr>
                <w:sz w:val="16"/>
              </w:rPr>
              <w:t>D-3</w:t>
            </w:r>
          </w:p>
        </w:tc>
        <w:tc>
          <w:tcPr>
            <w:tcW w:type="dxa" w:w="4896"/>
          </w:tcPr>
          <w:p>
            <w:r/>
            <w:r>
              <w:rPr>
                <w:sz w:val="16"/>
              </w:rPr>
              <w:t>Survival, basket, cap and de minimis do not fit a healthcare target</w:t>
            </w:r>
          </w:p>
        </w:tc>
        <w:tc>
          <w:tcPr>
            <w:tcW w:type="dxa" w:w="1080"/>
          </w:tcPr>
          <w:p>
            <w:r/>
            <w:r>
              <w:rPr>
                <w:b/>
                <w:color w:val="C55A11"/>
                <w:sz w:val="16"/>
              </w:rPr>
              <w:t>High</w:t>
            </w:r>
          </w:p>
        </w:tc>
        <w:tc>
          <w:tcPr>
            <w:tcW w:type="dxa" w:w="2736"/>
          </w:tcPr>
          <w:p>
            <w:r/>
            <w:r>
              <w:rPr>
                <w:sz w:val="16"/>
              </w:rPr>
              <w:t>§§9.1, 9.4(a)–(d)</w:t>
            </w:r>
          </w:p>
        </w:tc>
      </w:tr>
      <w:tr>
        <w:tc>
          <w:tcPr>
            <w:tcW w:type="dxa" w:w="648"/>
          </w:tcPr>
          <w:p>
            <w:r/>
            <w:r>
              <w:rPr>
                <w:sz w:val="16"/>
              </w:rPr>
              <w:t>D-4</w:t>
            </w:r>
          </w:p>
        </w:tc>
        <w:tc>
          <w:tcPr>
            <w:tcW w:type="dxa" w:w="4896"/>
          </w:tcPr>
          <w:p>
            <w:r/>
            <w:r>
              <w:rPr>
                <w:sz w:val="16"/>
              </w:rPr>
              <w:t>Defense control, fraud carve-out, damages waiver and mitigation</w:t>
            </w:r>
          </w:p>
        </w:tc>
        <w:tc>
          <w:tcPr>
            <w:tcW w:type="dxa" w:w="1080"/>
          </w:tcPr>
          <w:p>
            <w:r/>
            <w:r>
              <w:rPr>
                <w:b/>
                <w:color w:val="7F6000"/>
                <w:sz w:val="16"/>
              </w:rPr>
              <w:t>Medium</w:t>
            </w:r>
          </w:p>
        </w:tc>
        <w:tc>
          <w:tcPr>
            <w:tcW w:type="dxa" w:w="2736"/>
          </w:tcPr>
          <w:p>
            <w:r/>
            <w:r>
              <w:rPr>
                <w:sz w:val="16"/>
              </w:rPr>
              <w:t>§§9.4(e), (g)–(h), 9.5, 9.7</w:t>
            </w:r>
          </w:p>
        </w:tc>
      </w:tr>
      <w:tr>
        <w:tc>
          <w:tcPr>
            <w:tcW w:type="dxa" w:w="648"/>
          </w:tcPr>
          <w:p>
            <w:r/>
            <w:r>
              <w:rPr>
                <w:sz w:val="16"/>
              </w:rPr>
              <w:t>D-5</w:t>
            </w:r>
          </w:p>
        </w:tc>
        <w:tc>
          <w:tcPr>
            <w:tcW w:type="dxa" w:w="4896"/>
          </w:tcPr>
          <w:p>
            <w:r/>
            <w:r>
              <w:rPr>
                <w:sz w:val="16"/>
              </w:rPr>
              <w:t>No pro-sandbagging clause; no prohibition on schedule updates; known breaches already identified</w:t>
            </w:r>
          </w:p>
        </w:tc>
        <w:tc>
          <w:tcPr>
            <w:tcW w:type="dxa" w:w="1080"/>
          </w:tcPr>
          <w:p>
            <w:r/>
            <w:r>
              <w:rPr>
                <w:b/>
                <w:color w:val="C55A11"/>
                <w:sz w:val="16"/>
              </w:rPr>
              <w:t>High</w:t>
            </w:r>
          </w:p>
        </w:tc>
        <w:tc>
          <w:tcPr>
            <w:tcW w:type="dxa" w:w="2736"/>
          </w:tcPr>
          <w:p>
            <w:r/>
            <w:r>
              <w:rPr>
                <w:sz w:val="16"/>
              </w:rPr>
              <w:t>Article IX; §7.2(a); Disclosure Schedules (not delivered)</w:t>
            </w:r>
          </w:p>
        </w:tc>
      </w:tr>
      <w:tr>
        <w:tc>
          <w:tcPr>
            <w:tcW w:type="dxa" w:w="648"/>
          </w:tcPr>
          <w:p>
            <w:r/>
            <w:r>
              <w:rPr>
                <w:sz w:val="16"/>
              </w:rPr>
              <w:t>D-6</w:t>
            </w:r>
          </w:p>
        </w:tc>
        <w:tc>
          <w:tcPr>
            <w:tcW w:type="dxa" w:w="4896"/>
          </w:tcPr>
          <w:p>
            <w:r/>
            <w:r>
              <w:rPr>
                <w:sz w:val="16"/>
              </w:rPr>
              <w:t>R&amp;W insurance covenant is unachievable as drafted</w:t>
            </w:r>
          </w:p>
        </w:tc>
        <w:tc>
          <w:tcPr>
            <w:tcW w:type="dxa" w:w="1080"/>
          </w:tcPr>
          <w:p>
            <w:r/>
            <w:r>
              <w:rPr>
                <w:b/>
                <w:color w:val="7F6000"/>
                <w:sz w:val="16"/>
              </w:rPr>
              <w:t>Medium</w:t>
            </w:r>
          </w:p>
        </w:tc>
        <w:tc>
          <w:tcPr>
            <w:tcW w:type="dxa" w:w="2736"/>
          </w:tcPr>
          <w:p>
            <w:r/>
            <w:r>
              <w:rPr>
                <w:sz w:val="16"/>
              </w:rPr>
              <w:t>§§6.8, 9.8</w:t>
            </w:r>
          </w:p>
        </w:tc>
      </w:tr>
      <w:tr>
        <w:tc>
          <w:tcPr>
            <w:tcW w:type="dxa" w:w="648"/>
          </w:tcPr>
          <w:p>
            <w:r/>
            <w:r>
              <w:rPr>
                <w:sz w:val="16"/>
              </w:rPr>
              <w:t>E-1</w:t>
            </w:r>
          </w:p>
        </w:tc>
        <w:tc>
          <w:tcPr>
            <w:tcW w:type="dxa" w:w="4896"/>
          </w:tcPr>
          <w:p>
            <w:r/>
            <w:r>
              <w:rPr>
                <w:sz w:val="16"/>
              </w:rPr>
              <w:t>Leases: Plano/Frisco expirations and 11 landlord consents</w:t>
            </w:r>
          </w:p>
        </w:tc>
        <w:tc>
          <w:tcPr>
            <w:tcW w:type="dxa" w:w="1080"/>
          </w:tcPr>
          <w:p>
            <w:r/>
            <w:r>
              <w:rPr>
                <w:b/>
                <w:color w:val="C55A11"/>
                <w:sz w:val="16"/>
              </w:rPr>
              <w:t>High</w:t>
            </w:r>
          </w:p>
        </w:tc>
        <w:tc>
          <w:tcPr>
            <w:tcW w:type="dxa" w:w="2736"/>
          </w:tcPr>
          <w:p>
            <w:r/>
            <w:r>
              <w:rPr>
                <w:sz w:val="16"/>
              </w:rPr>
              <w:t>§§4.3, 4.13(d)–(e), 6.4, 7.2(d), 7.4(a)(vii); Lease Schedule (Clinics #4–14; Key Risk Items)</w:t>
            </w:r>
          </w:p>
        </w:tc>
      </w:tr>
      <w:tr>
        <w:tc>
          <w:tcPr>
            <w:tcW w:type="dxa" w:w="648"/>
          </w:tcPr>
          <w:p>
            <w:r/>
            <w:r>
              <w:rPr>
                <w:sz w:val="16"/>
              </w:rPr>
              <w:t>E-2</w:t>
            </w:r>
          </w:p>
        </w:tc>
        <w:tc>
          <w:tcPr>
            <w:tcW w:type="dxa" w:w="4896"/>
          </w:tcPr>
          <w:p>
            <w:r/>
            <w:r>
              <w:rPr>
                <w:sz w:val="16"/>
              </w:rPr>
              <w:t>Material Adverse Effect definition lacks a disproportionate-effect qualifier and healthcare-specific triggers</w:t>
            </w:r>
          </w:p>
        </w:tc>
        <w:tc>
          <w:tcPr>
            <w:tcW w:type="dxa" w:w="1080"/>
          </w:tcPr>
          <w:p>
            <w:r/>
            <w:r>
              <w:rPr>
                <w:b/>
                <w:color w:val="7F6000"/>
                <w:sz w:val="16"/>
              </w:rPr>
              <w:t>Medium</w:t>
            </w:r>
          </w:p>
        </w:tc>
        <w:tc>
          <w:tcPr>
            <w:tcW w:type="dxa" w:w="2736"/>
          </w:tcPr>
          <w:p>
            <w:r/>
            <w:r>
              <w:rPr>
                <w:sz w:val="16"/>
              </w:rPr>
              <w:t>Definition of “Material Adverse Effect”; §§4.6(b), 7.2(a)(ii), 7.2(c)</w:t>
            </w:r>
          </w:p>
        </w:tc>
      </w:tr>
      <w:tr>
        <w:tc>
          <w:tcPr>
            <w:tcW w:type="dxa" w:w="648"/>
          </w:tcPr>
          <w:p>
            <w:r/>
            <w:r>
              <w:rPr>
                <w:sz w:val="16"/>
              </w:rPr>
              <w:t>E-3</w:t>
            </w:r>
          </w:p>
        </w:tc>
        <w:tc>
          <w:tcPr>
            <w:tcW w:type="dxa" w:w="4896"/>
          </w:tcPr>
          <w:p>
            <w:r/>
            <w:r>
              <w:rPr>
                <w:sz w:val="16"/>
              </w:rPr>
              <w:t>Missing Buyer closing conditions and deliverables</w:t>
            </w:r>
          </w:p>
        </w:tc>
        <w:tc>
          <w:tcPr>
            <w:tcW w:type="dxa" w:w="1080"/>
          </w:tcPr>
          <w:p>
            <w:r/>
            <w:r>
              <w:rPr>
                <w:b/>
                <w:color w:val="C55A11"/>
                <w:sz w:val="16"/>
              </w:rPr>
              <w:t>High</w:t>
            </w:r>
          </w:p>
        </w:tc>
        <w:tc>
          <w:tcPr>
            <w:tcW w:type="dxa" w:w="2736"/>
          </w:tcPr>
          <w:p>
            <w:r/>
            <w:r>
              <w:rPr>
                <w:sz w:val="16"/>
              </w:rPr>
              <w:t>§§7.2, 7.4(a)</w:t>
            </w:r>
          </w:p>
        </w:tc>
      </w:tr>
      <w:tr>
        <w:tc>
          <w:tcPr>
            <w:tcW w:type="dxa" w:w="648"/>
          </w:tcPr>
          <w:p>
            <w:r/>
            <w:r>
              <w:rPr>
                <w:sz w:val="16"/>
              </w:rPr>
              <w:t>E-4</w:t>
            </w:r>
          </w:p>
        </w:tc>
        <w:tc>
          <w:tcPr>
            <w:tcW w:type="dxa" w:w="4896"/>
          </w:tcPr>
          <w:p>
            <w:r/>
            <w:r>
              <w:rPr>
                <w:sz w:val="16"/>
              </w:rPr>
              <w:t>Interim operating covenants are too thin for a healthcare target</w:t>
            </w:r>
          </w:p>
        </w:tc>
        <w:tc>
          <w:tcPr>
            <w:tcW w:type="dxa" w:w="1080"/>
          </w:tcPr>
          <w:p>
            <w:r/>
            <w:r>
              <w:rPr>
                <w:b/>
                <w:color w:val="7F6000"/>
                <w:sz w:val="16"/>
              </w:rPr>
              <w:t>Medium</w:t>
            </w:r>
          </w:p>
        </w:tc>
        <w:tc>
          <w:tcPr>
            <w:tcW w:type="dxa" w:w="2736"/>
          </w:tcPr>
          <w:p>
            <w:r/>
            <w:r>
              <w:rPr>
                <w:sz w:val="16"/>
              </w:rPr>
              <w:t>§§6.1–6.4</w:t>
            </w:r>
          </w:p>
        </w:tc>
      </w:tr>
      <w:tr>
        <w:tc>
          <w:tcPr>
            <w:tcW w:type="dxa" w:w="648"/>
          </w:tcPr>
          <w:p>
            <w:r/>
            <w:r>
              <w:rPr>
                <w:sz w:val="16"/>
              </w:rPr>
              <w:t>E-5</w:t>
            </w:r>
          </w:p>
        </w:tc>
        <w:tc>
          <w:tcPr>
            <w:tcW w:type="dxa" w:w="4896"/>
          </w:tcPr>
          <w:p>
            <w:r/>
            <w:r>
              <w:rPr>
                <w:sz w:val="16"/>
              </w:rPr>
              <w:t>Twelve-month employment and compensation guarantee for all employees (§6.5(a)) conflicts with Buyer’s operating discretion and regulatory remediation</w:t>
            </w:r>
          </w:p>
        </w:tc>
        <w:tc>
          <w:tcPr>
            <w:tcW w:type="dxa" w:w="1080"/>
          </w:tcPr>
          <w:p>
            <w:r/>
            <w:r>
              <w:rPr>
                <w:b/>
                <w:color w:val="7F6000"/>
                <w:sz w:val="16"/>
              </w:rPr>
              <w:t>Medium</w:t>
            </w:r>
          </w:p>
        </w:tc>
        <w:tc>
          <w:tcPr>
            <w:tcW w:type="dxa" w:w="2736"/>
          </w:tcPr>
          <w:p>
            <w:r/>
            <w:r>
              <w:rPr>
                <w:sz w:val="16"/>
              </w:rPr>
              <w:t>§§3.5(e), 6.5(a), 6.1(f)(ix)</w:t>
            </w:r>
          </w:p>
        </w:tc>
      </w:tr>
      <w:tr>
        <w:tc>
          <w:tcPr>
            <w:tcW w:type="dxa" w:w="648"/>
          </w:tcPr>
          <w:p>
            <w:r/>
            <w:r>
              <w:rPr>
                <w:sz w:val="16"/>
              </w:rPr>
              <w:t>E-6</w:t>
            </w:r>
          </w:p>
        </w:tc>
        <w:tc>
          <w:tcPr>
            <w:tcW w:type="dxa" w:w="4896"/>
          </w:tcPr>
          <w:p>
            <w:r/>
            <w:r>
              <w:rPr>
                <w:sz w:val="16"/>
              </w:rPr>
              <w:t>Termination and fees: Company Termination Fee keyed to an undefined “Superior Proposal” that the Agreement never permits</w:t>
            </w:r>
          </w:p>
        </w:tc>
        <w:tc>
          <w:tcPr>
            <w:tcW w:type="dxa" w:w="1080"/>
          </w:tcPr>
          <w:p>
            <w:r/>
            <w:r>
              <w:rPr>
                <w:b/>
                <w:color w:val="7F6000"/>
                <w:sz w:val="16"/>
              </w:rPr>
              <w:t>Medium</w:t>
            </w:r>
          </w:p>
        </w:tc>
        <w:tc>
          <w:tcPr>
            <w:tcW w:type="dxa" w:w="2736"/>
          </w:tcPr>
          <w:p>
            <w:r/>
            <w:r>
              <w:rPr>
                <w:sz w:val="16"/>
              </w:rPr>
              <w:t>§§6.6, 8.1, 8.3</w:t>
            </w:r>
          </w:p>
        </w:tc>
      </w:tr>
      <w:tr>
        <w:tc>
          <w:tcPr>
            <w:tcW w:type="dxa" w:w="648"/>
          </w:tcPr>
          <w:p>
            <w:r/>
            <w:r>
              <w:rPr>
                <w:sz w:val="16"/>
              </w:rPr>
              <w:t>E-7</w:t>
            </w:r>
          </w:p>
        </w:tc>
        <w:tc>
          <w:tcPr>
            <w:tcW w:type="dxa" w:w="4896"/>
          </w:tcPr>
          <w:p>
            <w:r/>
            <w:r>
              <w:rPr>
                <w:sz w:val="16"/>
              </w:rPr>
              <w:t>Other representation gaps</w:t>
            </w:r>
          </w:p>
        </w:tc>
        <w:tc>
          <w:tcPr>
            <w:tcW w:type="dxa" w:w="1080"/>
          </w:tcPr>
          <w:p>
            <w:r/>
            <w:r>
              <w:rPr>
                <w:b/>
                <w:color w:val="7F6000"/>
                <w:sz w:val="16"/>
              </w:rPr>
              <w:t>Medium</w:t>
            </w:r>
          </w:p>
        </w:tc>
        <w:tc>
          <w:tcPr>
            <w:tcW w:type="dxa" w:w="2736"/>
          </w:tcPr>
          <w:p>
            <w:r/>
            <w:r>
              <w:rPr>
                <w:sz w:val="16"/>
              </w:rPr>
              <w:t>Article IV</w:t>
            </w:r>
          </w:p>
        </w:tc>
      </w:tr>
      <w:tr>
        <w:tc>
          <w:tcPr>
            <w:tcW w:type="dxa" w:w="648"/>
          </w:tcPr>
          <w:p>
            <w:r/>
            <w:r>
              <w:rPr>
                <w:sz w:val="16"/>
              </w:rPr>
              <w:t>E-8</w:t>
            </w:r>
          </w:p>
        </w:tc>
        <w:tc>
          <w:tcPr>
            <w:tcW w:type="dxa" w:w="4896"/>
          </w:tcPr>
          <w:p>
            <w:r/>
            <w:r>
              <w:rPr>
                <w:sz w:val="16"/>
              </w:rPr>
              <w:t>Seller Representative: Dr. Vasquez is conflicted</w:t>
            </w:r>
          </w:p>
        </w:tc>
        <w:tc>
          <w:tcPr>
            <w:tcW w:type="dxa" w:w="1080"/>
          </w:tcPr>
          <w:p>
            <w:r/>
            <w:r>
              <w:rPr>
                <w:b/>
                <w:color w:val="385723"/>
                <w:sz w:val="16"/>
              </w:rPr>
              <w:t>Low</w:t>
            </w:r>
          </w:p>
        </w:tc>
        <w:tc>
          <w:tcPr>
            <w:tcW w:type="dxa" w:w="2736"/>
          </w:tcPr>
          <w:p>
            <w:r/>
            <w:r>
              <w:rPr>
                <w:sz w:val="16"/>
              </w:rPr>
              <w:t>Article X; §§3.2(d), 10.3</w:t>
            </w:r>
          </w:p>
        </w:tc>
      </w:tr>
      <w:tr>
        <w:tc>
          <w:tcPr>
            <w:tcW w:type="dxa" w:w="648"/>
          </w:tcPr>
          <w:p>
            <w:r/>
            <w:r>
              <w:rPr>
                <w:sz w:val="16"/>
              </w:rPr>
              <w:t>F-1</w:t>
            </w:r>
          </w:p>
        </w:tc>
        <w:tc>
          <w:tcPr>
            <w:tcW w:type="dxa" w:w="4896"/>
          </w:tcPr>
          <w:p>
            <w:r/>
            <w:r>
              <w:rPr>
                <w:sz w:val="16"/>
              </w:rPr>
              <w:t>Party names, addresses and contact details</w:t>
            </w:r>
          </w:p>
        </w:tc>
        <w:tc>
          <w:tcPr>
            <w:tcW w:type="dxa" w:w="1080"/>
          </w:tcPr>
          <w:p>
            <w:r/>
            <w:r>
              <w:rPr>
                <w:b/>
                <w:color w:val="385723"/>
                <w:sz w:val="16"/>
              </w:rPr>
              <w:t>Low</w:t>
            </w:r>
          </w:p>
        </w:tc>
        <w:tc>
          <w:tcPr>
            <w:tcW w:type="dxa" w:w="2736"/>
          </w:tcPr>
          <w:p>
            <w:r/>
            <w:r>
              <w:rPr>
                <w:sz w:val="16"/>
              </w:rPr>
              <w:t>Preamble; Recitals; §§3.1, 4.4, 11.1; QoE; Regulatory Memo; Transmittal</w:t>
            </w:r>
          </w:p>
        </w:tc>
      </w:tr>
      <w:tr>
        <w:tc>
          <w:tcPr>
            <w:tcW w:type="dxa" w:w="648"/>
          </w:tcPr>
          <w:p>
            <w:r/>
            <w:r>
              <w:rPr>
                <w:sz w:val="16"/>
              </w:rPr>
              <w:t>F-2</w:t>
            </w:r>
          </w:p>
        </w:tc>
        <w:tc>
          <w:tcPr>
            <w:tcW w:type="dxa" w:w="4896"/>
          </w:tcPr>
          <w:p>
            <w:r/>
            <w:r>
              <w:rPr>
                <w:sz w:val="16"/>
              </w:rPr>
              <w:t>Lease data conflicts between the Lease Summary Schedule and QoE Appendix C</w:t>
            </w:r>
          </w:p>
        </w:tc>
        <w:tc>
          <w:tcPr>
            <w:tcW w:type="dxa" w:w="1080"/>
          </w:tcPr>
          <w:p>
            <w:r/>
            <w:r>
              <w:rPr>
                <w:b/>
                <w:color w:val="C55A11"/>
                <w:sz w:val="16"/>
              </w:rPr>
              <w:t>High</w:t>
            </w:r>
          </w:p>
        </w:tc>
        <w:tc>
          <w:tcPr>
            <w:tcW w:type="dxa" w:w="2736"/>
          </w:tcPr>
          <w:p>
            <w:r/>
            <w:r>
              <w:rPr>
                <w:sz w:val="16"/>
              </w:rPr>
              <w:t>§4.13; Lease Schedule; QoE §VI and Appendix C</w:t>
            </w:r>
          </w:p>
        </w:tc>
      </w:tr>
      <w:tr>
        <w:tc>
          <w:tcPr>
            <w:tcW w:type="dxa" w:w="648"/>
          </w:tcPr>
          <w:p>
            <w:r/>
            <w:r>
              <w:rPr>
                <w:sz w:val="16"/>
              </w:rPr>
              <w:t>F-3</w:t>
            </w:r>
          </w:p>
        </w:tc>
        <w:tc>
          <w:tcPr>
            <w:tcW w:type="dxa" w:w="4896"/>
          </w:tcPr>
          <w:p>
            <w:r/>
            <w:r>
              <w:rPr>
                <w:sz w:val="16"/>
              </w:rPr>
              <w:t>Other internal inconsistencies and drafting errors</w:t>
            </w:r>
          </w:p>
        </w:tc>
        <w:tc>
          <w:tcPr>
            <w:tcW w:type="dxa" w:w="1080"/>
          </w:tcPr>
          <w:p>
            <w:r/>
            <w:r>
              <w:rPr>
                <w:b/>
                <w:color w:val="385723"/>
                <w:sz w:val="16"/>
              </w:rPr>
              <w:t>Low</w:t>
            </w:r>
          </w:p>
        </w:tc>
        <w:tc>
          <w:tcPr>
            <w:tcW w:type="dxa" w:w="2736"/>
          </w:tcPr>
          <w:p>
            <w:r/>
            <w:r>
              <w:rPr>
                <w:sz w:val="16"/>
              </w:rPr>
              <w:t>Various</w:t>
            </w:r>
          </w:p>
        </w:tc>
      </w:tr>
    </w:tbl>
    <w:p>
      <w:pPr>
        <w:spacing w:after="40"/>
      </w:pPr>
    </w:p>
    <w:p>
      <w:pPr>
        <w:pStyle w:val="Heading1"/>
      </w:pPr>
      <w:r>
        <w:t>Appendix B — Illustrative Quantification of Identified Exposures and Valuation Effects</w:t>
      </w:r>
    </w:p>
    <w:p>
      <w:pPr>
        <w:spacing w:after="120"/>
      </w:pPr>
      <w:r>
        <w:rPr>
          <w:b w:val="0"/>
          <w:i/>
          <w:sz w:val="20"/>
        </w:rPr>
        <w:t>Figures are drawn from the QoE, the Lease Schedule and the Regulatory Memo, or derived arithmetically from them. They are planning estimates, not opinions on liability.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F2A44"/>
          </w:tcPr>
          <w:p>
            <w:r/>
            <w:r>
              <w:rPr>
                <w:b/>
                <w:color w:val="FFFFFF"/>
                <w:sz w:val="18"/>
              </w:rPr>
              <w:t>Item</w:t>
            </w:r>
          </w:p>
        </w:tc>
        <w:tc>
          <w:tcPr>
            <w:tcW w:type="dxa" w:w="4176"/>
            <w:shd w:val="clear" w:color="auto" w:fill="1F2A44"/>
          </w:tcPr>
          <w:p>
            <w:r/>
            <w:r>
              <w:rPr>
                <w:b/>
                <w:color w:val="FFFFFF"/>
                <w:sz w:val="18"/>
              </w:rPr>
              <w:t>Basis</w:t>
            </w:r>
          </w:p>
        </w:tc>
        <w:tc>
          <w:tcPr>
            <w:tcW w:type="dxa" w:w="2592"/>
            <w:shd w:val="clear" w:color="auto" w:fill="1F2A44"/>
          </w:tcPr>
          <w:p>
            <w:r/>
            <w:r>
              <w:rPr>
                <w:b/>
                <w:color w:val="FFFFFF"/>
                <w:sz w:val="18"/>
              </w:rPr>
              <w:t>Estimated amount</w:t>
            </w:r>
          </w:p>
        </w:tc>
      </w:tr>
      <w:tr>
        <w:tc>
          <w:tcPr>
            <w:tcW w:type="dxa" w:w="2592"/>
          </w:tcPr>
          <w:p>
            <w:r/>
            <w:r>
              <w:rPr>
                <w:sz w:val="18"/>
              </w:rPr>
              <w:t>Adjusted EBITDA gap</w:t>
            </w:r>
          </w:p>
        </w:tc>
        <w:tc>
          <w:tcPr>
            <w:tcW w:type="dxa" w:w="4176"/>
          </w:tcPr>
          <w:p>
            <w:r/>
            <w:r>
              <w:rPr>
                <w:sz w:val="18"/>
              </w:rPr>
              <w:t>($29.97M − $29.57M) x 7.5</w:t>
            </w:r>
          </w:p>
        </w:tc>
        <w:tc>
          <w:tcPr>
            <w:tcW w:type="dxa" w:w="2592"/>
          </w:tcPr>
          <w:p>
            <w:r/>
            <w:r>
              <w:rPr>
                <w:sz w:val="18"/>
              </w:rPr>
              <w:t>≈ $3.0M of enterprise value</w:t>
            </w:r>
          </w:p>
        </w:tc>
      </w:tr>
      <w:tr>
        <w:tc>
          <w:tcPr>
            <w:tcW w:type="dxa" w:w="2592"/>
          </w:tcPr>
          <w:p>
            <w:r/>
            <w:r>
              <w:rPr>
                <w:sz w:val="18"/>
              </w:rPr>
              <w:t>Upcoding — refund / settlement</w:t>
            </w:r>
          </w:p>
        </w:tc>
        <w:tc>
          <w:tcPr>
            <w:tcW w:type="dxa" w:w="4176"/>
          </w:tcPr>
          <w:p>
            <w:r/>
            <w:r>
              <w:rPr>
                <w:sz w:val="18"/>
              </w:rPr>
              <w:t>$1.8M single damages; ~1.5x via OIG SDP; treble if government-initiated, plus per-claim penalties</w:t>
            </w:r>
          </w:p>
        </w:tc>
        <w:tc>
          <w:tcPr>
            <w:tcW w:type="dxa" w:w="2592"/>
          </w:tcPr>
          <w:p>
            <w:r/>
            <w:r>
              <w:rPr>
                <w:sz w:val="18"/>
              </w:rPr>
              <w:t>$1.8M – $2.7M (SDP) to $5.4M+ (treble)</w:t>
            </w:r>
          </w:p>
        </w:tc>
      </w:tr>
      <w:tr>
        <w:tc>
          <w:tcPr>
            <w:tcW w:type="dxa" w:w="2592"/>
          </w:tcPr>
          <w:p>
            <w:r/>
            <w:r>
              <w:rPr>
                <w:sz w:val="18"/>
              </w:rPr>
              <w:t>Upcoding — run-rate revenue</w:t>
            </w:r>
          </w:p>
        </w:tc>
        <w:tc>
          <w:tcPr>
            <w:tcW w:type="dxa" w:w="4176"/>
          </w:tcPr>
          <w:p>
            <w:r/>
            <w:r>
              <w:rPr>
                <w:sz w:val="18"/>
              </w:rPr>
              <w:t>$1.8M / 3 years ≈ $0.6M per year x 7.5</w:t>
            </w:r>
          </w:p>
        </w:tc>
        <w:tc>
          <w:tcPr>
            <w:tcW w:type="dxa" w:w="2592"/>
          </w:tcPr>
          <w:p>
            <w:r/>
            <w:r>
              <w:rPr>
                <w:sz w:val="18"/>
              </w:rPr>
              <w:t>≈ $4.5M of enterprise value</w:t>
            </w:r>
          </w:p>
        </w:tc>
      </w:tr>
      <w:tr>
        <w:tc>
          <w:tcPr>
            <w:tcW w:type="dxa" w:w="2592"/>
          </w:tcPr>
          <w:p>
            <w:r/>
            <w:r>
              <w:rPr>
                <w:sz w:val="18"/>
              </w:rPr>
              <w:t>Off-site PT Stark exposure</w:t>
            </w:r>
          </w:p>
        </w:tc>
        <w:tc>
          <w:tcPr>
            <w:tcW w:type="dxa" w:w="4176"/>
          </w:tcPr>
          <w:p>
            <w:r/>
            <w:r>
              <w:rPr>
                <w:sz w:val="18"/>
              </w:rPr>
              <w:t>Regulatory Memo estimate (6-year lookback; excl. CMPs and trebling)</w:t>
            </w:r>
          </w:p>
        </w:tc>
        <w:tc>
          <w:tcPr>
            <w:tcW w:type="dxa" w:w="2592"/>
          </w:tcPr>
          <w:p>
            <w:r/>
            <w:r>
              <w:rPr>
                <w:sz w:val="18"/>
              </w:rPr>
              <w:t>$3.4M – $10.5M</w:t>
            </w:r>
          </w:p>
        </w:tc>
      </w:tr>
      <w:tr>
        <w:tc>
          <w:tcPr>
            <w:tcW w:type="dxa" w:w="2592"/>
          </w:tcPr>
          <w:p>
            <w:r/>
            <w:r>
              <w:rPr>
                <w:sz w:val="18"/>
              </w:rPr>
              <w:t>Related-party leases — above-FMV rent</w:t>
            </w:r>
          </w:p>
        </w:tc>
        <w:tc>
          <w:tcPr>
            <w:tcW w:type="dxa" w:w="4176"/>
          </w:tcPr>
          <w:p>
            <w:r/>
            <w:r>
              <w:rPr>
                <w:sz w:val="18"/>
              </w:rPr>
              <w:t>$1,315,000 vs. ≈ $1,078,000 FMV</w:t>
            </w:r>
          </w:p>
        </w:tc>
        <w:tc>
          <w:tcPr>
            <w:tcW w:type="dxa" w:w="2592"/>
          </w:tcPr>
          <w:p>
            <w:r/>
            <w:r>
              <w:rPr>
                <w:sz w:val="18"/>
              </w:rPr>
              <w:t>≈ $237K per year; Stark/AKS exposure on DHS referrals unquantified</w:t>
            </w:r>
          </w:p>
        </w:tc>
      </w:tr>
      <w:tr>
        <w:tc>
          <w:tcPr>
            <w:tcW w:type="dxa" w:w="2592"/>
          </w:tcPr>
          <w:p>
            <w:r/>
            <w:r>
              <w:rPr>
                <w:sz w:val="18"/>
              </w:rPr>
              <w:t>Founder compensation add-back</w:t>
            </w:r>
          </w:p>
        </w:tc>
        <w:tc>
          <w:tcPr>
            <w:tcW w:type="dxa" w:w="4176"/>
          </w:tcPr>
          <w:p>
            <w:r/>
            <w:r>
              <w:rPr>
                <w:sz w:val="18"/>
              </w:rPr>
              <w:t>Post-closing $1.2M–$1.44M vs. $1.13M normalized</w:t>
            </w:r>
          </w:p>
        </w:tc>
        <w:tc>
          <w:tcPr>
            <w:tcW w:type="dxa" w:w="2592"/>
          </w:tcPr>
          <w:p>
            <w:r/>
            <w:r>
              <w:rPr>
                <w:sz w:val="18"/>
              </w:rPr>
              <w:t>$70K–$310K per year (≈ $0.5M–$2.3M of EV)</w:t>
            </w:r>
          </w:p>
        </w:tc>
      </w:tr>
      <w:tr>
        <w:tc>
          <w:tcPr>
            <w:tcW w:type="dxa" w:w="2592"/>
          </w:tcPr>
          <w:p>
            <w:r/>
            <w:r>
              <w:rPr>
                <w:sz w:val="18"/>
              </w:rPr>
              <w:t>HIPAA / OCR</w:t>
            </w:r>
          </w:p>
        </w:tc>
        <w:tc>
          <w:tcPr>
            <w:tcW w:type="dxa" w:w="4176"/>
          </w:tcPr>
          <w:p>
            <w:r/>
            <w:r>
              <w:rPr>
                <w:sz w:val="18"/>
              </w:rPr>
              <w:t>3,200 individuals; Tier 1 minimum per Regulatory Memo up to annual caps (~$2.07M per category); plus remediation/litigation</w:t>
            </w:r>
          </w:p>
        </w:tc>
        <w:tc>
          <w:tcPr>
            <w:tcW w:type="dxa" w:w="2592"/>
          </w:tcPr>
          <w:p>
            <w:r/>
            <w:r>
              <w:rPr>
                <w:sz w:val="18"/>
              </w:rPr>
              <w:t>≈ $0.44M to $2M+ per violation category</w:t>
            </w:r>
          </w:p>
        </w:tc>
      </w:tr>
      <w:tr>
        <w:tc>
          <w:tcPr>
            <w:tcW w:type="dxa" w:w="2592"/>
          </w:tcPr>
          <w:p>
            <w:r/>
            <w:r>
              <w:rPr>
                <w:sz w:val="18"/>
              </w:rPr>
              <w:t>NWC double count</w:t>
            </w:r>
          </w:p>
        </w:tc>
        <w:tc>
          <w:tcPr>
            <w:tcW w:type="dxa" w:w="4176"/>
          </w:tcPr>
          <w:p>
            <w:r/>
            <w:r>
              <w:rPr>
                <w:sz w:val="18"/>
              </w:rPr>
              <w:t>§3.3(e) measured against Peg</w:t>
            </w:r>
          </w:p>
        </w:tc>
        <w:tc>
          <w:tcPr>
            <w:tcW w:type="dxa" w:w="2592"/>
          </w:tcPr>
          <w:p>
            <w:r/>
            <w:r>
              <w:rPr>
                <w:sz w:val="18"/>
              </w:rPr>
              <w:t>$1.5M</w:t>
            </w:r>
          </w:p>
        </w:tc>
      </w:tr>
      <w:tr>
        <w:tc>
          <w:tcPr>
            <w:tcW w:type="dxa" w:w="2592"/>
          </w:tcPr>
          <w:p>
            <w:r/>
            <w:r>
              <w:rPr>
                <w:sz w:val="18"/>
              </w:rPr>
              <w:t>Seller transaction expenses not deducted</w:t>
            </w:r>
          </w:p>
        </w:tc>
        <w:tc>
          <w:tcPr>
            <w:tcW w:type="dxa" w:w="4176"/>
          </w:tcPr>
          <w:p>
            <w:r/>
            <w:r>
              <w:rPr>
                <w:sz w:val="18"/>
              </w:rPr>
              <w:t>QoE §VIII</w:t>
            </w:r>
          </w:p>
        </w:tc>
        <w:tc>
          <w:tcPr>
            <w:tcW w:type="dxa" w:w="2592"/>
          </w:tcPr>
          <w:p>
            <w:r/>
            <w:r>
              <w:rPr>
                <w:sz w:val="18"/>
              </w:rPr>
              <w:t>≈ $3.2M</w:t>
            </w:r>
          </w:p>
        </w:tc>
      </w:tr>
      <w:tr>
        <w:tc>
          <w:tcPr>
            <w:tcW w:type="dxa" w:w="2592"/>
          </w:tcPr>
          <w:p>
            <w:r/>
            <w:r>
              <w:rPr>
                <w:sz w:val="18"/>
              </w:rPr>
              <w:t>Plano / Frisco revenue at risk</w:t>
            </w:r>
          </w:p>
        </w:tc>
        <w:tc>
          <w:tcPr>
            <w:tcW w:type="dxa" w:w="4176"/>
          </w:tcPr>
          <w:p>
            <w:r/>
            <w:r>
              <w:rPr>
                <w:sz w:val="18"/>
              </w:rPr>
              <w:t>Lease expirations Jan./Feb. 2026; no renewal options</w:t>
            </w:r>
          </w:p>
        </w:tc>
        <w:tc>
          <w:tcPr>
            <w:tcW w:type="dxa" w:w="2592"/>
          </w:tcPr>
          <w:p>
            <w:r/>
            <w:r>
              <w:rPr>
                <w:sz w:val="18"/>
              </w:rPr>
              <w:t>$26.5M (Lease Schedule) – $28.5M (QoE) of annual revenue</w:t>
            </w:r>
          </w:p>
        </w:tc>
      </w:tr>
      <w:tr>
        <w:tc>
          <w:tcPr>
            <w:tcW w:type="dxa" w:w="2592"/>
          </w:tcPr>
          <w:p>
            <w:r/>
            <w:r>
              <w:rPr>
                <w:sz w:val="18"/>
              </w:rPr>
              <w:t>Apex early termination fee</w:t>
            </w:r>
          </w:p>
        </w:tc>
        <w:tc>
          <w:tcPr>
            <w:tcW w:type="dxa" w:w="4176"/>
          </w:tcPr>
          <w:p>
            <w:r/>
            <w:r>
              <w:rPr>
                <w:sz w:val="18"/>
              </w:rPr>
              <w:t>If MSA terminated for convenience before Dec. 15, 2027</w:t>
            </w:r>
          </w:p>
        </w:tc>
        <w:tc>
          <w:tcPr>
            <w:tcW w:type="dxa" w:w="2592"/>
          </w:tcPr>
          <w:p>
            <w:r/>
            <w:r>
              <w:rPr>
                <w:sz w:val="18"/>
              </w:rPr>
              <w:t>$2.5M</w:t>
            </w:r>
          </w:p>
        </w:tc>
      </w:tr>
      <w:tr>
        <w:tc>
          <w:tcPr>
            <w:tcW w:type="dxa" w:w="2592"/>
          </w:tcPr>
          <w:p>
            <w:r/>
            <w:r>
              <w:rPr>
                <w:sz w:val="18"/>
              </w:rPr>
              <w:t>Under-allocation to non-rolling holders</w:t>
            </w:r>
          </w:p>
        </w:tc>
        <w:tc>
          <w:tcPr>
            <w:tcW w:type="dxa" w:w="4176"/>
          </w:tcPr>
          <w:p>
            <w:r/>
            <w:r>
              <w:rPr>
                <w:sz w:val="18"/>
              </w:rPr>
              <w:t>Table 2</w:t>
            </w:r>
          </w:p>
        </w:tc>
        <w:tc>
          <w:tcPr>
            <w:tcW w:type="dxa" w:w="2592"/>
          </w:tcPr>
          <w:p>
            <w:r/>
            <w:r>
              <w:rPr>
                <w:sz w:val="18"/>
              </w:rPr>
              <w:t>≈ $3.51M each to Drs. Okoro and Tran</w:t>
            </w:r>
          </w:p>
        </w:tc>
      </w:tr>
    </w:tbl>
    <w:p>
      <w:pPr>
        <w:spacing w:after="40"/>
      </w:pPr>
    </w:p>
    <w:p>
      <w:pPr>
        <w:spacing w:after="120"/>
        <w:jc w:val="center"/>
      </w:pPr>
      <w:r>
        <w:rPr>
          <w:b w:val="0"/>
          <w:i w:val="0"/>
        </w:rPr>
        <w:t>* * *</w:t>
      </w:r>
    </w:p>
    <w:p>
      <w:pPr>
        <w:spacing w:after="120"/>
      </w:pPr>
      <w:r>
        <w:rPr>
          <w:b w:val="0"/>
          <w:i/>
          <w:sz w:val="18"/>
        </w:rPr>
        <w:t>This memorandum is based on the documents listed in Section II and is subject to review of the Disclosure Schedules, ancillary agreements and underlying contracts. Statutory thresholds and penalty amounts are as adjusted for 2025 and should be re-confirmed at signing.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