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BRIGHTFIELD &amp; NOVAK LLP — IMMIGRATION PRACTICE GROUP</w:t>
      </w:r>
    </w:p>
    <w:p>
      <w:r>
        <w:rPr>
          <w:b/>
          <w:color w:val="1F3864"/>
          <w:sz w:val="32"/>
        </w:rPr>
        <w:t>Aethon Semiconductor Technologies, Inc. — Visa Category Eligibility Matrix (Pre-Screening Tool)</w:t>
      </w:r>
    </w:p>
    <w:p>
      <w:pPr>
        <w:spacing w:after="80"/>
      </w:pPr>
      <w:r>
        <w:rPr>
          <w:b/>
          <w:sz w:val="18"/>
        </w:rPr>
        <w:t>Privileged &amp; Confidential — Attorney-Client Communication / Attorney Work Product — Draft for Attorney Review</w:t>
      </w:r>
    </w:p>
    <w:tbl>
      <w:tblPr>
        <w:tblStyle w:val="TableGrid"/>
        <w:tblW w:type="auto" w:w="0"/>
        <w:jc w:val="center"/>
        <w:tblLayout w:type="fixed"/>
        <w:tblLook w:firstColumn="1" w:firstRow="1" w:lastColumn="0" w:lastRow="0" w:noHBand="0" w:noVBand="1" w:val="04A0"/>
        <w:tblLayout w:type="fixed"/>
      </w:tblPr>
      <w:tblGrid>
        <w:gridCol w:w="2304"/>
        <w:gridCol w:w="7315200"/>
      </w:tblGrid>
      <w:tr>
        <w:trPr>
          <w:tblHeader w:val="true"/>
        </w:trPr>
        <w:tc>
          <w:tcPr>
            <w:tcW w:type="dxa" w:w="2304"/>
            <w:shd w:val="clear" w:color="auto" w:fill="1F3864"/>
          </w:tcPr>
          <w:p>
            <w:pPr>
              <w:spacing w:after="20" w:before="0"/>
            </w:pPr>
            <w:r/>
            <w:r>
              <w:rPr>
                <w:b/>
                <w:color w:val="FFFFFF"/>
                <w:sz w:val="17"/>
              </w:rPr>
              <w:t>Item</w:t>
            </w:r>
          </w:p>
        </w:tc>
        <w:tc>
          <w:tcPr>
            <w:tcW w:type="dxa" w:w="11520"/>
            <w:shd w:val="clear" w:color="auto" w:fill="1F3864"/>
          </w:tcPr>
          <w:p>
            <w:pPr>
              <w:spacing w:after="20" w:before="0"/>
            </w:pPr>
            <w:r/>
            <w:r>
              <w:rPr>
                <w:b/>
                <w:color w:val="FFFFFF"/>
                <w:sz w:val="17"/>
              </w:rPr>
              <w:t>Detail</w:t>
            </w:r>
          </w:p>
        </w:tc>
      </w:tr>
      <w:tr>
        <w:tc>
          <w:tcPr>
            <w:tcW w:type="dxa" w:w="2304"/>
            <w:shd w:val="clear" w:color="auto" w:fill="D9E2F3"/>
          </w:tcPr>
          <w:p>
            <w:pPr>
              <w:spacing w:after="20" w:before="0"/>
            </w:pPr>
            <w:r/>
            <w:r>
              <w:rPr>
                <w:b/>
                <w:sz w:val="17"/>
              </w:rPr>
              <w:t>Prepared for</w:t>
            </w:r>
          </w:p>
        </w:tc>
        <w:tc>
          <w:tcPr>
            <w:tcW w:type="dxa" w:w="11520"/>
          </w:tcPr>
          <w:p>
            <w:pPr>
              <w:spacing w:after="20" w:before="0"/>
            </w:pPr>
            <w:r/>
            <w:r>
              <w:rPr>
                <w:b w:val="0"/>
                <w:sz w:val="17"/>
              </w:rPr>
              <w:t>Priya Surendran, VP People Operations; cc: David Hsiao (CEO), Robert Fielding (General Counsel)</w:t>
            </w:r>
          </w:p>
        </w:tc>
      </w:tr>
      <w:tr>
        <w:tc>
          <w:tcPr>
            <w:tcW w:type="dxa" w:w="2304"/>
            <w:shd w:val="clear" w:color="auto" w:fill="D9E2F3"/>
          </w:tcPr>
          <w:p>
            <w:pPr>
              <w:spacing w:after="20" w:before="0"/>
            </w:pPr>
            <w:r/>
            <w:r>
              <w:rPr>
                <w:b/>
                <w:sz w:val="17"/>
              </w:rPr>
              <w:t>Prepared by</w:t>
            </w:r>
          </w:p>
        </w:tc>
        <w:tc>
          <w:tcPr>
            <w:tcW w:type="dxa" w:w="11520"/>
          </w:tcPr>
          <w:p>
            <w:pPr>
              <w:spacing w:after="20" w:before="0"/>
            </w:pPr>
            <w:r/>
            <w:r>
              <w:rPr>
                <w:b w:val="0"/>
                <w:sz w:val="17"/>
              </w:rPr>
              <w:t>Brightfield &amp; Novak LLP, Immigration Practice Group (for review and sign-off by Marcus Novak)</w:t>
            </w:r>
          </w:p>
        </w:tc>
      </w:tr>
      <w:tr>
        <w:tc>
          <w:tcPr>
            <w:tcW w:type="dxa" w:w="2304"/>
            <w:shd w:val="clear" w:color="auto" w:fill="D9E2F3"/>
          </w:tcPr>
          <w:p>
            <w:pPr>
              <w:spacing w:after="20" w:before="0"/>
            </w:pPr>
            <w:r/>
            <w:r>
              <w:rPr>
                <w:b/>
                <w:sz w:val="17"/>
              </w:rPr>
              <w:t>Responds to</w:t>
            </w:r>
          </w:p>
        </w:tc>
        <w:tc>
          <w:tcPr>
            <w:tcW w:type="dxa" w:w="11520"/>
          </w:tcPr>
          <w:p>
            <w:pPr>
              <w:spacing w:after="20" w:before="0"/>
            </w:pPr>
            <w:r/>
            <w:r>
              <w:rPr>
                <w:b w:val="0"/>
                <w:sz w:val="17"/>
              </w:rPr>
              <w:t>P. Surendran email of February 10, 2025, “Aethon Workforce Expansion Plan — Immigration Needs Summary &amp; Request for Eligibility Matrix” (Section 5 request)</w:t>
            </w:r>
          </w:p>
        </w:tc>
      </w:tr>
      <w:tr>
        <w:tc>
          <w:tcPr>
            <w:tcW w:type="dxa" w:w="2304"/>
            <w:shd w:val="clear" w:color="auto" w:fill="D9E2F3"/>
          </w:tcPr>
          <w:p>
            <w:pPr>
              <w:spacing w:after="20" w:before="0"/>
            </w:pPr>
            <w:r/>
            <w:r>
              <w:rPr>
                <w:b/>
                <w:sz w:val="17"/>
              </w:rPr>
              <w:t>Categories</w:t>
            </w:r>
          </w:p>
        </w:tc>
        <w:tc>
          <w:tcPr>
            <w:tcW w:type="dxa" w:w="11520"/>
          </w:tcPr>
          <w:p>
            <w:pPr>
              <w:spacing w:after="20" w:before="0"/>
            </w:pPr>
            <w:r/>
            <w:r>
              <w:rPr>
                <w:b w:val="0"/>
                <w:sz w:val="17"/>
              </w:rPr>
              <w:t>H-1B, O-1A, O-1B, L-1A, L-1B, EB-1A, EB-1B, EB-2 (with PERM), EB-2/NIW, TN (all ten requested)</w:t>
            </w:r>
          </w:p>
        </w:tc>
      </w:tr>
      <w:tr>
        <w:tc>
          <w:tcPr>
            <w:tcW w:type="dxa" w:w="2304"/>
            <w:shd w:val="clear" w:color="auto" w:fill="D9E2F3"/>
          </w:tcPr>
          <w:p>
            <w:pPr>
              <w:spacing w:after="20" w:before="0"/>
            </w:pPr>
            <w:r/>
            <w:r>
              <w:rPr>
                <w:b/>
                <w:sz w:val="17"/>
              </w:rPr>
              <w:t>Sources reviewed</w:t>
            </w:r>
          </w:p>
        </w:tc>
        <w:tc>
          <w:tcPr>
            <w:tcW w:type="dxa" w:w="11520"/>
          </w:tcPr>
          <w:p>
            <w:pPr>
              <w:spacing w:after="20" w:before="0"/>
            </w:pPr>
            <w:r/>
            <w:r>
              <w:rPr>
                <w:b w:val="0"/>
                <w:sz w:val="17"/>
              </w:rPr>
              <w:t>(1) H-1B Regulatory Summary (Jan. 2025); (2) L-1 Intracompany Transferee Summary (Jan. 2025); (3) EB/O-1 Extraordinary Ability Categories guide (Jan. 2025) (“EB Guide”); (4) USCIS Policy Guidance Memorandum (Jan. 2025) (“Memo”); (5) Visa Category Selection Flowchart v1.0 (2022); (6) Feb. 10, 2025 client email. Where the firm documents are wrong or conflict, the matrix states the corrected position and cites the companion Discrepancy Report finding ID (e.g., FEE-02).</w:t>
            </w:r>
          </w:p>
        </w:tc>
      </w:tr>
      <w:tr>
        <w:tc>
          <w:tcPr>
            <w:tcW w:type="dxa" w:w="2304"/>
            <w:shd w:val="clear" w:color="auto" w:fill="D9E2F3"/>
          </w:tcPr>
          <w:p>
            <w:pPr>
              <w:spacing w:after="20" w:before="0"/>
            </w:pPr>
            <w:r/>
            <w:r>
              <w:rPr>
                <w:b/>
                <w:sz w:val="17"/>
              </w:rPr>
              <w:t>Currency</w:t>
            </w:r>
          </w:p>
        </w:tc>
        <w:tc>
          <w:tcPr>
            <w:tcW w:type="dxa" w:w="11520"/>
          </w:tcPr>
          <w:p>
            <w:pPr>
              <w:spacing w:after="20" w:before="0"/>
            </w:pPr>
            <w:r/>
            <w:r>
              <w:rPr>
                <w:b w:val="0"/>
                <w:sz w:val="17"/>
              </w:rPr>
              <w:t>Law and government fees as of February 2025 (USCIS fee rule effective April 1, 2024; H-1B Modernization rule effective January 17, 2025; premium processing increase effective February 26, 2025). Re-verify fees on Form G-1055 and the Visa Bulletin at filing.</w:t>
            </w:r>
          </w:p>
        </w:tc>
      </w:tr>
    </w:tbl>
    <w:p>
      <w:pPr>
        <w:pStyle w:val="Heading2"/>
      </w:pPr>
      <w:r>
        <w:t>How HR and hiring managers should use this matrix</w:t>
      </w:r>
    </w:p>
    <w:p>
      <w:pPr>
        <w:pStyle w:val="ListBullet"/>
        <w:spacing w:after="40"/>
      </w:pPr>
      <w:r>
        <w:rPr>
          <w:b w:val="0"/>
          <w:sz w:val="19"/>
        </w:rPr>
        <w:t xml:space="preserve">Start with the </w:t>
      </w:r>
      <w:r>
        <w:rPr>
          <w:b/>
          <w:sz w:val="19"/>
        </w:rPr>
        <w:t>Quick Pre-Screen</w:t>
      </w:r>
      <w:r>
        <w:rPr>
          <w:b w:val="0"/>
          <w:sz w:val="19"/>
        </w:rPr>
        <w:t xml:space="preserve"> (Part A) to identify every category that might fit a candidate; more than one usually will. Then read the </w:t>
      </w:r>
      <w:r>
        <w:rPr>
          <w:b/>
          <w:sz w:val="19"/>
        </w:rPr>
        <w:t>Detailed Matrix</w:t>
      </w:r>
      <w:r>
        <w:rPr>
          <w:b w:val="0"/>
          <w:sz w:val="19"/>
        </w:rPr>
        <w:t xml:space="preserve"> (Part B) for each possible category. The left column is plain language; legal citations are included for counsel.</w:t>
      </w:r>
    </w:p>
    <w:p>
      <w:pPr>
        <w:pStyle w:val="ListBullet"/>
        <w:spacing w:after="40"/>
      </w:pPr>
      <w:r>
        <w:rPr>
          <w:b w:val="0"/>
          <w:sz w:val="19"/>
        </w:rPr>
        <w:t>Three gate questions resolve most cases: (1) Has the candidate worked for Aethon Taiwan or Aethon GmbH for at least 1 continuous year in the last 3? (L-1); (2) Is the candidate a Canadian or Mexican citizen? (TN); (3) Has the candidate already held cap-subject H-1B status in the last 6 years? (cap-exempt H-1B transfer).</w:t>
      </w:r>
    </w:p>
    <w:p>
      <w:pPr>
        <w:pStyle w:val="ListBullet"/>
        <w:spacing w:after="40"/>
      </w:pPr>
      <w:r>
        <w:rPr>
          <w:b w:val="0"/>
          <w:sz w:val="19"/>
        </w:rPr>
        <w:t xml:space="preserve">Fees in this matrix are </w:t>
      </w:r>
      <w:r>
        <w:rPr>
          <w:b/>
          <w:sz w:val="19"/>
        </w:rPr>
        <w:t>government fees only</w:t>
      </w:r>
      <w:r>
        <w:rPr>
          <w:b w:val="0"/>
          <w:sz w:val="19"/>
        </w:rPr>
        <w:t xml:space="preserve"> for a for-profit employer with 26+ full-time-equivalent employees (Aethon: 612 U.S. employees). Attorney fees, credential evaluations, translations and dependants’ filings are extra. Part C totals the fees; Part D covers premium processing.</w:t>
      </w:r>
    </w:p>
    <w:p>
      <w:pPr>
        <w:pStyle w:val="ListBullet"/>
        <w:spacing w:after="40"/>
      </w:pPr>
      <w:r>
        <w:rPr>
          <w:b w:val="0"/>
          <w:sz w:val="19"/>
        </w:rPr>
        <w:t>This is a screening tool, not a legal opinion. Do not tell a candidate they qualify. Refer every candidate to the firm before any filing, offer letter commitment or start date is promised.</w:t>
      </w:r>
    </w:p>
    <w:p>
      <w:pPr>
        <w:pStyle w:val="Heading1"/>
      </w:pPr>
      <w:r>
        <w:t>Part A — Quick Pre-Screen Comparison</w:t>
      </w:r>
    </w:p>
    <w:tbl>
      <w:tblPr>
        <w:tblStyle w:val="TableGrid"/>
        <w:tblW w:type="auto" w:w="0"/>
        <w:jc w:val="center"/>
        <w:tblLayout w:type="fixed"/>
        <w:tblLook w:firstColumn="1" w:firstRow="1" w:lastColumn="0" w:lastRow="0" w:noHBand="0" w:noVBand="1" w:val="04A0"/>
        <w:tblLayout w:type="fixed"/>
      </w:tblPr>
      <w:tblGrid>
        <w:gridCol w:w="1080"/>
        <w:gridCol w:w="3168"/>
        <w:gridCol w:w="2088"/>
        <w:gridCol w:w="1944"/>
        <w:gridCol w:w="792"/>
        <w:gridCol w:w="1800"/>
        <w:gridCol w:w="1440"/>
        <w:gridCol w:w="960120"/>
      </w:tblGrid>
      <w:tr>
        <w:trPr>
          <w:tblHeader w:val="true"/>
        </w:trPr>
        <w:tc>
          <w:tcPr>
            <w:tcW w:type="dxa" w:w="1080"/>
            <w:shd w:val="clear" w:color="auto" w:fill="1F3864"/>
          </w:tcPr>
          <w:p>
            <w:pPr>
              <w:spacing w:after="20" w:before="0"/>
            </w:pPr>
            <w:r/>
            <w:r>
              <w:rPr>
                <w:b/>
                <w:color w:val="FFFFFF"/>
                <w:sz w:val="16"/>
              </w:rPr>
              <w:t>Category</w:t>
            </w:r>
          </w:p>
        </w:tc>
        <w:tc>
          <w:tcPr>
            <w:tcW w:type="dxa" w:w="3168"/>
            <w:shd w:val="clear" w:color="auto" w:fill="1F3864"/>
          </w:tcPr>
          <w:p>
            <w:pPr>
              <w:spacing w:after="20" w:before="0"/>
            </w:pPr>
            <w:r/>
            <w:r>
              <w:rPr>
                <w:b/>
                <w:color w:val="FFFFFF"/>
                <w:sz w:val="16"/>
              </w:rPr>
              <w:t>Who it fits (plain language)</w:t>
            </w:r>
          </w:p>
        </w:tc>
        <w:tc>
          <w:tcPr>
            <w:tcW w:type="dxa" w:w="2088"/>
            <w:shd w:val="clear" w:color="auto" w:fill="1F3864"/>
          </w:tcPr>
          <w:p>
            <w:pPr>
              <w:spacing w:after="20" w:before="0"/>
            </w:pPr>
            <w:r/>
            <w:r>
              <w:rPr>
                <w:b/>
                <w:color w:val="FFFFFF"/>
                <w:sz w:val="16"/>
              </w:rPr>
              <w:t>Cap / lottery?</w:t>
            </w:r>
          </w:p>
        </w:tc>
        <w:tc>
          <w:tcPr>
            <w:tcW w:type="dxa" w:w="1944"/>
            <w:shd w:val="clear" w:color="auto" w:fill="1F3864"/>
          </w:tcPr>
          <w:p>
            <w:pPr>
              <w:spacing w:after="20" w:before="0"/>
            </w:pPr>
            <w:r/>
            <w:r>
              <w:rPr>
                <w:b/>
                <w:color w:val="FFFFFF"/>
                <w:sz w:val="16"/>
              </w:rPr>
              <w:t>Employer sponsor?</w:t>
            </w:r>
          </w:p>
        </w:tc>
        <w:tc>
          <w:tcPr>
            <w:tcW w:type="dxa" w:w="792"/>
            <w:shd w:val="clear" w:color="auto" w:fill="1F3864"/>
          </w:tcPr>
          <w:p>
            <w:pPr>
              <w:spacing w:after="20" w:before="0"/>
            </w:pPr>
            <w:r/>
            <w:r>
              <w:rPr>
                <w:b/>
                <w:color w:val="FFFFFF"/>
                <w:sz w:val="16"/>
              </w:rPr>
              <w:t>PERM?</w:t>
            </w:r>
          </w:p>
        </w:tc>
        <w:tc>
          <w:tcPr>
            <w:tcW w:type="dxa" w:w="1800"/>
            <w:shd w:val="clear" w:color="auto" w:fill="1F3864"/>
          </w:tcPr>
          <w:p>
            <w:pPr>
              <w:spacing w:after="20" w:before="0"/>
            </w:pPr>
            <w:r/>
            <w:r>
              <w:rPr>
                <w:b/>
                <w:color w:val="FFFFFF"/>
                <w:sz w:val="16"/>
              </w:rPr>
              <w:t>Gov’t fees (Aethon)</w:t>
            </w:r>
          </w:p>
        </w:tc>
        <w:tc>
          <w:tcPr>
            <w:tcW w:type="dxa" w:w="1440"/>
            <w:shd w:val="clear" w:color="auto" w:fill="1F3864"/>
          </w:tcPr>
          <w:p>
            <w:pPr>
              <w:spacing w:after="20" w:before="0"/>
            </w:pPr>
            <w:r/>
            <w:r>
              <w:rPr>
                <w:b/>
                <w:color w:val="FFFFFF"/>
                <w:sz w:val="16"/>
              </w:rPr>
              <w:t>Stay</w:t>
            </w:r>
          </w:p>
        </w:tc>
        <w:tc>
          <w:tcPr>
            <w:tcW w:type="dxa" w:w="1512"/>
            <w:shd w:val="clear" w:color="auto" w:fill="1F3864"/>
          </w:tcPr>
          <w:p>
            <w:pPr>
              <w:spacing w:after="20" w:before="0"/>
            </w:pPr>
            <w:r/>
            <w:r>
              <w:rPr>
                <w:b/>
                <w:color w:val="FFFFFF"/>
                <w:sz w:val="16"/>
              </w:rPr>
              <w:t>Premium?</w:t>
            </w:r>
          </w:p>
        </w:tc>
      </w:tr>
      <w:tr>
        <w:tc>
          <w:tcPr>
            <w:tcW w:type="dxa" w:w="1080"/>
            <w:shd w:val="clear" w:color="auto" w:fill="D9E2F3"/>
          </w:tcPr>
          <w:p>
            <w:pPr>
              <w:spacing w:after="20" w:before="0"/>
            </w:pPr>
            <w:r/>
            <w:r>
              <w:rPr>
                <w:b/>
                <w:sz w:val="16"/>
              </w:rPr>
              <w:t>H-1B</w:t>
            </w:r>
          </w:p>
        </w:tc>
        <w:tc>
          <w:tcPr>
            <w:tcW w:type="dxa" w:w="3168"/>
          </w:tcPr>
          <w:p>
            <w:pPr>
              <w:spacing w:after="20" w:before="0"/>
            </w:pPr>
            <w:r/>
            <w:r>
              <w:rPr>
                <w:b w:val="0"/>
                <w:sz w:val="16"/>
              </w:rPr>
              <w:t>Degree-required professional job; candidate holds that degree (or equivalent)</w:t>
            </w:r>
          </w:p>
        </w:tc>
        <w:tc>
          <w:tcPr>
            <w:tcW w:type="dxa" w:w="2088"/>
          </w:tcPr>
          <w:p>
            <w:pPr>
              <w:spacing w:after="20" w:before="0"/>
            </w:pPr>
            <w:r/>
            <w:r>
              <w:rPr>
                <w:b w:val="0"/>
                <w:sz w:val="16"/>
              </w:rPr>
              <w:t>Yes — 65,000 + 20,000 lottery (March registration); exempt if already counted</w:t>
            </w:r>
          </w:p>
        </w:tc>
        <w:tc>
          <w:tcPr>
            <w:tcW w:type="dxa" w:w="1944"/>
          </w:tcPr>
          <w:p>
            <w:pPr>
              <w:spacing w:after="20" w:before="0"/>
            </w:pPr>
            <w:r/>
            <w:r>
              <w:rPr>
                <w:b w:val="0"/>
                <w:sz w:val="16"/>
              </w:rPr>
              <w:t>Yes (LCA + I-129)</w:t>
            </w:r>
          </w:p>
        </w:tc>
        <w:tc>
          <w:tcPr>
            <w:tcW w:type="dxa" w:w="792"/>
          </w:tcPr>
          <w:p>
            <w:pPr>
              <w:spacing w:after="20" w:before="0"/>
            </w:pPr>
            <w:r/>
            <w:r>
              <w:rPr>
                <w:b w:val="0"/>
                <w:sz w:val="16"/>
              </w:rPr>
              <w:t>No</w:t>
            </w:r>
          </w:p>
        </w:tc>
        <w:tc>
          <w:tcPr>
            <w:tcW w:type="dxa" w:w="1800"/>
          </w:tcPr>
          <w:p>
            <w:pPr>
              <w:spacing w:after="20" w:before="0"/>
            </w:pPr>
            <w:r/>
            <w:r>
              <w:rPr>
                <w:b w:val="0"/>
                <w:sz w:val="16"/>
              </w:rPr>
              <w:t>$3,380 (+$215 registration)</w:t>
            </w:r>
          </w:p>
        </w:tc>
        <w:tc>
          <w:tcPr>
            <w:tcW w:type="dxa" w:w="1440"/>
          </w:tcPr>
          <w:p>
            <w:pPr>
              <w:spacing w:after="20" w:before="0"/>
            </w:pPr>
            <w:r/>
            <w:r>
              <w:rPr>
                <w:b w:val="0"/>
                <w:sz w:val="16"/>
              </w:rPr>
              <w:t>3 yrs + 3 = 6 (AC21 beyond)</w:t>
            </w:r>
          </w:p>
        </w:tc>
        <w:tc>
          <w:tcPr>
            <w:tcW w:type="dxa" w:w="1512"/>
          </w:tcPr>
          <w:p>
            <w:pPr>
              <w:spacing w:after="20" w:before="0"/>
            </w:pPr>
            <w:r/>
            <w:r>
              <w:rPr>
                <w:b w:val="0"/>
                <w:sz w:val="16"/>
              </w:rPr>
              <w:t>Yes</w:t>
            </w:r>
          </w:p>
        </w:tc>
      </w:tr>
      <w:tr>
        <w:tc>
          <w:tcPr>
            <w:tcW w:type="dxa" w:w="1080"/>
            <w:shd w:val="clear" w:color="auto" w:fill="D9E2F3"/>
          </w:tcPr>
          <w:p>
            <w:pPr>
              <w:spacing w:after="20" w:before="0"/>
            </w:pPr>
            <w:r/>
            <w:r>
              <w:rPr>
                <w:b/>
                <w:sz w:val="16"/>
              </w:rPr>
              <w:t>O-1A</w:t>
            </w:r>
          </w:p>
        </w:tc>
        <w:tc>
          <w:tcPr>
            <w:tcW w:type="dxa" w:w="3168"/>
            <w:shd w:val="clear" w:color="auto" w:fill="F2F2F2"/>
          </w:tcPr>
          <w:p>
            <w:pPr>
              <w:spacing w:after="20" w:before="0"/>
            </w:pPr>
            <w:r/>
            <w:r>
              <w:rPr>
                <w:b w:val="0"/>
                <w:sz w:val="16"/>
              </w:rPr>
              <w:t>Top-of-field scientist/engineer with sustained acclaim (3 of 8 criteria)</w:t>
            </w:r>
          </w:p>
        </w:tc>
        <w:tc>
          <w:tcPr>
            <w:tcW w:type="dxa" w:w="2088"/>
            <w:shd w:val="clear" w:color="auto" w:fill="F2F2F2"/>
          </w:tcPr>
          <w:p>
            <w:pPr>
              <w:spacing w:after="20" w:before="0"/>
            </w:pPr>
            <w:r/>
            <w:r>
              <w:rPr>
                <w:b w:val="0"/>
                <w:sz w:val="16"/>
              </w:rPr>
              <w:t>No</w:t>
            </w:r>
          </w:p>
        </w:tc>
        <w:tc>
          <w:tcPr>
            <w:tcW w:type="dxa" w:w="1944"/>
            <w:shd w:val="clear" w:color="auto" w:fill="F2F2F2"/>
          </w:tcPr>
          <w:p>
            <w:pPr>
              <w:spacing w:after="20" w:before="0"/>
            </w:pPr>
            <w:r/>
            <w:r>
              <w:rPr>
                <w:b w:val="0"/>
                <w:sz w:val="16"/>
              </w:rPr>
              <w:t>Yes (employer or agent)</w:t>
            </w:r>
          </w:p>
        </w:tc>
        <w:tc>
          <w:tcPr>
            <w:tcW w:type="dxa" w:w="792"/>
            <w:shd w:val="clear" w:color="auto" w:fill="F2F2F2"/>
          </w:tcPr>
          <w:p>
            <w:pPr>
              <w:spacing w:after="20" w:before="0"/>
            </w:pPr>
            <w:r/>
            <w:r>
              <w:rPr>
                <w:b w:val="0"/>
                <w:sz w:val="16"/>
              </w:rPr>
              <w:t>No</w:t>
            </w:r>
          </w:p>
        </w:tc>
        <w:tc>
          <w:tcPr>
            <w:tcW w:type="dxa" w:w="1800"/>
            <w:shd w:val="clear" w:color="auto" w:fill="F2F2F2"/>
          </w:tcPr>
          <w:p>
            <w:pPr>
              <w:spacing w:after="20" w:before="0"/>
            </w:pPr>
            <w:r/>
            <w:r>
              <w:rPr>
                <w:b w:val="0"/>
                <w:sz w:val="16"/>
              </w:rPr>
              <w:t>$1,655</w:t>
            </w:r>
          </w:p>
        </w:tc>
        <w:tc>
          <w:tcPr>
            <w:tcW w:type="dxa" w:w="1440"/>
            <w:shd w:val="clear" w:color="auto" w:fill="F2F2F2"/>
          </w:tcPr>
          <w:p>
            <w:pPr>
              <w:spacing w:after="20" w:before="0"/>
            </w:pPr>
            <w:r/>
            <w:r>
              <w:rPr>
                <w:b w:val="0"/>
                <w:sz w:val="16"/>
              </w:rPr>
              <w:t>3 yrs; 1-yr extensions; no max</w:t>
            </w:r>
          </w:p>
        </w:tc>
        <w:tc>
          <w:tcPr>
            <w:tcW w:type="dxa" w:w="1512"/>
            <w:shd w:val="clear" w:color="auto" w:fill="F2F2F2"/>
          </w:tcPr>
          <w:p>
            <w:pPr>
              <w:spacing w:after="20" w:before="0"/>
            </w:pPr>
            <w:r/>
            <w:r>
              <w:rPr>
                <w:b w:val="0"/>
                <w:sz w:val="16"/>
              </w:rPr>
              <w:t>Yes</w:t>
            </w:r>
          </w:p>
        </w:tc>
      </w:tr>
      <w:tr>
        <w:tc>
          <w:tcPr>
            <w:tcW w:type="dxa" w:w="1080"/>
            <w:shd w:val="clear" w:color="auto" w:fill="D9E2F3"/>
          </w:tcPr>
          <w:p>
            <w:pPr>
              <w:spacing w:after="20" w:before="0"/>
            </w:pPr>
            <w:r/>
            <w:r>
              <w:rPr>
                <w:b/>
                <w:sz w:val="16"/>
              </w:rPr>
              <w:t>O-1B</w:t>
            </w:r>
          </w:p>
        </w:tc>
        <w:tc>
          <w:tcPr>
            <w:tcW w:type="dxa" w:w="3168"/>
          </w:tcPr>
          <w:p>
            <w:pPr>
              <w:spacing w:after="20" w:before="0"/>
            </w:pPr>
            <w:r/>
            <w:r>
              <w:rPr>
                <w:b w:val="0"/>
                <w:sz w:val="16"/>
              </w:rPr>
              <w:t>Artists/entertainers (not engineers)</w:t>
            </w:r>
          </w:p>
        </w:tc>
        <w:tc>
          <w:tcPr>
            <w:tcW w:type="dxa" w:w="2088"/>
          </w:tcPr>
          <w:p>
            <w:pPr>
              <w:spacing w:after="20" w:before="0"/>
            </w:pPr>
            <w:r/>
            <w:r>
              <w:rPr>
                <w:b w:val="0"/>
                <w:sz w:val="16"/>
              </w:rPr>
              <w:t>No</w:t>
            </w:r>
          </w:p>
        </w:tc>
        <w:tc>
          <w:tcPr>
            <w:tcW w:type="dxa" w:w="1944"/>
          </w:tcPr>
          <w:p>
            <w:pPr>
              <w:spacing w:after="20" w:before="0"/>
            </w:pPr>
            <w:r/>
            <w:r>
              <w:rPr>
                <w:b w:val="0"/>
                <w:sz w:val="16"/>
              </w:rPr>
              <w:t>Yes (employer or agent)</w:t>
            </w:r>
          </w:p>
        </w:tc>
        <w:tc>
          <w:tcPr>
            <w:tcW w:type="dxa" w:w="792"/>
          </w:tcPr>
          <w:p>
            <w:pPr>
              <w:spacing w:after="20" w:before="0"/>
            </w:pPr>
            <w:r/>
            <w:r>
              <w:rPr>
                <w:b w:val="0"/>
                <w:sz w:val="16"/>
              </w:rPr>
              <w:t>No</w:t>
            </w:r>
          </w:p>
        </w:tc>
        <w:tc>
          <w:tcPr>
            <w:tcW w:type="dxa" w:w="1800"/>
          </w:tcPr>
          <w:p>
            <w:pPr>
              <w:spacing w:after="20" w:before="0"/>
            </w:pPr>
            <w:r/>
            <w:r>
              <w:rPr>
                <w:b w:val="0"/>
                <w:sz w:val="16"/>
              </w:rPr>
              <w:t>$1,655</w:t>
            </w:r>
          </w:p>
        </w:tc>
        <w:tc>
          <w:tcPr>
            <w:tcW w:type="dxa" w:w="1440"/>
          </w:tcPr>
          <w:p>
            <w:pPr>
              <w:spacing w:after="20" w:before="0"/>
            </w:pPr>
            <w:r/>
            <w:r>
              <w:rPr>
                <w:b w:val="0"/>
                <w:sz w:val="16"/>
              </w:rPr>
              <w:t>3 yrs; 1-yr extensions; no max</w:t>
            </w:r>
          </w:p>
        </w:tc>
        <w:tc>
          <w:tcPr>
            <w:tcW w:type="dxa" w:w="1512"/>
          </w:tcPr>
          <w:p>
            <w:pPr>
              <w:spacing w:after="20" w:before="0"/>
            </w:pPr>
            <w:r/>
            <w:r>
              <w:rPr>
                <w:b w:val="0"/>
                <w:sz w:val="16"/>
              </w:rPr>
              <w:t>Yes</w:t>
            </w:r>
          </w:p>
        </w:tc>
      </w:tr>
      <w:tr>
        <w:tc>
          <w:tcPr>
            <w:tcW w:type="dxa" w:w="1080"/>
            <w:shd w:val="clear" w:color="auto" w:fill="D9E2F3"/>
          </w:tcPr>
          <w:p>
            <w:pPr>
              <w:spacing w:after="20" w:before="0"/>
            </w:pPr>
            <w:r/>
            <w:r>
              <w:rPr>
                <w:b/>
                <w:sz w:val="16"/>
              </w:rPr>
              <w:t>L-1A</w:t>
            </w:r>
          </w:p>
        </w:tc>
        <w:tc>
          <w:tcPr>
            <w:tcW w:type="dxa" w:w="3168"/>
            <w:shd w:val="clear" w:color="auto" w:fill="F2F2F2"/>
          </w:tcPr>
          <w:p>
            <w:pPr>
              <w:spacing w:after="20" w:before="0"/>
            </w:pPr>
            <w:r/>
            <w:r>
              <w:rPr>
                <w:b w:val="0"/>
                <w:sz w:val="16"/>
              </w:rPr>
              <w:t>1 yr at Aethon Taiwan/GmbH in last 3; U.S. manager/executive role</w:t>
            </w:r>
          </w:p>
        </w:tc>
        <w:tc>
          <w:tcPr>
            <w:tcW w:type="dxa" w:w="2088"/>
            <w:shd w:val="clear" w:color="auto" w:fill="F2F2F2"/>
          </w:tcPr>
          <w:p>
            <w:pPr>
              <w:spacing w:after="20" w:before="0"/>
            </w:pPr>
            <w:r/>
            <w:r>
              <w:rPr>
                <w:b w:val="0"/>
                <w:sz w:val="16"/>
              </w:rPr>
              <w:t>No</w:t>
            </w:r>
          </w:p>
        </w:tc>
        <w:tc>
          <w:tcPr>
            <w:tcW w:type="dxa" w:w="1944"/>
            <w:shd w:val="clear" w:color="auto" w:fill="F2F2F2"/>
          </w:tcPr>
          <w:p>
            <w:pPr>
              <w:spacing w:after="20" w:before="0"/>
            </w:pPr>
            <w:r/>
            <w:r>
              <w:rPr>
                <w:b w:val="0"/>
                <w:sz w:val="16"/>
              </w:rPr>
              <w:t>Yes (Aethon)</w:t>
            </w:r>
          </w:p>
        </w:tc>
        <w:tc>
          <w:tcPr>
            <w:tcW w:type="dxa" w:w="792"/>
            <w:shd w:val="clear" w:color="auto" w:fill="F2F2F2"/>
          </w:tcPr>
          <w:p>
            <w:pPr>
              <w:spacing w:after="20" w:before="0"/>
            </w:pPr>
            <w:r/>
            <w:r>
              <w:rPr>
                <w:b w:val="0"/>
                <w:sz w:val="16"/>
              </w:rPr>
              <w:t>No</w:t>
            </w:r>
          </w:p>
        </w:tc>
        <w:tc>
          <w:tcPr>
            <w:tcW w:type="dxa" w:w="1800"/>
            <w:shd w:val="clear" w:color="auto" w:fill="F2F2F2"/>
          </w:tcPr>
          <w:p>
            <w:pPr>
              <w:spacing w:after="20" w:before="0"/>
            </w:pPr>
            <w:r/>
            <w:r>
              <w:rPr>
                <w:b w:val="0"/>
                <w:sz w:val="16"/>
              </w:rPr>
              <w:t>$2,485</w:t>
            </w:r>
          </w:p>
        </w:tc>
        <w:tc>
          <w:tcPr>
            <w:tcW w:type="dxa" w:w="1440"/>
            <w:shd w:val="clear" w:color="auto" w:fill="F2F2F2"/>
          </w:tcPr>
          <w:p>
            <w:pPr>
              <w:spacing w:after="20" w:before="0"/>
            </w:pPr>
            <w:r/>
            <w:r>
              <w:rPr>
                <w:b w:val="0"/>
                <w:sz w:val="16"/>
              </w:rPr>
              <w:t>3 yrs + 2 + 2 = 7</w:t>
            </w:r>
          </w:p>
        </w:tc>
        <w:tc>
          <w:tcPr>
            <w:tcW w:type="dxa" w:w="1512"/>
            <w:shd w:val="clear" w:color="auto" w:fill="F2F2F2"/>
          </w:tcPr>
          <w:p>
            <w:pPr>
              <w:spacing w:after="20" w:before="0"/>
            </w:pPr>
            <w:r/>
            <w:r>
              <w:rPr>
                <w:b w:val="0"/>
                <w:sz w:val="16"/>
              </w:rPr>
              <w:t>Yes</w:t>
            </w:r>
          </w:p>
        </w:tc>
      </w:tr>
      <w:tr>
        <w:tc>
          <w:tcPr>
            <w:tcW w:type="dxa" w:w="1080"/>
            <w:shd w:val="clear" w:color="auto" w:fill="D9E2F3"/>
          </w:tcPr>
          <w:p>
            <w:pPr>
              <w:spacing w:after="20" w:before="0"/>
            </w:pPr>
            <w:r/>
            <w:r>
              <w:rPr>
                <w:b/>
                <w:sz w:val="16"/>
              </w:rPr>
              <w:t>L-1B</w:t>
            </w:r>
          </w:p>
        </w:tc>
        <w:tc>
          <w:tcPr>
            <w:tcW w:type="dxa" w:w="3168"/>
          </w:tcPr>
          <w:p>
            <w:pPr>
              <w:spacing w:after="20" w:before="0"/>
            </w:pPr>
            <w:r/>
            <w:r>
              <w:rPr>
                <w:b w:val="0"/>
                <w:sz w:val="16"/>
              </w:rPr>
              <w:t>1 yr at Aethon Taiwan/GmbH in last 3; special or advanced proprietary knowledge</w:t>
            </w:r>
          </w:p>
        </w:tc>
        <w:tc>
          <w:tcPr>
            <w:tcW w:type="dxa" w:w="2088"/>
          </w:tcPr>
          <w:p>
            <w:pPr>
              <w:spacing w:after="20" w:before="0"/>
            </w:pPr>
            <w:r/>
            <w:r>
              <w:rPr>
                <w:b w:val="0"/>
                <w:sz w:val="16"/>
              </w:rPr>
              <w:t>No</w:t>
            </w:r>
          </w:p>
        </w:tc>
        <w:tc>
          <w:tcPr>
            <w:tcW w:type="dxa" w:w="1944"/>
          </w:tcPr>
          <w:p>
            <w:pPr>
              <w:spacing w:after="20" w:before="0"/>
            </w:pPr>
            <w:r/>
            <w:r>
              <w:rPr>
                <w:b w:val="0"/>
                <w:sz w:val="16"/>
              </w:rPr>
              <w:t>Yes (Aethon)</w:t>
            </w:r>
          </w:p>
        </w:tc>
        <w:tc>
          <w:tcPr>
            <w:tcW w:type="dxa" w:w="792"/>
          </w:tcPr>
          <w:p>
            <w:pPr>
              <w:spacing w:after="20" w:before="0"/>
            </w:pPr>
            <w:r/>
            <w:r>
              <w:rPr>
                <w:b w:val="0"/>
                <w:sz w:val="16"/>
              </w:rPr>
              <w:t>No</w:t>
            </w:r>
          </w:p>
        </w:tc>
        <w:tc>
          <w:tcPr>
            <w:tcW w:type="dxa" w:w="1800"/>
          </w:tcPr>
          <w:p>
            <w:pPr>
              <w:spacing w:after="20" w:before="0"/>
            </w:pPr>
            <w:r/>
            <w:r>
              <w:rPr>
                <w:b w:val="0"/>
                <w:sz w:val="16"/>
              </w:rPr>
              <w:t>$2,485</w:t>
            </w:r>
          </w:p>
        </w:tc>
        <w:tc>
          <w:tcPr>
            <w:tcW w:type="dxa" w:w="1440"/>
          </w:tcPr>
          <w:p>
            <w:pPr>
              <w:spacing w:after="20" w:before="0"/>
            </w:pPr>
            <w:r/>
            <w:r>
              <w:rPr>
                <w:b w:val="0"/>
                <w:sz w:val="16"/>
              </w:rPr>
              <w:t>3 yrs + 2 = 5</w:t>
            </w:r>
          </w:p>
        </w:tc>
        <w:tc>
          <w:tcPr>
            <w:tcW w:type="dxa" w:w="1512"/>
          </w:tcPr>
          <w:p>
            <w:pPr>
              <w:spacing w:after="20" w:before="0"/>
            </w:pPr>
            <w:r/>
            <w:r>
              <w:rPr>
                <w:b w:val="0"/>
                <w:sz w:val="16"/>
              </w:rPr>
              <w:t>Yes</w:t>
            </w:r>
          </w:p>
        </w:tc>
      </w:tr>
      <w:tr>
        <w:tc>
          <w:tcPr>
            <w:tcW w:type="dxa" w:w="1080"/>
            <w:shd w:val="clear" w:color="auto" w:fill="D9E2F3"/>
          </w:tcPr>
          <w:p>
            <w:pPr>
              <w:spacing w:after="20" w:before="0"/>
            </w:pPr>
            <w:r/>
            <w:r>
              <w:rPr>
                <w:b/>
                <w:sz w:val="16"/>
              </w:rPr>
              <w:t>EB-1A</w:t>
            </w:r>
          </w:p>
        </w:tc>
        <w:tc>
          <w:tcPr>
            <w:tcW w:type="dxa" w:w="3168"/>
            <w:shd w:val="clear" w:color="auto" w:fill="F2F2F2"/>
          </w:tcPr>
          <w:p>
            <w:pPr>
              <w:spacing w:after="20" w:before="0"/>
            </w:pPr>
            <w:r/>
            <w:r>
              <w:rPr>
                <w:b w:val="0"/>
                <w:sz w:val="16"/>
              </w:rPr>
              <w:t>Green card; top of field, sustained acclaim (3 of 10 + final merits)</w:t>
            </w:r>
          </w:p>
        </w:tc>
        <w:tc>
          <w:tcPr>
            <w:tcW w:type="dxa" w:w="2088"/>
            <w:shd w:val="clear" w:color="auto" w:fill="F2F2F2"/>
          </w:tcPr>
          <w:p>
            <w:pPr>
              <w:spacing w:after="20" w:before="0"/>
            </w:pPr>
            <w:r/>
            <w:r>
              <w:rPr>
                <w:b w:val="0"/>
                <w:sz w:val="16"/>
              </w:rPr>
              <w:t>Annual EB-1 limit + per-country (Visa Bulletin)</w:t>
            </w:r>
          </w:p>
        </w:tc>
        <w:tc>
          <w:tcPr>
            <w:tcW w:type="dxa" w:w="1944"/>
            <w:shd w:val="clear" w:color="auto" w:fill="F2F2F2"/>
          </w:tcPr>
          <w:p>
            <w:pPr>
              <w:spacing w:after="20" w:before="0"/>
            </w:pPr>
            <w:r/>
            <w:r>
              <w:rPr>
                <w:b w:val="0"/>
                <w:sz w:val="16"/>
              </w:rPr>
              <w:t>No (self-petition allowed)</w:t>
            </w:r>
          </w:p>
        </w:tc>
        <w:tc>
          <w:tcPr>
            <w:tcW w:type="dxa" w:w="792"/>
            <w:shd w:val="clear" w:color="auto" w:fill="F2F2F2"/>
          </w:tcPr>
          <w:p>
            <w:pPr>
              <w:spacing w:after="20" w:before="0"/>
            </w:pPr>
            <w:r/>
            <w:r>
              <w:rPr>
                <w:b w:val="0"/>
                <w:sz w:val="16"/>
              </w:rPr>
              <w:t>No</w:t>
            </w:r>
          </w:p>
        </w:tc>
        <w:tc>
          <w:tcPr>
            <w:tcW w:type="dxa" w:w="1800"/>
            <w:shd w:val="clear" w:color="auto" w:fill="F2F2F2"/>
          </w:tcPr>
          <w:p>
            <w:pPr>
              <w:spacing w:after="20" w:before="0"/>
            </w:pPr>
            <w:r/>
            <w:r>
              <w:rPr>
                <w:b w:val="0"/>
                <w:sz w:val="16"/>
              </w:rPr>
              <w:t>$1,315 (I-140 + Asylum)</w:t>
            </w:r>
          </w:p>
        </w:tc>
        <w:tc>
          <w:tcPr>
            <w:tcW w:type="dxa" w:w="1440"/>
            <w:shd w:val="clear" w:color="auto" w:fill="F2F2F2"/>
          </w:tcPr>
          <w:p>
            <w:pPr>
              <w:spacing w:after="20" w:before="0"/>
            </w:pPr>
            <w:r/>
            <w:r>
              <w:rPr>
                <w:b w:val="0"/>
                <w:sz w:val="16"/>
              </w:rPr>
              <w:t>Permanent</w:t>
            </w:r>
          </w:p>
        </w:tc>
        <w:tc>
          <w:tcPr>
            <w:tcW w:type="dxa" w:w="1512"/>
            <w:shd w:val="clear" w:color="auto" w:fill="F2F2F2"/>
          </w:tcPr>
          <w:p>
            <w:pPr>
              <w:spacing w:after="20" w:before="0"/>
            </w:pPr>
            <w:r/>
            <w:r>
              <w:rPr>
                <w:b w:val="0"/>
                <w:sz w:val="16"/>
              </w:rPr>
              <w:t>Yes (15 business days)</w:t>
            </w:r>
          </w:p>
        </w:tc>
      </w:tr>
      <w:tr>
        <w:tc>
          <w:tcPr>
            <w:tcW w:type="dxa" w:w="1080"/>
            <w:shd w:val="clear" w:color="auto" w:fill="D9E2F3"/>
          </w:tcPr>
          <w:p>
            <w:pPr>
              <w:spacing w:after="20" w:before="0"/>
            </w:pPr>
            <w:r/>
            <w:r>
              <w:rPr>
                <w:b/>
                <w:sz w:val="16"/>
              </w:rPr>
              <w:t>EB-1B</w:t>
            </w:r>
          </w:p>
        </w:tc>
        <w:tc>
          <w:tcPr>
            <w:tcW w:type="dxa" w:w="3168"/>
          </w:tcPr>
          <w:p>
            <w:pPr>
              <w:spacing w:after="20" w:before="0"/>
            </w:pPr>
            <w:r/>
            <w:r>
              <w:rPr>
                <w:b w:val="0"/>
                <w:sz w:val="16"/>
              </w:rPr>
              <w:t>Green card; internationally recognized researcher, 3+ yrs research (2 of 6)</w:t>
            </w:r>
          </w:p>
        </w:tc>
        <w:tc>
          <w:tcPr>
            <w:tcW w:type="dxa" w:w="2088"/>
          </w:tcPr>
          <w:p>
            <w:pPr>
              <w:spacing w:after="20" w:before="0"/>
            </w:pPr>
            <w:r/>
            <w:r>
              <w:rPr>
                <w:b w:val="0"/>
                <w:sz w:val="16"/>
              </w:rPr>
              <w:t>Annual EB-1 limit + per-country</w:t>
            </w:r>
          </w:p>
        </w:tc>
        <w:tc>
          <w:tcPr>
            <w:tcW w:type="dxa" w:w="1944"/>
          </w:tcPr>
          <w:p>
            <w:pPr>
              <w:spacing w:after="20" w:before="0"/>
            </w:pPr>
            <w:r/>
            <w:r>
              <w:rPr>
                <w:b w:val="0"/>
                <w:sz w:val="16"/>
              </w:rPr>
              <w:t>Yes — permanent research job; employer has 3+ full-time researchers</w:t>
            </w:r>
          </w:p>
        </w:tc>
        <w:tc>
          <w:tcPr>
            <w:tcW w:type="dxa" w:w="792"/>
          </w:tcPr>
          <w:p>
            <w:pPr>
              <w:spacing w:after="20" w:before="0"/>
            </w:pPr>
            <w:r/>
            <w:r>
              <w:rPr>
                <w:b w:val="0"/>
                <w:sz w:val="16"/>
              </w:rPr>
              <w:t>No</w:t>
            </w:r>
          </w:p>
        </w:tc>
        <w:tc>
          <w:tcPr>
            <w:tcW w:type="dxa" w:w="1800"/>
          </w:tcPr>
          <w:p>
            <w:pPr>
              <w:spacing w:after="20" w:before="0"/>
            </w:pPr>
            <w:r/>
            <w:r>
              <w:rPr>
                <w:b w:val="0"/>
                <w:sz w:val="16"/>
              </w:rPr>
              <w:t>$1,315</w:t>
            </w:r>
          </w:p>
        </w:tc>
        <w:tc>
          <w:tcPr>
            <w:tcW w:type="dxa" w:w="1440"/>
          </w:tcPr>
          <w:p>
            <w:pPr>
              <w:spacing w:after="20" w:before="0"/>
            </w:pPr>
            <w:r/>
            <w:r>
              <w:rPr>
                <w:b w:val="0"/>
                <w:sz w:val="16"/>
              </w:rPr>
              <w:t>Permanent</w:t>
            </w:r>
          </w:p>
        </w:tc>
        <w:tc>
          <w:tcPr>
            <w:tcW w:type="dxa" w:w="1512"/>
          </w:tcPr>
          <w:p>
            <w:pPr>
              <w:spacing w:after="20" w:before="0"/>
            </w:pPr>
            <w:r/>
            <w:r>
              <w:rPr>
                <w:b w:val="0"/>
                <w:sz w:val="16"/>
              </w:rPr>
              <w:t>Yes (15 business days)</w:t>
            </w:r>
          </w:p>
        </w:tc>
      </w:tr>
      <w:tr>
        <w:tc>
          <w:tcPr>
            <w:tcW w:type="dxa" w:w="1080"/>
            <w:shd w:val="clear" w:color="auto" w:fill="D9E2F3"/>
          </w:tcPr>
          <w:p>
            <w:pPr>
              <w:spacing w:after="20" w:before="0"/>
            </w:pPr>
            <w:r/>
            <w:r>
              <w:rPr>
                <w:b/>
                <w:sz w:val="16"/>
              </w:rPr>
              <w:t>EB-2 (PERM)</w:t>
            </w:r>
          </w:p>
        </w:tc>
        <w:tc>
          <w:tcPr>
            <w:tcW w:type="dxa" w:w="3168"/>
            <w:shd w:val="clear" w:color="auto" w:fill="F2F2F2"/>
          </w:tcPr>
          <w:p>
            <w:pPr>
              <w:spacing w:after="20" w:before="0"/>
            </w:pPr>
            <w:r/>
            <w:r>
              <w:rPr>
                <w:b w:val="0"/>
                <w:sz w:val="16"/>
              </w:rPr>
              <w:t>Green card; job requires master’s (or BA + 5 yrs); DOL labor market test</w:t>
            </w:r>
          </w:p>
        </w:tc>
        <w:tc>
          <w:tcPr>
            <w:tcW w:type="dxa" w:w="2088"/>
            <w:shd w:val="clear" w:color="auto" w:fill="F2F2F2"/>
          </w:tcPr>
          <w:p>
            <w:pPr>
              <w:spacing w:after="20" w:before="0"/>
            </w:pPr>
            <w:r/>
            <w:r>
              <w:rPr>
                <w:b w:val="0"/>
                <w:sz w:val="16"/>
              </w:rPr>
              <w:t>Annual EB-2 limit + per-country (India backlog)</w:t>
            </w:r>
          </w:p>
        </w:tc>
        <w:tc>
          <w:tcPr>
            <w:tcW w:type="dxa" w:w="1944"/>
            <w:shd w:val="clear" w:color="auto" w:fill="F2F2F2"/>
          </w:tcPr>
          <w:p>
            <w:pPr>
              <w:spacing w:after="20" w:before="0"/>
            </w:pPr>
            <w:r/>
            <w:r>
              <w:rPr>
                <w:b w:val="0"/>
                <w:sz w:val="16"/>
              </w:rPr>
              <w:t>Yes</w:t>
            </w:r>
          </w:p>
        </w:tc>
        <w:tc>
          <w:tcPr>
            <w:tcW w:type="dxa" w:w="792"/>
            <w:shd w:val="clear" w:color="auto" w:fill="F2F2F2"/>
          </w:tcPr>
          <w:p>
            <w:pPr>
              <w:spacing w:after="20" w:before="0"/>
            </w:pPr>
            <w:r/>
            <w:r>
              <w:rPr>
                <w:b w:val="0"/>
                <w:sz w:val="16"/>
              </w:rPr>
              <w:t>Yes</w:t>
            </w:r>
          </w:p>
        </w:tc>
        <w:tc>
          <w:tcPr>
            <w:tcW w:type="dxa" w:w="1800"/>
            <w:shd w:val="clear" w:color="auto" w:fill="F2F2F2"/>
          </w:tcPr>
          <w:p>
            <w:pPr>
              <w:spacing w:after="20" w:before="0"/>
            </w:pPr>
            <w:r/>
            <w:r>
              <w:rPr>
                <w:b w:val="0"/>
                <w:sz w:val="16"/>
              </w:rPr>
              <w:t>$1,315 (no DOL fee); PERM costs paid by Aethon</w:t>
            </w:r>
          </w:p>
        </w:tc>
        <w:tc>
          <w:tcPr>
            <w:tcW w:type="dxa" w:w="1440"/>
            <w:shd w:val="clear" w:color="auto" w:fill="F2F2F2"/>
          </w:tcPr>
          <w:p>
            <w:pPr>
              <w:spacing w:after="20" w:before="0"/>
            </w:pPr>
            <w:r/>
            <w:r>
              <w:rPr>
                <w:b w:val="0"/>
                <w:sz w:val="16"/>
              </w:rPr>
              <w:t>Permanent</w:t>
            </w:r>
          </w:p>
        </w:tc>
        <w:tc>
          <w:tcPr>
            <w:tcW w:type="dxa" w:w="1512"/>
            <w:shd w:val="clear" w:color="auto" w:fill="F2F2F2"/>
          </w:tcPr>
          <w:p>
            <w:pPr>
              <w:spacing w:after="20" w:before="0"/>
            </w:pPr>
            <w:r/>
            <w:r>
              <w:rPr>
                <w:b w:val="0"/>
                <w:sz w:val="16"/>
              </w:rPr>
              <w:t>I-140 only (15 business days)</w:t>
            </w:r>
          </w:p>
        </w:tc>
      </w:tr>
      <w:tr>
        <w:tc>
          <w:tcPr>
            <w:tcW w:type="dxa" w:w="1080"/>
            <w:shd w:val="clear" w:color="auto" w:fill="D9E2F3"/>
          </w:tcPr>
          <w:p>
            <w:pPr>
              <w:spacing w:after="20" w:before="0"/>
            </w:pPr>
            <w:r/>
            <w:r>
              <w:rPr>
                <w:b/>
                <w:sz w:val="16"/>
              </w:rPr>
              <w:t>EB-2 NIW</w:t>
            </w:r>
          </w:p>
        </w:tc>
        <w:tc>
          <w:tcPr>
            <w:tcW w:type="dxa" w:w="3168"/>
          </w:tcPr>
          <w:p>
            <w:pPr>
              <w:spacing w:after="20" w:before="0"/>
            </w:pPr>
            <w:r/>
            <w:r>
              <w:rPr>
                <w:b w:val="0"/>
                <w:sz w:val="16"/>
              </w:rPr>
              <w:t>Green card; advanced degree + nationally important work (3 Dhanasar prongs)</w:t>
            </w:r>
          </w:p>
        </w:tc>
        <w:tc>
          <w:tcPr>
            <w:tcW w:type="dxa" w:w="2088"/>
          </w:tcPr>
          <w:p>
            <w:pPr>
              <w:spacing w:after="20" w:before="0"/>
            </w:pPr>
            <w:r/>
            <w:r>
              <w:rPr>
                <w:b w:val="0"/>
                <w:sz w:val="16"/>
              </w:rPr>
              <w:t>Annual EB-2 limit + per-country</w:t>
            </w:r>
          </w:p>
        </w:tc>
        <w:tc>
          <w:tcPr>
            <w:tcW w:type="dxa" w:w="1944"/>
          </w:tcPr>
          <w:p>
            <w:pPr>
              <w:spacing w:after="20" w:before="0"/>
            </w:pPr>
            <w:r/>
            <w:r>
              <w:rPr>
                <w:b w:val="0"/>
                <w:sz w:val="16"/>
              </w:rPr>
              <w:t>No (self-petition allowed)</w:t>
            </w:r>
          </w:p>
        </w:tc>
        <w:tc>
          <w:tcPr>
            <w:tcW w:type="dxa" w:w="792"/>
          </w:tcPr>
          <w:p>
            <w:pPr>
              <w:spacing w:after="20" w:before="0"/>
            </w:pPr>
            <w:r/>
            <w:r>
              <w:rPr>
                <w:b w:val="0"/>
                <w:sz w:val="16"/>
              </w:rPr>
              <w:t>No (waived)</w:t>
            </w:r>
          </w:p>
        </w:tc>
        <w:tc>
          <w:tcPr>
            <w:tcW w:type="dxa" w:w="1800"/>
          </w:tcPr>
          <w:p>
            <w:pPr>
              <w:spacing w:after="20" w:before="0"/>
            </w:pPr>
            <w:r/>
            <w:r>
              <w:rPr>
                <w:b w:val="0"/>
                <w:sz w:val="16"/>
              </w:rPr>
              <w:t>$1,315</w:t>
            </w:r>
          </w:p>
        </w:tc>
        <w:tc>
          <w:tcPr>
            <w:tcW w:type="dxa" w:w="1440"/>
          </w:tcPr>
          <w:p>
            <w:pPr>
              <w:spacing w:after="20" w:before="0"/>
            </w:pPr>
            <w:r/>
            <w:r>
              <w:rPr>
                <w:b w:val="0"/>
                <w:sz w:val="16"/>
              </w:rPr>
              <w:t>Permanent</w:t>
            </w:r>
          </w:p>
        </w:tc>
        <w:tc>
          <w:tcPr>
            <w:tcW w:type="dxa" w:w="1512"/>
          </w:tcPr>
          <w:p>
            <w:pPr>
              <w:spacing w:after="20" w:before="0"/>
            </w:pPr>
            <w:r/>
            <w:r>
              <w:rPr>
                <w:b w:val="0"/>
                <w:sz w:val="16"/>
              </w:rPr>
              <w:t>Yes (45 business days)</w:t>
            </w:r>
          </w:p>
        </w:tc>
      </w:tr>
      <w:tr>
        <w:tc>
          <w:tcPr>
            <w:tcW w:type="dxa" w:w="1080"/>
            <w:shd w:val="clear" w:color="auto" w:fill="D9E2F3"/>
          </w:tcPr>
          <w:p>
            <w:pPr>
              <w:spacing w:after="20" w:before="0"/>
            </w:pPr>
            <w:r/>
            <w:r>
              <w:rPr>
                <w:b/>
                <w:sz w:val="16"/>
              </w:rPr>
              <w:t>TN</w:t>
            </w:r>
          </w:p>
        </w:tc>
        <w:tc>
          <w:tcPr>
            <w:tcW w:type="dxa" w:w="3168"/>
            <w:shd w:val="clear" w:color="auto" w:fill="F2F2F2"/>
          </w:tcPr>
          <w:p>
            <w:pPr>
              <w:spacing w:after="20" w:before="0"/>
            </w:pPr>
            <w:r/>
            <w:r>
              <w:rPr>
                <w:b w:val="0"/>
                <w:sz w:val="16"/>
              </w:rPr>
              <w:t>Canadian/Mexican citizen in a USMCA-listed profession</w:t>
            </w:r>
          </w:p>
        </w:tc>
        <w:tc>
          <w:tcPr>
            <w:tcW w:type="dxa" w:w="2088"/>
            <w:shd w:val="clear" w:color="auto" w:fill="F2F2F2"/>
          </w:tcPr>
          <w:p>
            <w:pPr>
              <w:spacing w:after="20" w:before="0"/>
            </w:pPr>
            <w:r/>
            <w:r>
              <w:rPr>
                <w:b w:val="0"/>
                <w:sz w:val="16"/>
              </w:rPr>
              <w:t>No</w:t>
            </w:r>
          </w:p>
        </w:tc>
        <w:tc>
          <w:tcPr>
            <w:tcW w:type="dxa" w:w="1944"/>
            <w:shd w:val="clear" w:color="auto" w:fill="F2F2F2"/>
          </w:tcPr>
          <w:p>
            <w:pPr>
              <w:spacing w:after="20" w:before="0"/>
            </w:pPr>
            <w:r/>
            <w:r>
              <w:rPr>
                <w:b w:val="0"/>
                <w:sz w:val="16"/>
              </w:rPr>
              <w:t>Job offer/support letter; I-129 only for in-U.S. filings</w:t>
            </w:r>
          </w:p>
        </w:tc>
        <w:tc>
          <w:tcPr>
            <w:tcW w:type="dxa" w:w="792"/>
            <w:shd w:val="clear" w:color="auto" w:fill="F2F2F2"/>
          </w:tcPr>
          <w:p>
            <w:pPr>
              <w:spacing w:after="20" w:before="0"/>
            </w:pPr>
            <w:r/>
            <w:r>
              <w:rPr>
                <w:b w:val="0"/>
                <w:sz w:val="16"/>
              </w:rPr>
              <w:t>No</w:t>
            </w:r>
          </w:p>
        </w:tc>
        <w:tc>
          <w:tcPr>
            <w:tcW w:type="dxa" w:w="1800"/>
            <w:shd w:val="clear" w:color="auto" w:fill="F2F2F2"/>
          </w:tcPr>
          <w:p>
            <w:pPr>
              <w:spacing w:after="20" w:before="0"/>
            </w:pPr>
            <w:r/>
            <w:r>
              <w:rPr>
                <w:b w:val="0"/>
                <w:sz w:val="16"/>
              </w:rPr>
              <w:t>$50 border (Canada); $185 visa (Mexico); $1,615 if I-129</w:t>
            </w:r>
          </w:p>
        </w:tc>
        <w:tc>
          <w:tcPr>
            <w:tcW w:type="dxa" w:w="1440"/>
            <w:shd w:val="clear" w:color="auto" w:fill="F2F2F2"/>
          </w:tcPr>
          <w:p>
            <w:pPr>
              <w:spacing w:after="20" w:before="0"/>
            </w:pPr>
            <w:r/>
            <w:r>
              <w:rPr>
                <w:b w:val="0"/>
                <w:sz w:val="16"/>
              </w:rPr>
              <w:t>3 yrs; unlimited renewals</w:t>
            </w:r>
          </w:p>
        </w:tc>
        <w:tc>
          <w:tcPr>
            <w:tcW w:type="dxa" w:w="1512"/>
            <w:shd w:val="clear" w:color="auto" w:fill="F2F2F2"/>
          </w:tcPr>
          <w:p>
            <w:pPr>
              <w:spacing w:after="20" w:before="0"/>
            </w:pPr>
            <w:r/>
            <w:r>
              <w:rPr>
                <w:b w:val="0"/>
                <w:sz w:val="16"/>
              </w:rPr>
              <w:t>Yes (I-129 only)</w:t>
            </w:r>
          </w:p>
        </w:tc>
      </w:tr>
    </w:tbl>
    <w:p>
      <w:pPr>
        <w:spacing w:after="80"/>
      </w:pPr>
      <w:r>
        <w:rPr>
          <w:b w:val="0"/>
          <w:i/>
          <w:sz w:val="16"/>
        </w:rPr>
        <w:t xml:space="preserve">Premium processing fee: $2,805 for requests filed before February 26, 2025; </w:t>
      </w:r>
      <w:r>
        <w:rPr>
          <w:b/>
          <w:i/>
          <w:sz w:val="16"/>
        </w:rPr>
        <w:t>$2,965</w:t>
      </w:r>
      <w:r>
        <w:rPr>
          <w:b w:val="0"/>
          <w:i/>
          <w:sz w:val="16"/>
        </w:rPr>
        <w:t xml:space="preserve"> on or after that date. Fees per Part C.</w:t>
      </w:r>
    </w:p>
    <w:p>
      <w:pPr>
        <w:pStyle w:val="Heading1"/>
      </w:pPr>
      <w:r>
        <w:t>Part B — Detailed Eligibility Matrix (seven requested fields per category)</w:t>
      </w:r>
    </w:p>
    <w:p>
      <w:pPr>
        <w:spacing w:after="80"/>
      </w:pPr>
      <w:r>
        <w:rPr>
          <w:b w:val="0"/>
          <w:sz w:val="18"/>
        </w:rPr>
        <w:t>Column 2 states the requirement in plain language with citations. Column 3 identifies which firm document(s) address the point and any correction made (finding IDs refer to the separate Discrepancy Report).</w:t>
      </w:r>
    </w:p>
    <w:p>
      <w:pPr>
        <w:pStyle w:val="Heading2"/>
      </w:pPr>
      <w:r>
        <w:t>B.1  H-1B — Specialty Occupation Worker</w:t>
      </w:r>
    </w:p>
    <w:p>
      <w:pPr>
        <w:spacing w:after="80"/>
      </w:pPr>
      <w:r>
        <w:rPr>
          <w:b/>
          <w:sz w:val="18"/>
        </w:rPr>
        <w:t>In plain terms:</w:t>
      </w:r>
      <w:r>
        <w:rPr>
          <w:b w:val="0"/>
          <w:sz w:val="18"/>
        </w:rPr>
        <w:t xml:space="preserve"> For a professional job that genuinely requires at least a bachelor’s degree in a specific field, filled by someone holding that degree (or equivalent). Subject to the annual cap and lottery unless the candidate has already been counted against the cap.</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101(a)(15)(H)(i)(b) (classification); § 214(i) (specialty occupation definition); § 212(n) (Labor Condition Application); § 214(g) (cap, six-year limit, cap exemptions); § 214(n) (portability)</w:t>
            </w:r>
          </w:p>
          <w:p>
            <w:pPr>
              <w:spacing w:after="20" w:before="0"/>
              <w:ind w:left="173" w:hanging="144"/>
            </w:pPr>
            <w:r>
              <w:rPr>
                <w:b w:val="0"/>
                <w:sz w:val="16"/>
              </w:rPr>
              <w:t>• 8 C.F.R. § 214.2(h); 20 C.F.R. Part 655, Subparts H–I (LCA)</w:t>
            </w:r>
          </w:p>
          <w:p>
            <w:pPr>
              <w:spacing w:after="20" w:before="0"/>
              <w:ind w:left="173" w:hanging="144"/>
            </w:pPr>
            <w:r>
              <w:rPr>
                <w:b w:val="0"/>
                <w:sz w:val="16"/>
              </w:rPr>
              <w:t>• AC21 §§ 104(c), 105, 106(a)</w:t>
            </w:r>
          </w:p>
          <w:p>
            <w:pPr>
              <w:spacing w:after="20" w:before="0"/>
              <w:ind w:left="173" w:hanging="144"/>
            </w:pPr>
            <w:r>
              <w:rPr>
                <w:b w:val="0"/>
                <w:sz w:val="16"/>
              </w:rPr>
              <w:t>• 2024–2025 rulemakings: registration/beneficiary-centric selection final rule, 89 Fed. Reg. 7456 (Feb. 2, 2024); USCIS fee rule, 89 Fed. Reg. 6194 (Jan. 31, 2024; eff. Apr. 1, 2024); H-1B Modernization final rule, 89 Fed. Reg. 103054 (Dec. 18, 2024; eff. Jan. 17, 2025)</w:t>
            </w:r>
          </w:p>
          <w:p>
            <w:pPr>
              <w:spacing w:after="20" w:before="0"/>
              <w:ind w:left="173" w:hanging="144"/>
            </w:pPr>
            <w:r>
              <w:rPr>
                <w:b w:val="0"/>
                <w:sz w:val="16"/>
              </w:rPr>
              <w:t>• USCIS Policy Manual Vol. 2, Part H</w:t>
            </w:r>
          </w:p>
        </w:tc>
        <w:tc>
          <w:tcPr>
            <w:tcW w:type="dxa" w:w="3528"/>
          </w:tcPr>
          <w:p>
            <w:pPr>
              <w:spacing w:after="20" w:before="0"/>
            </w:pPr>
            <w:r/>
            <w:r>
              <w:rPr>
                <w:b w:val="0"/>
                <w:sz w:val="16"/>
              </w:rPr>
              <w:t>H-1B Summary §§ 1, 11; Memo § III. Correction: firm documents cite “89 FR 12345 (January 2024)” for the modernization rule — that citation does not correspond to the rules above (see Discrepancy STD-06).</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Holds a U.S. bachelor’s or higher degree, or foreign equivalent, in the specific specialty (or a directly related field) required by the job; OR</w:t>
            </w:r>
          </w:p>
          <w:p>
            <w:pPr>
              <w:spacing w:after="20" w:before="0"/>
              <w:ind w:left="173" w:hanging="144"/>
            </w:pPr>
            <w:r>
              <w:rPr>
                <w:b w:val="0"/>
                <w:sz w:val="16"/>
              </w:rPr>
              <w:t>• Has an equivalent combination of education, specialized training and progressively responsible experience (three years of experience = one year of college), 8 C.F.R. § 214.2(h)(4)(iii)(C)–(D)</w:t>
            </w:r>
          </w:p>
          <w:p>
            <w:pPr>
              <w:spacing w:after="20" w:before="0"/>
              <w:ind w:left="173" w:hanging="144"/>
            </w:pPr>
            <w:r>
              <w:rPr>
                <w:b w:val="0"/>
                <w:sz w:val="16"/>
              </w:rPr>
              <w:t>• Holds any state license the job legally requires</w:t>
            </w:r>
          </w:p>
          <w:p>
            <w:pPr>
              <w:spacing w:after="20" w:before="0"/>
              <w:ind w:left="173" w:hanging="144"/>
            </w:pPr>
            <w:r>
              <w:rPr>
                <w:b w:val="0"/>
                <w:sz w:val="16"/>
              </w:rPr>
              <w:t>• Has not exhausted the six-year H-1B/L limit (or has spent one year abroad to reset it)</w:t>
            </w:r>
          </w:p>
          <w:p>
            <w:pPr>
              <w:spacing w:after="20" w:before="0"/>
              <w:ind w:left="173" w:hanging="144"/>
            </w:pPr>
            <w:r>
              <w:rPr>
                <w:b w:val="0"/>
                <w:sz w:val="16"/>
              </w:rPr>
              <w:t>• Any nationality</w:t>
            </w:r>
          </w:p>
        </w:tc>
        <w:tc>
          <w:tcPr>
            <w:tcW w:type="dxa" w:w="3528"/>
          </w:tcPr>
          <w:p>
            <w:pPr>
              <w:spacing w:after="20" w:before="0"/>
            </w:pPr>
            <w:r/>
            <w:r>
              <w:rPr>
                <w:b w:val="0"/>
                <w:sz w:val="16"/>
              </w:rPr>
              <w:t>H-1B Summary § 2.2; Flowchart Node 3. Consistent across documents.</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xml:space="preserve">• U.S. employer with a </w:t>
            </w:r>
            <w:r>
              <w:rPr>
                <w:b/>
                <w:sz w:val="16"/>
              </w:rPr>
              <w:t>bona fide job offer</w:t>
            </w:r>
            <w:r>
              <w:rPr>
                <w:b w:val="0"/>
                <w:sz w:val="16"/>
              </w:rPr>
              <w:t xml:space="preserve"> for a specialty-occupation position; legal presence and amenable to service of process in the U.S. (Modernization rule replaced the former “employer-employee relationship” language)</w:t>
            </w:r>
          </w:p>
          <w:p>
            <w:pPr>
              <w:spacing w:after="20" w:before="0"/>
              <w:ind w:left="173" w:hanging="144"/>
            </w:pPr>
            <w:r>
              <w:rPr>
                <w:b w:val="0"/>
                <w:sz w:val="16"/>
              </w:rPr>
              <w:t>• Obtain a DOL-certified LCA (ETA-9035/9035E) before filing: pay the higher of actual or prevailing wage; no adverse effect on working conditions; no strike/lockout; notice to workers (10 business days, two locations, or electronic); maintain public access file</w:t>
            </w:r>
          </w:p>
          <w:p>
            <w:pPr>
              <w:spacing w:after="20" w:before="0"/>
              <w:ind w:left="173" w:hanging="144"/>
            </w:pPr>
            <w:r>
              <w:rPr>
                <w:b w:val="0"/>
                <w:sz w:val="16"/>
              </w:rPr>
              <w:t>• Submit an electronic registration in March (cap cases) and file Form I-129 only if selected</w:t>
            </w:r>
          </w:p>
          <w:p>
            <w:pPr>
              <w:spacing w:after="20" w:before="0"/>
              <w:ind w:left="173" w:hanging="144"/>
            </w:pPr>
            <w:r>
              <w:rPr>
                <w:b w:val="0"/>
                <w:sz w:val="16"/>
              </w:rPr>
              <w:t>• For third-party worksite placements, specialty-occupation status is judged by the third party’s actual requirements; document the real work assignment</w:t>
            </w:r>
          </w:p>
          <w:p>
            <w:pPr>
              <w:spacing w:after="20" w:before="0"/>
              <w:ind w:left="173" w:hanging="144"/>
            </w:pPr>
            <w:r>
              <w:rPr>
                <w:b w:val="0"/>
                <w:sz w:val="16"/>
              </w:rPr>
              <w:t xml:space="preserve">• Aethon is for-profit and </w:t>
            </w:r>
            <w:r>
              <w:rPr>
                <w:b/>
                <w:sz w:val="16"/>
              </w:rPr>
              <w:t>not cap-exempt</w:t>
            </w:r>
            <w:r>
              <w:rPr>
                <w:b w:val="0"/>
                <w:sz w:val="16"/>
              </w:rPr>
              <w:t xml:space="preserve"> as an employer</w:t>
            </w:r>
          </w:p>
        </w:tc>
        <w:tc>
          <w:tcPr>
            <w:tcW w:type="dxa" w:w="3528"/>
          </w:tcPr>
          <w:p>
            <w:pPr>
              <w:spacing w:after="20" w:before="0"/>
            </w:pPr>
            <w:r/>
            <w:r>
              <w:rPr>
                <w:b w:val="0"/>
                <w:sz w:val="16"/>
              </w:rPr>
              <w:t>H-1B Summary §§ 2.3, 3, 4. Correction: § 2.3 says the modernization rule “codified” a right-to-control test and itinerary documentation — not accurate (STD-05).</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Position meets at least ONE of four criteria, 8 C.F.R. § 214.2(h)(4)(iii)(A): (1) degree in a specific specialty normally the minimum requirement; (2) degree requirement common to the industry in parallel positions, or position so complex/unique it requires such a degree; (3) employer normally requires the degree; (4) duties so specialized/complex that the knowledge is usually associated with the degree</w:t>
            </w:r>
          </w:p>
          <w:p>
            <w:pPr>
              <w:spacing w:after="20" w:before="0"/>
              <w:ind w:left="173" w:hanging="144"/>
            </w:pPr>
            <w:r>
              <w:rPr>
                <w:b w:val="0"/>
                <w:sz w:val="16"/>
              </w:rPr>
              <w:t>• Evidence: detailed duty description tied to the degree field, degree and transcripts, credential evaluation for foreign degrees, certified LCA, offer letter, org chart</w:t>
            </w:r>
          </w:p>
          <w:p>
            <w:pPr>
              <w:spacing w:after="20" w:before="0"/>
              <w:ind w:left="173" w:hanging="144"/>
            </w:pPr>
            <w:r>
              <w:rPr>
                <w:b w:val="0"/>
                <w:sz w:val="16"/>
              </w:rPr>
              <w:t>• Burden: preponderance of the evidence</w:t>
            </w:r>
          </w:p>
        </w:tc>
        <w:tc>
          <w:tcPr>
            <w:tcW w:type="dxa" w:w="3528"/>
          </w:tcPr>
          <w:p>
            <w:pPr>
              <w:spacing w:after="20" w:before="0"/>
            </w:pPr>
            <w:r/>
            <w:r>
              <w:rPr>
                <w:b w:val="0"/>
                <w:sz w:val="16"/>
              </w:rPr>
              <w:t>H-1B Summary § 2.1 cites § 214.2(h)(4)(ii) for the four criteria; the criteria are at § 214.2(h)(4)(iii)(A) (STD-16). Flowchart oversimplifies to a single test (STD-15).</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Form I-129 (H-1B): </w:t>
            </w:r>
            <w:r>
              <w:rPr>
                <w:b/>
                <w:sz w:val="16"/>
              </w:rPr>
              <w:t>$780</w:t>
            </w:r>
          </w:p>
          <w:p>
            <w:pPr>
              <w:spacing w:after="20" w:before="0"/>
              <w:ind w:left="173" w:hanging="144"/>
            </w:pPr>
            <w:r>
              <w:rPr>
                <w:b w:val="0"/>
                <w:sz w:val="16"/>
              </w:rPr>
              <w:t xml:space="preserve">• ACWIA training fee: </w:t>
            </w:r>
            <w:r>
              <w:rPr>
                <w:b/>
                <w:sz w:val="16"/>
              </w:rPr>
              <w:t>$1,500</w:t>
            </w:r>
            <w:r>
              <w:rPr>
                <w:b w:val="0"/>
                <w:sz w:val="16"/>
              </w:rPr>
              <w:t xml:space="preserve"> (26+ FTEs)</w:t>
            </w:r>
          </w:p>
          <w:p>
            <w:pPr>
              <w:spacing w:after="20" w:before="0"/>
              <w:ind w:left="173" w:hanging="144"/>
            </w:pPr>
            <w:r>
              <w:rPr>
                <w:b w:val="0"/>
                <w:sz w:val="16"/>
              </w:rPr>
              <w:t xml:space="preserve">• Fraud prevention &amp; detection fee: </w:t>
            </w:r>
            <w:r>
              <w:rPr>
                <w:b/>
                <w:sz w:val="16"/>
              </w:rPr>
              <w:t>$500</w:t>
            </w:r>
            <w:r>
              <w:rPr>
                <w:b w:val="0"/>
                <w:sz w:val="16"/>
              </w:rPr>
              <w:t xml:space="preserve"> (initial and change-of-employer petitions)</w:t>
            </w:r>
          </w:p>
          <w:p>
            <w:pPr>
              <w:spacing w:after="20" w:before="0"/>
              <w:ind w:left="173" w:hanging="144"/>
            </w:pPr>
            <w:r>
              <w:rPr>
                <w:b w:val="0"/>
                <w:sz w:val="16"/>
              </w:rPr>
              <w:t xml:space="preserve">• Asylum Program Fee: </w:t>
            </w:r>
            <w:r>
              <w:rPr>
                <w:b/>
                <w:sz w:val="16"/>
              </w:rPr>
              <w:t>$600</w:t>
            </w:r>
            <w:r>
              <w:rPr>
                <w:b w:val="0"/>
                <w:sz w:val="16"/>
              </w:rPr>
              <w:t xml:space="preserve"> (26+ FTEs)</w:t>
            </w:r>
          </w:p>
          <w:p>
            <w:pPr>
              <w:spacing w:after="20" w:before="0"/>
              <w:ind w:left="173" w:hanging="144"/>
            </w:pPr>
            <w:r>
              <w:rPr>
                <w:b w:val="0"/>
                <w:sz w:val="16"/>
              </w:rPr>
              <w:t xml:space="preserve">• </w:t>
            </w:r>
            <w:r>
              <w:rPr>
                <w:b/>
                <w:sz w:val="16"/>
              </w:rPr>
              <w:t>Total petition stage: $3,380</w:t>
            </w:r>
          </w:p>
          <w:p>
            <w:pPr>
              <w:spacing w:after="20" w:before="0"/>
              <w:ind w:left="173" w:hanging="144"/>
            </w:pPr>
            <w:r>
              <w:rPr>
                <w:b w:val="0"/>
                <w:sz w:val="16"/>
              </w:rPr>
              <w:t xml:space="preserve">• Plus registration fee </w:t>
            </w:r>
            <w:r>
              <w:rPr>
                <w:b/>
                <w:sz w:val="16"/>
              </w:rPr>
              <w:t>$215</w:t>
            </w:r>
            <w:r>
              <w:rPr>
                <w:b w:val="0"/>
                <w:sz w:val="16"/>
              </w:rPr>
              <w:t xml:space="preserve"> per beneficiary (cap cases; from the March 2025 registration)</w:t>
            </w:r>
          </w:p>
          <w:p>
            <w:pPr>
              <w:spacing w:after="20" w:before="0"/>
              <w:ind w:left="173" w:hanging="144"/>
            </w:pPr>
            <w:r>
              <w:rPr>
                <w:b w:val="0"/>
                <w:sz w:val="16"/>
              </w:rPr>
              <w:t xml:space="preserve">• Optional premium processing (I-907): $2,805; </w:t>
            </w:r>
            <w:r>
              <w:rPr>
                <w:b/>
                <w:sz w:val="16"/>
              </w:rPr>
              <w:t>$2,965</w:t>
            </w:r>
            <w:r>
              <w:rPr>
                <w:b w:val="0"/>
                <w:sz w:val="16"/>
              </w:rPr>
              <w:t xml:space="preserve"> for requests filed on or after Feb. 26, 2025</w:t>
            </w:r>
          </w:p>
          <w:p>
            <w:pPr>
              <w:spacing w:after="20" w:before="0"/>
              <w:ind w:left="173" w:hanging="144"/>
            </w:pPr>
            <w:r>
              <w:rPr>
                <w:b w:val="0"/>
                <w:sz w:val="16"/>
              </w:rPr>
              <w:t>• Public Law 114-113 “50/50” fee ($4,000) not applicable (Aethon’s H-1B + L-1 headcount is about 5% of its U.S. workforce)</w:t>
            </w:r>
          </w:p>
        </w:tc>
        <w:tc>
          <w:tcPr>
            <w:tcW w:type="dxa" w:w="3528"/>
          </w:tcPr>
          <w:p>
            <w:pPr>
              <w:spacing w:after="20" w:before="0"/>
            </w:pPr>
            <w:r/>
            <w:r>
              <w:rPr>
                <w:b w:val="0"/>
                <w:sz w:val="16"/>
              </w:rPr>
              <w:t>Memo § IV.C ($3,380) is correct. H-1B Summary §§ 5.1 and 9 ($460 base; $3,060 total) are outdated (FEE-01). Premium fee increase not reflected anywhere (FEE-06).</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xml:space="preserve">• Initial: up to 3 years; extensions up to 3 years; </w:t>
            </w:r>
            <w:r>
              <w:rPr>
                <w:b/>
                <w:sz w:val="16"/>
              </w:rPr>
              <w:t>6-year maximum</w:t>
            </w:r>
            <w:r>
              <w:rPr>
                <w:b w:val="0"/>
                <w:sz w:val="16"/>
              </w:rPr>
              <w:t xml:space="preserve"> (INA § 214(g)(4)); then 1 year physically abroad to reset</w:t>
            </w:r>
          </w:p>
          <w:p>
            <w:pPr>
              <w:spacing w:after="20" w:before="0"/>
              <w:ind w:left="173" w:hanging="144"/>
            </w:pPr>
            <w:r>
              <w:rPr>
                <w:b w:val="0"/>
                <w:sz w:val="16"/>
              </w:rPr>
              <w:t xml:space="preserve">• Beyond 6 years: AC21 § 106(a) — PERM or I-140 filed at least 365 days before the 6-year limit: extensions in </w:t>
            </w:r>
            <w:r>
              <w:rPr>
                <w:b/>
                <w:sz w:val="16"/>
              </w:rPr>
              <w:t>1-year</w:t>
            </w:r>
            <w:r>
              <w:rPr>
                <w:b w:val="0"/>
                <w:sz w:val="16"/>
              </w:rPr>
              <w:t xml:space="preserve"> increments; AC21 § 104(c) — approved I-140 but visa number unavailable due to per-country limit: extensions in up to </w:t>
            </w:r>
            <w:r>
              <w:rPr>
                <w:b/>
                <w:sz w:val="16"/>
              </w:rPr>
              <w:t>3-year</w:t>
            </w:r>
            <w:r>
              <w:rPr>
                <w:b w:val="0"/>
                <w:sz w:val="16"/>
              </w:rPr>
              <w:t xml:space="preserve"> increments</w:t>
            </w:r>
          </w:p>
          <w:p>
            <w:pPr>
              <w:spacing w:after="20" w:before="0"/>
              <w:ind w:left="173" w:hanging="144"/>
            </w:pPr>
            <w:r>
              <w:rPr>
                <w:b w:val="0"/>
                <w:sz w:val="16"/>
              </w:rPr>
              <w:t>• Change of employer: may start work on filing (INA § 214(n))</w:t>
            </w:r>
          </w:p>
        </w:tc>
        <w:tc>
          <w:tcPr>
            <w:tcW w:type="dxa" w:w="3528"/>
          </w:tcPr>
          <w:p>
            <w:pPr>
              <w:spacing w:after="20" w:before="0"/>
            </w:pPr>
            <w:r/>
            <w:r>
              <w:rPr>
                <w:b w:val="0"/>
                <w:sz w:val="16"/>
              </w:rPr>
              <w:t>H-1B Summary § 6.2 reverses the AC21 increments (STD-04). Flowchart omits the AC21 conditions (STD-15).</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Cap: 65,000 regular + 20,000 U.S. master’s-or-higher; FTA set-aside reduces the regular number; beneficiary-centric lottery</w:t>
            </w:r>
          </w:p>
          <w:p>
            <w:pPr>
              <w:spacing w:after="20" w:before="0"/>
              <w:ind w:left="173" w:hanging="144"/>
            </w:pPr>
            <w:r>
              <w:rPr>
                <w:b w:val="0"/>
                <w:sz w:val="16"/>
              </w:rPr>
              <w:t xml:space="preserve">• Earliest start for a new cap case is </w:t>
            </w:r>
            <w:r>
              <w:rPr>
                <w:b/>
                <w:sz w:val="16"/>
              </w:rPr>
              <w:t>October 1</w:t>
            </w:r>
            <w:r>
              <w:rPr>
                <w:b w:val="0"/>
                <w:sz w:val="16"/>
              </w:rPr>
              <w:t xml:space="preserve"> (FY2026 = Oct. 1, 2025). A calendar-Q3 2025 start is not possible for new cap-subject hires</w:t>
            </w:r>
          </w:p>
          <w:p>
            <w:pPr>
              <w:spacing w:after="20" w:before="0"/>
              <w:ind w:left="173" w:hanging="144"/>
            </w:pPr>
            <w:r>
              <w:rPr>
                <w:b w:val="0"/>
                <w:sz w:val="16"/>
              </w:rPr>
              <w:t>• Cap-exempt routes: candidate already counted against the cap within 6 years (change of employer); employment at a qualifying university/nonprofit entity</w:t>
            </w:r>
          </w:p>
          <w:p>
            <w:pPr>
              <w:spacing w:after="20" w:before="0"/>
              <w:ind w:left="173" w:hanging="144"/>
            </w:pPr>
            <w:r>
              <w:rPr>
                <w:b w:val="0"/>
                <w:sz w:val="16"/>
              </w:rPr>
              <w:t>• Dual intent permitted; H-4 spouses may work only with an EAD in limited cases</w:t>
            </w:r>
          </w:p>
          <w:p>
            <w:pPr>
              <w:spacing w:after="20" w:before="0"/>
              <w:ind w:left="173" w:hanging="144"/>
            </w:pPr>
            <w:r>
              <w:rPr>
                <w:b w:val="0"/>
                <w:sz w:val="16"/>
              </w:rPr>
              <w:t>• Aethon history: 47 filed, 37 approved, 7 denied (5 specialty-occupation, 2 employer-employee/third-party), 3 withdrawn — use detailed duty descriptions</w:t>
            </w:r>
          </w:p>
        </w:tc>
        <w:tc>
          <w:tcPr>
            <w:tcW w:type="dxa" w:w="3528"/>
          </w:tcPr>
          <w:p>
            <w:pPr>
              <w:spacing w:after="20" w:before="0"/>
            </w:pPr>
            <w:r/>
            <w:r>
              <w:rPr>
                <w:b w:val="0"/>
                <w:sz w:val="16"/>
              </w:rPr>
              <w:t>FACT-06 (Q3 2025 timing). H-1B Summary § 3.2 lists all cap-exempt employer categories; Memo § III claims otherwise (STD-08).</w:t>
            </w:r>
          </w:p>
        </w:tc>
      </w:tr>
    </w:tbl>
    <w:p>
      <w:pPr>
        <w:pStyle w:val="Heading2"/>
        <w:pageBreakBefore/>
      </w:pPr>
      <w:r>
        <w:t>B.2  O-1A — Extraordinary Ability (Sciences, Education, Business, Athletics)</w:t>
      </w:r>
    </w:p>
    <w:p>
      <w:pPr>
        <w:spacing w:after="80"/>
      </w:pPr>
      <w:r>
        <w:rPr>
          <w:b/>
          <w:sz w:val="18"/>
        </w:rPr>
        <w:t>In plain terms:</w:t>
      </w:r>
      <w:r>
        <w:rPr>
          <w:b w:val="0"/>
          <w:sz w:val="18"/>
        </w:rPr>
        <w:t xml:space="preserve"> For a scientist or engineer at the very top of the field with national or international acclaim (prizes, influential publications, judging, critical roles, high salary). No cap, no lottery, no degree requirement.</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101(a)(15)(O)(i); INA § 214(c)(3)</w:t>
            </w:r>
          </w:p>
          <w:p>
            <w:pPr>
              <w:spacing w:after="20" w:before="0"/>
              <w:ind w:left="173" w:hanging="144"/>
            </w:pPr>
            <w:r>
              <w:rPr>
                <w:b w:val="0"/>
                <w:sz w:val="16"/>
              </w:rPr>
              <w:t>• 8 C.F.R. § 214.2(o) (criteria at § 214.2(o)(3)(iii))</w:t>
            </w:r>
          </w:p>
          <w:p>
            <w:pPr>
              <w:spacing w:after="20" w:before="0"/>
              <w:ind w:left="173" w:hanging="144"/>
            </w:pPr>
            <w:r>
              <w:rPr>
                <w:b w:val="0"/>
                <w:sz w:val="16"/>
              </w:rPr>
              <w:t>• USCIS Policy Manual Vol. 2, Part M (O-1A clarifications 2023–2024)</w:t>
            </w:r>
          </w:p>
        </w:tc>
        <w:tc>
          <w:tcPr>
            <w:tcW w:type="dxa" w:w="3528"/>
          </w:tcPr>
          <w:p>
            <w:pPr>
              <w:spacing w:after="20" w:before="0"/>
            </w:pPr>
            <w:r/>
            <w:r>
              <w:rPr>
                <w:b w:val="0"/>
                <w:sz w:val="16"/>
              </w:rPr>
              <w:t>EB Guide §§ 2.1–2.2, 8; Memo § V.A; Flowchart Node 5.</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xml:space="preserve">• Extraordinary ability: a level of expertise indicating the person is one of the small percentage who have risen to the very top of the field, </w:t>
            </w:r>
            <w:r>
              <w:rPr>
                <w:b/>
                <w:sz w:val="16"/>
              </w:rPr>
              <w:t>shown by sustained national or international acclaim</w:t>
            </w:r>
          </w:p>
          <w:p>
            <w:pPr>
              <w:spacing w:after="20" w:before="0"/>
              <w:ind w:left="173" w:hanging="144"/>
            </w:pPr>
            <w:r>
              <w:rPr>
                <w:b w:val="0"/>
                <w:sz w:val="16"/>
              </w:rPr>
              <w:t>• Coming to the U.S. to continue work in the area of extraordinary ability</w:t>
            </w:r>
          </w:p>
          <w:p>
            <w:pPr>
              <w:spacing w:after="20" w:before="0"/>
              <w:ind w:left="173" w:hanging="144"/>
            </w:pPr>
            <w:r>
              <w:rPr>
                <w:b w:val="0"/>
                <w:sz w:val="16"/>
              </w:rPr>
              <w:t>• No minimum degree; any nationality</w:t>
            </w:r>
          </w:p>
        </w:tc>
        <w:tc>
          <w:tcPr>
            <w:tcW w:type="dxa" w:w="3528"/>
          </w:tcPr>
          <w:p>
            <w:pPr>
              <w:spacing w:after="20" w:before="0"/>
            </w:pPr>
            <w:r/>
            <w:r>
              <w:rPr>
                <w:b w:val="0"/>
                <w:sz w:val="16"/>
              </w:rPr>
              <w:t>EB Guide § 6.1 suggests the O-1A does not turn on sustained acclaim — inconsistent with § 2.2, the Flowchart and the regulation (STD-17).</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U.S. employer or U.S. agent files Form I-129 with the employment contract or summary of oral terms and an itinerary if multiple locations</w:t>
            </w:r>
          </w:p>
          <w:p>
            <w:pPr>
              <w:spacing w:after="20" w:before="0"/>
              <w:ind w:left="173" w:hanging="144"/>
            </w:pPr>
            <w:r>
              <w:rPr>
                <w:b w:val="0"/>
                <w:sz w:val="16"/>
              </w:rPr>
              <w:t xml:space="preserve">• Written </w:t>
            </w:r>
            <w:r>
              <w:rPr>
                <w:b/>
                <w:sz w:val="16"/>
              </w:rPr>
              <w:t>advisory opinion (consultation)</w:t>
            </w:r>
            <w:r>
              <w:rPr>
                <w:b w:val="0"/>
                <w:sz w:val="16"/>
              </w:rPr>
              <w:t xml:space="preserve"> from a peer group, labor and/or management organization; if no appropriate peer group exists, USCIS may decide without it</w:t>
            </w:r>
          </w:p>
          <w:p>
            <w:pPr>
              <w:spacing w:after="20" w:before="0"/>
              <w:ind w:left="173" w:hanging="144"/>
            </w:pPr>
            <w:r>
              <w:rPr>
                <w:b w:val="0"/>
                <w:sz w:val="16"/>
              </w:rPr>
              <w:t>• No LCA; no prevailing-wage obligation</w:t>
            </w:r>
          </w:p>
        </w:tc>
        <w:tc>
          <w:tcPr>
            <w:tcW w:type="dxa" w:w="3528"/>
          </w:tcPr>
          <w:p>
            <w:pPr>
              <w:spacing w:after="20" w:before="0"/>
            </w:pPr>
            <w:r/>
            <w:r>
              <w:rPr>
                <w:b w:val="0"/>
                <w:sz w:val="16"/>
              </w:rPr>
              <w:t>EB Guide § 2.4; Memo § V.C. Consistent.</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xml:space="preserve">• Either a major internationally recognized award (Nobel-level), OR at least </w:t>
            </w:r>
            <w:r>
              <w:rPr>
                <w:b/>
                <w:sz w:val="16"/>
              </w:rPr>
              <w:t>3 of 8</w:t>
            </w:r>
            <w:r>
              <w:rPr>
                <w:b w:val="0"/>
                <w:sz w:val="16"/>
              </w:rPr>
              <w:t xml:space="preserve"> criteria, 8 C.F.R. § 214.2(o)(3)(iii)(B):</w:t>
            </w:r>
          </w:p>
          <w:p>
            <w:pPr>
              <w:spacing w:after="20" w:before="0"/>
              <w:ind w:left="173" w:hanging="144"/>
            </w:pPr>
            <w:r>
              <w:rPr>
                <w:b w:val="0"/>
                <w:sz w:val="16"/>
              </w:rPr>
              <w:t>• (1) nationally/internationally recognized prizes or awards for excellence</w:t>
            </w:r>
          </w:p>
          <w:p>
            <w:pPr>
              <w:spacing w:after="20" w:before="0"/>
              <w:ind w:left="173" w:hanging="144"/>
            </w:pPr>
            <w:r>
              <w:rPr>
                <w:b w:val="0"/>
                <w:sz w:val="16"/>
              </w:rPr>
              <w:t>• (2) membership in associations requiring outstanding achievement, judged by experts</w:t>
            </w:r>
          </w:p>
          <w:p>
            <w:pPr>
              <w:spacing w:after="20" w:before="0"/>
              <w:ind w:left="173" w:hanging="144"/>
            </w:pPr>
            <w:r>
              <w:rPr>
                <w:b w:val="0"/>
                <w:sz w:val="16"/>
              </w:rPr>
              <w:t>• (3) published material about the person in professional/major trade publications or major media</w:t>
            </w:r>
          </w:p>
          <w:p>
            <w:pPr>
              <w:spacing w:after="20" w:before="0"/>
              <w:ind w:left="173" w:hanging="144"/>
            </w:pPr>
            <w:r>
              <w:rPr>
                <w:b w:val="0"/>
                <w:sz w:val="16"/>
              </w:rPr>
              <w:t>• (4) judging the work of others (e.g., peer review)</w:t>
            </w:r>
          </w:p>
          <w:p>
            <w:pPr>
              <w:spacing w:after="20" w:before="0"/>
              <w:ind w:left="173" w:hanging="144"/>
            </w:pPr>
            <w:r>
              <w:rPr>
                <w:b w:val="0"/>
                <w:sz w:val="16"/>
              </w:rPr>
              <w:t>• (5) original scientific, scholarly or business contributions of major significance</w:t>
            </w:r>
          </w:p>
          <w:p>
            <w:pPr>
              <w:spacing w:after="20" w:before="0"/>
              <w:ind w:left="173" w:hanging="144"/>
            </w:pPr>
            <w:r>
              <w:rPr>
                <w:b w:val="0"/>
                <w:sz w:val="16"/>
              </w:rPr>
              <w:t>• (6) authorship of scholarly articles</w:t>
            </w:r>
          </w:p>
          <w:p>
            <w:pPr>
              <w:spacing w:after="20" w:before="0"/>
              <w:ind w:left="173" w:hanging="144"/>
            </w:pPr>
            <w:r>
              <w:rPr>
                <w:b w:val="0"/>
                <w:sz w:val="16"/>
              </w:rPr>
              <w:t xml:space="preserve">• (7) </w:t>
            </w:r>
            <w:r>
              <w:rPr>
                <w:b/>
                <w:sz w:val="16"/>
              </w:rPr>
              <w:t>employment in a critical or essential capacity for organizations with a distinguished reputation</w:t>
            </w:r>
          </w:p>
          <w:p>
            <w:pPr>
              <w:spacing w:after="20" w:before="0"/>
              <w:ind w:left="173" w:hanging="144"/>
            </w:pPr>
            <w:r>
              <w:rPr>
                <w:b w:val="0"/>
                <w:sz w:val="16"/>
              </w:rPr>
              <w:t>• (8) high salary or other significantly high remuneration</w:t>
            </w:r>
          </w:p>
          <w:p>
            <w:pPr>
              <w:spacing w:after="20" w:before="0"/>
              <w:ind w:left="173" w:hanging="144"/>
            </w:pPr>
            <w:r>
              <w:rPr>
                <w:b w:val="0"/>
                <w:sz w:val="16"/>
              </w:rPr>
              <w:t>• Comparable evidence allowed if criteria do not readily apply; then a totality (final merits) review</w:t>
            </w:r>
          </w:p>
        </w:tc>
        <w:tc>
          <w:tcPr>
            <w:tcW w:type="dxa" w:w="3528"/>
          </w:tcPr>
          <w:p>
            <w:pPr>
              <w:spacing w:after="20" w:before="0"/>
            </w:pPr>
            <w:r/>
            <w:r>
              <w:rPr>
                <w:b w:val="0"/>
                <w:sz w:val="16"/>
              </w:rPr>
              <w:t>EB Guide § 2.2 misstates the list: uses arts awards (Academy Award, Emmy, Grammy) and a performing-arts commercial-success criterion, and omits the critical/essential-capacity criterion (STD-02).</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Form I-129 (O): </w:t>
            </w:r>
            <w:r>
              <w:rPr>
                <w:b/>
                <w:sz w:val="16"/>
              </w:rPr>
              <w:t>$1,055</w:t>
            </w:r>
          </w:p>
          <w:p>
            <w:pPr>
              <w:spacing w:after="20" w:before="0"/>
              <w:ind w:left="173" w:hanging="144"/>
            </w:pPr>
            <w:r>
              <w:rPr>
                <w:b w:val="0"/>
                <w:sz w:val="16"/>
              </w:rPr>
              <w:t xml:space="preserve">• Asylum Program Fee: </w:t>
            </w:r>
            <w:r>
              <w:rPr>
                <w:b/>
                <w:sz w:val="16"/>
              </w:rPr>
              <w:t>$600</w:t>
            </w:r>
          </w:p>
          <w:p>
            <w:pPr>
              <w:spacing w:after="20" w:before="0"/>
              <w:ind w:left="173" w:hanging="144"/>
            </w:pPr>
            <w:r>
              <w:rPr>
                <w:b w:val="0"/>
                <w:sz w:val="16"/>
              </w:rPr>
              <w:t xml:space="preserve">• </w:t>
            </w:r>
            <w:r>
              <w:rPr>
                <w:b/>
                <w:sz w:val="16"/>
              </w:rPr>
              <w:t>Total: $1,655</w:t>
            </w:r>
            <w:r>
              <w:rPr>
                <w:b w:val="0"/>
                <w:sz w:val="16"/>
              </w:rPr>
              <w:t xml:space="preserve"> (no ACWIA, no fraud fee)</w:t>
            </w:r>
          </w:p>
          <w:p>
            <w:pPr>
              <w:spacing w:after="20" w:before="0"/>
              <w:ind w:left="173" w:hanging="144"/>
            </w:pPr>
            <w:r>
              <w:rPr>
                <w:b w:val="0"/>
                <w:sz w:val="16"/>
              </w:rPr>
              <w:t xml:space="preserve">• Optional premium processing: $2,805 / </w:t>
            </w:r>
            <w:r>
              <w:rPr>
                <w:b/>
                <w:sz w:val="16"/>
              </w:rPr>
              <w:t>$2,965</w:t>
            </w:r>
            <w:r>
              <w:rPr>
                <w:b w:val="0"/>
                <w:sz w:val="16"/>
              </w:rPr>
              <w:t xml:space="preserve"> from Feb. 26, 2025 (15 business days)</w:t>
            </w:r>
          </w:p>
        </w:tc>
        <w:tc>
          <w:tcPr>
            <w:tcW w:type="dxa" w:w="3528"/>
          </w:tcPr>
          <w:p>
            <w:pPr>
              <w:spacing w:after="20" w:before="0"/>
            </w:pPr>
            <w:r/>
            <w:r>
              <w:rPr>
                <w:b w:val="0"/>
                <w:sz w:val="16"/>
              </w:rPr>
              <w:t>EB Guide § 7 ($460) and Memo § IV.E / App. A ($780, no Asylum fee) are both wrong (FEE-01, FEE-02, FEE-03).</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Initial: up to 3 years (time needed for the event/activity)</w:t>
            </w:r>
          </w:p>
          <w:p>
            <w:pPr>
              <w:spacing w:after="20" w:before="0"/>
              <w:ind w:left="173" w:hanging="144"/>
            </w:pPr>
            <w:r>
              <w:rPr>
                <w:b w:val="0"/>
                <w:sz w:val="16"/>
              </w:rPr>
              <w:t>• Extensions: in increments of up to 1 year to continue the same activity</w:t>
            </w:r>
          </w:p>
          <w:p>
            <w:pPr>
              <w:spacing w:after="20" w:before="0"/>
              <w:ind w:left="173" w:hanging="144"/>
            </w:pPr>
            <w:r>
              <w:rPr>
                <w:b w:val="0"/>
                <w:sz w:val="16"/>
              </w:rPr>
              <w:t>• No overall maximum stay</w:t>
            </w:r>
          </w:p>
          <w:p>
            <w:pPr>
              <w:spacing w:after="20" w:before="0"/>
              <w:ind w:left="173" w:hanging="144"/>
            </w:pPr>
            <w:r>
              <w:rPr>
                <w:b w:val="0"/>
                <w:sz w:val="16"/>
              </w:rPr>
              <w:t>• O-3 dependents may not work</w:t>
            </w:r>
          </w:p>
        </w:tc>
        <w:tc>
          <w:tcPr>
            <w:tcW w:type="dxa" w:w="3528"/>
          </w:tcPr>
          <w:p>
            <w:pPr>
              <w:spacing w:after="20" w:before="0"/>
            </w:pPr>
            <w:r/>
            <w:r>
              <w:rPr>
                <w:b w:val="0"/>
                <w:sz w:val="16"/>
              </w:rPr>
              <w:t>EB Guide § 2.1; Flowchart. Consistent.</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No cap; can be filed at any time (no more than 1 year, ideally at least 45 days, before start)</w:t>
            </w:r>
          </w:p>
          <w:p>
            <w:pPr>
              <w:spacing w:after="20" w:before="0"/>
              <w:ind w:left="173" w:hanging="144"/>
            </w:pPr>
            <w:r>
              <w:rPr>
                <w:b w:val="0"/>
                <w:sz w:val="16"/>
              </w:rPr>
              <w:t>• Filing an immigrant petition is not by itself a basis to deny (8 C.F.R. § 214.2(o)(13)) — practical bridge to EB-1A/EB-1B</w:t>
            </w:r>
          </w:p>
          <w:p>
            <w:pPr>
              <w:spacing w:after="20" w:before="0"/>
              <w:ind w:left="173" w:hanging="144"/>
            </w:pPr>
            <w:r>
              <w:rPr>
                <w:b w:val="0"/>
                <w:sz w:val="16"/>
              </w:rPr>
              <w:t>• Approval is employer-specific; a new employer must file a new petition</w:t>
            </w:r>
          </w:p>
          <w:p>
            <w:pPr>
              <w:spacing w:after="20" w:before="0"/>
              <w:ind w:left="173" w:hanging="144"/>
            </w:pPr>
            <w:r>
              <w:rPr>
                <w:b w:val="0"/>
                <w:sz w:val="16"/>
              </w:rPr>
              <w:t>• Best fit among current candidates: Dr. Breitner</w:t>
            </w:r>
          </w:p>
        </w:tc>
        <w:tc>
          <w:tcPr>
            <w:tcW w:type="dxa" w:w="3528"/>
          </w:tcPr>
          <w:p>
            <w:pPr>
              <w:spacing w:after="20" w:before="0"/>
            </w:pPr>
            <w:r/>
            <w:r>
              <w:rPr>
                <w:b w:val="0"/>
                <w:sz w:val="16"/>
              </w:rPr>
              <w:t>EB Guide § 2.4 calls O-1 “dual intent”; more precisely, immigrant intent is not a ground for denial (STD-17).</w:t>
            </w:r>
          </w:p>
        </w:tc>
      </w:tr>
    </w:tbl>
    <w:p>
      <w:pPr>
        <w:pStyle w:val="Heading2"/>
        <w:pageBreakBefore/>
      </w:pPr>
      <w:r>
        <w:t>B.3  O-1B — Extraordinary Ability or Achievement in the Arts / Motion Picture &amp; Television</w:t>
      </w:r>
    </w:p>
    <w:p>
      <w:pPr>
        <w:spacing w:after="80"/>
      </w:pPr>
      <w:r>
        <w:rPr>
          <w:b/>
          <w:sz w:val="18"/>
        </w:rPr>
        <w:t>In plain terms:</w:t>
      </w:r>
      <w:r>
        <w:rPr>
          <w:b w:val="0"/>
          <w:sz w:val="18"/>
        </w:rPr>
        <w:t xml:space="preserve"> For artists, performers and creative professionals (and film/TV). Generally NOT the right category for semiconductor engineers or scientists. Included because Aethon has two current O-1B holders and requested it.</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101(a)(15)(O)(i)</w:t>
            </w:r>
          </w:p>
          <w:p>
            <w:pPr>
              <w:spacing w:after="20" w:before="0"/>
              <w:ind w:left="173" w:hanging="144"/>
            </w:pPr>
            <w:r>
              <w:rPr>
                <w:b w:val="0"/>
                <w:sz w:val="16"/>
              </w:rPr>
              <w:t>• 8 C.F.R. § 214.2(o)(3)(iv) (arts) and (o)(3)(v) (motion picture/TV)</w:t>
            </w:r>
          </w:p>
          <w:p>
            <w:pPr>
              <w:spacing w:after="20" w:before="0"/>
              <w:ind w:left="173" w:hanging="144"/>
            </w:pPr>
            <w:r>
              <w:rPr>
                <w:b w:val="0"/>
                <w:sz w:val="16"/>
              </w:rPr>
              <w:t>• USCIS Policy Manual Vol. 2, Part M</w:t>
            </w:r>
          </w:p>
        </w:tc>
        <w:tc>
          <w:tcPr>
            <w:tcW w:type="dxa" w:w="3528"/>
          </w:tcPr>
          <w:p>
            <w:pPr>
              <w:spacing w:after="20" w:before="0"/>
            </w:pPr>
            <w:r/>
            <w:r>
              <w:rPr>
                <w:b w:val="0"/>
                <w:sz w:val="16"/>
              </w:rPr>
              <w:t>EB Guide § 2.3; Memo § V.A. Flowchart omits O-1B entirely (OMIT-01).</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xml:space="preserve">• Arts: </w:t>
            </w:r>
            <w:r>
              <w:rPr>
                <w:b/>
                <w:sz w:val="16"/>
              </w:rPr>
              <w:t>“distinction”</w:t>
            </w:r>
            <w:r>
              <w:rPr>
                <w:b w:val="0"/>
                <w:sz w:val="16"/>
              </w:rPr>
              <w:t xml:space="preserve"> — high level of achievement; recognized as prominent, renowned, leading or well-known in the field of arts (includes culinary arts and some creative/design fields)</w:t>
            </w:r>
          </w:p>
          <w:p>
            <w:pPr>
              <w:spacing w:after="20" w:before="0"/>
              <w:ind w:left="173" w:hanging="144"/>
            </w:pPr>
            <w:r>
              <w:rPr>
                <w:b w:val="0"/>
                <w:sz w:val="16"/>
              </w:rPr>
              <w:t>• Motion picture/TV: very high level of accomplishment; recognized as outstanding, notable or leading</w:t>
            </w:r>
          </w:p>
          <w:p>
            <w:pPr>
              <w:spacing w:after="20" w:before="0"/>
              <w:ind w:left="173" w:hanging="144"/>
            </w:pPr>
            <w:r>
              <w:rPr>
                <w:b w:val="0"/>
                <w:sz w:val="16"/>
              </w:rPr>
              <w:t>• Coming to continue work in the area</w:t>
            </w:r>
          </w:p>
        </w:tc>
        <w:tc>
          <w:tcPr>
            <w:tcW w:type="dxa" w:w="3528"/>
          </w:tcPr>
          <w:p>
            <w:pPr>
              <w:spacing w:after="20" w:before="0"/>
            </w:pPr>
            <w:r/>
            <w:r>
              <w:rPr>
                <w:b w:val="0"/>
                <w:sz w:val="16"/>
              </w:rPr>
              <w:t>EB Guide § 2.3. Consistent.</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U.S. employer or agent files I-129 with contract/itinerary</w:t>
            </w:r>
          </w:p>
          <w:p>
            <w:pPr>
              <w:spacing w:after="20" w:before="0"/>
              <w:ind w:left="173" w:hanging="144"/>
            </w:pPr>
            <w:r>
              <w:rPr>
                <w:b w:val="0"/>
                <w:sz w:val="16"/>
              </w:rPr>
              <w:t>• Consultation: peer group (arts); for MPTV, both a union and a management organization</w:t>
            </w:r>
          </w:p>
          <w:p>
            <w:pPr>
              <w:spacing w:after="20" w:before="0"/>
              <w:ind w:left="173" w:hanging="144"/>
            </w:pPr>
            <w:r>
              <w:rPr>
                <w:b w:val="0"/>
                <w:sz w:val="16"/>
              </w:rPr>
              <w:t>• No LCA/prevailing wage</w:t>
            </w:r>
          </w:p>
        </w:tc>
        <w:tc>
          <w:tcPr>
            <w:tcW w:type="dxa" w:w="3528"/>
          </w:tcPr>
          <w:p>
            <w:pPr>
              <w:spacing w:after="20" w:before="0"/>
            </w:pPr>
            <w:r/>
            <w:r>
              <w:rPr>
                <w:b w:val="0"/>
                <w:sz w:val="16"/>
              </w:rPr>
              <w:t>EB Guide § 2.4.</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xml:space="preserve">• Nomination for or receipt of a significant national/international award (e.g., Academy Award, Emmy, Grammy, Director’s Guild), OR at least </w:t>
            </w:r>
            <w:r>
              <w:rPr>
                <w:b/>
                <w:sz w:val="16"/>
              </w:rPr>
              <w:t>3 of 6</w:t>
            </w:r>
            <w:r>
              <w:rPr>
                <w:b w:val="0"/>
                <w:sz w:val="16"/>
              </w:rPr>
              <w:t>: (1) lead/starring role in distinguished productions or events; (2) national/international recognition shown by critical reviews or published material; (3) lead, starring or critical role for distinguished organizations; (4) major commercial or critically acclaimed successes; (5) significant recognition from organizations, critics, government agencies or experts; (6) high salary</w:t>
            </w:r>
          </w:p>
          <w:p>
            <w:pPr>
              <w:spacing w:after="20" w:before="0"/>
              <w:ind w:left="173" w:hanging="144"/>
            </w:pPr>
            <w:r>
              <w:rPr>
                <w:b w:val="0"/>
                <w:sz w:val="16"/>
              </w:rPr>
              <w:t>• Comparable evidence permitted for arts (not MPTV)</w:t>
            </w:r>
          </w:p>
        </w:tc>
        <w:tc>
          <w:tcPr>
            <w:tcW w:type="dxa" w:w="3528"/>
          </w:tcPr>
          <w:p>
            <w:pPr>
              <w:spacing w:after="20" w:before="0"/>
            </w:pPr>
            <w:r/>
            <w:r>
              <w:rPr>
                <w:b w:val="0"/>
                <w:sz w:val="16"/>
              </w:rPr>
              <w:t>EB Guide § 2.3 describes these only generally; the arts award examples were misplaced into the O-1A list (STD-02).</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Same as O-1A: I-129 $1,055 + Asylum $600 = </w:t>
            </w:r>
            <w:r>
              <w:rPr>
                <w:b/>
                <w:sz w:val="16"/>
              </w:rPr>
              <w:t>$1,655</w:t>
            </w:r>
            <w:r>
              <w:rPr>
                <w:b w:val="0"/>
                <w:sz w:val="16"/>
              </w:rPr>
              <w:t xml:space="preserve">; premium $2,805 / </w:t>
            </w:r>
            <w:r>
              <w:rPr>
                <w:b/>
                <w:sz w:val="16"/>
              </w:rPr>
              <w:t>$2,965</w:t>
            </w:r>
            <w:r>
              <w:rPr>
                <w:b w:val="0"/>
                <w:sz w:val="16"/>
              </w:rPr>
              <w:t xml:space="preserve"> from Feb. 26, 2025</w:t>
            </w:r>
          </w:p>
        </w:tc>
        <w:tc>
          <w:tcPr>
            <w:tcW w:type="dxa" w:w="3528"/>
          </w:tcPr>
          <w:p>
            <w:pPr>
              <w:spacing w:after="20" w:before="0"/>
            </w:pPr>
            <w:r/>
            <w:r>
              <w:rPr>
                <w:b w:val="0"/>
                <w:sz w:val="16"/>
              </w:rPr>
              <w:t>FEE-01 to FEE-03.</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Initial up to 3 years; 1-year extensions; no maximum</w:t>
            </w:r>
          </w:p>
        </w:tc>
        <w:tc>
          <w:tcPr>
            <w:tcW w:type="dxa" w:w="3528"/>
          </w:tcPr>
          <w:p>
            <w:pPr>
              <w:spacing w:after="20" w:before="0"/>
            </w:pPr>
            <w:r/>
            <w:r>
              <w:rPr>
                <w:b w:val="0"/>
                <w:sz w:val="16"/>
              </w:rPr>
              <w:t>EB Guide § 2.1.</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Not suitable for Aethon’s engineering/research hires; those should be screened under O-1A</w:t>
            </w:r>
          </w:p>
          <w:p>
            <w:pPr>
              <w:spacing w:after="20" w:before="0"/>
              <w:ind w:left="173" w:hanging="144"/>
            </w:pPr>
            <w:r>
              <w:rPr>
                <w:b w:val="0"/>
                <w:sz w:val="16"/>
              </w:rPr>
              <w:t xml:space="preserve">• </w:t>
            </w:r>
            <w:r>
              <w:rPr>
                <w:b/>
                <w:sz w:val="16"/>
              </w:rPr>
              <w:t>Action:</w:t>
            </w:r>
            <w:r>
              <w:rPr>
                <w:b w:val="0"/>
                <w:sz w:val="16"/>
              </w:rPr>
              <w:t xml:space="preserve"> confirm the roles of Aethon’s two current O-1B holders. If they are engineers/scientists, the classification should be reviewed before any extension or amendment</w:t>
            </w:r>
          </w:p>
        </w:tc>
        <w:tc>
          <w:tcPr>
            <w:tcW w:type="dxa" w:w="3528"/>
          </w:tcPr>
          <w:p>
            <w:pPr>
              <w:spacing w:after="20" w:before="0"/>
            </w:pPr>
            <w:r/>
            <w:r>
              <w:rPr>
                <w:b w:val="0"/>
                <w:sz w:val="16"/>
              </w:rPr>
              <w:t>FACT-07.</w:t>
            </w:r>
          </w:p>
        </w:tc>
      </w:tr>
    </w:tbl>
    <w:p>
      <w:pPr>
        <w:pStyle w:val="Heading2"/>
        <w:pageBreakBefore/>
      </w:pPr>
      <w:r>
        <w:t>B.4  L-1A — Intracompany Transferee: Manager or Executive</w:t>
      </w:r>
    </w:p>
    <w:p>
      <w:pPr>
        <w:spacing w:after="80"/>
      </w:pPr>
      <w:r>
        <w:rPr>
          <w:b/>
          <w:sz w:val="18"/>
        </w:rPr>
        <w:t>In plain terms:</w:t>
      </w:r>
      <w:r>
        <w:rPr>
          <w:b w:val="0"/>
          <w:sz w:val="18"/>
        </w:rPr>
        <w:t xml:space="preserve"> For a current employee of Aethon Taiwan or Aethon GmbH (at least 1 continuous year in the last 3) who will manage people or an essential function, or act as an executive, in the U.S. No cap, no lottery.</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101(a)(15)(L); § 101(a)(44)(A) (managerial), (B) (executive); § 214(c)(2)</w:t>
            </w:r>
          </w:p>
          <w:p>
            <w:pPr>
              <w:spacing w:after="20" w:before="0"/>
              <w:ind w:left="173" w:hanging="144"/>
            </w:pPr>
            <w:r>
              <w:rPr>
                <w:b w:val="0"/>
                <w:sz w:val="16"/>
              </w:rPr>
              <w:t>• 8 C.F.R. § 214.2(l) (definitions (l)(1)(ii); new office (l)(3)(v); blanket (l)(4); validity (l)(7); limits (l)(12))</w:t>
            </w:r>
          </w:p>
          <w:p>
            <w:pPr>
              <w:spacing w:after="20" w:before="0"/>
              <w:ind w:left="173" w:hanging="144"/>
            </w:pPr>
            <w:r>
              <w:rPr>
                <w:b w:val="0"/>
                <w:sz w:val="16"/>
              </w:rPr>
              <w:t>• USCIS Policy Manual Vol. 2, Part L</w:t>
            </w:r>
          </w:p>
        </w:tc>
        <w:tc>
          <w:tcPr>
            <w:tcW w:type="dxa" w:w="3528"/>
          </w:tcPr>
          <w:p>
            <w:pPr>
              <w:spacing w:after="20" w:before="0"/>
            </w:pPr>
            <w:r/>
            <w:r>
              <w:rPr>
                <w:b w:val="0"/>
                <w:sz w:val="16"/>
              </w:rPr>
              <w:t>L-1 Summary §§ 1, 4, 11; Flowchart Node 2.</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xml:space="preserve">• At least </w:t>
            </w:r>
            <w:r>
              <w:rPr>
                <w:b/>
                <w:sz w:val="16"/>
              </w:rPr>
              <w:t>1 continuous year</w:t>
            </w:r>
            <w:r>
              <w:rPr>
                <w:b w:val="0"/>
                <w:sz w:val="16"/>
              </w:rPr>
              <w:t xml:space="preserve"> of full-time employment abroad with a qualifying organization within the 3 years before filing</w:t>
            </w:r>
          </w:p>
          <w:p>
            <w:pPr>
              <w:spacing w:after="20" w:before="0"/>
              <w:ind w:left="173" w:hanging="144"/>
            </w:pPr>
            <w:r>
              <w:rPr>
                <w:b w:val="0"/>
                <w:sz w:val="16"/>
              </w:rPr>
              <w:t xml:space="preserve">• That foreign job was </w:t>
            </w:r>
            <w:r>
              <w:rPr>
                <w:b/>
                <w:sz w:val="16"/>
              </w:rPr>
              <w:t>managerial, executive, or specialized-knowledge</w:t>
            </w:r>
            <w:r>
              <w:rPr>
                <w:b w:val="0"/>
                <w:sz w:val="16"/>
              </w:rPr>
              <w:t xml:space="preserve"> (8 C.F.R. § 214.2(l)(3)(iv))</w:t>
            </w:r>
          </w:p>
          <w:p>
            <w:pPr>
              <w:spacing w:after="20" w:before="0"/>
              <w:ind w:left="173" w:hanging="144"/>
            </w:pPr>
            <w:r>
              <w:rPr>
                <w:b w:val="0"/>
                <w:sz w:val="16"/>
              </w:rPr>
              <w:t>• Coming to the U.S. in a managerial (supervises professionals/managers or manages an essential function; hire/fire or senior-level authority; day-to-day discretion) or executive (directs the organization or a major component; sets goals/policies; wide discretion) capacity</w:t>
            </w:r>
          </w:p>
          <w:p>
            <w:pPr>
              <w:spacing w:after="20" w:before="0"/>
              <w:ind w:left="173" w:hanging="144"/>
            </w:pPr>
            <w:r>
              <w:rPr>
                <w:b w:val="0"/>
                <w:sz w:val="16"/>
              </w:rPr>
              <w:t>• No degree requirement</w:t>
            </w:r>
          </w:p>
        </w:tc>
        <w:tc>
          <w:tcPr>
            <w:tcW w:type="dxa" w:w="3528"/>
          </w:tcPr>
          <w:p>
            <w:pPr>
              <w:spacing w:after="20" w:before="0"/>
            </w:pPr>
            <w:r/>
            <w:r>
              <w:rPr>
                <w:b w:val="0"/>
                <w:sz w:val="16"/>
              </w:rPr>
              <w:t>Flowchart L-1A summary says the foreign year must be managerial/executive — too narrow, and inconsistent with Flowchart Q2A and the L-1 Summary (STD-09).</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Qualifying relationship between U.S. petitioner and foreign employer: parent, branch, subsidiary, affiliate (or qualifying 50-50 joint venture) — Aethon’s wholly owned Taipei and Munich subsidiaries qualify</w:t>
            </w:r>
          </w:p>
          <w:p>
            <w:pPr>
              <w:spacing w:after="20" w:before="0"/>
              <w:ind w:left="173" w:hanging="144"/>
            </w:pPr>
            <w:r>
              <w:rPr>
                <w:b w:val="0"/>
                <w:sz w:val="16"/>
              </w:rPr>
              <w:t>• U.S. and at least one foreign entity doing business (regular, systematic, continuous provision of goods/services) throughout</w:t>
            </w:r>
          </w:p>
          <w:p>
            <w:pPr>
              <w:spacing w:after="20" w:before="0"/>
              <w:ind w:left="173" w:hanging="144"/>
            </w:pPr>
            <w:r>
              <w:rPr>
                <w:b w:val="0"/>
                <w:sz w:val="16"/>
              </w:rPr>
              <w:t>• New office (U.S. operations under 1 year): premises, business plan, ability to support a managerial role within 1 year — not applicable to Aethon HQ</w:t>
            </w:r>
          </w:p>
          <w:p>
            <w:pPr>
              <w:spacing w:after="20" w:before="0"/>
              <w:ind w:left="173" w:hanging="144"/>
            </w:pPr>
            <w:r>
              <w:rPr>
                <w:b w:val="0"/>
                <w:sz w:val="16"/>
              </w:rPr>
              <w:t>• No LCA</w:t>
            </w:r>
          </w:p>
        </w:tc>
        <w:tc>
          <w:tcPr>
            <w:tcW w:type="dxa" w:w="3528"/>
          </w:tcPr>
          <w:p>
            <w:pPr>
              <w:spacing w:after="20" w:before="0"/>
            </w:pPr>
            <w:r/>
            <w:r>
              <w:rPr>
                <w:b w:val="0"/>
                <w:sz w:val="16"/>
              </w:rPr>
              <w:t>L-1 Summary §§ 2, 6, 7.</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Corporate ownership evidence (share registers, annual reports, audited financials)</w:t>
            </w:r>
          </w:p>
          <w:p>
            <w:pPr>
              <w:spacing w:after="20" w:before="0"/>
              <w:ind w:left="173" w:hanging="144"/>
            </w:pPr>
            <w:r>
              <w:rPr>
                <w:b w:val="0"/>
                <w:sz w:val="16"/>
              </w:rPr>
              <w:t>• Foreign employer letter, payroll records and duties for the qualifying year</w:t>
            </w:r>
          </w:p>
          <w:p>
            <w:pPr>
              <w:spacing w:after="20" w:before="0"/>
              <w:ind w:left="173" w:hanging="144"/>
            </w:pPr>
            <w:r>
              <w:rPr>
                <w:b w:val="0"/>
                <w:sz w:val="16"/>
              </w:rPr>
              <w:t>• U.S. and foreign org charts showing subordinates’ titles, duties and education; percentage of time on managerial duties</w:t>
            </w:r>
          </w:p>
          <w:p>
            <w:pPr>
              <w:spacing w:after="20" w:before="0"/>
              <w:ind w:left="173" w:hanging="144"/>
            </w:pPr>
            <w:r>
              <w:rPr>
                <w:b w:val="0"/>
                <w:sz w:val="16"/>
              </w:rPr>
              <w:t>• Function-manager claims require proof the function is essential and the beneficiary manages (not performs) it</w:t>
            </w:r>
          </w:p>
        </w:tc>
        <w:tc>
          <w:tcPr>
            <w:tcW w:type="dxa" w:w="3528"/>
          </w:tcPr>
          <w:p>
            <w:pPr>
              <w:spacing w:after="20" w:before="0"/>
            </w:pPr>
            <w:r/>
            <w:r>
              <w:rPr>
                <w:b w:val="0"/>
                <w:sz w:val="16"/>
              </w:rPr>
              <w:t>L-1 Summary §§ 4.1, 6, 10.</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Form I-129 (L): </w:t>
            </w:r>
            <w:r>
              <w:rPr>
                <w:b/>
                <w:sz w:val="16"/>
              </w:rPr>
              <w:t>$1,385</w:t>
            </w:r>
          </w:p>
          <w:p>
            <w:pPr>
              <w:spacing w:after="20" w:before="0"/>
              <w:ind w:left="173" w:hanging="144"/>
            </w:pPr>
            <w:r>
              <w:rPr>
                <w:b w:val="0"/>
                <w:sz w:val="16"/>
              </w:rPr>
              <w:t xml:space="preserve">• Fraud prevention &amp; detection fee: </w:t>
            </w:r>
            <w:r>
              <w:rPr>
                <w:b/>
                <w:sz w:val="16"/>
              </w:rPr>
              <w:t>$500</w:t>
            </w:r>
            <w:r>
              <w:rPr>
                <w:b w:val="0"/>
                <w:sz w:val="16"/>
              </w:rPr>
              <w:t xml:space="preserve"> (initial petition / new employer)</w:t>
            </w:r>
          </w:p>
          <w:p>
            <w:pPr>
              <w:spacing w:after="20" w:before="0"/>
              <w:ind w:left="173" w:hanging="144"/>
            </w:pPr>
            <w:r>
              <w:rPr>
                <w:b w:val="0"/>
                <w:sz w:val="16"/>
              </w:rPr>
              <w:t xml:space="preserve">• Asylum Program Fee: </w:t>
            </w:r>
            <w:r>
              <w:rPr>
                <w:b/>
                <w:sz w:val="16"/>
              </w:rPr>
              <w:t>$600</w:t>
            </w:r>
          </w:p>
          <w:p>
            <w:pPr>
              <w:spacing w:after="20" w:before="0"/>
              <w:ind w:left="173" w:hanging="144"/>
            </w:pPr>
            <w:r>
              <w:rPr>
                <w:b w:val="0"/>
                <w:sz w:val="16"/>
              </w:rPr>
              <w:t xml:space="preserve">• </w:t>
            </w:r>
            <w:r>
              <w:rPr>
                <w:b/>
                <w:sz w:val="16"/>
              </w:rPr>
              <w:t>Total: $2,485</w:t>
            </w:r>
          </w:p>
          <w:p>
            <w:pPr>
              <w:spacing w:after="20" w:before="0"/>
              <w:ind w:left="173" w:hanging="144"/>
            </w:pPr>
            <w:r>
              <w:rPr>
                <w:b w:val="0"/>
                <w:sz w:val="16"/>
              </w:rPr>
              <w:t xml:space="preserve">• Optional premium: $2,805 / </w:t>
            </w:r>
            <w:r>
              <w:rPr>
                <w:b/>
                <w:sz w:val="16"/>
              </w:rPr>
              <w:t>$2,965</w:t>
            </w:r>
            <w:r>
              <w:rPr>
                <w:b w:val="0"/>
                <w:sz w:val="16"/>
              </w:rPr>
              <w:t xml:space="preserve"> from Feb. 26, 2025</w:t>
            </w:r>
          </w:p>
          <w:p>
            <w:pPr>
              <w:spacing w:after="20" w:before="0"/>
              <w:ind w:left="173" w:hanging="144"/>
            </w:pPr>
            <w:r>
              <w:rPr>
                <w:b w:val="0"/>
                <w:sz w:val="16"/>
              </w:rPr>
              <w:t>• 50/50 fee ($4,500) not applicable to Aethon</w:t>
            </w:r>
          </w:p>
          <w:p>
            <w:pPr>
              <w:spacing w:after="20" w:before="0"/>
              <w:ind w:left="173" w:hanging="144"/>
            </w:pPr>
            <w:r>
              <w:rPr>
                <w:b w:val="0"/>
                <w:sz w:val="16"/>
              </w:rPr>
              <w:t>• Under an approved blanket petition: no individual I-129; beneficiary pays the $500 fraud fee and visa fee at the consulate</w:t>
            </w:r>
          </w:p>
        </w:tc>
        <w:tc>
          <w:tcPr>
            <w:tcW w:type="dxa" w:w="3528"/>
          </w:tcPr>
          <w:p>
            <w:pPr>
              <w:spacing w:after="20" w:before="0"/>
            </w:pPr>
            <w:r/>
            <w:r>
              <w:rPr>
                <w:b w:val="0"/>
                <w:sz w:val="16"/>
              </w:rPr>
              <w:t>L-1 Summary § 6 ($460 base; $1,560 total) and Memo § IV.D / App. A ($780 base; $1,880 total) are both wrong (FEE-01, FEE-02).</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Initial: up to 3 years (1 year for a new office)</w:t>
            </w:r>
          </w:p>
          <w:p>
            <w:pPr>
              <w:spacing w:after="20" w:before="0"/>
              <w:ind w:left="173" w:hanging="144"/>
            </w:pPr>
            <w:r>
              <w:rPr>
                <w:b w:val="0"/>
                <w:sz w:val="16"/>
              </w:rPr>
              <w:t>• Extensions: up to 2 years each</w:t>
            </w:r>
          </w:p>
          <w:p>
            <w:pPr>
              <w:spacing w:after="20" w:before="0"/>
              <w:ind w:left="173" w:hanging="144"/>
            </w:pPr>
            <w:r>
              <w:rPr>
                <w:b w:val="0"/>
                <w:sz w:val="16"/>
              </w:rPr>
              <w:t xml:space="preserve">• </w:t>
            </w:r>
            <w:r>
              <w:rPr>
                <w:b/>
                <w:sz w:val="16"/>
              </w:rPr>
              <w:t>Maximum 7 years</w:t>
            </w:r>
            <w:r>
              <w:rPr>
                <w:b w:val="0"/>
                <w:sz w:val="16"/>
              </w:rPr>
              <w:t xml:space="preserve"> (time in H or L status counts; time abroad can be recaptured)</w:t>
            </w:r>
          </w:p>
          <w:p>
            <w:pPr>
              <w:spacing w:after="20" w:before="0"/>
              <w:ind w:left="173" w:hanging="144"/>
            </w:pPr>
            <w:r>
              <w:rPr>
                <w:b w:val="0"/>
                <w:sz w:val="16"/>
              </w:rPr>
              <w:t>• Then 1 year abroad before a new H or L petition</w:t>
            </w:r>
          </w:p>
        </w:tc>
        <w:tc>
          <w:tcPr>
            <w:tcW w:type="dxa" w:w="3528"/>
          </w:tcPr>
          <w:p>
            <w:pPr>
              <w:spacing w:after="20" w:before="0"/>
            </w:pPr>
            <w:r/>
            <w:r>
              <w:rPr>
                <w:b w:val="0"/>
                <w:sz w:val="16"/>
              </w:rPr>
              <w:t>L-1 Summary § 4.3; Flowchart. Consistent.</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Aethon has never filed an L-1A; expect close scrutiny of managerial headcount and duties</w:t>
            </w:r>
          </w:p>
          <w:p>
            <w:pPr>
              <w:spacing w:after="20" w:before="0"/>
              <w:ind w:left="173" w:hanging="144"/>
            </w:pPr>
            <w:r>
              <w:rPr>
                <w:b w:val="0"/>
                <w:sz w:val="16"/>
              </w:rPr>
              <w:t xml:space="preserve">• Dual intent; strong bridge to </w:t>
            </w:r>
            <w:r>
              <w:rPr>
                <w:b/>
                <w:sz w:val="16"/>
              </w:rPr>
              <w:t>EB-1C</w:t>
            </w:r>
            <w:r>
              <w:rPr>
                <w:b w:val="0"/>
                <w:sz w:val="16"/>
              </w:rPr>
              <w:t xml:space="preserve"> (no PERM) — but EB-1C requires the qualifying foreign year to have been </w:t>
            </w:r>
            <w:r>
              <w:rPr>
                <w:b/>
                <w:sz w:val="16"/>
              </w:rPr>
              <w:t>managerial or executive</w:t>
            </w:r>
          </w:p>
          <w:p>
            <w:pPr>
              <w:spacing w:after="20" w:before="0"/>
              <w:ind w:left="173" w:hanging="144"/>
            </w:pPr>
            <w:r>
              <w:rPr>
                <w:b w:val="0"/>
                <w:sz w:val="16"/>
              </w:rPr>
              <w:t>• L-2 spouses are employment-authorized incident to status (no EAD application needed)</w:t>
            </w:r>
          </w:p>
          <w:p>
            <w:pPr>
              <w:spacing w:after="20" w:before="0"/>
              <w:ind w:left="173" w:hanging="144"/>
            </w:pPr>
            <w:r>
              <w:rPr>
                <w:b w:val="0"/>
                <w:sz w:val="16"/>
              </w:rPr>
              <w:t>• Blanket L petition: Aethon appears to qualify on the $25M sales prong (see L-1B)</w:t>
            </w:r>
          </w:p>
          <w:p>
            <w:pPr>
              <w:spacing w:after="20" w:before="0"/>
              <w:ind w:left="173" w:hanging="144"/>
            </w:pPr>
            <w:r>
              <w:rPr>
                <w:b w:val="0"/>
                <w:sz w:val="16"/>
              </w:rPr>
              <w:t>• Candidate fit: Dr. Breitner if the Research Director role is a genuine people-manager or essential-function role</w:t>
            </w:r>
          </w:p>
        </w:tc>
        <w:tc>
          <w:tcPr>
            <w:tcW w:type="dxa" w:w="3528"/>
          </w:tcPr>
          <w:p>
            <w:pPr>
              <w:spacing w:after="20" w:before="0"/>
            </w:pPr>
            <w:r/>
            <w:r>
              <w:rPr>
                <w:b w:val="0"/>
                <w:sz w:val="16"/>
              </w:rPr>
              <w:t>L-1 Summary § 9 (L-2 EAD) is outdated (STD-11); EB-1C caveat missing (STD-20).</w:t>
            </w:r>
          </w:p>
        </w:tc>
      </w:tr>
    </w:tbl>
    <w:p>
      <w:pPr>
        <w:pStyle w:val="Heading2"/>
        <w:pageBreakBefore/>
      </w:pPr>
      <w:r>
        <w:t>B.5  L-1B — Intracompany Transferee: Specialized Knowledge</w:t>
      </w:r>
    </w:p>
    <w:p>
      <w:pPr>
        <w:spacing w:after="80"/>
      </w:pPr>
      <w:r>
        <w:rPr>
          <w:b/>
          <w:sz w:val="18"/>
        </w:rPr>
        <w:t>In plain terms:</w:t>
      </w:r>
      <w:r>
        <w:rPr>
          <w:b w:val="0"/>
          <w:sz w:val="18"/>
        </w:rPr>
        <w:t xml:space="preserve"> For a current Aethon Taiwan or Aethon GmbH employee (at least 1 continuous year in the last 3) whose knowledge of Aethon’s proprietary products, processes or procedures is special or advanced. No cap, no lottery.</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101(a)(15)(L); § 214(c)(2)(B) (specialized knowledge); § 214(c)(2)(F) (off-site placement restrictions)</w:t>
            </w:r>
          </w:p>
          <w:p>
            <w:pPr>
              <w:spacing w:after="20" w:before="0"/>
              <w:ind w:left="173" w:hanging="144"/>
            </w:pPr>
            <w:r>
              <w:rPr>
                <w:b w:val="0"/>
                <w:sz w:val="16"/>
              </w:rPr>
              <w:t>• 8 C.F.R. § 214.2(l)(1)(ii)(D)</w:t>
            </w:r>
          </w:p>
          <w:p>
            <w:pPr>
              <w:spacing w:after="20" w:before="0"/>
              <w:ind w:left="173" w:hanging="144"/>
            </w:pPr>
            <w:r>
              <w:rPr>
                <w:b w:val="0"/>
                <w:sz w:val="16"/>
              </w:rPr>
              <w:t>• USCIS Policy Manual Vol. 2, Part L (incorporating the 2015 L-1B guidance, PM-602-0111)</w:t>
            </w:r>
          </w:p>
        </w:tc>
        <w:tc>
          <w:tcPr>
            <w:tcW w:type="dxa" w:w="3528"/>
          </w:tcPr>
          <w:p>
            <w:pPr>
              <w:spacing w:after="20" w:before="0"/>
            </w:pPr>
            <w:r/>
            <w:r>
              <w:rPr>
                <w:b w:val="0"/>
                <w:sz w:val="16"/>
              </w:rPr>
              <w:t>L-1 Summary §§ 5, 11.</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At least 1 continuous year of full-time employment abroad with the qualifying organization within the past 3 years, in a managerial, executive or specialized-knowledge role</w:t>
            </w:r>
          </w:p>
          <w:p>
            <w:pPr>
              <w:spacing w:after="20" w:before="0"/>
              <w:ind w:left="173" w:hanging="144"/>
            </w:pPr>
            <w:r>
              <w:rPr>
                <w:b w:val="0"/>
                <w:sz w:val="16"/>
              </w:rPr>
              <w:t xml:space="preserve">• </w:t>
            </w:r>
            <w:r>
              <w:rPr>
                <w:b/>
                <w:sz w:val="16"/>
              </w:rPr>
              <w:t>Specialized knowledge</w:t>
            </w:r>
            <w:r>
              <w:rPr>
                <w:b w:val="0"/>
                <w:sz w:val="16"/>
              </w:rPr>
              <w:t xml:space="preserve"> = EITHER (a) special knowledge of the company’s products, services, research, equipment, techniques, management or other interests and their application in international markets, OR (b) an advanced level of knowledge or expertise in the company’s processes and procedures — </w:t>
            </w:r>
            <w:r>
              <w:rPr>
                <w:b/>
                <w:sz w:val="16"/>
              </w:rPr>
              <w:t>either one is enough</w:t>
            </w:r>
          </w:p>
          <w:p>
            <w:pPr>
              <w:spacing w:after="20" w:before="0"/>
              <w:ind w:left="173" w:hanging="144"/>
            </w:pPr>
            <w:r>
              <w:rPr>
                <w:b w:val="0"/>
                <w:sz w:val="16"/>
              </w:rPr>
              <w:t>• Knowledge must be distinct/uncommon compared with the industry or the employer’s workforce generally</w:t>
            </w:r>
          </w:p>
          <w:p>
            <w:pPr>
              <w:spacing w:after="20" w:before="0"/>
              <w:ind w:left="173" w:hanging="144"/>
            </w:pPr>
            <w:r>
              <w:rPr>
                <w:b w:val="0"/>
                <w:sz w:val="16"/>
              </w:rPr>
              <w:t>• No degree requirement for individual petitions (blanket L-1B requires a “specialized knowledge professional” with a degree)</w:t>
            </w:r>
          </w:p>
        </w:tc>
        <w:tc>
          <w:tcPr>
            <w:tcW w:type="dxa" w:w="3528"/>
          </w:tcPr>
          <w:p>
            <w:pPr>
              <w:spacing w:after="20" w:before="0"/>
            </w:pPr>
            <w:r/>
            <w:r>
              <w:rPr>
                <w:b w:val="0"/>
                <w:sz w:val="16"/>
              </w:rPr>
              <w:t xml:space="preserve">L-1 Summary § 5.1 states the beneficiary must have </w:t>
            </w:r>
            <w:r>
              <w:rPr>
                <w:b/>
                <w:sz w:val="16"/>
              </w:rPr>
              <w:t>both</w:t>
            </w:r>
            <w:r>
              <w:rPr>
                <w:b w:val="0"/>
                <w:sz w:val="16"/>
              </w:rPr>
              <w:t xml:space="preserve"> special and advanced knowledge — incorrect (STD-03).</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Same qualifying-relationship and doing-business requirements as L-1A</w:t>
            </w:r>
          </w:p>
          <w:p>
            <w:pPr>
              <w:spacing w:after="20" w:before="0"/>
              <w:ind w:left="173" w:hanging="144"/>
            </w:pPr>
            <w:r>
              <w:rPr>
                <w:b w:val="0"/>
                <w:sz w:val="16"/>
              </w:rPr>
              <w:t>• If the employee will work mainly at an unaffiliated third-party site: the petitioner must control and supervise the work, and the placement cannot be essentially labor-for-hire (INA § 214(c)(2)(F))</w:t>
            </w:r>
          </w:p>
          <w:p>
            <w:pPr>
              <w:spacing w:after="20" w:before="0"/>
              <w:ind w:left="173" w:hanging="144"/>
            </w:pPr>
            <w:r>
              <w:rPr>
                <w:b w:val="0"/>
                <w:sz w:val="16"/>
              </w:rPr>
              <w:t>• No LCA; pay should be consistent with the position</w:t>
            </w:r>
          </w:p>
          <w:p>
            <w:pPr>
              <w:spacing w:after="20" w:before="0"/>
              <w:ind w:left="173" w:hanging="144"/>
            </w:pPr>
            <w:r>
              <w:rPr>
                <w:b w:val="0"/>
                <w:sz w:val="16"/>
              </w:rPr>
              <w:t xml:space="preserve">• </w:t>
            </w:r>
            <w:r>
              <w:rPr>
                <w:b/>
                <w:sz w:val="16"/>
              </w:rPr>
              <w:t>Blanket L eligibility (8 C.F.R. § 214.2(l)(4)(i))</w:t>
            </w:r>
            <w:r>
              <w:rPr>
                <w:b w:val="0"/>
                <w:sz w:val="16"/>
              </w:rPr>
              <w:t>: commercial trade/services; U.S. office doing business 1+ year; 3+ domestic/foreign branches, subsidiaries or affiliates; AND one of: 10+ L approvals in prior 12 months, combined U.S. annual sales of $25M+, or U.S. workforce of 1,000+. Aethon appears to qualify on the sales prong ($248M)</w:t>
            </w:r>
          </w:p>
        </w:tc>
        <w:tc>
          <w:tcPr>
            <w:tcW w:type="dxa" w:w="3528"/>
          </w:tcPr>
          <w:p>
            <w:pPr>
              <w:spacing w:after="20" w:before="0"/>
            </w:pPr>
            <w:r/>
            <w:r>
              <w:rPr>
                <w:b w:val="0"/>
                <w:sz w:val="16"/>
              </w:rPr>
              <w:t>L-1 Summary § 8.2 and Memo § VII.5 omit the 10-approvals prong; Memo cites § 214.2(l)(1)(ii); blanket petitions are filed on Form I-129 (I-129S is the individual beneficiary form) (STD-10).</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Detailed description of the proprietary knowledge, how and when it was gained, why it is not readily available in the U.S. labor market and how it will be applied</w:t>
            </w:r>
          </w:p>
          <w:p>
            <w:pPr>
              <w:spacing w:after="20" w:before="0"/>
              <w:ind w:left="173" w:hanging="144"/>
            </w:pPr>
            <w:r>
              <w:rPr>
                <w:b w:val="0"/>
                <w:sz w:val="16"/>
              </w:rPr>
              <w:t>• Evidence: training records, internal tools/process documentation (redacted), patents, projects led, comparison with similarly employed workers</w:t>
            </w:r>
          </w:p>
          <w:p>
            <w:pPr>
              <w:spacing w:after="20" w:before="0"/>
              <w:ind w:left="173" w:hanging="144"/>
            </w:pPr>
            <w:r>
              <w:rPr>
                <w:b w:val="0"/>
                <w:sz w:val="16"/>
              </w:rPr>
              <w:t>• Same corporate and foreign-employment evidence as L-1A</w:t>
            </w:r>
          </w:p>
        </w:tc>
        <w:tc>
          <w:tcPr>
            <w:tcW w:type="dxa" w:w="3528"/>
          </w:tcPr>
          <w:p>
            <w:pPr>
              <w:spacing w:after="20" w:before="0"/>
            </w:pPr>
            <w:r/>
            <w:r>
              <w:rPr>
                <w:b w:val="0"/>
                <w:sz w:val="16"/>
              </w:rPr>
              <w:t>L-1 Summary §§ 5.1, 10; Flowchart L-1B summary.</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Same as L-1A: I-129 $1,385 + fraud $500 + Asylum $600 = </w:t>
            </w:r>
            <w:r>
              <w:rPr>
                <w:b/>
                <w:sz w:val="16"/>
              </w:rPr>
              <w:t>$2,485</w:t>
            </w:r>
            <w:r>
              <w:rPr>
                <w:b w:val="0"/>
                <w:sz w:val="16"/>
              </w:rPr>
              <w:t xml:space="preserve">; premium $2,805 / </w:t>
            </w:r>
            <w:r>
              <w:rPr>
                <w:b/>
                <w:sz w:val="16"/>
              </w:rPr>
              <w:t>$2,965</w:t>
            </w:r>
            <w:r>
              <w:rPr>
                <w:b w:val="0"/>
                <w:sz w:val="16"/>
              </w:rPr>
              <w:t xml:space="preserve"> from Feb. 26, 2025</w:t>
            </w:r>
          </w:p>
        </w:tc>
        <w:tc>
          <w:tcPr>
            <w:tcW w:type="dxa" w:w="3528"/>
          </w:tcPr>
          <w:p>
            <w:pPr>
              <w:spacing w:after="20" w:before="0"/>
            </w:pPr>
            <w:r/>
            <w:r>
              <w:rPr>
                <w:b w:val="0"/>
                <w:sz w:val="16"/>
              </w:rPr>
              <w:t>FEE-01, FEE-02.</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Initial: up to 3 years (1 year new office); extensions up to 2 years</w:t>
            </w:r>
          </w:p>
          <w:p>
            <w:pPr>
              <w:spacing w:after="20" w:before="0"/>
              <w:ind w:left="173" w:hanging="144"/>
            </w:pPr>
            <w:r>
              <w:rPr>
                <w:b w:val="0"/>
                <w:sz w:val="16"/>
              </w:rPr>
              <w:t xml:space="preserve">• </w:t>
            </w:r>
            <w:r>
              <w:rPr>
                <w:b/>
                <w:sz w:val="16"/>
              </w:rPr>
              <w:t>Maximum 5 years</w:t>
            </w:r>
            <w:r>
              <w:rPr>
                <w:b w:val="0"/>
                <w:sz w:val="16"/>
              </w:rPr>
              <w:t xml:space="preserve"> (H and L time counts); then 1 year abroad</w:t>
            </w:r>
          </w:p>
        </w:tc>
        <w:tc>
          <w:tcPr>
            <w:tcW w:type="dxa" w:w="3528"/>
          </w:tcPr>
          <w:p>
            <w:pPr>
              <w:spacing w:after="20" w:before="0"/>
            </w:pPr>
            <w:r/>
            <w:r>
              <w:rPr>
                <w:b w:val="0"/>
                <w:sz w:val="16"/>
              </w:rPr>
              <w:t>L-1 Summary § 5.2.</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Most frequent RFE category; prepare a strong specialized-knowledge narrative</w:t>
            </w:r>
          </w:p>
          <w:p>
            <w:pPr>
              <w:spacing w:after="20" w:before="0"/>
              <w:ind w:left="173" w:hanging="144"/>
            </w:pPr>
            <w:r>
              <w:rPr>
                <w:b w:val="0"/>
                <w:sz w:val="16"/>
              </w:rPr>
              <w:t>• Green card: no direct EB-1C route; consider EB-2 (PERM), EB-2/NIW, EB-1A or EB-1B, depending on profile</w:t>
            </w:r>
          </w:p>
          <w:p>
            <w:pPr>
              <w:spacing w:after="20" w:before="0"/>
              <w:ind w:left="173" w:hanging="144"/>
            </w:pPr>
            <w:r>
              <w:rPr>
                <w:b w:val="0"/>
                <w:sz w:val="16"/>
              </w:rPr>
              <w:t>• Aethon currently has 4 L-1B holders</w:t>
            </w:r>
          </w:p>
          <w:p>
            <w:pPr>
              <w:spacing w:after="20" w:before="0"/>
              <w:ind w:left="173" w:hanging="144"/>
            </w:pPr>
            <w:r>
              <w:rPr>
                <w:b w:val="0"/>
                <w:sz w:val="16"/>
              </w:rPr>
              <w:t>• Best fit among current candidates: Dr. Chang (proprietary design-verification processes); Dr. Breitner possible</w:t>
            </w:r>
          </w:p>
        </w:tc>
        <w:tc>
          <w:tcPr>
            <w:tcW w:type="dxa" w:w="3528"/>
          </w:tcPr>
          <w:p>
            <w:pPr>
              <w:spacing w:after="20" w:before="0"/>
            </w:pPr>
            <w:r/>
            <w:r>
              <w:rPr>
                <w:b w:val="0"/>
                <w:sz w:val="16"/>
              </w:rPr>
              <w:t>L-1 Summary § 10 says L-1B holders must use EB-2/EB-3 — overstated (STD-20).</w:t>
            </w:r>
          </w:p>
        </w:tc>
      </w:tr>
    </w:tbl>
    <w:p>
      <w:pPr>
        <w:pStyle w:val="Heading2"/>
        <w:pageBreakBefore/>
      </w:pPr>
      <w:r>
        <w:t>B.6  EB-1A — Immigrant: Extraordinary Ability</w:t>
      </w:r>
    </w:p>
    <w:p>
      <w:pPr>
        <w:spacing w:after="80"/>
      </w:pPr>
      <w:r>
        <w:rPr>
          <w:b/>
          <w:sz w:val="18"/>
        </w:rPr>
        <w:t>In plain terms:</w:t>
      </w:r>
      <w:r>
        <w:rPr>
          <w:b w:val="0"/>
          <w:sz w:val="18"/>
        </w:rPr>
        <w:t xml:space="preserve"> Green card for people at the very top of their field with sustained national or international acclaim. The candidate can file for themselves; no job offer and no PERM labor certification.</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203(b)(1)(A)</w:t>
            </w:r>
          </w:p>
          <w:p>
            <w:pPr>
              <w:spacing w:after="20" w:before="0"/>
              <w:ind w:left="173" w:hanging="144"/>
            </w:pPr>
            <w:r>
              <w:rPr>
                <w:b w:val="0"/>
                <w:sz w:val="16"/>
              </w:rPr>
              <w:t>• 8 C.F.R. § 204.5(h)</w:t>
            </w:r>
          </w:p>
          <w:p>
            <w:pPr>
              <w:spacing w:after="20" w:before="0"/>
              <w:ind w:left="173" w:hanging="144"/>
            </w:pPr>
            <w:r>
              <w:rPr>
                <w:b w:val="0"/>
                <w:sz w:val="16"/>
              </w:rPr>
              <w:t>• Kazarian v. USCIS, 596 F.3d 1115 (9th Cir. 2010); USCIS Policy Manual Vol. 6, Part F, Ch. 2 (two-step review)</w:t>
            </w:r>
          </w:p>
        </w:tc>
        <w:tc>
          <w:tcPr>
            <w:tcW w:type="dxa" w:w="3528"/>
          </w:tcPr>
          <w:p>
            <w:pPr>
              <w:spacing w:after="20" w:before="0"/>
            </w:pPr>
            <w:r/>
            <w:r>
              <w:rPr>
                <w:b w:val="0"/>
                <w:sz w:val="16"/>
              </w:rPr>
              <w:t>EB Guide § 3; Flowchart Node 5.</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xml:space="preserve">• Extraordinary ability in the sciences, arts, education, business or athletics, demonstrated by </w:t>
            </w:r>
            <w:r>
              <w:rPr>
                <w:b/>
                <w:sz w:val="16"/>
              </w:rPr>
              <w:t>sustained national or international acclaim</w:t>
            </w:r>
            <w:r>
              <w:rPr>
                <w:b w:val="0"/>
                <w:sz w:val="16"/>
              </w:rPr>
              <w:t xml:space="preserve"> (small percentage at the very top)</w:t>
            </w:r>
          </w:p>
          <w:p>
            <w:pPr>
              <w:spacing w:after="20" w:before="0"/>
              <w:ind w:left="173" w:hanging="144"/>
            </w:pPr>
            <w:r>
              <w:rPr>
                <w:b w:val="0"/>
                <w:sz w:val="16"/>
              </w:rPr>
              <w:t>• Will continue work in the area of expertise in the U.S. (clear evidence such as letters, contracts or a statement of plans)</w:t>
            </w:r>
          </w:p>
          <w:p>
            <w:pPr>
              <w:spacing w:after="20" w:before="0"/>
              <w:ind w:left="173" w:hanging="144"/>
            </w:pPr>
            <w:r>
              <w:rPr>
                <w:b w:val="0"/>
                <w:sz w:val="16"/>
              </w:rPr>
              <w:t>• Work will substantially benefit the U.S. prospectively</w:t>
            </w:r>
          </w:p>
        </w:tc>
        <w:tc>
          <w:tcPr>
            <w:tcW w:type="dxa" w:w="3528"/>
          </w:tcPr>
          <w:p>
            <w:pPr>
              <w:spacing w:after="20" w:before="0"/>
            </w:pPr>
            <w:r/>
            <w:r>
              <w:rPr>
                <w:b w:val="0"/>
                <w:sz w:val="16"/>
              </w:rPr>
              <w:t>EB Guide § 3.1.</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xml:space="preserve">• </w:t>
            </w:r>
            <w:r>
              <w:rPr>
                <w:b/>
                <w:sz w:val="16"/>
              </w:rPr>
              <w:t>No employer or job offer required</w:t>
            </w:r>
            <w:r>
              <w:rPr>
                <w:b w:val="0"/>
                <w:sz w:val="16"/>
              </w:rPr>
              <w:t>; self-petition allowed (an employer may also file)</w:t>
            </w:r>
          </w:p>
          <w:p>
            <w:pPr>
              <w:spacing w:after="20" w:before="0"/>
              <w:ind w:left="173" w:hanging="144"/>
            </w:pPr>
            <w:r>
              <w:rPr>
                <w:b w:val="0"/>
                <w:sz w:val="16"/>
              </w:rPr>
              <w:t>• No PERM labor certification</w:t>
            </w:r>
          </w:p>
        </w:tc>
        <w:tc>
          <w:tcPr>
            <w:tcW w:type="dxa" w:w="3528"/>
          </w:tcPr>
          <w:p>
            <w:pPr>
              <w:spacing w:after="20" w:before="0"/>
            </w:pPr>
            <w:r/>
            <w:r>
              <w:rPr>
                <w:b w:val="0"/>
                <w:sz w:val="16"/>
              </w:rPr>
              <w:t>EB Guide §§ 3.1, 3.4.</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xml:space="preserve">• One-time major internationally recognized award, OR at least </w:t>
            </w:r>
            <w:r>
              <w:rPr>
                <w:b/>
                <w:sz w:val="16"/>
              </w:rPr>
              <w:t>3 of 10</w:t>
            </w:r>
            <w:r>
              <w:rPr>
                <w:b w:val="0"/>
                <w:sz w:val="16"/>
              </w:rPr>
              <w:t xml:space="preserve"> criteria (8 C.F.R. § 204.5(h)(3)): lesser national/international prizes; membership requiring outstanding achievement; published material about the person; judging; original contributions of major significance; scholarly articles; display at exhibitions; leading or critical role for distinguished organizations; high salary; commercial success in the performing arts</w:t>
            </w:r>
          </w:p>
          <w:p>
            <w:pPr>
              <w:spacing w:after="20" w:before="0"/>
              <w:ind w:left="173" w:hanging="144"/>
            </w:pPr>
            <w:r>
              <w:rPr>
                <w:b w:val="0"/>
                <w:sz w:val="16"/>
              </w:rPr>
              <w:t>• Comparable evidence allowed (§ 204.5(h)(4))</w:t>
            </w:r>
          </w:p>
          <w:p>
            <w:pPr>
              <w:spacing w:after="20" w:before="0"/>
              <w:ind w:left="173" w:hanging="144"/>
            </w:pPr>
            <w:r>
              <w:rPr>
                <w:b w:val="0"/>
                <w:sz w:val="16"/>
              </w:rPr>
              <w:t xml:space="preserve">• Then a </w:t>
            </w:r>
            <w:r>
              <w:rPr>
                <w:b/>
                <w:sz w:val="16"/>
              </w:rPr>
              <w:t>final merits determination</w:t>
            </w:r>
            <w:r>
              <w:rPr>
                <w:b w:val="0"/>
                <w:sz w:val="16"/>
              </w:rPr>
              <w:t>: totality shows sustained acclaim and top-of-field standing</w:t>
            </w:r>
          </w:p>
        </w:tc>
        <w:tc>
          <w:tcPr>
            <w:tcW w:type="dxa" w:w="3528"/>
          </w:tcPr>
          <w:p>
            <w:pPr>
              <w:spacing w:after="20" w:before="0"/>
            </w:pPr>
            <w:r/>
            <w:r>
              <w:rPr>
                <w:b w:val="0"/>
                <w:sz w:val="16"/>
              </w:rPr>
              <w:t>EB Guide §§ 3.2–3.3 accurate; attributes the two-step framework to Kazarian itself (STD-18).</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Form I-140: </w:t>
            </w:r>
            <w:r>
              <w:rPr>
                <w:b/>
                <w:sz w:val="16"/>
              </w:rPr>
              <w:t>$715</w:t>
            </w:r>
          </w:p>
          <w:p>
            <w:pPr>
              <w:spacing w:after="20" w:before="0"/>
              <w:ind w:left="173" w:hanging="144"/>
            </w:pPr>
            <w:r>
              <w:rPr>
                <w:b w:val="0"/>
                <w:sz w:val="16"/>
              </w:rPr>
              <w:t xml:space="preserve">• Asylum Program Fee: </w:t>
            </w:r>
            <w:r>
              <w:rPr>
                <w:b/>
                <w:sz w:val="16"/>
              </w:rPr>
              <w:t>$600</w:t>
            </w:r>
            <w:r>
              <w:rPr>
                <w:b w:val="0"/>
                <w:sz w:val="16"/>
              </w:rPr>
              <w:t xml:space="preserve"> (USCIS applies it to I-140 petitions; confirm against Form G-1055 for self-petitions at filing)</w:t>
            </w:r>
          </w:p>
          <w:p>
            <w:pPr>
              <w:spacing w:after="20" w:before="0"/>
              <w:ind w:left="173" w:hanging="144"/>
            </w:pPr>
            <w:r>
              <w:rPr>
                <w:b w:val="0"/>
                <w:sz w:val="16"/>
              </w:rPr>
              <w:t xml:space="preserve">• Optional premium: $2,805 / </w:t>
            </w:r>
            <w:r>
              <w:rPr>
                <w:b/>
                <w:sz w:val="16"/>
              </w:rPr>
              <w:t>$2,965</w:t>
            </w:r>
            <w:r>
              <w:rPr>
                <w:b w:val="0"/>
                <w:sz w:val="16"/>
              </w:rPr>
              <w:t xml:space="preserve"> from Feb. 26, 2025 — </w:t>
            </w:r>
            <w:r>
              <w:rPr>
                <w:b/>
                <w:sz w:val="16"/>
              </w:rPr>
              <w:t>15 business days</w:t>
            </w:r>
          </w:p>
          <w:p>
            <w:pPr>
              <w:spacing w:after="20" w:before="0"/>
              <w:ind w:left="173" w:hanging="144"/>
            </w:pPr>
            <w:r>
              <w:rPr>
                <w:b w:val="0"/>
                <w:sz w:val="16"/>
              </w:rPr>
              <w:t>• Adjustment of status (I-485) and dependants’ fees are separate (not covered)</w:t>
            </w:r>
          </w:p>
        </w:tc>
        <w:tc>
          <w:tcPr>
            <w:tcW w:type="dxa" w:w="3528"/>
          </w:tcPr>
          <w:p>
            <w:pPr>
              <w:spacing w:after="20" w:before="0"/>
            </w:pPr>
            <w:r/>
            <w:r>
              <w:rPr>
                <w:b w:val="0"/>
                <w:sz w:val="16"/>
              </w:rPr>
              <w:t>EB Guide §§ 3.4, 7 ($700; 45 calendar days; no Asylum fee) are wrong (FEE-03, FEE-05, FEE-07).</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Permanent residence</w:t>
            </w:r>
          </w:p>
          <w:p>
            <w:pPr>
              <w:spacing w:after="20" w:before="0"/>
              <w:ind w:left="173" w:hanging="144"/>
            </w:pPr>
            <w:r>
              <w:rPr>
                <w:b w:val="0"/>
                <w:sz w:val="16"/>
              </w:rPr>
              <w:t>• Priority date = I-140 filing date; green card timing depends on the monthly Visa Bulletin for the candidate’s country of chargeability (EB-1 is numerically limited: about 28.6% of the worldwide employment-based limit plus per-country caps; India and China are backlogged)</w:t>
            </w:r>
          </w:p>
        </w:tc>
        <w:tc>
          <w:tcPr>
            <w:tcW w:type="dxa" w:w="3528"/>
          </w:tcPr>
          <w:p>
            <w:pPr>
              <w:spacing w:after="20" w:before="0"/>
            </w:pPr>
            <w:r/>
            <w:r>
              <w:rPr>
                <w:b w:val="0"/>
                <w:sz w:val="16"/>
              </w:rPr>
              <w:t>Flowchart says the priority date “becomes current upon I-140 approval” and there is “no per-se cap” — both incorrect (STD-14).</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Highest evidentiary standard of the immigrant categories</w:t>
            </w:r>
          </w:p>
          <w:p>
            <w:pPr>
              <w:spacing w:after="20" w:before="0"/>
              <w:ind w:left="173" w:hanging="144"/>
            </w:pPr>
            <w:r>
              <w:rPr>
                <w:b w:val="0"/>
                <w:sz w:val="16"/>
              </w:rPr>
              <w:t>• Prior O-1A approval is relevant but not binding</w:t>
            </w:r>
          </w:p>
          <w:p>
            <w:pPr>
              <w:spacing w:after="20" w:before="0"/>
              <w:ind w:left="173" w:hanging="144"/>
            </w:pPr>
            <w:r>
              <w:rPr>
                <w:b w:val="0"/>
                <w:sz w:val="16"/>
              </w:rPr>
              <w:t>• Candidate fit: Dr. Breitner possible; Dr. Chang borderline (needs a third criterion and strong citation evidence)</w:t>
            </w:r>
          </w:p>
        </w:tc>
        <w:tc>
          <w:tcPr>
            <w:tcW w:type="dxa" w:w="3528"/>
          </w:tcPr>
          <w:p>
            <w:pPr>
              <w:spacing w:after="20" w:before="0"/>
            </w:pPr>
            <w:r/>
            <w:r>
              <w:rPr>
                <w:b w:val="0"/>
                <w:sz w:val="16"/>
              </w:rPr>
              <w:t>EB Guide § 6.3.</w:t>
            </w:r>
          </w:p>
        </w:tc>
      </w:tr>
    </w:tbl>
    <w:p>
      <w:pPr>
        <w:pStyle w:val="Heading2"/>
        <w:pageBreakBefore/>
      </w:pPr>
      <w:r>
        <w:t>B.7  EB-1B — Immigrant: Outstanding Professor or Researcher</w:t>
      </w:r>
    </w:p>
    <w:p>
      <w:pPr>
        <w:spacing w:after="80"/>
      </w:pPr>
      <w:r>
        <w:rPr>
          <w:b/>
          <w:sz w:val="18"/>
        </w:rPr>
        <w:t>In plain terms:</w:t>
      </w:r>
      <w:r>
        <w:rPr>
          <w:b w:val="0"/>
          <w:sz w:val="18"/>
        </w:rPr>
        <w:t xml:space="preserve"> Green card for an internationally recognized researcher with 3+ years of research experience, sponsored by an employer offering a permanent research job. No PERM labor certification.</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203(b)(1)(B)</w:t>
            </w:r>
          </w:p>
          <w:p>
            <w:pPr>
              <w:spacing w:after="20" w:before="0"/>
              <w:ind w:left="173" w:hanging="144"/>
            </w:pPr>
            <w:r>
              <w:rPr>
                <w:b w:val="0"/>
                <w:sz w:val="16"/>
              </w:rPr>
              <w:t>• 8 C.F.R. § 204.5(i)</w:t>
            </w:r>
          </w:p>
          <w:p>
            <w:pPr>
              <w:spacing w:after="20" w:before="0"/>
              <w:ind w:left="173" w:hanging="144"/>
            </w:pPr>
            <w:r>
              <w:rPr>
                <w:b w:val="0"/>
                <w:sz w:val="16"/>
              </w:rPr>
              <w:t>• USCIS Policy Manual Vol. 6, Part F, Ch. 3</w:t>
            </w:r>
          </w:p>
        </w:tc>
        <w:tc>
          <w:tcPr>
            <w:tcW w:type="dxa" w:w="3528"/>
          </w:tcPr>
          <w:p>
            <w:pPr>
              <w:spacing w:after="20" w:before="0"/>
            </w:pPr>
            <w:r/>
            <w:r>
              <w:rPr>
                <w:b w:val="0"/>
                <w:sz w:val="16"/>
              </w:rPr>
              <w:t>EB Guide § 4; Flowchart Node 5.</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Internationally recognized as outstanding in a specific academic area</w:t>
            </w:r>
          </w:p>
          <w:p>
            <w:pPr>
              <w:spacing w:after="20" w:before="0"/>
              <w:ind w:left="173" w:hanging="144"/>
            </w:pPr>
            <w:r>
              <w:rPr>
                <w:b w:val="0"/>
                <w:sz w:val="16"/>
              </w:rPr>
              <w:t xml:space="preserve">• At least </w:t>
            </w:r>
            <w:r>
              <w:rPr>
                <w:b/>
                <w:sz w:val="16"/>
              </w:rPr>
              <w:t>3 years</w:t>
            </w:r>
            <w:r>
              <w:rPr>
                <w:b w:val="0"/>
                <w:sz w:val="16"/>
              </w:rPr>
              <w:t xml:space="preserve"> of teaching and/or research experience in that area (experience during graduate study counts only if the degree was obtained and the teaching involved full responsibility for classes, or the research was recognized as outstanding, 8 C.F.R. § 204.5(i)(3)(ii))</w:t>
            </w:r>
          </w:p>
          <w:p>
            <w:pPr>
              <w:spacing w:after="20" w:before="0"/>
              <w:ind w:left="173" w:hanging="144"/>
            </w:pPr>
            <w:r>
              <w:rPr>
                <w:b w:val="0"/>
                <w:sz w:val="16"/>
              </w:rPr>
              <w:t xml:space="preserve">• Coming for a tenured/tenure-track teaching position or a </w:t>
            </w:r>
            <w:r>
              <w:rPr>
                <w:b/>
                <w:sz w:val="16"/>
              </w:rPr>
              <w:t>permanent</w:t>
            </w:r>
            <w:r>
              <w:rPr>
                <w:b w:val="0"/>
                <w:sz w:val="16"/>
              </w:rPr>
              <w:t xml:space="preserve"> research position</w:t>
            </w:r>
          </w:p>
        </w:tc>
        <w:tc>
          <w:tcPr>
            <w:tcW w:type="dxa" w:w="3528"/>
          </w:tcPr>
          <w:p>
            <w:pPr>
              <w:spacing w:after="20" w:before="0"/>
            </w:pPr>
            <w:r/>
            <w:r>
              <w:rPr>
                <w:b w:val="0"/>
                <w:sz w:val="16"/>
              </w:rPr>
              <w:t>EB Guide § 4.2 overstates the grad-study rule (STD-13).</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xml:space="preserve">• U.S. employer must file (no self-petition) and offer a </w:t>
            </w:r>
            <w:r>
              <w:rPr>
                <w:b/>
                <w:sz w:val="16"/>
              </w:rPr>
              <w:t>permanent</w:t>
            </w:r>
            <w:r>
              <w:rPr>
                <w:b w:val="0"/>
                <w:sz w:val="16"/>
              </w:rPr>
              <w:t xml:space="preserve"> research position (indefinite or unlimited duration with an expectation of continued employment)</w:t>
            </w:r>
          </w:p>
          <w:p>
            <w:pPr>
              <w:spacing w:after="20" w:before="0"/>
              <w:ind w:left="173" w:hanging="144"/>
            </w:pPr>
            <w:r>
              <w:rPr>
                <w:b w:val="0"/>
                <w:sz w:val="16"/>
              </w:rPr>
              <w:t xml:space="preserve">• A </w:t>
            </w:r>
            <w:r>
              <w:rPr>
                <w:b/>
                <w:sz w:val="16"/>
              </w:rPr>
              <w:t>private employer must employ at least 3 persons full-time in research positions</w:t>
            </w:r>
            <w:r>
              <w:rPr>
                <w:b w:val="0"/>
                <w:sz w:val="16"/>
              </w:rPr>
              <w:t xml:space="preserve"> and have documented accomplishments in an academic field (8 C.F.R. § 204.5(i)(3)(iii)(C)) — Aethon’s 5 existing Austin research scientists should meet this; document it</w:t>
            </w:r>
          </w:p>
          <w:p>
            <w:pPr>
              <w:spacing w:after="20" w:before="0"/>
              <w:ind w:left="173" w:hanging="144"/>
            </w:pPr>
            <w:r>
              <w:rPr>
                <w:b w:val="0"/>
                <w:sz w:val="16"/>
              </w:rPr>
              <w:t>• Offer letter describing title, duties and permanence; no PERM</w:t>
            </w:r>
          </w:p>
        </w:tc>
        <w:tc>
          <w:tcPr>
            <w:tcW w:type="dxa" w:w="3528"/>
          </w:tcPr>
          <w:p>
            <w:pPr>
              <w:spacing w:after="20" w:before="0"/>
            </w:pPr>
            <w:r/>
            <w:r>
              <w:rPr>
                <w:b w:val="0"/>
                <w:sz w:val="16"/>
              </w:rPr>
              <w:t>EB Guide § 4.3 and the Flowchart omit the three-researcher requirement (STD-12) — directly responsive to Ms. Surendran’s question.</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xml:space="preserve">• At least </w:t>
            </w:r>
            <w:r>
              <w:rPr>
                <w:b/>
                <w:sz w:val="16"/>
              </w:rPr>
              <w:t>2 of 6</w:t>
            </w:r>
            <w:r>
              <w:rPr>
                <w:b w:val="0"/>
                <w:sz w:val="16"/>
              </w:rPr>
              <w:t xml:space="preserve"> criteria (8 C.F.R. § 204.5(i)(3)(i)): major prizes/awards; membership requiring outstanding achievement; published material by others about the person’s work; judging; original scientific or scholarly research contributions; authorship of scholarly books or articles in internationally circulated journals</w:t>
            </w:r>
          </w:p>
          <w:p>
            <w:pPr>
              <w:spacing w:after="20" w:before="0"/>
              <w:ind w:left="173" w:hanging="144"/>
            </w:pPr>
            <w:r>
              <w:rPr>
                <w:b w:val="0"/>
                <w:sz w:val="16"/>
              </w:rPr>
              <w:t>• Comparable evidence allowed; then a final merits review</w:t>
            </w:r>
          </w:p>
        </w:tc>
        <w:tc>
          <w:tcPr>
            <w:tcW w:type="dxa" w:w="3528"/>
          </w:tcPr>
          <w:p>
            <w:pPr>
              <w:spacing w:after="20" w:before="0"/>
            </w:pPr>
            <w:r/>
            <w:r>
              <w:rPr>
                <w:b w:val="0"/>
                <w:sz w:val="16"/>
              </w:rPr>
              <w:t>EB Guide § 4.2 accurate.</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Form I-140: </w:t>
            </w:r>
            <w:r>
              <w:rPr>
                <w:b/>
                <w:sz w:val="16"/>
              </w:rPr>
              <w:t>$715</w:t>
            </w:r>
            <w:r>
              <w:rPr>
                <w:b w:val="0"/>
                <w:sz w:val="16"/>
              </w:rPr>
              <w:t xml:space="preserve"> + Asylum Program Fee </w:t>
            </w:r>
            <w:r>
              <w:rPr>
                <w:b/>
                <w:sz w:val="16"/>
              </w:rPr>
              <w:t>$600</w:t>
            </w:r>
            <w:r>
              <w:rPr>
                <w:b w:val="0"/>
                <w:sz w:val="16"/>
              </w:rPr>
              <w:t xml:space="preserve"> = </w:t>
            </w:r>
            <w:r>
              <w:rPr>
                <w:b/>
                <w:sz w:val="16"/>
              </w:rPr>
              <w:t>$1,315</w:t>
            </w:r>
          </w:p>
          <w:p>
            <w:pPr>
              <w:spacing w:after="20" w:before="0"/>
              <w:ind w:left="173" w:hanging="144"/>
            </w:pPr>
            <w:r>
              <w:rPr>
                <w:b w:val="0"/>
                <w:sz w:val="16"/>
              </w:rPr>
              <w:t xml:space="preserve">• Optional premium: $2,805 / </w:t>
            </w:r>
            <w:r>
              <w:rPr>
                <w:b/>
                <w:sz w:val="16"/>
              </w:rPr>
              <w:t>$2,965</w:t>
            </w:r>
            <w:r>
              <w:rPr>
                <w:b w:val="0"/>
                <w:sz w:val="16"/>
              </w:rPr>
              <w:t xml:space="preserve"> from Feb. 26, 2025 — </w:t>
            </w:r>
            <w:r>
              <w:rPr>
                <w:b/>
                <w:sz w:val="16"/>
              </w:rPr>
              <w:t>15 business days</w:t>
            </w:r>
          </w:p>
        </w:tc>
        <w:tc>
          <w:tcPr>
            <w:tcW w:type="dxa" w:w="3528"/>
          </w:tcPr>
          <w:p>
            <w:pPr>
              <w:spacing w:after="20" w:before="0"/>
            </w:pPr>
            <w:r/>
            <w:r>
              <w:rPr>
                <w:b w:val="0"/>
                <w:sz w:val="16"/>
              </w:rPr>
              <w:t>EB Guide §§ 4.4, 7 (FEE-03, FEE-05, FEE-07).</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Permanent residence; same EB-1 numerical limits and Visa Bulletin dependence as EB-1A</w:t>
            </w:r>
          </w:p>
        </w:tc>
        <w:tc>
          <w:tcPr>
            <w:tcW w:type="dxa" w:w="3528"/>
          </w:tcPr>
          <w:p>
            <w:pPr>
              <w:spacing w:after="20" w:before="0"/>
            </w:pPr>
            <w:r/>
            <w:r>
              <w:rPr>
                <w:b w:val="0"/>
                <w:sz w:val="16"/>
              </w:rPr>
              <w:t>STD-14.</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xml:space="preserve">• Lower standard than EB-1A, but the job must be a genuine permanent </w:t>
            </w:r>
            <w:r>
              <w:rPr>
                <w:b/>
                <w:sz w:val="16"/>
              </w:rPr>
              <w:t>research</w:t>
            </w:r>
            <w:r>
              <w:rPr>
                <w:b w:val="0"/>
                <w:sz w:val="16"/>
              </w:rPr>
              <w:t xml:space="preserve"> position (a design-engineering role may not qualify)</w:t>
            </w:r>
          </w:p>
          <w:p>
            <w:pPr>
              <w:spacing w:after="20" w:before="0"/>
              <w:ind w:left="173" w:hanging="144"/>
            </w:pPr>
            <w:r>
              <w:rPr>
                <w:b w:val="0"/>
                <w:sz w:val="16"/>
              </w:rPr>
              <w:t>• Candidate fit: Dr. Breitner strong; Dr. Chang possible if the U.S. role is research-focused; Mr. Malhotra not on current facts (no evidence of recognition or 3 years of research — not because of his staffing-firm employment)</w:t>
            </w:r>
          </w:p>
        </w:tc>
        <w:tc>
          <w:tcPr>
            <w:tcW w:type="dxa" w:w="3528"/>
          </w:tcPr>
          <w:p>
            <w:pPr>
              <w:spacing w:after="20" w:before="0"/>
            </w:pPr>
            <w:r/>
            <w:r>
              <w:rPr>
                <w:b w:val="0"/>
                <w:sz w:val="16"/>
              </w:rPr>
              <w:t>EB Guide § 6.3 reasoning for Mr. Malhotra is wrong (STD-19).</w:t>
            </w:r>
          </w:p>
        </w:tc>
      </w:tr>
    </w:tbl>
    <w:p>
      <w:pPr>
        <w:pStyle w:val="Heading2"/>
        <w:pageBreakBefore/>
      </w:pPr>
      <w:r>
        <w:t>B.8  EB-2 (Standard) — Advanced Degree Professional or Exceptional Ability, with PERM</w:t>
      </w:r>
    </w:p>
    <w:p>
      <w:pPr>
        <w:spacing w:after="80"/>
      </w:pPr>
      <w:r>
        <w:rPr>
          <w:b/>
          <w:sz w:val="18"/>
        </w:rPr>
        <w:t>In plain terms:</w:t>
      </w:r>
      <w:r>
        <w:rPr>
          <w:b w:val="0"/>
          <w:sz w:val="18"/>
        </w:rPr>
        <w:t xml:space="preserve"> Green card through a specific Aethon job offer that requires a master’s degree (or bachelor’s + 5 years’ progressive experience), after DOL certifies there are no qualified, available U.S. workers (PERM).</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203(b)(2)(A); § 212(a)(5)(A) (labor certification)</w:t>
            </w:r>
          </w:p>
          <w:p>
            <w:pPr>
              <w:spacing w:after="20" w:before="0"/>
              <w:ind w:left="173" w:hanging="144"/>
            </w:pPr>
            <w:r>
              <w:rPr>
                <w:b w:val="0"/>
                <w:sz w:val="16"/>
              </w:rPr>
              <w:t>• 8 C.F.R. § 204.5(k); 20 C.F.R. Part 656 (PERM)</w:t>
            </w:r>
          </w:p>
          <w:p>
            <w:pPr>
              <w:spacing w:after="20" w:before="0"/>
              <w:ind w:left="173" w:hanging="144"/>
            </w:pPr>
            <w:r>
              <w:rPr>
                <w:b w:val="0"/>
                <w:sz w:val="16"/>
              </w:rPr>
              <w:t>• USCIS Policy Manual Vol. 6, Part E and Part F, Ch. 5</w:t>
            </w:r>
          </w:p>
        </w:tc>
        <w:tc>
          <w:tcPr>
            <w:tcW w:type="dxa" w:w="3528"/>
          </w:tcPr>
          <w:p>
            <w:pPr>
              <w:spacing w:after="20" w:before="0"/>
            </w:pPr>
            <w:r/>
            <w:r>
              <w:rPr>
                <w:b w:val="0"/>
                <w:sz w:val="16"/>
              </w:rPr>
              <w:t>EB Guide § 5; Flowchart Node 6.</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xml:space="preserve">• </w:t>
            </w:r>
            <w:r>
              <w:rPr>
                <w:b/>
                <w:sz w:val="16"/>
              </w:rPr>
              <w:t>Advanced degree</w:t>
            </w:r>
            <w:r>
              <w:rPr>
                <w:b w:val="0"/>
                <w:sz w:val="16"/>
              </w:rPr>
              <w:t>: U.S. master’s or higher, or foreign equivalent; or bachelor’s + 5 years of progressive post-degree experience in the specialty; and the job requires it; OR</w:t>
            </w:r>
          </w:p>
          <w:p>
            <w:pPr>
              <w:spacing w:after="20" w:before="0"/>
              <w:ind w:left="173" w:hanging="144"/>
            </w:pPr>
            <w:r>
              <w:rPr>
                <w:b w:val="0"/>
                <w:sz w:val="16"/>
              </w:rPr>
              <w:t xml:space="preserve">• </w:t>
            </w:r>
            <w:r>
              <w:rPr>
                <w:b/>
                <w:sz w:val="16"/>
              </w:rPr>
              <w:t>Exceptional ability</w:t>
            </w:r>
            <w:r>
              <w:rPr>
                <w:b w:val="0"/>
                <w:sz w:val="16"/>
              </w:rPr>
              <w:t>: expertise significantly above that ordinarily encountered, shown by 3 of 6 criteria (8 C.F.R. § 204.5(k)(3)(ii))</w:t>
            </w:r>
          </w:p>
          <w:p>
            <w:pPr>
              <w:spacing w:after="20" w:before="0"/>
              <w:ind w:left="173" w:hanging="144"/>
            </w:pPr>
            <w:r>
              <w:rPr>
                <w:b w:val="0"/>
                <w:sz w:val="16"/>
              </w:rPr>
              <w:t>• Meets the job’s requirements as of the PERM filing date</w:t>
            </w:r>
          </w:p>
        </w:tc>
        <w:tc>
          <w:tcPr>
            <w:tcW w:type="dxa" w:w="3528"/>
          </w:tcPr>
          <w:p>
            <w:pPr>
              <w:spacing w:after="20" w:before="0"/>
            </w:pPr>
            <w:r/>
            <w:r>
              <w:rPr>
                <w:b w:val="0"/>
                <w:sz w:val="16"/>
              </w:rPr>
              <w:t>EB Guide §§ 5.2–5.3.</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Permanent full-time job offer</w:t>
            </w:r>
          </w:p>
          <w:p>
            <w:pPr>
              <w:spacing w:after="20" w:before="0"/>
              <w:ind w:left="173" w:hanging="144"/>
            </w:pPr>
            <w:r>
              <w:rPr>
                <w:b w:val="0"/>
                <w:sz w:val="16"/>
              </w:rPr>
              <w:t>• PERM: prevailing wage determination (ETA-9141), recruitment, and certified ETA-9089 (filed through DOL FLAG)</w:t>
            </w:r>
          </w:p>
          <w:p>
            <w:pPr>
              <w:spacing w:after="20" w:before="0"/>
              <w:ind w:left="173" w:hanging="144"/>
            </w:pPr>
            <w:r>
              <w:rPr>
                <w:b w:val="0"/>
                <w:sz w:val="16"/>
              </w:rPr>
              <w:t>• Ability to pay the offered wage from the priority date onward (8 C.F.R. § 204.5(g)(2))</w:t>
            </w:r>
          </w:p>
          <w:p>
            <w:pPr>
              <w:spacing w:after="20" w:before="0"/>
              <w:ind w:left="173" w:hanging="144"/>
            </w:pPr>
            <w:r>
              <w:rPr>
                <w:b w:val="0"/>
                <w:sz w:val="16"/>
              </w:rPr>
              <w:t xml:space="preserve">• </w:t>
            </w:r>
            <w:r>
              <w:rPr>
                <w:b/>
                <w:sz w:val="16"/>
              </w:rPr>
              <w:t>Employer must pay PERM recruitment and attorney costs</w:t>
            </w:r>
            <w:r>
              <w:rPr>
                <w:b w:val="0"/>
                <w:sz w:val="16"/>
              </w:rPr>
              <w:t xml:space="preserve"> (20 C.F.R. § 656.12(b))</w:t>
            </w:r>
          </w:p>
          <w:p>
            <w:pPr>
              <w:spacing w:after="20" w:before="0"/>
              <w:ind w:left="173" w:hanging="144"/>
            </w:pPr>
            <w:r>
              <w:rPr>
                <w:b w:val="0"/>
                <w:sz w:val="16"/>
              </w:rPr>
              <w:t>• I-140 must be filed within 180 days of PERM certification</w:t>
            </w:r>
          </w:p>
        </w:tc>
        <w:tc>
          <w:tcPr>
            <w:tcW w:type="dxa" w:w="3528"/>
          </w:tcPr>
          <w:p>
            <w:pPr>
              <w:spacing w:after="20" w:before="0"/>
            </w:pPr>
            <w:r/>
            <w:r>
              <w:rPr>
                <w:b w:val="0"/>
                <w:sz w:val="16"/>
              </w:rPr>
              <w:t>EB Guide § 5.5; PERM cost allocation not addressed (FEE-12).</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Degree and transcripts with credential evaluation; experience letters; PERM certification; job description matching the PERM</w:t>
            </w:r>
          </w:p>
          <w:p>
            <w:pPr>
              <w:spacing w:after="20" w:before="0"/>
              <w:ind w:left="173" w:hanging="144"/>
            </w:pPr>
            <w:r>
              <w:rPr>
                <w:b w:val="0"/>
                <w:sz w:val="16"/>
              </w:rPr>
              <w:t>• Exceptional ability criteria: academic record; 10 years’ experience letters; license; salary; professional memberships; recognition by peers/government/organizations</w:t>
            </w:r>
          </w:p>
        </w:tc>
        <w:tc>
          <w:tcPr>
            <w:tcW w:type="dxa" w:w="3528"/>
          </w:tcPr>
          <w:p>
            <w:pPr>
              <w:spacing w:after="20" w:before="0"/>
            </w:pPr>
            <w:r/>
            <w:r>
              <w:rPr>
                <w:b w:val="0"/>
                <w:sz w:val="16"/>
              </w:rPr>
              <w:t>EB Guide § 5.3.</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PERM and prevailing wage request: no government fee</w:t>
            </w:r>
          </w:p>
          <w:p>
            <w:pPr>
              <w:spacing w:after="20" w:before="0"/>
              <w:ind w:left="173" w:hanging="144"/>
            </w:pPr>
            <w:r>
              <w:rPr>
                <w:b w:val="0"/>
                <w:sz w:val="16"/>
              </w:rPr>
              <w:t xml:space="preserve">• Form I-140: </w:t>
            </w:r>
            <w:r>
              <w:rPr>
                <w:b/>
                <w:sz w:val="16"/>
              </w:rPr>
              <w:t>$715</w:t>
            </w:r>
            <w:r>
              <w:rPr>
                <w:b w:val="0"/>
                <w:sz w:val="16"/>
              </w:rPr>
              <w:t xml:space="preserve"> + Asylum Program Fee </w:t>
            </w:r>
            <w:r>
              <w:rPr>
                <w:b/>
                <w:sz w:val="16"/>
              </w:rPr>
              <w:t>$600</w:t>
            </w:r>
            <w:r>
              <w:rPr>
                <w:b w:val="0"/>
                <w:sz w:val="16"/>
              </w:rPr>
              <w:t xml:space="preserve"> = </w:t>
            </w:r>
            <w:r>
              <w:rPr>
                <w:b/>
                <w:sz w:val="16"/>
              </w:rPr>
              <w:t>$1,315</w:t>
            </w:r>
          </w:p>
          <w:p>
            <w:pPr>
              <w:spacing w:after="20" w:before="0"/>
              <w:ind w:left="173" w:hanging="144"/>
            </w:pPr>
            <w:r>
              <w:rPr>
                <w:b w:val="0"/>
                <w:sz w:val="16"/>
              </w:rPr>
              <w:t xml:space="preserve">• Optional I-140 premium: $2,805 / </w:t>
            </w:r>
            <w:r>
              <w:rPr>
                <w:b/>
                <w:sz w:val="16"/>
              </w:rPr>
              <w:t>$2,965</w:t>
            </w:r>
            <w:r>
              <w:rPr>
                <w:b w:val="0"/>
                <w:sz w:val="16"/>
              </w:rPr>
              <w:t xml:space="preserve"> from Feb. 26, 2025 — 15 business days (no premium for PERM)</w:t>
            </w:r>
          </w:p>
          <w:p>
            <w:pPr>
              <w:spacing w:after="20" w:before="0"/>
              <w:ind w:left="173" w:hanging="144"/>
            </w:pPr>
            <w:r>
              <w:rPr>
                <w:b w:val="0"/>
                <w:sz w:val="16"/>
              </w:rPr>
              <w:t>• PERM legal/advertising costs (firm estimate $5,000–$10,000) borne by Aethon</w:t>
            </w:r>
          </w:p>
        </w:tc>
        <w:tc>
          <w:tcPr>
            <w:tcW w:type="dxa" w:w="3528"/>
          </w:tcPr>
          <w:p>
            <w:pPr>
              <w:spacing w:after="20" w:before="0"/>
            </w:pPr>
            <w:r/>
            <w:r>
              <w:rPr>
                <w:b w:val="0"/>
                <w:sz w:val="16"/>
              </w:rPr>
              <w:t>EB Guide §§ 5.5, 7 (FEE-05, FEE-07).</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Permanent residence</w:t>
            </w:r>
          </w:p>
          <w:p>
            <w:pPr>
              <w:spacing w:after="20" w:before="0"/>
              <w:ind w:left="173" w:hanging="144"/>
            </w:pPr>
            <w:r>
              <w:rPr>
                <w:b w:val="0"/>
                <w:sz w:val="16"/>
              </w:rPr>
              <w:t>• Priority date = PERM filing date</w:t>
            </w:r>
          </w:p>
          <w:p>
            <w:pPr>
              <w:spacing w:after="20" w:before="0"/>
              <w:ind w:left="173" w:hanging="144"/>
            </w:pPr>
            <w:r>
              <w:rPr>
                <w:b w:val="0"/>
                <w:sz w:val="16"/>
              </w:rPr>
              <w:t>• India EB-2 has a severe backlog (many years); Taiwan/Germany are generally “All Chargeability” — check the current Visa Bulletin</w:t>
            </w:r>
          </w:p>
          <w:p>
            <w:pPr>
              <w:spacing w:after="20" w:before="0"/>
              <w:ind w:left="173" w:hanging="144"/>
            </w:pPr>
            <w:r>
              <w:rPr>
                <w:b w:val="0"/>
                <w:sz w:val="16"/>
              </w:rPr>
              <w:t>• Supports AC21 H-1B extensions if started at least 365 days before the 6-year limit</w:t>
            </w:r>
          </w:p>
        </w:tc>
        <w:tc>
          <w:tcPr>
            <w:tcW w:type="dxa" w:w="3528"/>
          </w:tcPr>
          <w:p>
            <w:pPr>
              <w:spacing w:after="20" w:before="0"/>
            </w:pPr>
            <w:r/>
            <w:r>
              <w:rPr>
                <w:b w:val="0"/>
                <w:sz w:val="16"/>
              </w:rPr>
              <w:t>H-1B Summary § 6.2 (“ten years or more”) vs EB Guide §§ 5.4, 6.3 (“several years”) (FACT-03).</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Full process typically 18–30 months from PWD to I-140 approval (PWD and PERM processing are lengthy); start early</w:t>
            </w:r>
          </w:p>
          <w:p>
            <w:pPr>
              <w:spacing w:after="20" w:before="0"/>
              <w:ind w:left="173" w:hanging="144"/>
            </w:pPr>
            <w:r>
              <w:rPr>
                <w:b w:val="0"/>
                <w:sz w:val="16"/>
              </w:rPr>
              <w:t>• The candidate need not already be employed by Aethon when PERM is filed (it is for future permanent employment)</w:t>
            </w:r>
          </w:p>
          <w:p>
            <w:pPr>
              <w:spacing w:after="20" w:before="0"/>
              <w:ind w:left="173" w:hanging="144"/>
            </w:pPr>
            <w:r>
              <w:rPr>
                <w:b w:val="0"/>
                <w:sz w:val="16"/>
              </w:rPr>
              <w:t>• Candidate fit: Mr. Malhotra (primary long-term path, alongside H-1B); available to all three candidates</w:t>
            </w:r>
          </w:p>
        </w:tc>
        <w:tc>
          <w:tcPr>
            <w:tcW w:type="dxa" w:w="3528"/>
          </w:tcPr>
          <w:p>
            <w:pPr>
              <w:spacing w:after="20" w:before="0"/>
            </w:pPr>
            <w:r/>
            <w:r>
              <w:rPr>
                <w:b w:val="0"/>
                <w:sz w:val="16"/>
              </w:rPr>
              <w:t>EB Guide § 6.3 implies PERM only “after hire” (STD-19).</w:t>
            </w:r>
          </w:p>
        </w:tc>
      </w:tr>
    </w:tbl>
    <w:p>
      <w:pPr>
        <w:pStyle w:val="Heading2"/>
        <w:pageBreakBefore/>
      </w:pPr>
      <w:r>
        <w:t>B.9  EB-2 National Interest Waiver (NIW)</w:t>
      </w:r>
    </w:p>
    <w:p>
      <w:pPr>
        <w:spacing w:after="80"/>
      </w:pPr>
      <w:r>
        <w:rPr>
          <w:b/>
          <w:sz w:val="18"/>
        </w:rPr>
        <w:t>In plain terms:</w:t>
      </w:r>
      <w:r>
        <w:rPr>
          <w:b w:val="0"/>
          <w:sz w:val="18"/>
        </w:rPr>
        <w:t xml:space="preserve"> Green card for an advanced-degree (or exceptional-ability) professional whose proposed work is nationally important; the job offer and PERM are waived and the candidate may self-petition.</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INA § 203(b)(2)(B)(i)</w:t>
            </w:r>
          </w:p>
          <w:p>
            <w:pPr>
              <w:spacing w:after="20" w:before="0"/>
              <w:ind w:left="173" w:hanging="144"/>
            </w:pPr>
            <w:r>
              <w:rPr>
                <w:b w:val="0"/>
                <w:sz w:val="16"/>
              </w:rPr>
              <w:t>• 8 C.F.R. § 204.5(k)(4)(ii)</w:t>
            </w:r>
          </w:p>
          <w:p>
            <w:pPr>
              <w:spacing w:after="20" w:before="0"/>
              <w:ind w:left="173" w:hanging="144"/>
            </w:pPr>
            <w:r>
              <w:rPr>
                <w:b w:val="0"/>
                <w:sz w:val="16"/>
              </w:rPr>
              <w:t>• Matter of Dhanasar, 26 I&amp;N Dec. 884 (AAO 2016); USCIS Policy Manual Vol. 6, Part F, Ch. 5</w:t>
            </w:r>
          </w:p>
        </w:tc>
        <w:tc>
          <w:tcPr>
            <w:tcW w:type="dxa" w:w="3528"/>
          </w:tcPr>
          <w:p>
            <w:pPr>
              <w:spacing w:after="20" w:before="0"/>
            </w:pPr>
            <w:r/>
            <w:r>
              <w:rPr>
                <w:b w:val="0"/>
                <w:sz w:val="16"/>
              </w:rPr>
              <w:t>EB Guide § 5.4; Memo § V.B; Flowchart Node 6.</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Threshold: qualifies for EB-2 (advanced degree or exceptional ability)</w:t>
            </w:r>
          </w:p>
          <w:p>
            <w:pPr>
              <w:spacing w:after="20" w:before="0"/>
              <w:ind w:left="173" w:hanging="144"/>
            </w:pPr>
            <w:r>
              <w:rPr>
                <w:b w:val="0"/>
                <w:sz w:val="16"/>
              </w:rPr>
              <w:t xml:space="preserve">• </w:t>
            </w:r>
            <w:r>
              <w:rPr>
                <w:b/>
                <w:sz w:val="16"/>
              </w:rPr>
              <w:t>All three Dhanasar prongs</w:t>
            </w:r>
            <w:r>
              <w:rPr>
                <w:b w:val="0"/>
                <w:sz w:val="16"/>
              </w:rPr>
              <w:t>: (1) the proposed endeavor has substantial merit and national importance; (2) the person is well positioned to advance it (education, skills, record of success, plan, progress, interest from others); and (3) on balance it would benefit the U.S. to waive the job offer and labor certification</w:t>
            </w:r>
          </w:p>
        </w:tc>
        <w:tc>
          <w:tcPr>
            <w:tcW w:type="dxa" w:w="3528"/>
          </w:tcPr>
          <w:p>
            <w:pPr>
              <w:spacing w:after="20" w:before="0"/>
            </w:pPr>
            <w:r/>
            <w:r>
              <w:rPr>
                <w:b w:val="0"/>
                <w:sz w:val="16"/>
              </w:rPr>
              <w:t>EB Guide § 5.4 lists only two prongs and says approval may follow if “both” are met — incorrect; Memo and Flowchart state three prongs (STD-01).</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No employer required; self-petition or employer petition</w:t>
            </w:r>
          </w:p>
          <w:p>
            <w:pPr>
              <w:spacing w:after="20" w:before="0"/>
              <w:ind w:left="173" w:hanging="144"/>
            </w:pPr>
            <w:r>
              <w:rPr>
                <w:b w:val="0"/>
                <w:sz w:val="16"/>
              </w:rPr>
              <w:t>• No PERM; no job offer (but evidence of intended U.S. work is expected)</w:t>
            </w:r>
          </w:p>
        </w:tc>
        <w:tc>
          <w:tcPr>
            <w:tcW w:type="dxa" w:w="3528"/>
          </w:tcPr>
          <w:p>
            <w:pPr>
              <w:spacing w:after="20" w:before="0"/>
            </w:pPr>
            <w:r/>
            <w:r>
              <w:rPr>
                <w:b w:val="0"/>
                <w:sz w:val="16"/>
              </w:rPr>
              <w:t>EB Guide § 5.4.</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Detailed statement of the proposed endeavor; expert letters; publications and citations; patents; evidence of impact and interest from industry/government</w:t>
            </w:r>
          </w:p>
          <w:p>
            <w:pPr>
              <w:spacing w:after="20" w:before="0"/>
              <w:ind w:left="173" w:hanging="144"/>
            </w:pPr>
            <w:r>
              <w:rPr>
                <w:b w:val="0"/>
                <w:sz w:val="16"/>
              </w:rPr>
              <w:t>• Semiconductor work can tie to national priorities (e.g., CHIPS and Science Act, Pub. L. 117-167); each prong is analyzed separately</w:t>
            </w:r>
          </w:p>
        </w:tc>
        <w:tc>
          <w:tcPr>
            <w:tcW w:type="dxa" w:w="3528"/>
          </w:tcPr>
          <w:p>
            <w:pPr>
              <w:spacing w:after="20" w:before="0"/>
            </w:pPr>
            <w:r/>
            <w:r>
              <w:rPr>
                <w:b w:val="0"/>
                <w:sz w:val="16"/>
              </w:rPr>
              <w:t>EB Guide § 5.4; Memo § V.B.</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Form I-140: </w:t>
            </w:r>
            <w:r>
              <w:rPr>
                <w:b/>
                <w:sz w:val="16"/>
              </w:rPr>
              <w:t>$715</w:t>
            </w:r>
            <w:r>
              <w:rPr>
                <w:b w:val="0"/>
                <w:sz w:val="16"/>
              </w:rPr>
              <w:t xml:space="preserve"> + Asylum Program Fee </w:t>
            </w:r>
            <w:r>
              <w:rPr>
                <w:b/>
                <w:sz w:val="16"/>
              </w:rPr>
              <w:t>$600</w:t>
            </w:r>
            <w:r>
              <w:rPr>
                <w:b w:val="0"/>
                <w:sz w:val="16"/>
              </w:rPr>
              <w:t xml:space="preserve"> (confirm application to self-petitions on Form G-1055)</w:t>
            </w:r>
          </w:p>
          <w:p>
            <w:pPr>
              <w:spacing w:after="20" w:before="0"/>
              <w:ind w:left="173" w:hanging="144"/>
            </w:pPr>
            <w:r>
              <w:rPr>
                <w:b w:val="0"/>
                <w:sz w:val="16"/>
              </w:rPr>
              <w:t xml:space="preserve">• Optional premium: $2,805 / </w:t>
            </w:r>
            <w:r>
              <w:rPr>
                <w:b/>
                <w:sz w:val="16"/>
              </w:rPr>
              <w:t>$2,965</w:t>
            </w:r>
            <w:r>
              <w:rPr>
                <w:b w:val="0"/>
                <w:sz w:val="16"/>
              </w:rPr>
              <w:t xml:space="preserve"> from Feb. 26, 2025 — </w:t>
            </w:r>
            <w:r>
              <w:rPr>
                <w:b/>
                <w:sz w:val="16"/>
              </w:rPr>
              <w:t>45 business days</w:t>
            </w:r>
            <w:r>
              <w:rPr>
                <w:b w:val="0"/>
                <w:sz w:val="16"/>
              </w:rPr>
              <w:t xml:space="preserve"> for NIW</w:t>
            </w:r>
          </w:p>
        </w:tc>
        <w:tc>
          <w:tcPr>
            <w:tcW w:type="dxa" w:w="3528"/>
          </w:tcPr>
          <w:p>
            <w:pPr>
              <w:spacing w:after="20" w:before="0"/>
            </w:pPr>
            <w:r/>
            <w:r>
              <w:rPr>
                <w:b w:val="0"/>
                <w:sz w:val="16"/>
              </w:rPr>
              <w:t>EB Guide § 7 (FEE-05, FEE-07).</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Permanent residence; priority date = I-140 filing date; EB-2 Visa Bulletin backlogs apply (especially India)</w:t>
            </w:r>
          </w:p>
        </w:tc>
        <w:tc>
          <w:tcPr>
            <w:tcW w:type="dxa" w:w="3528"/>
          </w:tcPr>
          <w:p>
            <w:pPr>
              <w:spacing w:after="20" w:before="0"/>
            </w:pPr>
            <w:r/>
            <w:r>
              <w:rPr>
                <w:b w:val="0"/>
                <w:sz w:val="16"/>
              </w:rPr>
              <w:t>FACT-03.</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Portable: not tied to a single employer</w:t>
            </w:r>
          </w:p>
          <w:p>
            <w:pPr>
              <w:spacing w:after="20" w:before="0"/>
              <w:ind w:left="173" w:hanging="144"/>
            </w:pPr>
            <w:r>
              <w:rPr>
                <w:b w:val="0"/>
                <w:sz w:val="16"/>
              </w:rPr>
              <w:t>• Candidate fit: Dr. Breitner strong; Dr. Chang viable; Mr. Malhotra possible but uncertain on the current record (prong 2)</w:t>
            </w:r>
          </w:p>
        </w:tc>
        <w:tc>
          <w:tcPr>
            <w:tcW w:type="dxa" w:w="3528"/>
          </w:tcPr>
          <w:p>
            <w:pPr>
              <w:spacing w:after="20" w:before="0"/>
            </w:pPr>
            <w:r/>
            <w:r>
              <w:rPr>
                <w:b w:val="0"/>
                <w:sz w:val="16"/>
              </w:rPr>
              <w:t>EB Guide § 6.3.</w:t>
            </w:r>
          </w:p>
        </w:tc>
      </w:tr>
    </w:tbl>
    <w:p>
      <w:pPr>
        <w:pStyle w:val="Heading2"/>
        <w:pageBreakBefore/>
      </w:pPr>
      <w:r>
        <w:t>B.10  TN — USMCA Professional (Canadian and Mexican Citizens Only)</w:t>
      </w:r>
    </w:p>
    <w:p>
      <w:pPr>
        <w:spacing w:after="80"/>
      </w:pPr>
      <w:r>
        <w:rPr>
          <w:b/>
          <w:sz w:val="18"/>
        </w:rPr>
        <w:t>In plain terms:</w:t>
      </w:r>
      <w:r>
        <w:rPr>
          <w:b w:val="0"/>
          <w:sz w:val="18"/>
        </w:rPr>
        <w:t xml:space="preserve"> For Canadian or Mexican citizens hired into a job on the USMCA professions list (e.g., Engineer, Computer Systems Analyst, certain Scientists). No cap, no LCA. None of the three current candidates is eligible.</w:t>
      </w:r>
    </w:p>
    <w:tbl>
      <w:tblPr>
        <w:tblStyle w:val="TableGrid"/>
        <w:tblW w:type="auto" w:w="0"/>
        <w:jc w:val="center"/>
        <w:tblLayout w:type="fixed"/>
        <w:tblLook w:firstColumn="1" w:firstRow="1" w:lastColumn="0" w:lastRow="0" w:noHBand="0" w:noVBand="1" w:val="04A0"/>
        <w:tblLayout w:type="fixed"/>
      </w:tblPr>
      <w:tblGrid>
        <w:gridCol w:w="2232"/>
        <w:gridCol w:w="8064"/>
        <w:gridCol w:w="2240280"/>
      </w:tblGrid>
      <w:tr>
        <w:trPr>
          <w:tblHeader w:val="true"/>
        </w:trPr>
        <w:tc>
          <w:tcPr>
            <w:tcW w:type="dxa" w:w="2232"/>
            <w:shd w:val="clear" w:color="auto" w:fill="1F3864"/>
          </w:tcPr>
          <w:p>
            <w:pPr>
              <w:spacing w:after="20" w:before="0"/>
            </w:pPr>
            <w:r/>
            <w:r>
              <w:rPr>
                <w:b/>
                <w:color w:val="FFFFFF"/>
                <w:sz w:val="16"/>
              </w:rPr>
              <w:t>Field</w:t>
            </w:r>
          </w:p>
        </w:tc>
        <w:tc>
          <w:tcPr>
            <w:tcW w:type="dxa" w:w="8064"/>
            <w:shd w:val="clear" w:color="auto" w:fill="1F3864"/>
          </w:tcPr>
          <w:p>
            <w:pPr>
              <w:spacing w:after="20" w:before="0"/>
            </w:pPr>
            <w:r/>
            <w:r>
              <w:rPr>
                <w:b/>
                <w:color w:val="FFFFFF"/>
                <w:sz w:val="16"/>
              </w:rPr>
              <w:t>Requirement (plain language + citation)</w:t>
            </w:r>
          </w:p>
        </w:tc>
        <w:tc>
          <w:tcPr>
            <w:tcW w:type="dxa" w:w="3528"/>
            <w:shd w:val="clear" w:color="auto" w:fill="1F3864"/>
          </w:tcPr>
          <w:p>
            <w:pPr>
              <w:spacing w:after="20" w:before="0"/>
            </w:pPr>
            <w:r/>
            <w:r>
              <w:rPr>
                <w:b/>
                <w:color w:val="FFFFFF"/>
                <w:sz w:val="16"/>
              </w:rPr>
              <w:t>Firm source documents / corrections</w:t>
            </w:r>
          </w:p>
        </w:tc>
      </w:tr>
      <w:tr>
        <w:tc>
          <w:tcPr>
            <w:tcW w:type="dxa" w:w="2232"/>
            <w:shd w:val="clear" w:color="auto" w:fill="D9E2F3"/>
          </w:tcPr>
          <w:p>
            <w:pPr>
              <w:spacing w:after="20" w:before="0"/>
            </w:pPr>
            <w:r/>
            <w:r>
              <w:rPr>
                <w:b/>
                <w:sz w:val="16"/>
              </w:rPr>
              <w:t>1. Statutory / regulatory basis</w:t>
            </w:r>
          </w:p>
        </w:tc>
        <w:tc>
          <w:tcPr>
            <w:tcW w:type="dxa" w:w="8064"/>
          </w:tcPr>
          <w:p>
            <w:pPr>
              <w:spacing w:after="20" w:before="0"/>
              <w:ind w:left="173" w:hanging="144"/>
            </w:pPr>
            <w:r/>
            <w:r>
              <w:rPr>
                <w:b w:val="0"/>
                <w:sz w:val="16"/>
              </w:rPr>
              <w:t>• USMCA Chapter 16, Annex 16-A and Appendix 2 (professions list)</w:t>
            </w:r>
          </w:p>
          <w:p>
            <w:pPr>
              <w:spacing w:after="20" w:before="0"/>
              <w:ind w:left="173" w:hanging="144"/>
            </w:pPr>
            <w:r>
              <w:rPr>
                <w:b w:val="0"/>
                <w:sz w:val="16"/>
              </w:rPr>
              <w:t>• INA § 214(e)</w:t>
            </w:r>
          </w:p>
          <w:p>
            <w:pPr>
              <w:spacing w:after="20" w:before="0"/>
              <w:ind w:left="173" w:hanging="144"/>
            </w:pPr>
            <w:r>
              <w:rPr>
                <w:b w:val="0"/>
                <w:sz w:val="16"/>
              </w:rPr>
              <w:t>• 8 C.F.R. § 214.6</w:t>
            </w:r>
          </w:p>
        </w:tc>
        <w:tc>
          <w:tcPr>
            <w:tcW w:type="dxa" w:w="3528"/>
          </w:tcPr>
          <w:p>
            <w:pPr>
              <w:spacing w:after="20" w:before="0"/>
            </w:pPr>
            <w:r/>
            <w:r>
              <w:rPr>
                <w:b w:val="0"/>
                <w:sz w:val="16"/>
              </w:rPr>
              <w:t>Memo § II; Flowchart Node 4.</w:t>
            </w:r>
          </w:p>
        </w:tc>
      </w:tr>
      <w:tr>
        <w:tc>
          <w:tcPr>
            <w:tcW w:type="dxa" w:w="2232"/>
            <w:shd w:val="clear" w:color="auto" w:fill="D9E2F3"/>
          </w:tcPr>
          <w:p>
            <w:pPr>
              <w:spacing w:after="20" w:before="0"/>
            </w:pPr>
            <w:r/>
            <w:r>
              <w:rPr>
                <w:b/>
                <w:sz w:val="16"/>
              </w:rPr>
              <w:t>2. Beneficiary (candidate) eligibility</w:t>
            </w:r>
          </w:p>
        </w:tc>
        <w:tc>
          <w:tcPr>
            <w:tcW w:type="dxa" w:w="8064"/>
          </w:tcPr>
          <w:p>
            <w:pPr>
              <w:spacing w:after="20" w:before="0"/>
              <w:ind w:left="173" w:hanging="144"/>
            </w:pPr>
            <w:r/>
            <w:r>
              <w:rPr>
                <w:b w:val="0"/>
                <w:sz w:val="16"/>
              </w:rPr>
              <w:t xml:space="preserve">• </w:t>
            </w:r>
            <w:r>
              <w:rPr>
                <w:b/>
                <w:sz w:val="16"/>
              </w:rPr>
              <w:t>Citizen</w:t>
            </w:r>
            <w:r>
              <w:rPr>
                <w:b w:val="0"/>
                <w:sz w:val="16"/>
              </w:rPr>
              <w:t xml:space="preserve"> of Canada or Mexico (permanent residence there is not enough)</w:t>
            </w:r>
          </w:p>
          <w:p>
            <w:pPr>
              <w:spacing w:after="20" w:before="0"/>
              <w:ind w:left="173" w:hanging="144"/>
            </w:pPr>
            <w:r>
              <w:rPr>
                <w:b w:val="0"/>
                <w:sz w:val="16"/>
              </w:rPr>
              <w:t>• Profession on the USMCA list and the job duties actually fall within it, at a professional level</w:t>
            </w:r>
          </w:p>
          <w:p>
            <w:pPr>
              <w:spacing w:after="20" w:before="0"/>
              <w:ind w:left="173" w:hanging="144"/>
            </w:pPr>
            <w:r>
              <w:rPr>
                <w:b w:val="0"/>
                <w:sz w:val="16"/>
              </w:rPr>
              <w:t>• Meets the list’s credential for that profession, e.g., Engineer: bachelor’s/licenciatura or state/provincial license; Computer Systems Analyst: bachelor’s/licenciatura, or post-secondary diploma/certificate + 3 years’ experience; Scientist categories (e.g., Physicist, Chemist): bachelor’s/licenciatura; Scientific Technician/Technologist: theoretical knowledge + 3 years’ experience and working in direct support of listed professionals</w:t>
            </w:r>
          </w:p>
          <w:p>
            <w:pPr>
              <w:spacing w:after="20" w:before="0"/>
              <w:ind w:left="173" w:hanging="144"/>
            </w:pPr>
            <w:r>
              <w:rPr>
                <w:b w:val="0"/>
                <w:sz w:val="16"/>
              </w:rPr>
              <w:t>• Nonimmigrant intent (no dual intent)</w:t>
            </w:r>
          </w:p>
        </w:tc>
        <w:tc>
          <w:tcPr>
            <w:tcW w:type="dxa" w:w="3528"/>
          </w:tcPr>
          <w:p>
            <w:pPr>
              <w:spacing w:after="20" w:before="0"/>
            </w:pPr>
            <w:r/>
            <w:r>
              <w:rPr>
                <w:b w:val="0"/>
                <w:sz w:val="16"/>
              </w:rPr>
              <w:t>Memo § II.B; Flowchart omits the support-role condition for Scientific Technicians (STD-21).</w:t>
            </w:r>
          </w:p>
        </w:tc>
      </w:tr>
      <w:tr>
        <w:tc>
          <w:tcPr>
            <w:tcW w:type="dxa" w:w="2232"/>
            <w:shd w:val="clear" w:color="auto" w:fill="D9E2F3"/>
          </w:tcPr>
          <w:p>
            <w:pPr>
              <w:spacing w:after="20" w:before="0"/>
            </w:pPr>
            <w:r/>
            <w:r>
              <w:rPr>
                <w:b/>
                <w:sz w:val="16"/>
              </w:rPr>
              <w:t>3. Petitioner / employer eligibility</w:t>
            </w:r>
          </w:p>
        </w:tc>
        <w:tc>
          <w:tcPr>
            <w:tcW w:type="dxa" w:w="8064"/>
          </w:tcPr>
          <w:p>
            <w:pPr>
              <w:spacing w:after="20" w:before="0"/>
              <w:ind w:left="173" w:hanging="144"/>
            </w:pPr>
            <w:r/>
            <w:r>
              <w:rPr>
                <w:b w:val="0"/>
                <w:sz w:val="16"/>
              </w:rPr>
              <w:t>• Prearranged full- or part-time job with a U.S. employer (no self-employment)</w:t>
            </w:r>
          </w:p>
          <w:p>
            <w:pPr>
              <w:spacing w:after="20" w:before="0"/>
              <w:ind w:left="173" w:hanging="144"/>
            </w:pPr>
            <w:r>
              <w:rPr>
                <w:b w:val="0"/>
                <w:sz w:val="16"/>
              </w:rPr>
              <w:t>• Employer support letter (duties, qualifications, duration, pay)</w:t>
            </w:r>
          </w:p>
          <w:p>
            <w:pPr>
              <w:spacing w:after="20" w:before="0"/>
              <w:ind w:left="173" w:hanging="144"/>
            </w:pPr>
            <w:r>
              <w:rPr>
                <w:b w:val="0"/>
                <w:sz w:val="16"/>
              </w:rPr>
              <w:t xml:space="preserve">• </w:t>
            </w:r>
            <w:r>
              <w:rPr>
                <w:b/>
                <w:sz w:val="16"/>
              </w:rPr>
              <w:t>No LCA, no DOL prevailing-wage obligation and no minimum salary</w:t>
            </w:r>
          </w:p>
        </w:tc>
        <w:tc>
          <w:tcPr>
            <w:tcW w:type="dxa" w:w="3528"/>
          </w:tcPr>
          <w:p>
            <w:pPr>
              <w:spacing w:after="20" w:before="0"/>
            </w:pPr>
            <w:r/>
            <w:r>
              <w:rPr>
                <w:b w:val="0"/>
                <w:sz w:val="16"/>
              </w:rPr>
              <w:t>Memo § II.D asserts a prevailing-wage requirement and a $60,000 minimum salary — no such requirement exists, and Memo § V.C contradicts it (STD-07).</w:t>
            </w:r>
          </w:p>
        </w:tc>
      </w:tr>
      <w:tr>
        <w:tc>
          <w:tcPr>
            <w:tcW w:type="dxa" w:w="2232"/>
            <w:shd w:val="clear" w:color="auto" w:fill="D9E2F3"/>
          </w:tcPr>
          <w:p>
            <w:pPr>
              <w:spacing w:after="20" w:before="0"/>
            </w:pPr>
            <w:r/>
            <w:r>
              <w:rPr>
                <w:b/>
                <w:sz w:val="16"/>
              </w:rPr>
              <w:t>4. Evidentiary criteria / standard</w:t>
            </w:r>
          </w:p>
        </w:tc>
        <w:tc>
          <w:tcPr>
            <w:tcW w:type="dxa" w:w="8064"/>
          </w:tcPr>
          <w:p>
            <w:pPr>
              <w:spacing w:after="20" w:before="0"/>
              <w:ind w:left="173" w:hanging="144"/>
            </w:pPr>
            <w:r/>
            <w:r>
              <w:rPr>
                <w:b w:val="0"/>
                <w:sz w:val="16"/>
              </w:rPr>
              <w:t>• Proof of citizenship; degree/credentials (with evaluation where needed); licenses if required; employer letter</w:t>
            </w:r>
          </w:p>
          <w:p>
            <w:pPr>
              <w:spacing w:after="20" w:before="0"/>
              <w:ind w:left="173" w:hanging="144"/>
            </w:pPr>
            <w:r>
              <w:rPr>
                <w:b w:val="0"/>
                <w:sz w:val="16"/>
              </w:rPr>
              <w:t>• Canadians: apply at a port of entry or preclearance (or I-129 inside the U.S.); Mexicans: TN visa at a consulate (or I-129 inside the U.S.)</w:t>
            </w:r>
          </w:p>
        </w:tc>
        <w:tc>
          <w:tcPr>
            <w:tcW w:type="dxa" w:w="3528"/>
          </w:tcPr>
          <w:p>
            <w:pPr>
              <w:spacing w:after="20" w:before="0"/>
            </w:pPr>
            <w:r/>
            <w:r>
              <w:rPr>
                <w:b w:val="0"/>
                <w:sz w:val="16"/>
              </w:rPr>
              <w:t>Memo § II.E; Flowchart Node 4.</w:t>
            </w:r>
          </w:p>
        </w:tc>
      </w:tr>
      <w:tr>
        <w:tc>
          <w:tcPr>
            <w:tcW w:type="dxa" w:w="2232"/>
            <w:shd w:val="clear" w:color="auto" w:fill="D9E2F3"/>
          </w:tcPr>
          <w:p>
            <w:pPr>
              <w:spacing w:after="20" w:before="0"/>
            </w:pPr>
            <w:r/>
            <w:r>
              <w:rPr>
                <w:b/>
                <w:sz w:val="16"/>
              </w:rPr>
              <w:t>5. Government filing fees (Aethon: for-profit, 26+ FTEs)</w:t>
            </w:r>
          </w:p>
        </w:tc>
        <w:tc>
          <w:tcPr>
            <w:tcW w:type="dxa" w:w="8064"/>
          </w:tcPr>
          <w:p>
            <w:pPr>
              <w:spacing w:after="20" w:before="0"/>
              <w:ind w:left="173" w:hanging="144"/>
            </w:pPr>
            <w:r/>
            <w:r>
              <w:rPr>
                <w:b w:val="0"/>
                <w:sz w:val="16"/>
              </w:rPr>
              <w:t xml:space="preserve">• Canadians at the border: </w:t>
            </w:r>
            <w:r>
              <w:rPr>
                <w:b/>
                <w:sz w:val="16"/>
              </w:rPr>
              <w:t>$50</w:t>
            </w:r>
            <w:r>
              <w:rPr>
                <w:b w:val="0"/>
                <w:sz w:val="16"/>
              </w:rPr>
              <w:t xml:space="preserve"> CBP processing fee (plus I-94 fee at land ports)</w:t>
            </w:r>
          </w:p>
          <w:p>
            <w:pPr>
              <w:spacing w:after="20" w:before="0"/>
              <w:ind w:left="173" w:hanging="144"/>
            </w:pPr>
            <w:r>
              <w:rPr>
                <w:b w:val="0"/>
                <w:sz w:val="16"/>
              </w:rPr>
              <w:t xml:space="preserve">• Mexicans at a consulate: </w:t>
            </w:r>
            <w:r>
              <w:rPr>
                <w:b/>
                <w:sz w:val="16"/>
              </w:rPr>
              <w:t>$185</w:t>
            </w:r>
            <w:r>
              <w:rPr>
                <w:b w:val="0"/>
                <w:sz w:val="16"/>
              </w:rPr>
              <w:t xml:space="preserve"> visa application fee (plus any reciprocity fee)</w:t>
            </w:r>
          </w:p>
          <w:p>
            <w:pPr>
              <w:spacing w:after="20" w:before="0"/>
              <w:ind w:left="173" w:hanging="144"/>
            </w:pPr>
            <w:r>
              <w:rPr>
                <w:b w:val="0"/>
                <w:sz w:val="16"/>
              </w:rPr>
              <w:t xml:space="preserve">• I-129 (extension, change of status/employer inside the U.S.): </w:t>
            </w:r>
            <w:r>
              <w:rPr>
                <w:b/>
                <w:sz w:val="16"/>
              </w:rPr>
              <w:t>$1,015</w:t>
            </w:r>
            <w:r>
              <w:rPr>
                <w:b w:val="0"/>
                <w:sz w:val="16"/>
              </w:rPr>
              <w:t xml:space="preserve"> + Asylum Program Fee </w:t>
            </w:r>
            <w:r>
              <w:rPr>
                <w:b/>
                <w:sz w:val="16"/>
              </w:rPr>
              <w:t>$600</w:t>
            </w:r>
            <w:r>
              <w:rPr>
                <w:b w:val="0"/>
                <w:sz w:val="16"/>
              </w:rPr>
              <w:t xml:space="preserve"> = </w:t>
            </w:r>
            <w:r>
              <w:rPr>
                <w:b/>
                <w:sz w:val="16"/>
              </w:rPr>
              <w:t>$1,615</w:t>
            </w:r>
          </w:p>
          <w:p>
            <w:pPr>
              <w:spacing w:after="20" w:before="0"/>
              <w:ind w:left="173" w:hanging="144"/>
            </w:pPr>
            <w:r>
              <w:rPr>
                <w:b w:val="0"/>
                <w:sz w:val="16"/>
              </w:rPr>
              <w:t xml:space="preserve">• Optional premium for I-129: $2,805 / </w:t>
            </w:r>
            <w:r>
              <w:rPr>
                <w:b/>
                <w:sz w:val="16"/>
              </w:rPr>
              <w:t>$2,965</w:t>
            </w:r>
            <w:r>
              <w:rPr>
                <w:b w:val="0"/>
                <w:sz w:val="16"/>
              </w:rPr>
              <w:t xml:space="preserve"> from Feb. 26, 2025</w:t>
            </w:r>
          </w:p>
        </w:tc>
        <w:tc>
          <w:tcPr>
            <w:tcW w:type="dxa" w:w="3528"/>
          </w:tcPr>
          <w:p>
            <w:pPr>
              <w:spacing w:after="20" w:before="0"/>
            </w:pPr>
            <w:r/>
            <w:r>
              <w:rPr>
                <w:b w:val="0"/>
                <w:sz w:val="16"/>
              </w:rPr>
              <w:t>Memo § II.E / App. A ($780; no Asylum fee) is wrong; border/consular fees not stated (FEE-02, FEE-03, FEE-10).</w:t>
            </w:r>
          </w:p>
        </w:tc>
      </w:tr>
      <w:tr>
        <w:tc>
          <w:tcPr>
            <w:tcW w:type="dxa" w:w="2232"/>
            <w:shd w:val="clear" w:color="auto" w:fill="D9E2F3"/>
          </w:tcPr>
          <w:p>
            <w:pPr>
              <w:spacing w:after="20" w:before="0"/>
            </w:pPr>
            <w:r/>
            <w:r>
              <w:rPr>
                <w:b/>
                <w:sz w:val="16"/>
              </w:rPr>
              <w:t>6. Duration of status</w:t>
            </w:r>
          </w:p>
        </w:tc>
        <w:tc>
          <w:tcPr>
            <w:tcW w:type="dxa" w:w="8064"/>
          </w:tcPr>
          <w:p>
            <w:pPr>
              <w:spacing w:after="20" w:before="0"/>
              <w:ind w:left="173" w:hanging="144"/>
            </w:pPr>
            <w:r/>
            <w:r>
              <w:rPr>
                <w:b w:val="0"/>
                <w:sz w:val="16"/>
              </w:rPr>
              <w:t>• Up to 3 years per admission/approval; unlimited extensions in up to 3-year increments</w:t>
            </w:r>
          </w:p>
          <w:p>
            <w:pPr>
              <w:spacing w:after="20" w:before="0"/>
              <w:ind w:left="173" w:hanging="144"/>
            </w:pPr>
            <w:r>
              <w:rPr>
                <w:b w:val="0"/>
                <w:sz w:val="16"/>
              </w:rPr>
              <w:t>• TD dependents may study but not work</w:t>
            </w:r>
          </w:p>
        </w:tc>
        <w:tc>
          <w:tcPr>
            <w:tcW w:type="dxa" w:w="3528"/>
          </w:tcPr>
          <w:p>
            <w:pPr>
              <w:spacing w:after="20" w:before="0"/>
            </w:pPr>
            <w:r/>
            <w:r>
              <w:rPr>
                <w:b w:val="0"/>
                <w:sz w:val="16"/>
              </w:rPr>
              <w:t>Memo § II.C; Flowchart. Consistent.</w:t>
            </w:r>
          </w:p>
        </w:tc>
      </w:tr>
      <w:tr>
        <w:tc>
          <w:tcPr>
            <w:tcW w:type="dxa" w:w="2232"/>
            <w:shd w:val="clear" w:color="auto" w:fill="D9E2F3"/>
          </w:tcPr>
          <w:p>
            <w:pPr>
              <w:spacing w:after="20" w:before="0"/>
            </w:pPr>
            <w:r/>
            <w:r>
              <w:rPr>
                <w:b/>
                <w:sz w:val="16"/>
              </w:rPr>
              <w:t>7. Special notes / limitations</w:t>
            </w:r>
          </w:p>
        </w:tc>
        <w:tc>
          <w:tcPr>
            <w:tcW w:type="dxa" w:w="8064"/>
          </w:tcPr>
          <w:p>
            <w:pPr>
              <w:spacing w:after="20" w:before="0"/>
              <w:ind w:left="173" w:hanging="144"/>
            </w:pPr>
            <w:r/>
            <w:r>
              <w:rPr>
                <w:b w:val="0"/>
                <w:sz w:val="16"/>
              </w:rPr>
              <w:t>• Not available to Taiwanese, German or Indian nationals — none of Dr. Chang, Dr. Breitner or Mr. Malhotra</w:t>
            </w:r>
          </w:p>
          <w:p>
            <w:pPr>
              <w:spacing w:after="20" w:before="0"/>
              <w:ind w:left="173" w:hanging="144"/>
            </w:pPr>
            <w:r>
              <w:rPr>
                <w:b w:val="0"/>
                <w:sz w:val="16"/>
              </w:rPr>
              <w:t>• Filing PERM/I-140 can undermine TN nonimmigrant intent; sequence green-card steps carefully (often switch to H-1B or O-1 first)</w:t>
            </w:r>
          </w:p>
          <w:p>
            <w:pPr>
              <w:spacing w:after="20" w:before="0"/>
              <w:ind w:left="173" w:hanging="144"/>
            </w:pPr>
            <w:r>
              <w:rPr>
                <w:b w:val="0"/>
                <w:sz w:val="16"/>
              </w:rPr>
              <w:t>• No portability: a new employer needs a new TN approval before work begins</w:t>
            </w:r>
          </w:p>
        </w:tc>
        <w:tc>
          <w:tcPr>
            <w:tcW w:type="dxa" w:w="3528"/>
          </w:tcPr>
          <w:p>
            <w:pPr>
              <w:spacing w:after="20" w:before="0"/>
            </w:pPr>
            <w:r/>
            <w:r>
              <w:rPr>
                <w:b w:val="0"/>
                <w:sz w:val="16"/>
              </w:rPr>
              <w:t>Memo § II.F.</w:t>
            </w:r>
          </w:p>
        </w:tc>
      </w:tr>
    </w:tbl>
    <w:p>
      <w:pPr>
        <w:pStyle w:val="Heading1"/>
        <w:pageBreakBefore/>
      </w:pPr>
      <w:r>
        <w:t>Part C — Government Fee Summary (Aethon: for-profit, 26+ FTEs)</w:t>
      </w:r>
    </w:p>
    <w:tbl>
      <w:tblPr>
        <w:tblStyle w:val="TableGrid"/>
        <w:tblW w:type="auto" w:w="0"/>
        <w:jc w:val="center"/>
        <w:tblLayout w:type="fixed"/>
        <w:tblLook w:firstColumn="1" w:firstRow="1" w:lastColumn="0" w:lastRow="0" w:noHBand="0" w:noVBand="1" w:val="04A0"/>
        <w:tblLayout w:type="fixed"/>
      </w:tblPr>
      <w:tblGrid>
        <w:gridCol w:w="2160"/>
        <w:gridCol w:w="1872"/>
        <w:gridCol w:w="1440"/>
        <w:gridCol w:w="1080"/>
        <w:gridCol w:w="1080"/>
        <w:gridCol w:w="1224"/>
        <w:gridCol w:w="1224"/>
        <w:gridCol w:w="2377440"/>
      </w:tblGrid>
      <w:tr>
        <w:trPr>
          <w:tblHeader w:val="true"/>
        </w:trPr>
        <w:tc>
          <w:tcPr>
            <w:tcW w:type="dxa" w:w="2160"/>
            <w:shd w:val="clear" w:color="auto" w:fill="1F3864"/>
          </w:tcPr>
          <w:p>
            <w:pPr>
              <w:spacing w:after="20" w:before="0"/>
            </w:pPr>
            <w:r/>
            <w:r>
              <w:rPr>
                <w:b/>
                <w:color w:val="FFFFFF"/>
                <w:sz w:val="16"/>
              </w:rPr>
              <w:t>Category</w:t>
            </w:r>
          </w:p>
        </w:tc>
        <w:tc>
          <w:tcPr>
            <w:tcW w:type="dxa" w:w="1872"/>
            <w:shd w:val="clear" w:color="auto" w:fill="1F3864"/>
          </w:tcPr>
          <w:p>
            <w:pPr>
              <w:spacing w:after="20" w:before="0"/>
            </w:pPr>
            <w:r/>
            <w:r>
              <w:rPr>
                <w:b/>
                <w:color w:val="FFFFFF"/>
                <w:sz w:val="16"/>
              </w:rPr>
              <w:t>Form(s)</w:t>
            </w:r>
          </w:p>
        </w:tc>
        <w:tc>
          <w:tcPr>
            <w:tcW w:type="dxa" w:w="1440"/>
            <w:shd w:val="clear" w:color="auto" w:fill="1F3864"/>
          </w:tcPr>
          <w:p>
            <w:pPr>
              <w:spacing w:after="20" w:before="0"/>
            </w:pPr>
            <w:r/>
            <w:r>
              <w:rPr>
                <w:b/>
                <w:color w:val="FFFFFF"/>
                <w:sz w:val="16"/>
              </w:rPr>
              <w:t>Base fee</w:t>
            </w:r>
          </w:p>
        </w:tc>
        <w:tc>
          <w:tcPr>
            <w:tcW w:type="dxa" w:w="1080"/>
            <w:shd w:val="clear" w:color="auto" w:fill="1F3864"/>
          </w:tcPr>
          <w:p>
            <w:pPr>
              <w:spacing w:after="20" w:before="0"/>
            </w:pPr>
            <w:r/>
            <w:r>
              <w:rPr>
                <w:b/>
                <w:color w:val="FFFFFF"/>
                <w:sz w:val="16"/>
              </w:rPr>
              <w:t>ACWIA</w:t>
            </w:r>
          </w:p>
        </w:tc>
        <w:tc>
          <w:tcPr>
            <w:tcW w:type="dxa" w:w="1080"/>
            <w:shd w:val="clear" w:color="auto" w:fill="1F3864"/>
          </w:tcPr>
          <w:p>
            <w:pPr>
              <w:spacing w:after="20" w:before="0"/>
            </w:pPr>
            <w:r/>
            <w:r>
              <w:rPr>
                <w:b/>
                <w:color w:val="FFFFFF"/>
                <w:sz w:val="16"/>
              </w:rPr>
              <w:t>Fraud fee</w:t>
            </w:r>
          </w:p>
        </w:tc>
        <w:tc>
          <w:tcPr>
            <w:tcW w:type="dxa" w:w="1224"/>
            <w:shd w:val="clear" w:color="auto" w:fill="1F3864"/>
          </w:tcPr>
          <w:p>
            <w:pPr>
              <w:spacing w:after="20" w:before="0"/>
            </w:pPr>
            <w:r/>
            <w:r>
              <w:rPr>
                <w:b/>
                <w:color w:val="FFFFFF"/>
                <w:sz w:val="16"/>
              </w:rPr>
              <w:t>Asylum Program Fee</w:t>
            </w:r>
          </w:p>
        </w:tc>
        <w:tc>
          <w:tcPr>
            <w:tcW w:type="dxa" w:w="1224"/>
            <w:shd w:val="clear" w:color="auto" w:fill="1F3864"/>
          </w:tcPr>
          <w:p>
            <w:pPr>
              <w:spacing w:after="20" w:before="0"/>
            </w:pPr>
            <w:r/>
            <w:r>
              <w:rPr>
                <w:b/>
                <w:color w:val="FFFFFF"/>
                <w:sz w:val="16"/>
              </w:rPr>
              <w:t>Total</w:t>
            </w:r>
          </w:p>
        </w:tc>
        <w:tc>
          <w:tcPr>
            <w:tcW w:type="dxa" w:w="3744"/>
            <w:shd w:val="clear" w:color="auto" w:fill="1F3864"/>
          </w:tcPr>
          <w:p>
            <w:pPr>
              <w:spacing w:after="20" w:before="0"/>
            </w:pPr>
            <w:r/>
            <w:r>
              <w:rPr>
                <w:b/>
                <w:color w:val="FFFFFF"/>
                <w:sz w:val="16"/>
              </w:rPr>
              <w:t>Notes</w:t>
            </w:r>
          </w:p>
        </w:tc>
      </w:tr>
      <w:tr>
        <w:tc>
          <w:tcPr>
            <w:tcW w:type="dxa" w:w="2160"/>
          </w:tcPr>
          <w:p>
            <w:pPr>
              <w:spacing w:after="20" w:before="0"/>
            </w:pPr>
            <w:r/>
            <w:r>
              <w:rPr>
                <w:b/>
                <w:sz w:val="16"/>
              </w:rPr>
              <w:t>H-1B</w:t>
            </w:r>
          </w:p>
        </w:tc>
        <w:tc>
          <w:tcPr>
            <w:tcW w:type="dxa" w:w="1872"/>
          </w:tcPr>
          <w:p>
            <w:pPr>
              <w:spacing w:after="20" w:before="0"/>
            </w:pPr>
            <w:r/>
            <w:r>
              <w:rPr>
                <w:b w:val="0"/>
                <w:sz w:val="16"/>
              </w:rPr>
              <w:t>I-129</w:t>
            </w:r>
          </w:p>
        </w:tc>
        <w:tc>
          <w:tcPr>
            <w:tcW w:type="dxa" w:w="1440"/>
          </w:tcPr>
          <w:p>
            <w:pPr>
              <w:spacing w:after="20" w:before="0"/>
            </w:pPr>
            <w:r/>
            <w:r>
              <w:rPr>
                <w:b w:val="0"/>
                <w:sz w:val="16"/>
              </w:rPr>
              <w:t>$780</w:t>
            </w:r>
          </w:p>
        </w:tc>
        <w:tc>
          <w:tcPr>
            <w:tcW w:type="dxa" w:w="1080"/>
          </w:tcPr>
          <w:p>
            <w:pPr>
              <w:spacing w:after="20" w:before="0"/>
            </w:pPr>
            <w:r/>
            <w:r>
              <w:rPr>
                <w:b w:val="0"/>
                <w:sz w:val="16"/>
              </w:rPr>
              <w:t>$1,500</w:t>
            </w:r>
          </w:p>
        </w:tc>
        <w:tc>
          <w:tcPr>
            <w:tcW w:type="dxa" w:w="1080"/>
          </w:tcPr>
          <w:p>
            <w:pPr>
              <w:spacing w:after="20" w:before="0"/>
            </w:pPr>
            <w:r/>
            <w:r>
              <w:rPr>
                <w:b w:val="0"/>
                <w:sz w:val="16"/>
              </w:rPr>
              <w:t>$500</w:t>
            </w:r>
          </w:p>
        </w:tc>
        <w:tc>
          <w:tcPr>
            <w:tcW w:type="dxa" w:w="1224"/>
          </w:tcPr>
          <w:p>
            <w:pPr>
              <w:spacing w:after="20" w:before="0"/>
            </w:pPr>
            <w:r/>
            <w:r>
              <w:rPr>
                <w:b w:val="0"/>
                <w:sz w:val="16"/>
              </w:rPr>
              <w:t>$600</w:t>
            </w:r>
          </w:p>
        </w:tc>
        <w:tc>
          <w:tcPr>
            <w:tcW w:type="dxa" w:w="1224"/>
          </w:tcPr>
          <w:p>
            <w:pPr>
              <w:spacing w:after="20" w:before="0"/>
            </w:pPr>
            <w:r/>
            <w:r>
              <w:rPr>
                <w:b/>
                <w:sz w:val="16"/>
              </w:rPr>
              <w:t>$3,380</w:t>
            </w:r>
          </w:p>
        </w:tc>
        <w:tc>
          <w:tcPr>
            <w:tcW w:type="dxa" w:w="3744"/>
          </w:tcPr>
          <w:p>
            <w:pPr>
              <w:spacing w:after="20" w:before="0"/>
            </w:pPr>
            <w:r/>
            <w:r>
              <w:rPr>
                <w:b w:val="0"/>
                <w:sz w:val="16"/>
              </w:rPr>
              <w:t>Registration $215 per beneficiary (cap cases). Small-employer/nonprofit rates differ.</w:t>
            </w:r>
          </w:p>
        </w:tc>
      </w:tr>
      <w:tr>
        <w:tc>
          <w:tcPr>
            <w:tcW w:type="dxa" w:w="2160"/>
            <w:shd w:val="clear" w:color="auto" w:fill="F2F2F2"/>
          </w:tcPr>
          <w:p>
            <w:pPr>
              <w:spacing w:after="20" w:before="0"/>
            </w:pPr>
            <w:r/>
            <w:r>
              <w:rPr>
                <w:b/>
                <w:sz w:val="16"/>
              </w:rPr>
              <w:t>O-1A / O-1B</w:t>
            </w:r>
          </w:p>
        </w:tc>
        <w:tc>
          <w:tcPr>
            <w:tcW w:type="dxa" w:w="1872"/>
            <w:shd w:val="clear" w:color="auto" w:fill="F2F2F2"/>
          </w:tcPr>
          <w:p>
            <w:pPr>
              <w:spacing w:after="20" w:before="0"/>
            </w:pPr>
            <w:r/>
            <w:r>
              <w:rPr>
                <w:b w:val="0"/>
                <w:sz w:val="16"/>
              </w:rPr>
              <w:t>I-129</w:t>
            </w:r>
          </w:p>
        </w:tc>
        <w:tc>
          <w:tcPr>
            <w:tcW w:type="dxa" w:w="1440"/>
            <w:shd w:val="clear" w:color="auto" w:fill="F2F2F2"/>
          </w:tcPr>
          <w:p>
            <w:pPr>
              <w:spacing w:after="20" w:before="0"/>
            </w:pPr>
            <w:r/>
            <w:r>
              <w:rPr>
                <w:b w:val="0"/>
                <w:sz w:val="16"/>
              </w:rPr>
              <w:t>$1,055</w:t>
            </w:r>
          </w:p>
        </w:tc>
        <w:tc>
          <w:tcPr>
            <w:tcW w:type="dxa" w:w="1080"/>
            <w:shd w:val="clear" w:color="auto" w:fill="F2F2F2"/>
          </w:tcPr>
          <w:p>
            <w:pPr>
              <w:spacing w:after="20" w:before="0"/>
            </w:pPr>
            <w:r/>
            <w:r>
              <w:rPr>
                <w:b w:val="0"/>
                <w:sz w:val="16"/>
              </w:rPr>
              <w:t>—</w:t>
            </w:r>
          </w:p>
        </w:tc>
        <w:tc>
          <w:tcPr>
            <w:tcW w:type="dxa" w:w="1080"/>
            <w:shd w:val="clear" w:color="auto" w:fill="F2F2F2"/>
          </w:tcPr>
          <w:p>
            <w:pPr>
              <w:spacing w:after="20" w:before="0"/>
            </w:pPr>
            <w:r/>
            <w:r>
              <w:rPr>
                <w:b w:val="0"/>
                <w:sz w:val="16"/>
              </w:rPr>
              <w:t>—</w:t>
            </w:r>
          </w:p>
        </w:tc>
        <w:tc>
          <w:tcPr>
            <w:tcW w:type="dxa" w:w="1224"/>
            <w:shd w:val="clear" w:color="auto" w:fill="F2F2F2"/>
          </w:tcPr>
          <w:p>
            <w:pPr>
              <w:spacing w:after="20" w:before="0"/>
            </w:pPr>
            <w:r/>
            <w:r>
              <w:rPr>
                <w:b w:val="0"/>
                <w:sz w:val="16"/>
              </w:rPr>
              <w:t>$600</w:t>
            </w:r>
          </w:p>
        </w:tc>
        <w:tc>
          <w:tcPr>
            <w:tcW w:type="dxa" w:w="1224"/>
            <w:shd w:val="clear" w:color="auto" w:fill="F2F2F2"/>
          </w:tcPr>
          <w:p>
            <w:pPr>
              <w:spacing w:after="20" w:before="0"/>
            </w:pPr>
            <w:r/>
            <w:r>
              <w:rPr>
                <w:b/>
                <w:sz w:val="16"/>
              </w:rPr>
              <w:t>$1,655</w:t>
            </w:r>
          </w:p>
        </w:tc>
        <w:tc>
          <w:tcPr>
            <w:tcW w:type="dxa" w:w="3744"/>
            <w:shd w:val="clear" w:color="auto" w:fill="F2F2F2"/>
          </w:tcPr>
          <w:p>
            <w:pPr>
              <w:spacing w:after="20" w:before="0"/>
            </w:pPr>
            <w:r/>
            <w:r>
              <w:rPr>
                <w:b w:val="0"/>
                <w:sz w:val="16"/>
              </w:rPr>
              <w:t>Advisory opinion costs (if any) extra.</w:t>
            </w:r>
          </w:p>
        </w:tc>
      </w:tr>
      <w:tr>
        <w:tc>
          <w:tcPr>
            <w:tcW w:type="dxa" w:w="2160"/>
          </w:tcPr>
          <w:p>
            <w:pPr>
              <w:spacing w:after="20" w:before="0"/>
            </w:pPr>
            <w:r/>
            <w:r>
              <w:rPr>
                <w:b/>
                <w:sz w:val="16"/>
              </w:rPr>
              <w:t>L-1A / L-1B (individual)</w:t>
            </w:r>
          </w:p>
        </w:tc>
        <w:tc>
          <w:tcPr>
            <w:tcW w:type="dxa" w:w="1872"/>
          </w:tcPr>
          <w:p>
            <w:pPr>
              <w:spacing w:after="20" w:before="0"/>
            </w:pPr>
            <w:r/>
            <w:r>
              <w:rPr>
                <w:b w:val="0"/>
                <w:sz w:val="16"/>
              </w:rPr>
              <w:t>I-129</w:t>
            </w:r>
          </w:p>
        </w:tc>
        <w:tc>
          <w:tcPr>
            <w:tcW w:type="dxa" w:w="1440"/>
          </w:tcPr>
          <w:p>
            <w:pPr>
              <w:spacing w:after="20" w:before="0"/>
            </w:pPr>
            <w:r/>
            <w:r>
              <w:rPr>
                <w:b w:val="0"/>
                <w:sz w:val="16"/>
              </w:rPr>
              <w:t>$1,385</w:t>
            </w:r>
          </w:p>
        </w:tc>
        <w:tc>
          <w:tcPr>
            <w:tcW w:type="dxa" w:w="1080"/>
          </w:tcPr>
          <w:p>
            <w:pPr>
              <w:spacing w:after="20" w:before="0"/>
            </w:pPr>
            <w:r/>
            <w:r>
              <w:rPr>
                <w:b w:val="0"/>
                <w:sz w:val="16"/>
              </w:rPr>
              <w:t>—</w:t>
            </w:r>
          </w:p>
        </w:tc>
        <w:tc>
          <w:tcPr>
            <w:tcW w:type="dxa" w:w="1080"/>
          </w:tcPr>
          <w:p>
            <w:pPr>
              <w:spacing w:after="20" w:before="0"/>
            </w:pPr>
            <w:r/>
            <w:r>
              <w:rPr>
                <w:b w:val="0"/>
                <w:sz w:val="16"/>
              </w:rPr>
              <w:t>$500</w:t>
            </w:r>
          </w:p>
        </w:tc>
        <w:tc>
          <w:tcPr>
            <w:tcW w:type="dxa" w:w="1224"/>
          </w:tcPr>
          <w:p>
            <w:pPr>
              <w:spacing w:after="20" w:before="0"/>
            </w:pPr>
            <w:r/>
            <w:r>
              <w:rPr>
                <w:b w:val="0"/>
                <w:sz w:val="16"/>
              </w:rPr>
              <w:t>$600</w:t>
            </w:r>
          </w:p>
        </w:tc>
        <w:tc>
          <w:tcPr>
            <w:tcW w:type="dxa" w:w="1224"/>
          </w:tcPr>
          <w:p>
            <w:pPr>
              <w:spacing w:after="20" w:before="0"/>
            </w:pPr>
            <w:r/>
            <w:r>
              <w:rPr>
                <w:b/>
                <w:sz w:val="16"/>
              </w:rPr>
              <w:t>$2,485</w:t>
            </w:r>
          </w:p>
        </w:tc>
        <w:tc>
          <w:tcPr>
            <w:tcW w:type="dxa" w:w="3744"/>
          </w:tcPr>
          <w:p>
            <w:pPr>
              <w:spacing w:after="20" w:before="0"/>
            </w:pPr>
            <w:r/>
            <w:r>
              <w:rPr>
                <w:b w:val="0"/>
                <w:sz w:val="16"/>
              </w:rPr>
              <w:t>Under an approved blanket: $500 fraud fee + visa fee paid at consulate per beneficiary.</w:t>
            </w:r>
          </w:p>
        </w:tc>
      </w:tr>
      <w:tr>
        <w:tc>
          <w:tcPr>
            <w:tcW w:type="dxa" w:w="2160"/>
            <w:shd w:val="clear" w:color="auto" w:fill="F2F2F2"/>
          </w:tcPr>
          <w:p>
            <w:pPr>
              <w:spacing w:after="20" w:before="0"/>
            </w:pPr>
            <w:r/>
            <w:r>
              <w:rPr>
                <w:b/>
                <w:sz w:val="16"/>
              </w:rPr>
              <w:t>TN (I-129 filed in U.S.)</w:t>
            </w:r>
          </w:p>
        </w:tc>
        <w:tc>
          <w:tcPr>
            <w:tcW w:type="dxa" w:w="1872"/>
            <w:shd w:val="clear" w:color="auto" w:fill="F2F2F2"/>
          </w:tcPr>
          <w:p>
            <w:pPr>
              <w:spacing w:after="20" w:before="0"/>
            </w:pPr>
            <w:r/>
            <w:r>
              <w:rPr>
                <w:b w:val="0"/>
                <w:sz w:val="16"/>
              </w:rPr>
              <w:t>I-129</w:t>
            </w:r>
          </w:p>
        </w:tc>
        <w:tc>
          <w:tcPr>
            <w:tcW w:type="dxa" w:w="1440"/>
            <w:shd w:val="clear" w:color="auto" w:fill="F2F2F2"/>
          </w:tcPr>
          <w:p>
            <w:pPr>
              <w:spacing w:after="20" w:before="0"/>
            </w:pPr>
            <w:r/>
            <w:r>
              <w:rPr>
                <w:b w:val="0"/>
                <w:sz w:val="16"/>
              </w:rPr>
              <w:t>$1,015</w:t>
            </w:r>
          </w:p>
        </w:tc>
        <w:tc>
          <w:tcPr>
            <w:tcW w:type="dxa" w:w="1080"/>
            <w:shd w:val="clear" w:color="auto" w:fill="F2F2F2"/>
          </w:tcPr>
          <w:p>
            <w:pPr>
              <w:spacing w:after="20" w:before="0"/>
            </w:pPr>
            <w:r/>
            <w:r>
              <w:rPr>
                <w:b w:val="0"/>
                <w:sz w:val="16"/>
              </w:rPr>
              <w:t>—</w:t>
            </w:r>
          </w:p>
        </w:tc>
        <w:tc>
          <w:tcPr>
            <w:tcW w:type="dxa" w:w="1080"/>
            <w:shd w:val="clear" w:color="auto" w:fill="F2F2F2"/>
          </w:tcPr>
          <w:p>
            <w:pPr>
              <w:spacing w:after="20" w:before="0"/>
            </w:pPr>
            <w:r/>
            <w:r>
              <w:rPr>
                <w:b w:val="0"/>
                <w:sz w:val="16"/>
              </w:rPr>
              <w:t>—</w:t>
            </w:r>
          </w:p>
        </w:tc>
        <w:tc>
          <w:tcPr>
            <w:tcW w:type="dxa" w:w="1224"/>
            <w:shd w:val="clear" w:color="auto" w:fill="F2F2F2"/>
          </w:tcPr>
          <w:p>
            <w:pPr>
              <w:spacing w:after="20" w:before="0"/>
            </w:pPr>
            <w:r/>
            <w:r>
              <w:rPr>
                <w:b w:val="0"/>
                <w:sz w:val="16"/>
              </w:rPr>
              <w:t>$600</w:t>
            </w:r>
          </w:p>
        </w:tc>
        <w:tc>
          <w:tcPr>
            <w:tcW w:type="dxa" w:w="1224"/>
            <w:shd w:val="clear" w:color="auto" w:fill="F2F2F2"/>
          </w:tcPr>
          <w:p>
            <w:pPr>
              <w:spacing w:after="20" w:before="0"/>
            </w:pPr>
            <w:r/>
            <w:r>
              <w:rPr>
                <w:b/>
                <w:sz w:val="16"/>
              </w:rPr>
              <w:t>$1,615</w:t>
            </w:r>
          </w:p>
        </w:tc>
        <w:tc>
          <w:tcPr>
            <w:tcW w:type="dxa" w:w="3744"/>
            <w:shd w:val="clear" w:color="auto" w:fill="F2F2F2"/>
          </w:tcPr>
          <w:p>
            <w:pPr>
              <w:spacing w:after="20" w:before="0"/>
            </w:pPr>
            <w:r/>
            <w:r>
              <w:rPr>
                <w:b w:val="0"/>
                <w:sz w:val="16"/>
              </w:rPr>
              <w:t>Canadians at border: $50 CBP fee; Mexicans at consulate: $185 visa fee.</w:t>
            </w:r>
          </w:p>
        </w:tc>
      </w:tr>
      <w:tr>
        <w:tc>
          <w:tcPr>
            <w:tcW w:type="dxa" w:w="2160"/>
          </w:tcPr>
          <w:p>
            <w:pPr>
              <w:spacing w:after="20" w:before="0"/>
            </w:pPr>
            <w:r/>
            <w:r>
              <w:rPr>
                <w:b/>
                <w:sz w:val="16"/>
              </w:rPr>
              <w:t>EB-1A / EB-1B</w:t>
            </w:r>
          </w:p>
        </w:tc>
        <w:tc>
          <w:tcPr>
            <w:tcW w:type="dxa" w:w="1872"/>
          </w:tcPr>
          <w:p>
            <w:pPr>
              <w:spacing w:after="20" w:before="0"/>
            </w:pPr>
            <w:r/>
            <w:r>
              <w:rPr>
                <w:b w:val="0"/>
                <w:sz w:val="16"/>
              </w:rPr>
              <w:t>I-140</w:t>
            </w:r>
          </w:p>
        </w:tc>
        <w:tc>
          <w:tcPr>
            <w:tcW w:type="dxa" w:w="1440"/>
          </w:tcPr>
          <w:p>
            <w:pPr>
              <w:spacing w:after="20" w:before="0"/>
            </w:pPr>
            <w:r/>
            <w:r>
              <w:rPr>
                <w:b w:val="0"/>
                <w:sz w:val="16"/>
              </w:rPr>
              <w:t>$715</w:t>
            </w:r>
          </w:p>
        </w:tc>
        <w:tc>
          <w:tcPr>
            <w:tcW w:type="dxa" w:w="1080"/>
          </w:tcPr>
          <w:p>
            <w:pPr>
              <w:spacing w:after="20" w:before="0"/>
            </w:pPr>
            <w:r/>
            <w:r>
              <w:rPr>
                <w:b w:val="0"/>
                <w:sz w:val="16"/>
              </w:rPr>
              <w:t>—</w:t>
            </w:r>
          </w:p>
        </w:tc>
        <w:tc>
          <w:tcPr>
            <w:tcW w:type="dxa" w:w="1080"/>
          </w:tcPr>
          <w:p>
            <w:pPr>
              <w:spacing w:after="20" w:before="0"/>
            </w:pPr>
            <w:r/>
            <w:r>
              <w:rPr>
                <w:b w:val="0"/>
                <w:sz w:val="16"/>
              </w:rPr>
              <w:t>—</w:t>
            </w:r>
          </w:p>
        </w:tc>
        <w:tc>
          <w:tcPr>
            <w:tcW w:type="dxa" w:w="1224"/>
          </w:tcPr>
          <w:p>
            <w:pPr>
              <w:spacing w:after="20" w:before="0"/>
            </w:pPr>
            <w:r/>
            <w:r>
              <w:rPr>
                <w:b w:val="0"/>
                <w:sz w:val="16"/>
              </w:rPr>
              <w:t>$600</w:t>
            </w:r>
          </w:p>
        </w:tc>
        <w:tc>
          <w:tcPr>
            <w:tcW w:type="dxa" w:w="1224"/>
          </w:tcPr>
          <w:p>
            <w:pPr>
              <w:spacing w:after="20" w:before="0"/>
            </w:pPr>
            <w:r/>
            <w:r>
              <w:rPr>
                <w:b/>
                <w:sz w:val="16"/>
              </w:rPr>
              <w:t>$1,315</w:t>
            </w:r>
          </w:p>
        </w:tc>
        <w:tc>
          <w:tcPr>
            <w:tcW w:type="dxa" w:w="3744"/>
          </w:tcPr>
          <w:p>
            <w:pPr>
              <w:spacing w:after="20" w:before="0"/>
            </w:pPr>
            <w:r/>
            <w:r>
              <w:rPr>
                <w:b w:val="0"/>
                <w:sz w:val="16"/>
              </w:rPr>
              <w:t>I-485 adjustment and dependants’ fees separate.</w:t>
            </w:r>
          </w:p>
        </w:tc>
      </w:tr>
      <w:tr>
        <w:tc>
          <w:tcPr>
            <w:tcW w:type="dxa" w:w="2160"/>
            <w:shd w:val="clear" w:color="auto" w:fill="F2F2F2"/>
          </w:tcPr>
          <w:p>
            <w:pPr>
              <w:spacing w:after="20" w:before="0"/>
            </w:pPr>
            <w:r/>
            <w:r>
              <w:rPr>
                <w:b/>
                <w:sz w:val="16"/>
              </w:rPr>
              <w:t>EB-2 (PERM)</w:t>
            </w:r>
          </w:p>
        </w:tc>
        <w:tc>
          <w:tcPr>
            <w:tcW w:type="dxa" w:w="1872"/>
            <w:shd w:val="clear" w:color="auto" w:fill="F2F2F2"/>
          </w:tcPr>
          <w:p>
            <w:pPr>
              <w:spacing w:after="20" w:before="0"/>
            </w:pPr>
            <w:r/>
            <w:r>
              <w:rPr>
                <w:b w:val="0"/>
                <w:sz w:val="16"/>
              </w:rPr>
              <w:t>ETA-9141 / ETA-9089 + I-140</w:t>
            </w:r>
          </w:p>
        </w:tc>
        <w:tc>
          <w:tcPr>
            <w:tcW w:type="dxa" w:w="1440"/>
            <w:shd w:val="clear" w:color="auto" w:fill="F2F2F2"/>
          </w:tcPr>
          <w:p>
            <w:pPr>
              <w:spacing w:after="20" w:before="0"/>
            </w:pPr>
            <w:r/>
            <w:r>
              <w:rPr>
                <w:b w:val="0"/>
                <w:sz w:val="16"/>
              </w:rPr>
              <w:t>$0 (DOL) + $715</w:t>
            </w:r>
          </w:p>
        </w:tc>
        <w:tc>
          <w:tcPr>
            <w:tcW w:type="dxa" w:w="1080"/>
            <w:shd w:val="clear" w:color="auto" w:fill="F2F2F2"/>
          </w:tcPr>
          <w:p>
            <w:pPr>
              <w:spacing w:after="20" w:before="0"/>
            </w:pPr>
            <w:r/>
            <w:r>
              <w:rPr>
                <w:b w:val="0"/>
                <w:sz w:val="16"/>
              </w:rPr>
              <w:t>—</w:t>
            </w:r>
          </w:p>
        </w:tc>
        <w:tc>
          <w:tcPr>
            <w:tcW w:type="dxa" w:w="1080"/>
            <w:shd w:val="clear" w:color="auto" w:fill="F2F2F2"/>
          </w:tcPr>
          <w:p>
            <w:pPr>
              <w:spacing w:after="20" w:before="0"/>
            </w:pPr>
            <w:r/>
            <w:r>
              <w:rPr>
                <w:b w:val="0"/>
                <w:sz w:val="16"/>
              </w:rPr>
              <w:t>—</w:t>
            </w:r>
          </w:p>
        </w:tc>
        <w:tc>
          <w:tcPr>
            <w:tcW w:type="dxa" w:w="1224"/>
            <w:shd w:val="clear" w:color="auto" w:fill="F2F2F2"/>
          </w:tcPr>
          <w:p>
            <w:pPr>
              <w:spacing w:after="20" w:before="0"/>
            </w:pPr>
            <w:r/>
            <w:r>
              <w:rPr>
                <w:b w:val="0"/>
                <w:sz w:val="16"/>
              </w:rPr>
              <w:t>$600</w:t>
            </w:r>
          </w:p>
        </w:tc>
        <w:tc>
          <w:tcPr>
            <w:tcW w:type="dxa" w:w="1224"/>
            <w:shd w:val="clear" w:color="auto" w:fill="F2F2F2"/>
          </w:tcPr>
          <w:p>
            <w:pPr>
              <w:spacing w:after="20" w:before="0"/>
            </w:pPr>
            <w:r/>
            <w:r>
              <w:rPr>
                <w:b/>
                <w:sz w:val="16"/>
              </w:rPr>
              <w:t>$1,315</w:t>
            </w:r>
          </w:p>
        </w:tc>
        <w:tc>
          <w:tcPr>
            <w:tcW w:type="dxa" w:w="3744"/>
            <w:shd w:val="clear" w:color="auto" w:fill="F2F2F2"/>
          </w:tcPr>
          <w:p>
            <w:pPr>
              <w:spacing w:after="20" w:before="0"/>
            </w:pPr>
            <w:r/>
            <w:r>
              <w:rPr>
                <w:b w:val="0"/>
                <w:sz w:val="16"/>
              </w:rPr>
              <w:t>PERM advertising and legal costs (firm estimate $5,000–$10,000) must be paid by Aethon (20 C.F.R. § 656.12(b)).</w:t>
            </w:r>
          </w:p>
        </w:tc>
      </w:tr>
      <w:tr>
        <w:tc>
          <w:tcPr>
            <w:tcW w:type="dxa" w:w="2160"/>
          </w:tcPr>
          <w:p>
            <w:pPr>
              <w:spacing w:after="20" w:before="0"/>
            </w:pPr>
            <w:r/>
            <w:r>
              <w:rPr>
                <w:b/>
                <w:sz w:val="16"/>
              </w:rPr>
              <w:t>EB-2 NIW</w:t>
            </w:r>
          </w:p>
        </w:tc>
        <w:tc>
          <w:tcPr>
            <w:tcW w:type="dxa" w:w="1872"/>
          </w:tcPr>
          <w:p>
            <w:pPr>
              <w:spacing w:after="20" w:before="0"/>
            </w:pPr>
            <w:r/>
            <w:r>
              <w:rPr>
                <w:b w:val="0"/>
                <w:sz w:val="16"/>
              </w:rPr>
              <w:t>I-140</w:t>
            </w:r>
          </w:p>
        </w:tc>
        <w:tc>
          <w:tcPr>
            <w:tcW w:type="dxa" w:w="1440"/>
          </w:tcPr>
          <w:p>
            <w:pPr>
              <w:spacing w:after="20" w:before="0"/>
            </w:pPr>
            <w:r/>
            <w:r>
              <w:rPr>
                <w:b w:val="0"/>
                <w:sz w:val="16"/>
              </w:rPr>
              <w:t>$715</w:t>
            </w:r>
          </w:p>
        </w:tc>
        <w:tc>
          <w:tcPr>
            <w:tcW w:type="dxa" w:w="1080"/>
          </w:tcPr>
          <w:p>
            <w:pPr>
              <w:spacing w:after="20" w:before="0"/>
            </w:pPr>
            <w:r/>
            <w:r>
              <w:rPr>
                <w:b w:val="0"/>
                <w:sz w:val="16"/>
              </w:rPr>
              <w:t>—</w:t>
            </w:r>
          </w:p>
        </w:tc>
        <w:tc>
          <w:tcPr>
            <w:tcW w:type="dxa" w:w="1080"/>
          </w:tcPr>
          <w:p>
            <w:pPr>
              <w:spacing w:after="20" w:before="0"/>
            </w:pPr>
            <w:r/>
            <w:r>
              <w:rPr>
                <w:b w:val="0"/>
                <w:sz w:val="16"/>
              </w:rPr>
              <w:t>—</w:t>
            </w:r>
          </w:p>
        </w:tc>
        <w:tc>
          <w:tcPr>
            <w:tcW w:type="dxa" w:w="1224"/>
          </w:tcPr>
          <w:p>
            <w:pPr>
              <w:spacing w:after="20" w:before="0"/>
            </w:pPr>
            <w:r/>
            <w:r>
              <w:rPr>
                <w:b w:val="0"/>
                <w:sz w:val="16"/>
              </w:rPr>
              <w:t>$600</w:t>
            </w:r>
          </w:p>
        </w:tc>
        <w:tc>
          <w:tcPr>
            <w:tcW w:type="dxa" w:w="1224"/>
          </w:tcPr>
          <w:p>
            <w:pPr>
              <w:spacing w:after="20" w:before="0"/>
            </w:pPr>
            <w:r/>
            <w:r>
              <w:rPr>
                <w:b/>
                <w:sz w:val="16"/>
              </w:rPr>
              <w:t>$1,315</w:t>
            </w:r>
          </w:p>
        </w:tc>
        <w:tc>
          <w:tcPr>
            <w:tcW w:type="dxa" w:w="3744"/>
          </w:tcPr>
          <w:p>
            <w:pPr>
              <w:spacing w:after="20" w:before="0"/>
            </w:pPr>
            <w:r/>
            <w:r>
              <w:rPr>
                <w:b w:val="0"/>
                <w:sz w:val="16"/>
              </w:rPr>
              <w:t>Confirm Asylum Program Fee treatment of self-petitions on Form G-1055 at filing.</w:t>
            </w:r>
          </w:p>
        </w:tc>
      </w:tr>
    </w:tbl>
    <w:p>
      <w:pPr>
        <w:spacing w:after="80"/>
      </w:pPr>
      <w:r>
        <w:rPr>
          <w:b w:val="0"/>
          <w:i/>
          <w:sz w:val="16"/>
        </w:rPr>
        <w:t>Sources: USCIS fee rule, 89 Fed. Reg. 6194 (Jan. 31, 2024), 8 C.F.R. § 106.2 (effective April 1, 2024); INA § 214(c)(9) (ACWIA), § 214(c)(12) (fraud fee). The Public Law 114-113 “50/50” fee ($4,000 H-1B / $4,500 L-1) applies only if 50%+ of U.S. employees are in H-1B/L status; Aethon is about 5% (33 of 612) and is not subject to it. The firm’s existing documents contain three different and incorrect fee schedules for L-1, O-1 and TN — see Discrepancy Report FEE-01 to FEE-03.</w:t>
      </w:r>
    </w:p>
    <w:p>
      <w:pPr>
        <w:spacing w:after="80"/>
      </w:pPr>
      <w:r>
        <w:rPr>
          <w:b/>
          <w:sz w:val="18"/>
        </w:rPr>
        <w:t>Budget note.</w:t>
      </w:r>
      <w:r>
        <w:rPr>
          <w:b w:val="0"/>
          <w:sz w:val="18"/>
        </w:rPr>
        <w:t xml:space="preserve"> At these fees, government costs alone for an H-1B with premium processing are $6,345 ($3,380 + $2,965), and many hires will need both a nonimmigrant filing and a later immigrant filing (e.g., H-1B + PERM + I-140, or L-1 + I-140). The $34,286 average per hire remains workable, but the EB Guide’s statement that “all categories fall well within” the budget was based on understated fees and should not be relied on until the hiring plan spreadsheet (not included in the materials received) is mapped category by category.</w:t>
      </w:r>
    </w:p>
    <w:p>
      <w:pPr>
        <w:pStyle w:val="Heading1"/>
      </w:pPr>
      <w:r>
        <w:t>Part D — Premium Processing Availability</w:t>
      </w:r>
    </w:p>
    <w:tbl>
      <w:tblPr>
        <w:tblStyle w:val="TableGrid"/>
        <w:tblW w:type="auto" w:w="0"/>
        <w:jc w:val="center"/>
        <w:tblLayout w:type="fixed"/>
        <w:tblLook w:firstColumn="1" w:firstRow="1" w:lastColumn="0" w:lastRow="0" w:noHBand="0" w:noVBand="1" w:val="04A0"/>
        <w:tblLayout w:type="fixed"/>
      </w:tblPr>
      <w:tblGrid>
        <w:gridCol w:w="5760"/>
        <w:gridCol w:w="2016"/>
        <w:gridCol w:w="2304"/>
        <w:gridCol w:w="2377440"/>
      </w:tblGrid>
      <w:tr>
        <w:trPr>
          <w:tblHeader w:val="true"/>
        </w:trPr>
        <w:tc>
          <w:tcPr>
            <w:tcW w:type="dxa" w:w="5760"/>
            <w:shd w:val="clear" w:color="auto" w:fill="1F3864"/>
          </w:tcPr>
          <w:p>
            <w:pPr>
              <w:spacing w:after="20" w:before="0"/>
            </w:pPr>
            <w:r/>
            <w:r>
              <w:rPr>
                <w:b/>
                <w:color w:val="FFFFFF"/>
                <w:sz w:val="17"/>
              </w:rPr>
              <w:t>Filing</w:t>
            </w:r>
          </w:p>
        </w:tc>
        <w:tc>
          <w:tcPr>
            <w:tcW w:type="dxa" w:w="2016"/>
            <w:shd w:val="clear" w:color="auto" w:fill="1F3864"/>
          </w:tcPr>
          <w:p>
            <w:pPr>
              <w:spacing w:after="20" w:before="0"/>
            </w:pPr>
            <w:r/>
            <w:r>
              <w:rPr>
                <w:b/>
                <w:color w:val="FFFFFF"/>
                <w:sz w:val="17"/>
              </w:rPr>
              <w:t>Premium available?</w:t>
            </w:r>
          </w:p>
        </w:tc>
        <w:tc>
          <w:tcPr>
            <w:tcW w:type="dxa" w:w="2304"/>
            <w:shd w:val="clear" w:color="auto" w:fill="1F3864"/>
          </w:tcPr>
          <w:p>
            <w:pPr>
              <w:spacing w:after="20" w:before="0"/>
            </w:pPr>
            <w:r/>
            <w:r>
              <w:rPr>
                <w:b/>
                <w:color w:val="FFFFFF"/>
                <w:sz w:val="17"/>
              </w:rPr>
              <w:t>USCIS action within</w:t>
            </w:r>
          </w:p>
        </w:tc>
        <w:tc>
          <w:tcPr>
            <w:tcW w:type="dxa" w:w="3744"/>
            <w:shd w:val="clear" w:color="auto" w:fill="1F3864"/>
          </w:tcPr>
          <w:p>
            <w:pPr>
              <w:spacing w:after="20" w:before="0"/>
            </w:pPr>
            <w:r/>
            <w:r>
              <w:rPr>
                <w:b/>
                <w:color w:val="FFFFFF"/>
                <w:sz w:val="17"/>
              </w:rPr>
              <w:t>I-907 fee</w:t>
            </w:r>
          </w:p>
        </w:tc>
      </w:tr>
      <w:tr>
        <w:tc>
          <w:tcPr>
            <w:tcW w:type="dxa" w:w="5760"/>
          </w:tcPr>
          <w:p>
            <w:pPr>
              <w:spacing w:after="20" w:before="0"/>
            </w:pPr>
            <w:r/>
            <w:r>
              <w:rPr>
                <w:b/>
                <w:sz w:val="17"/>
              </w:rPr>
              <w:t>H-1B, L-1A, L-1B, O-1A, O-1B, TN (Form I-129)</w:t>
            </w:r>
          </w:p>
        </w:tc>
        <w:tc>
          <w:tcPr>
            <w:tcW w:type="dxa" w:w="2016"/>
          </w:tcPr>
          <w:p>
            <w:pPr>
              <w:spacing w:after="20" w:before="0"/>
            </w:pPr>
            <w:r/>
            <w:r>
              <w:rPr>
                <w:b w:val="0"/>
                <w:sz w:val="17"/>
              </w:rPr>
              <w:t>Yes</w:t>
            </w:r>
          </w:p>
        </w:tc>
        <w:tc>
          <w:tcPr>
            <w:tcW w:type="dxa" w:w="2304"/>
          </w:tcPr>
          <w:p>
            <w:pPr>
              <w:spacing w:after="20" w:before="0"/>
            </w:pPr>
            <w:r/>
            <w:r>
              <w:rPr>
                <w:b w:val="0"/>
                <w:sz w:val="17"/>
              </w:rPr>
              <w:t>15 business days</w:t>
            </w:r>
          </w:p>
        </w:tc>
        <w:tc>
          <w:tcPr>
            <w:tcW w:type="dxa" w:w="3744"/>
          </w:tcPr>
          <w:p>
            <w:pPr>
              <w:spacing w:after="20" w:before="0"/>
            </w:pPr>
            <w:r/>
            <w:r>
              <w:rPr>
                <w:b w:val="0"/>
                <w:sz w:val="17"/>
              </w:rPr>
              <w:t>$2,805 / $2,965 (on or after Feb. 26, 2025)</w:t>
            </w:r>
          </w:p>
        </w:tc>
      </w:tr>
      <w:tr>
        <w:tc>
          <w:tcPr>
            <w:tcW w:type="dxa" w:w="5760"/>
            <w:shd w:val="clear" w:color="auto" w:fill="F2F2F2"/>
          </w:tcPr>
          <w:p>
            <w:pPr>
              <w:spacing w:after="20" w:before="0"/>
            </w:pPr>
            <w:r/>
            <w:r>
              <w:rPr>
                <w:b/>
                <w:sz w:val="17"/>
              </w:rPr>
              <w:t>EB-1A, EB-1B, EB-2 with PERM (Form I-140)</w:t>
            </w:r>
          </w:p>
        </w:tc>
        <w:tc>
          <w:tcPr>
            <w:tcW w:type="dxa" w:w="2016"/>
            <w:shd w:val="clear" w:color="auto" w:fill="F2F2F2"/>
          </w:tcPr>
          <w:p>
            <w:pPr>
              <w:spacing w:after="20" w:before="0"/>
            </w:pPr>
            <w:r/>
            <w:r>
              <w:rPr>
                <w:b w:val="0"/>
                <w:sz w:val="17"/>
              </w:rPr>
              <w:t>Yes</w:t>
            </w:r>
          </w:p>
        </w:tc>
        <w:tc>
          <w:tcPr>
            <w:tcW w:type="dxa" w:w="2304"/>
            <w:shd w:val="clear" w:color="auto" w:fill="F2F2F2"/>
          </w:tcPr>
          <w:p>
            <w:pPr>
              <w:spacing w:after="20" w:before="0"/>
            </w:pPr>
            <w:r/>
            <w:r>
              <w:rPr>
                <w:b w:val="0"/>
                <w:sz w:val="17"/>
              </w:rPr>
              <w:t>15 business days</w:t>
            </w:r>
          </w:p>
        </w:tc>
        <w:tc>
          <w:tcPr>
            <w:tcW w:type="dxa" w:w="3744"/>
            <w:shd w:val="clear" w:color="auto" w:fill="F2F2F2"/>
          </w:tcPr>
          <w:p>
            <w:pPr>
              <w:spacing w:after="20" w:before="0"/>
            </w:pPr>
            <w:r/>
            <w:r>
              <w:rPr>
                <w:b w:val="0"/>
                <w:sz w:val="17"/>
              </w:rPr>
              <w:t>$2,805 / $2,965</w:t>
            </w:r>
          </w:p>
        </w:tc>
      </w:tr>
      <w:tr>
        <w:tc>
          <w:tcPr>
            <w:tcW w:type="dxa" w:w="5760"/>
          </w:tcPr>
          <w:p>
            <w:pPr>
              <w:spacing w:after="20" w:before="0"/>
            </w:pPr>
            <w:r/>
            <w:r>
              <w:rPr>
                <w:b/>
                <w:sz w:val="17"/>
              </w:rPr>
              <w:t>EB-2 NIW (Form I-140)</w:t>
            </w:r>
          </w:p>
        </w:tc>
        <w:tc>
          <w:tcPr>
            <w:tcW w:type="dxa" w:w="2016"/>
          </w:tcPr>
          <w:p>
            <w:pPr>
              <w:spacing w:after="20" w:before="0"/>
            </w:pPr>
            <w:r/>
            <w:r>
              <w:rPr>
                <w:b w:val="0"/>
                <w:sz w:val="17"/>
              </w:rPr>
              <w:t>Yes</w:t>
            </w:r>
          </w:p>
        </w:tc>
        <w:tc>
          <w:tcPr>
            <w:tcW w:type="dxa" w:w="2304"/>
          </w:tcPr>
          <w:p>
            <w:pPr>
              <w:spacing w:after="20" w:before="0"/>
            </w:pPr>
            <w:r/>
            <w:r>
              <w:rPr>
                <w:b w:val="0"/>
                <w:sz w:val="17"/>
              </w:rPr>
              <w:t>45 business days</w:t>
            </w:r>
          </w:p>
        </w:tc>
        <w:tc>
          <w:tcPr>
            <w:tcW w:type="dxa" w:w="3744"/>
          </w:tcPr>
          <w:p>
            <w:pPr>
              <w:spacing w:after="20" w:before="0"/>
            </w:pPr>
            <w:r/>
            <w:r>
              <w:rPr>
                <w:b w:val="0"/>
                <w:sz w:val="17"/>
              </w:rPr>
              <w:t>$2,805 / $2,965</w:t>
            </w:r>
          </w:p>
        </w:tc>
      </w:tr>
      <w:tr>
        <w:tc>
          <w:tcPr>
            <w:tcW w:type="dxa" w:w="5760"/>
            <w:shd w:val="clear" w:color="auto" w:fill="F2F2F2"/>
          </w:tcPr>
          <w:p>
            <w:pPr>
              <w:spacing w:after="20" w:before="0"/>
            </w:pPr>
            <w:r/>
            <w:r>
              <w:rPr>
                <w:b/>
                <w:sz w:val="17"/>
              </w:rPr>
              <w:t>PERM labor certification / prevailing wage (DOL)</w:t>
            </w:r>
          </w:p>
        </w:tc>
        <w:tc>
          <w:tcPr>
            <w:tcW w:type="dxa" w:w="2016"/>
            <w:shd w:val="clear" w:color="auto" w:fill="F2F2F2"/>
          </w:tcPr>
          <w:p>
            <w:pPr>
              <w:spacing w:after="20" w:before="0"/>
            </w:pPr>
            <w:r/>
            <w:r>
              <w:rPr>
                <w:b w:val="0"/>
                <w:sz w:val="17"/>
              </w:rPr>
              <w:t>No</w:t>
            </w:r>
          </w:p>
        </w:tc>
        <w:tc>
          <w:tcPr>
            <w:tcW w:type="dxa" w:w="2304"/>
            <w:shd w:val="clear" w:color="auto" w:fill="F2F2F2"/>
          </w:tcPr>
          <w:p>
            <w:pPr>
              <w:spacing w:after="20" w:before="0"/>
            </w:pPr>
            <w:r/>
            <w:r>
              <w:rPr>
                <w:b w:val="0"/>
                <w:sz w:val="17"/>
              </w:rPr>
              <w:t>—</w:t>
            </w:r>
          </w:p>
        </w:tc>
        <w:tc>
          <w:tcPr>
            <w:tcW w:type="dxa" w:w="3744"/>
            <w:shd w:val="clear" w:color="auto" w:fill="F2F2F2"/>
          </w:tcPr>
          <w:p>
            <w:pPr>
              <w:spacing w:after="20" w:before="0"/>
            </w:pPr>
            <w:r/>
            <w:r>
              <w:rPr>
                <w:b w:val="0"/>
                <w:sz w:val="17"/>
              </w:rPr>
              <w:t>—</w:t>
            </w:r>
          </w:p>
        </w:tc>
      </w:tr>
      <w:tr>
        <w:tc>
          <w:tcPr>
            <w:tcW w:type="dxa" w:w="5760"/>
          </w:tcPr>
          <w:p>
            <w:pPr>
              <w:spacing w:after="20" w:before="0"/>
            </w:pPr>
            <w:r/>
            <w:r>
              <w:rPr>
                <w:b/>
                <w:sz w:val="17"/>
              </w:rPr>
              <w:t>H-1B registration; L blanket consular applications; TN at the border</w:t>
            </w:r>
          </w:p>
        </w:tc>
        <w:tc>
          <w:tcPr>
            <w:tcW w:type="dxa" w:w="2016"/>
          </w:tcPr>
          <w:p>
            <w:pPr>
              <w:spacing w:after="20" w:before="0"/>
            </w:pPr>
            <w:r/>
            <w:r>
              <w:rPr>
                <w:b w:val="0"/>
                <w:sz w:val="17"/>
              </w:rPr>
              <w:t>Not applicable</w:t>
            </w:r>
          </w:p>
        </w:tc>
        <w:tc>
          <w:tcPr>
            <w:tcW w:type="dxa" w:w="2304"/>
          </w:tcPr>
          <w:p>
            <w:pPr>
              <w:spacing w:after="20" w:before="0"/>
            </w:pPr>
            <w:r/>
            <w:r>
              <w:rPr>
                <w:b w:val="0"/>
                <w:sz w:val="17"/>
              </w:rPr>
              <w:t>—</w:t>
            </w:r>
          </w:p>
        </w:tc>
        <w:tc>
          <w:tcPr>
            <w:tcW w:type="dxa" w:w="3744"/>
          </w:tcPr>
          <w:p>
            <w:pPr>
              <w:spacing w:after="20" w:before="0"/>
            </w:pPr>
            <w:r/>
            <w:r>
              <w:rPr>
                <w:b w:val="0"/>
                <w:sz w:val="17"/>
              </w:rPr>
              <w:t>—</w:t>
            </w:r>
          </w:p>
        </w:tc>
      </w:tr>
    </w:tbl>
    <w:p>
      <w:pPr>
        <w:spacing w:after="80"/>
      </w:pPr>
      <w:r>
        <w:rPr>
          <w:b w:val="0"/>
          <w:i/>
          <w:sz w:val="16"/>
        </w:rPr>
        <w:t>The EB Guide states “45 calendar days” for all I-140 categories (incorrect — FEE-07) and every firm document uses the superseded $2,805 fee (FEE-06). Premium processing guarantees an action (approval, RFE, denial), not an approval.</w:t>
      </w:r>
    </w:p>
    <w:p>
      <w:pPr>
        <w:pStyle w:val="Heading1"/>
        <w:pageBreakBefore/>
      </w:pPr>
      <w:r>
        <w:t>Part E — Preliminary Screening of the Three Priority Candidates</w:t>
      </w:r>
    </w:p>
    <w:p>
      <w:pPr>
        <w:spacing w:after="80"/>
      </w:pPr>
      <w:r>
        <w:rPr>
          <w:b w:val="0"/>
          <w:sz w:val="18"/>
        </w:rPr>
        <w:t xml:space="preserve">Based only on the facts in the February 10, 2025 email. Ratings: </w:t>
      </w:r>
      <w:r>
        <w:rPr>
          <w:b/>
          <w:sz w:val="18"/>
        </w:rPr>
        <w:t>Strong</w:t>
      </w:r>
      <w:r>
        <w:rPr>
          <w:b w:val="0"/>
          <w:sz w:val="18"/>
        </w:rPr>
        <w:t xml:space="preserve"> = facts point to eligibility; </w:t>
      </w:r>
      <w:r>
        <w:rPr>
          <w:b/>
          <w:sz w:val="18"/>
        </w:rPr>
        <w:t>Possible</w:t>
      </w:r>
      <w:r>
        <w:rPr>
          <w:b w:val="0"/>
          <w:sz w:val="18"/>
        </w:rPr>
        <w:t xml:space="preserve"> = needs evidence development; </w:t>
      </w:r>
      <w:r>
        <w:rPr>
          <w:b/>
          <w:sz w:val="18"/>
        </w:rPr>
        <w:t>Unlikely / Not available</w:t>
      </w:r>
      <w:r>
        <w:rPr>
          <w:b w:val="0"/>
          <w:sz w:val="18"/>
        </w:rPr>
        <w:t>.</w:t>
      </w:r>
    </w:p>
    <w:tbl>
      <w:tblPr>
        <w:tblStyle w:val="TableGrid"/>
        <w:tblW w:type="auto" w:w="0"/>
        <w:jc w:val="center"/>
        <w:tblLayout w:type="fixed"/>
        <w:tblLook w:firstColumn="1" w:firstRow="1" w:lastColumn="0" w:lastRow="0" w:noHBand="0" w:noVBand="1" w:val="04A0"/>
        <w:tblLayout w:type="fixed"/>
      </w:tblPr>
      <w:tblGrid>
        <w:gridCol w:w="1440"/>
        <w:gridCol w:w="2621280"/>
        <w:gridCol w:w="2621280"/>
        <w:gridCol w:w="2621280"/>
      </w:tblGrid>
      <w:tr>
        <w:trPr>
          <w:tblHeader w:val="true"/>
        </w:trPr>
        <w:tc>
          <w:tcPr>
            <w:tcW w:type="dxa" w:w="1440"/>
            <w:shd w:val="clear" w:color="auto" w:fill="1F3864"/>
          </w:tcPr>
          <w:p>
            <w:pPr>
              <w:spacing w:after="20" w:before="0"/>
            </w:pPr>
            <w:r/>
            <w:r>
              <w:rPr>
                <w:b/>
                <w:color w:val="FFFFFF"/>
                <w:sz w:val="16"/>
              </w:rPr>
              <w:t>Category</w:t>
            </w:r>
          </w:p>
        </w:tc>
        <w:tc>
          <w:tcPr>
            <w:tcW w:type="dxa" w:w="4128"/>
            <w:shd w:val="clear" w:color="auto" w:fill="1F3864"/>
          </w:tcPr>
          <w:p>
            <w:pPr>
              <w:spacing w:after="20" w:before="0"/>
            </w:pPr>
            <w:r/>
            <w:r>
              <w:rPr>
                <w:b/>
                <w:color w:val="FFFFFF"/>
                <w:sz w:val="16"/>
              </w:rPr>
              <w:t>Dr. Wei-Lin Chang (Taiwan)</w:t>
            </w:r>
          </w:p>
        </w:tc>
        <w:tc>
          <w:tcPr>
            <w:tcW w:type="dxa" w:w="4128"/>
            <w:shd w:val="clear" w:color="auto" w:fill="1F3864"/>
          </w:tcPr>
          <w:p>
            <w:pPr>
              <w:spacing w:after="20" w:before="0"/>
            </w:pPr>
            <w:r/>
            <w:r>
              <w:rPr>
                <w:b/>
                <w:color w:val="FFFFFF"/>
                <w:sz w:val="16"/>
              </w:rPr>
              <w:t>Dr. Katarina Breitner (Germany)</w:t>
            </w:r>
          </w:p>
        </w:tc>
        <w:tc>
          <w:tcPr>
            <w:tcW w:type="dxa" w:w="4128"/>
            <w:shd w:val="clear" w:color="auto" w:fill="1F3864"/>
          </w:tcPr>
          <w:p>
            <w:pPr>
              <w:spacing w:after="20" w:before="0"/>
            </w:pPr>
            <w:r/>
            <w:r>
              <w:rPr>
                <w:b/>
                <w:color w:val="FFFFFF"/>
                <w:sz w:val="16"/>
              </w:rPr>
              <w:t>Rajeev Malhotra (India)</w:t>
            </w:r>
          </w:p>
        </w:tc>
      </w:tr>
      <w:tr>
        <w:tc>
          <w:tcPr>
            <w:tcW w:type="dxa" w:w="1440"/>
            <w:shd w:val="clear" w:color="auto" w:fill="D9E2F3"/>
          </w:tcPr>
          <w:p>
            <w:pPr>
              <w:spacing w:after="20" w:before="0"/>
            </w:pPr>
            <w:r/>
            <w:r>
              <w:rPr>
                <w:b/>
                <w:sz w:val="16"/>
              </w:rPr>
              <w:t>H-1B</w:t>
            </w:r>
          </w:p>
        </w:tc>
        <w:tc>
          <w:tcPr>
            <w:tcW w:type="dxa" w:w="4128"/>
          </w:tcPr>
          <w:p>
            <w:pPr>
              <w:spacing w:after="20" w:before="0"/>
            </w:pPr>
            <w:r/>
            <w:r>
              <w:rPr>
                <w:b w:val="0"/>
                <w:sz w:val="16"/>
              </w:rPr>
              <w:t>Possible (eligible on merits: PhD EE). Cap-subject — lottery; earliest start Oct. 1, 2025.</w:t>
            </w:r>
          </w:p>
        </w:tc>
        <w:tc>
          <w:tcPr>
            <w:tcW w:type="dxa" w:w="4128"/>
          </w:tcPr>
          <w:p>
            <w:pPr>
              <w:spacing w:after="20" w:before="0"/>
            </w:pPr>
            <w:r/>
            <w:r>
              <w:rPr>
                <w:b w:val="0"/>
                <w:sz w:val="16"/>
              </w:rPr>
              <w:t>Possible backup (PhD Applied Physics). Cap-subject — lottery.</w:t>
            </w:r>
          </w:p>
        </w:tc>
        <w:tc>
          <w:tcPr>
            <w:tcW w:type="dxa" w:w="4128"/>
          </w:tcPr>
          <w:p>
            <w:pPr>
              <w:spacing w:after="20" w:before="0"/>
            </w:pPr>
            <w:r/>
            <w:r>
              <w:rPr>
                <w:b/>
                <w:sz w:val="16"/>
              </w:rPr>
              <w:t>Primary nonimmigrant option.</w:t>
            </w:r>
            <w:r>
              <w:rPr>
                <w:b w:val="0"/>
                <w:sz w:val="16"/>
              </w:rPr>
              <w:t xml:space="preserve"> Cap-subject (he is in India); register in March 2025 (FY2026); earliest start Oct. 1, 2025; IIT degree does not qualify for the U.S. master’s cap. Confirm he has no prior cap-counted H-1B.</w:t>
            </w:r>
          </w:p>
        </w:tc>
      </w:tr>
      <w:tr>
        <w:tc>
          <w:tcPr>
            <w:tcW w:type="dxa" w:w="1440"/>
            <w:shd w:val="clear" w:color="auto" w:fill="D9E2F3"/>
          </w:tcPr>
          <w:p>
            <w:pPr>
              <w:spacing w:after="20" w:before="0"/>
            </w:pPr>
            <w:r/>
            <w:r>
              <w:rPr>
                <w:b/>
                <w:sz w:val="16"/>
              </w:rPr>
              <w:t>O-1A</w:t>
            </w:r>
          </w:p>
        </w:tc>
        <w:tc>
          <w:tcPr>
            <w:tcW w:type="dxa" w:w="4128"/>
            <w:shd w:val="clear" w:color="auto" w:fill="F2F2F2"/>
          </w:tcPr>
          <w:p>
            <w:pPr>
              <w:spacing w:after="20" w:before="0"/>
            </w:pPr>
            <w:r/>
            <w:r>
              <w:rPr>
                <w:b w:val="0"/>
                <w:sz w:val="16"/>
              </w:rPr>
              <w:t>Possible — 6 papers/2 patents; needs judging, citations or critical-role evidence.</w:t>
            </w:r>
          </w:p>
        </w:tc>
        <w:tc>
          <w:tcPr>
            <w:tcW w:type="dxa" w:w="4128"/>
            <w:shd w:val="clear" w:color="auto" w:fill="F2F2F2"/>
          </w:tcPr>
          <w:p>
            <w:pPr>
              <w:spacing w:after="20" w:before="0"/>
            </w:pPr>
            <w:r/>
            <w:r>
              <w:rPr>
                <w:b/>
                <w:sz w:val="16"/>
              </w:rPr>
              <w:t>Strong</w:t>
            </w:r>
            <w:r>
              <w:rPr>
                <w:b w:val="0"/>
                <w:sz w:val="16"/>
              </w:rPr>
              <w:t xml:space="preserve"> — peer review (judging), 14 articles, patents/contributions, possible critical-role criterion.</w:t>
            </w:r>
          </w:p>
        </w:tc>
        <w:tc>
          <w:tcPr>
            <w:tcW w:type="dxa" w:w="4128"/>
            <w:shd w:val="clear" w:color="auto" w:fill="F2F2F2"/>
          </w:tcPr>
          <w:p>
            <w:pPr>
              <w:spacing w:after="20" w:before="0"/>
            </w:pPr>
            <w:r/>
            <w:r>
              <w:rPr>
                <w:b w:val="0"/>
                <w:sz w:val="16"/>
              </w:rPr>
              <w:t>Unlikely on current facts.</w:t>
            </w:r>
          </w:p>
        </w:tc>
      </w:tr>
      <w:tr>
        <w:tc>
          <w:tcPr>
            <w:tcW w:type="dxa" w:w="1440"/>
            <w:shd w:val="clear" w:color="auto" w:fill="D9E2F3"/>
          </w:tcPr>
          <w:p>
            <w:pPr>
              <w:spacing w:after="20" w:before="0"/>
            </w:pPr>
            <w:r/>
            <w:r>
              <w:rPr>
                <w:b/>
                <w:sz w:val="16"/>
              </w:rPr>
              <w:t>O-1B</w:t>
            </w:r>
          </w:p>
        </w:tc>
        <w:tc>
          <w:tcPr>
            <w:tcW w:type="dxa" w:w="4128"/>
          </w:tcPr>
          <w:p>
            <w:pPr>
              <w:spacing w:after="20" w:before="0"/>
            </w:pPr>
            <w:r/>
            <w:r>
              <w:rPr>
                <w:b w:val="0"/>
                <w:sz w:val="16"/>
              </w:rPr>
              <w:t>Not applicable (arts).</w:t>
            </w:r>
          </w:p>
        </w:tc>
        <w:tc>
          <w:tcPr>
            <w:tcW w:type="dxa" w:w="4128"/>
          </w:tcPr>
          <w:p>
            <w:pPr>
              <w:spacing w:after="20" w:before="0"/>
            </w:pPr>
            <w:r/>
            <w:r>
              <w:rPr>
                <w:b w:val="0"/>
                <w:sz w:val="16"/>
              </w:rPr>
              <w:t>Not applicable.</w:t>
            </w:r>
          </w:p>
        </w:tc>
        <w:tc>
          <w:tcPr>
            <w:tcW w:type="dxa" w:w="4128"/>
          </w:tcPr>
          <w:p>
            <w:pPr>
              <w:spacing w:after="20" w:before="0"/>
            </w:pPr>
            <w:r/>
            <w:r>
              <w:rPr>
                <w:b w:val="0"/>
                <w:sz w:val="16"/>
              </w:rPr>
              <w:t>Not applicable.</w:t>
            </w:r>
          </w:p>
        </w:tc>
      </w:tr>
      <w:tr>
        <w:tc>
          <w:tcPr>
            <w:tcW w:type="dxa" w:w="1440"/>
            <w:shd w:val="clear" w:color="auto" w:fill="D9E2F3"/>
          </w:tcPr>
          <w:p>
            <w:pPr>
              <w:spacing w:after="20" w:before="0"/>
            </w:pPr>
            <w:r/>
            <w:r>
              <w:rPr>
                <w:b/>
                <w:sz w:val="16"/>
              </w:rPr>
              <w:t>L-1A</w:t>
            </w:r>
          </w:p>
        </w:tc>
        <w:tc>
          <w:tcPr>
            <w:tcW w:type="dxa" w:w="4128"/>
            <w:shd w:val="clear" w:color="auto" w:fill="F2F2F2"/>
          </w:tcPr>
          <w:p>
            <w:pPr>
              <w:spacing w:after="20" w:before="0"/>
            </w:pPr>
            <w:r/>
            <w:r>
              <w:rPr>
                <w:b w:val="0"/>
                <w:sz w:val="16"/>
              </w:rPr>
              <w:t>Unlikely — proposed role is non-managerial.</w:t>
            </w:r>
          </w:p>
        </w:tc>
        <w:tc>
          <w:tcPr>
            <w:tcW w:type="dxa" w:w="4128"/>
            <w:shd w:val="clear" w:color="auto" w:fill="F2F2F2"/>
          </w:tcPr>
          <w:p>
            <w:pPr>
              <w:spacing w:after="20" w:before="0"/>
            </w:pPr>
            <w:r/>
            <w:r>
              <w:rPr>
                <w:b w:val="0"/>
                <w:sz w:val="16"/>
              </w:rPr>
              <w:t>Possible if the Research Director role supervises professionals or manages an essential function. Note: a later EB-1C requires that her qualifying role abroad was managerial.</w:t>
            </w:r>
          </w:p>
        </w:tc>
        <w:tc>
          <w:tcPr>
            <w:tcW w:type="dxa" w:w="4128"/>
            <w:shd w:val="clear" w:color="auto" w:fill="F2F2F2"/>
          </w:tcPr>
          <w:p>
            <w:pPr>
              <w:spacing w:after="20" w:before="0"/>
            </w:pPr>
            <w:r/>
            <w:r>
              <w:rPr>
                <w:b w:val="0"/>
                <w:sz w:val="16"/>
              </w:rPr>
              <w:t>Not available — no Aethon-group employment.</w:t>
            </w:r>
          </w:p>
        </w:tc>
      </w:tr>
      <w:tr>
        <w:tc>
          <w:tcPr>
            <w:tcW w:type="dxa" w:w="1440"/>
            <w:shd w:val="clear" w:color="auto" w:fill="D9E2F3"/>
          </w:tcPr>
          <w:p>
            <w:pPr>
              <w:spacing w:after="20" w:before="0"/>
            </w:pPr>
            <w:r/>
            <w:r>
              <w:rPr>
                <w:b/>
                <w:sz w:val="16"/>
              </w:rPr>
              <w:t>L-1B</w:t>
            </w:r>
          </w:p>
        </w:tc>
        <w:tc>
          <w:tcPr>
            <w:tcW w:type="dxa" w:w="4128"/>
          </w:tcPr>
          <w:p>
            <w:pPr>
              <w:spacing w:after="20" w:before="0"/>
            </w:pPr>
            <w:r/>
            <w:r>
              <w:rPr>
                <w:b/>
                <w:sz w:val="16"/>
              </w:rPr>
              <w:t>Strong</w:t>
            </w:r>
            <w:r>
              <w:rPr>
                <w:b w:val="0"/>
                <w:sz w:val="16"/>
              </w:rPr>
              <w:t xml:space="preserve"> — ~3.5 yrs (June 2021) with Aethon Taiwan; proprietary design-verification knowledge. Can start Q3 2025.</w:t>
            </w:r>
          </w:p>
        </w:tc>
        <w:tc>
          <w:tcPr>
            <w:tcW w:type="dxa" w:w="4128"/>
          </w:tcPr>
          <w:p>
            <w:pPr>
              <w:spacing w:after="20" w:before="0"/>
            </w:pPr>
            <w:r/>
            <w:r>
              <w:rPr>
                <w:b w:val="0"/>
                <w:sz w:val="16"/>
              </w:rPr>
              <w:t>Possible — ~5 yrs with Aethon GmbH; proprietary process/photonics knowledge.</w:t>
            </w:r>
          </w:p>
        </w:tc>
        <w:tc>
          <w:tcPr>
            <w:tcW w:type="dxa" w:w="4128"/>
          </w:tcPr>
          <w:p>
            <w:pPr>
              <w:spacing w:after="20" w:before="0"/>
            </w:pPr>
            <w:r/>
            <w:r>
              <w:rPr>
                <w:b w:val="0"/>
                <w:sz w:val="16"/>
              </w:rPr>
              <w:t>Not available.</w:t>
            </w:r>
          </w:p>
        </w:tc>
      </w:tr>
      <w:tr>
        <w:tc>
          <w:tcPr>
            <w:tcW w:type="dxa" w:w="1440"/>
            <w:shd w:val="clear" w:color="auto" w:fill="D9E2F3"/>
          </w:tcPr>
          <w:p>
            <w:pPr>
              <w:spacing w:after="20" w:before="0"/>
            </w:pPr>
            <w:r/>
            <w:r>
              <w:rPr>
                <w:b/>
                <w:sz w:val="16"/>
              </w:rPr>
              <w:t>EB-1A</w:t>
            </w:r>
          </w:p>
        </w:tc>
        <w:tc>
          <w:tcPr>
            <w:tcW w:type="dxa" w:w="4128"/>
            <w:shd w:val="clear" w:color="auto" w:fill="F2F2F2"/>
          </w:tcPr>
          <w:p>
            <w:pPr>
              <w:spacing w:after="20" w:before="0"/>
            </w:pPr>
            <w:r/>
            <w:r>
              <w:rPr>
                <w:b w:val="0"/>
                <w:sz w:val="16"/>
              </w:rPr>
              <w:t>Borderline — needs a third criterion and strong final-merits record.</w:t>
            </w:r>
          </w:p>
        </w:tc>
        <w:tc>
          <w:tcPr>
            <w:tcW w:type="dxa" w:w="4128"/>
            <w:shd w:val="clear" w:color="auto" w:fill="F2F2F2"/>
          </w:tcPr>
          <w:p>
            <w:pPr>
              <w:spacing w:after="20" w:before="0"/>
            </w:pPr>
            <w:r/>
            <w:r>
              <w:rPr>
                <w:b w:val="0"/>
                <w:sz w:val="16"/>
              </w:rPr>
              <w:t>Possible — judging, articles, contributions; final merits key.</w:t>
            </w:r>
          </w:p>
        </w:tc>
        <w:tc>
          <w:tcPr>
            <w:tcW w:type="dxa" w:w="4128"/>
            <w:shd w:val="clear" w:color="auto" w:fill="F2F2F2"/>
          </w:tcPr>
          <w:p>
            <w:pPr>
              <w:spacing w:after="20" w:before="0"/>
            </w:pPr>
            <w:r/>
            <w:r>
              <w:rPr>
                <w:b w:val="0"/>
                <w:sz w:val="16"/>
              </w:rPr>
              <w:t>Unlikely.</w:t>
            </w:r>
          </w:p>
        </w:tc>
      </w:tr>
      <w:tr>
        <w:tc>
          <w:tcPr>
            <w:tcW w:type="dxa" w:w="1440"/>
            <w:shd w:val="clear" w:color="auto" w:fill="D9E2F3"/>
          </w:tcPr>
          <w:p>
            <w:pPr>
              <w:spacing w:after="20" w:before="0"/>
            </w:pPr>
            <w:r/>
            <w:r>
              <w:rPr>
                <w:b/>
                <w:sz w:val="16"/>
              </w:rPr>
              <w:t>EB-1B</w:t>
            </w:r>
          </w:p>
        </w:tc>
        <w:tc>
          <w:tcPr>
            <w:tcW w:type="dxa" w:w="4128"/>
          </w:tcPr>
          <w:p>
            <w:pPr>
              <w:spacing w:after="20" w:before="0"/>
            </w:pPr>
            <w:r/>
            <w:r>
              <w:rPr>
                <w:b w:val="0"/>
                <w:sz w:val="16"/>
              </w:rPr>
              <w:t>Possible only if the U.S. job is a permanent research position and research experience totals 3+ years.</w:t>
            </w:r>
          </w:p>
        </w:tc>
        <w:tc>
          <w:tcPr>
            <w:tcW w:type="dxa" w:w="4128"/>
          </w:tcPr>
          <w:p>
            <w:pPr>
              <w:spacing w:after="20" w:before="0"/>
            </w:pPr>
            <w:r/>
            <w:r>
              <w:rPr>
                <w:b/>
                <w:sz w:val="16"/>
              </w:rPr>
              <w:t>Strong</w:t>
            </w:r>
            <w:r>
              <w:rPr>
                <w:b w:val="0"/>
                <w:sz w:val="16"/>
              </w:rPr>
              <w:t xml:space="preserve"> — 2 of 6 likely met; 3+ yrs research; Aethon’s 5 Austin researchers satisfy the 3-researcher rule (document).</w:t>
            </w:r>
          </w:p>
        </w:tc>
        <w:tc>
          <w:tcPr>
            <w:tcW w:type="dxa" w:w="4128"/>
          </w:tcPr>
          <w:p>
            <w:pPr>
              <w:spacing w:after="20" w:before="0"/>
            </w:pPr>
            <w:r/>
            <w:r>
              <w:rPr>
                <w:b w:val="0"/>
                <w:sz w:val="16"/>
              </w:rPr>
              <w:t>Unlikely on current facts (no recognition/3 yrs research shown).</w:t>
            </w:r>
          </w:p>
        </w:tc>
      </w:tr>
      <w:tr>
        <w:tc>
          <w:tcPr>
            <w:tcW w:type="dxa" w:w="1440"/>
            <w:shd w:val="clear" w:color="auto" w:fill="D9E2F3"/>
          </w:tcPr>
          <w:p>
            <w:pPr>
              <w:spacing w:after="20" w:before="0"/>
            </w:pPr>
            <w:r/>
            <w:r>
              <w:rPr>
                <w:b/>
                <w:sz w:val="16"/>
              </w:rPr>
              <w:t>EB-2 (PERM)</w:t>
            </w:r>
          </w:p>
        </w:tc>
        <w:tc>
          <w:tcPr>
            <w:tcW w:type="dxa" w:w="4128"/>
            <w:shd w:val="clear" w:color="auto" w:fill="F2F2F2"/>
          </w:tcPr>
          <w:p>
            <w:pPr>
              <w:spacing w:after="20" w:before="0"/>
            </w:pPr>
            <w:r/>
            <w:r>
              <w:rPr>
                <w:b w:val="0"/>
                <w:sz w:val="16"/>
              </w:rPr>
              <w:t>Eligible (PhD); slower than NIW.</w:t>
            </w:r>
          </w:p>
        </w:tc>
        <w:tc>
          <w:tcPr>
            <w:tcW w:type="dxa" w:w="4128"/>
            <w:shd w:val="clear" w:color="auto" w:fill="F2F2F2"/>
          </w:tcPr>
          <w:p>
            <w:pPr>
              <w:spacing w:after="20" w:before="0"/>
            </w:pPr>
            <w:r/>
            <w:r>
              <w:rPr>
                <w:b w:val="0"/>
                <w:sz w:val="16"/>
              </w:rPr>
              <w:t>Eligible; unnecessary if EB-1/NIW succeeds.</w:t>
            </w:r>
          </w:p>
        </w:tc>
        <w:tc>
          <w:tcPr>
            <w:tcW w:type="dxa" w:w="4128"/>
            <w:shd w:val="clear" w:color="auto" w:fill="F2F2F2"/>
          </w:tcPr>
          <w:p>
            <w:pPr>
              <w:spacing w:after="20" w:before="0"/>
            </w:pPr>
            <w:r/>
            <w:r>
              <w:rPr>
                <w:b/>
                <w:sz w:val="16"/>
              </w:rPr>
              <w:t>Viable long-term path</w:t>
            </w:r>
            <w:r>
              <w:rPr>
                <w:b w:val="0"/>
                <w:sz w:val="16"/>
              </w:rPr>
              <w:t xml:space="preserve"> (MS = advanced degree, subject to evaluation). India backlog — start PERM early (AC21).</w:t>
            </w:r>
          </w:p>
        </w:tc>
      </w:tr>
      <w:tr>
        <w:tc>
          <w:tcPr>
            <w:tcW w:type="dxa" w:w="1440"/>
            <w:shd w:val="clear" w:color="auto" w:fill="D9E2F3"/>
          </w:tcPr>
          <w:p>
            <w:pPr>
              <w:spacing w:after="20" w:before="0"/>
            </w:pPr>
            <w:r/>
            <w:r>
              <w:rPr>
                <w:b/>
                <w:sz w:val="16"/>
              </w:rPr>
              <w:t>EB-2 NIW</w:t>
            </w:r>
          </w:p>
        </w:tc>
        <w:tc>
          <w:tcPr>
            <w:tcW w:type="dxa" w:w="4128"/>
          </w:tcPr>
          <w:p>
            <w:pPr>
              <w:spacing w:after="20" w:before="0"/>
            </w:pPr>
            <w:r/>
            <w:r>
              <w:rPr>
                <w:b w:val="0"/>
                <w:sz w:val="16"/>
              </w:rPr>
              <w:t>Viable — semiconductor design; CHIPS Act context.</w:t>
            </w:r>
          </w:p>
        </w:tc>
        <w:tc>
          <w:tcPr>
            <w:tcW w:type="dxa" w:w="4128"/>
          </w:tcPr>
          <w:p>
            <w:pPr>
              <w:spacing w:after="20" w:before="0"/>
            </w:pPr>
            <w:r/>
            <w:r>
              <w:rPr>
                <w:b/>
                <w:sz w:val="16"/>
              </w:rPr>
              <w:t>Strong</w:t>
            </w:r>
            <w:r>
              <w:rPr>
                <w:b w:val="0"/>
                <w:sz w:val="16"/>
              </w:rPr>
              <w:t>.</w:t>
            </w:r>
          </w:p>
        </w:tc>
        <w:tc>
          <w:tcPr>
            <w:tcW w:type="dxa" w:w="4128"/>
          </w:tcPr>
          <w:p>
            <w:pPr>
              <w:spacing w:after="20" w:before="0"/>
            </w:pPr>
            <w:r/>
            <w:r>
              <w:rPr>
                <w:b w:val="0"/>
                <w:sz w:val="16"/>
              </w:rPr>
              <w:t>Possible but uncertain — prong 2 (well positioned) needs a stronger record.</w:t>
            </w:r>
          </w:p>
        </w:tc>
      </w:tr>
      <w:tr>
        <w:tc>
          <w:tcPr>
            <w:tcW w:type="dxa" w:w="1440"/>
            <w:shd w:val="clear" w:color="auto" w:fill="D9E2F3"/>
          </w:tcPr>
          <w:p>
            <w:pPr>
              <w:spacing w:after="20" w:before="0"/>
            </w:pPr>
            <w:r/>
            <w:r>
              <w:rPr>
                <w:b/>
                <w:sz w:val="16"/>
              </w:rPr>
              <w:t>TN</w:t>
            </w:r>
          </w:p>
        </w:tc>
        <w:tc>
          <w:tcPr>
            <w:tcW w:type="dxa" w:w="4128"/>
            <w:shd w:val="clear" w:color="auto" w:fill="F2F2F2"/>
          </w:tcPr>
          <w:p>
            <w:pPr>
              <w:spacing w:after="20" w:before="0"/>
            </w:pPr>
            <w:r/>
            <w:r>
              <w:rPr>
                <w:b w:val="0"/>
                <w:sz w:val="16"/>
              </w:rPr>
              <w:t>Not available — Taiwanese citizen.</w:t>
            </w:r>
          </w:p>
        </w:tc>
        <w:tc>
          <w:tcPr>
            <w:tcW w:type="dxa" w:w="4128"/>
            <w:shd w:val="clear" w:color="auto" w:fill="F2F2F2"/>
          </w:tcPr>
          <w:p>
            <w:pPr>
              <w:spacing w:after="20" w:before="0"/>
            </w:pPr>
            <w:r/>
            <w:r>
              <w:rPr>
                <w:b w:val="0"/>
                <w:sz w:val="16"/>
              </w:rPr>
              <w:t>Not available — German citizen.</w:t>
            </w:r>
          </w:p>
        </w:tc>
        <w:tc>
          <w:tcPr>
            <w:tcW w:type="dxa" w:w="4128"/>
            <w:shd w:val="clear" w:color="auto" w:fill="F2F2F2"/>
          </w:tcPr>
          <w:p>
            <w:pPr>
              <w:spacing w:after="20" w:before="0"/>
            </w:pPr>
            <w:r/>
            <w:r>
              <w:rPr>
                <w:b w:val="0"/>
                <w:sz w:val="16"/>
              </w:rPr>
              <w:t>Not available — Indian citizen.</w:t>
            </w:r>
          </w:p>
        </w:tc>
      </w:tr>
    </w:tbl>
    <w:p>
      <w:pPr>
        <w:spacing w:after="80"/>
      </w:pPr>
      <w:r>
        <w:rPr>
          <w:b w:val="0"/>
          <w:sz w:val="18"/>
        </w:rPr>
        <w:t xml:space="preserve">Suggested sequencing for discussion: </w:t>
      </w:r>
      <w:r>
        <w:rPr>
          <w:b/>
          <w:sz w:val="18"/>
        </w:rPr>
        <w:t>Chang</w:t>
      </w:r>
      <w:r>
        <w:rPr>
          <w:b w:val="0"/>
          <w:sz w:val="18"/>
        </w:rPr>
        <w:t xml:space="preserve"> — L-1B now, then EB-2 NIW (or EB-1B if research role). </w:t>
      </w:r>
      <w:r>
        <w:rPr>
          <w:b/>
          <w:sz w:val="18"/>
        </w:rPr>
        <w:t>Breitner</w:t>
      </w:r>
      <w:r>
        <w:rPr>
          <w:b w:val="0"/>
          <w:sz w:val="18"/>
        </w:rPr>
        <w:t xml:space="preserve"> — O-1A or L-1B now (L-1A if the Research Director role is confirmed), with EB-1B and/or NIW filed in parallel. </w:t>
      </w:r>
      <w:r>
        <w:rPr>
          <w:b/>
          <w:sz w:val="18"/>
        </w:rPr>
        <w:t>Malhotra</w:t>
      </w:r>
      <w:r>
        <w:rPr>
          <w:b w:val="0"/>
          <w:sz w:val="18"/>
        </w:rPr>
        <w:t xml:space="preserve"> — H-1B registration in March 2025, PERM-based EB-2 begun within the first year of employment; NIW only if his record supports it.</w:t>
      </w:r>
    </w:p>
    <w:p>
      <w:pPr>
        <w:pStyle w:val="Heading1"/>
      </w:pPr>
      <w:r>
        <w:t>Part F — Responses to Specific Questions in the February 10 Email</w:t>
      </w:r>
    </w:p>
    <w:tbl>
      <w:tblPr>
        <w:tblStyle w:val="TableGrid"/>
        <w:tblW w:type="auto" w:w="0"/>
        <w:jc w:val="center"/>
        <w:tblLayout w:type="fixed"/>
        <w:tblLook w:firstColumn="1" w:firstRow="1" w:lastColumn="0" w:lastRow="0" w:noHBand="0" w:noVBand="1" w:val="04A0"/>
        <w:tblLayout w:type="fixed"/>
      </w:tblPr>
      <w:tblGrid>
        <w:gridCol w:w="3744"/>
        <w:gridCol w:w="6400800"/>
      </w:tblGrid>
      <w:tr>
        <w:trPr>
          <w:tblHeader w:val="true"/>
        </w:trPr>
        <w:tc>
          <w:tcPr>
            <w:tcW w:type="dxa" w:w="3744"/>
            <w:shd w:val="clear" w:color="auto" w:fill="1F3864"/>
          </w:tcPr>
          <w:p>
            <w:pPr>
              <w:spacing w:after="20" w:before="0"/>
            </w:pPr>
            <w:r/>
            <w:r>
              <w:rPr>
                <w:b/>
                <w:color w:val="FFFFFF"/>
                <w:sz w:val="17"/>
              </w:rPr>
              <w:t>Question</w:t>
            </w:r>
          </w:p>
        </w:tc>
        <w:tc>
          <w:tcPr>
            <w:tcW w:type="dxa" w:w="10080"/>
            <w:shd w:val="clear" w:color="auto" w:fill="1F3864"/>
          </w:tcPr>
          <w:p>
            <w:pPr>
              <w:spacing w:after="20" w:before="0"/>
            </w:pPr>
            <w:r/>
            <w:r>
              <w:rPr>
                <w:b/>
                <w:color w:val="FFFFFF"/>
                <w:sz w:val="17"/>
              </w:rPr>
              <w:t>Short answer</w:t>
            </w:r>
          </w:p>
        </w:tc>
      </w:tr>
      <w:tr>
        <w:tc>
          <w:tcPr>
            <w:tcW w:type="dxa" w:w="3744"/>
          </w:tcPr>
          <w:p>
            <w:pPr>
              <w:spacing w:after="20" w:before="0"/>
            </w:pPr>
            <w:r/>
            <w:r>
              <w:rPr>
                <w:b/>
                <w:sz w:val="17"/>
              </w:rPr>
              <w:t>Can Dr. Chang (Taiwanese) use TN?</w:t>
            </w:r>
          </w:p>
        </w:tc>
        <w:tc>
          <w:tcPr>
            <w:tcW w:type="dxa" w:w="10080"/>
          </w:tcPr>
          <w:p>
            <w:pPr>
              <w:spacing w:after="20" w:before="0"/>
            </w:pPr>
            <w:r/>
            <w:r>
              <w:rPr>
                <w:b w:val="0"/>
                <w:sz w:val="17"/>
              </w:rPr>
              <w:t>No. TN is limited to citizens of Canada and Mexico (8 C.F.R. § 214.6). L-1B is her strongest near-term option.</w:t>
            </w:r>
          </w:p>
        </w:tc>
      </w:tr>
      <w:tr>
        <w:tc>
          <w:tcPr>
            <w:tcW w:type="dxa" w:w="3744"/>
            <w:shd w:val="clear" w:color="auto" w:fill="F2F2F2"/>
          </w:tcPr>
          <w:p>
            <w:pPr>
              <w:spacing w:after="20" w:before="0"/>
            </w:pPr>
            <w:r/>
            <w:r>
              <w:rPr>
                <w:b/>
                <w:sz w:val="17"/>
              </w:rPr>
              <w:t>Does the size of the Austin research team matter?</w:t>
            </w:r>
          </w:p>
        </w:tc>
        <w:tc>
          <w:tcPr>
            <w:tcW w:type="dxa" w:w="10080"/>
            <w:shd w:val="clear" w:color="auto" w:fill="F2F2F2"/>
          </w:tcPr>
          <w:p>
            <w:pPr>
              <w:spacing w:after="20" w:before="0"/>
            </w:pPr>
            <w:r/>
            <w:r>
              <w:rPr>
                <w:b w:val="0"/>
                <w:sz w:val="17"/>
              </w:rPr>
              <w:t xml:space="preserve">Yes, for </w:t>
            </w:r>
            <w:r>
              <w:rPr>
                <w:b/>
                <w:sz w:val="17"/>
              </w:rPr>
              <w:t>EB-1B</w:t>
            </w:r>
            <w:r>
              <w:rPr>
                <w:b w:val="0"/>
                <w:sz w:val="17"/>
              </w:rPr>
              <w:t>: a private employer must employ at least three persons full-time in research positions and have documented accomplishments in an academic field (8 C.F.R. § 204.5(i)(3)(iii)(C)). Aethon’s five current Austin research scientists should satisfy this; we will need payroll/org evidence. Team size does not affect other categories (Aethon is not cap-exempt for H-1B).</w:t>
            </w:r>
          </w:p>
        </w:tc>
      </w:tr>
      <w:tr>
        <w:tc>
          <w:tcPr>
            <w:tcW w:type="dxa" w:w="3744"/>
          </w:tcPr>
          <w:p>
            <w:pPr>
              <w:spacing w:after="20" w:before="0"/>
            </w:pPr>
            <w:r/>
            <w:r>
              <w:rPr>
                <w:b/>
                <w:sz w:val="17"/>
              </w:rPr>
              <w:t>Complications in hiring Mr. Malhotra from Ridgeline?</w:t>
            </w:r>
          </w:p>
        </w:tc>
        <w:tc>
          <w:tcPr>
            <w:tcW w:type="dxa" w:w="10080"/>
          </w:tcPr>
          <w:p>
            <w:pPr>
              <w:spacing w:after="20" w:before="0"/>
            </w:pPr>
            <w:r/>
            <w:r>
              <w:rPr>
                <w:b w:val="0"/>
                <w:sz w:val="17"/>
              </w:rPr>
              <w:t>No immigration rule bars Aethon from hiring him directly. Aethon must be the H-1B petitioner and his direct employer; if instead Ridgeline employed him and placed him at Aethon, Ridgeline would be the petitioner. Because he is in India, he is cap-subject and must be registered. Non-compete/contract issues are for Caldwell &amp; Pryor.</w:t>
            </w:r>
          </w:p>
        </w:tc>
      </w:tr>
      <w:tr>
        <w:tc>
          <w:tcPr>
            <w:tcW w:type="dxa" w:w="3744"/>
            <w:shd w:val="clear" w:color="auto" w:fill="F2F2F2"/>
          </w:tcPr>
          <w:p>
            <w:pPr>
              <w:spacing w:after="20" w:before="0"/>
            </w:pPr>
            <w:r/>
            <w:r>
              <w:rPr>
                <w:b/>
                <w:sz w:val="17"/>
              </w:rPr>
              <w:t>Which categories allow premium processing, and at what cost?</w:t>
            </w:r>
          </w:p>
        </w:tc>
        <w:tc>
          <w:tcPr>
            <w:tcW w:type="dxa" w:w="10080"/>
            <w:shd w:val="clear" w:color="auto" w:fill="F2F2F2"/>
          </w:tcPr>
          <w:p>
            <w:pPr>
              <w:spacing w:after="20" w:before="0"/>
            </w:pPr>
            <w:r/>
            <w:r>
              <w:rPr>
                <w:b w:val="0"/>
                <w:sz w:val="17"/>
              </w:rPr>
              <w:t>See Part D. All I-129 categories and all I-140 categories; not PERM. $2,965 per request on or after Feb. 26, 2025.</w:t>
            </w:r>
          </w:p>
        </w:tc>
      </w:tr>
      <w:tr>
        <w:tc>
          <w:tcPr>
            <w:tcW w:type="dxa" w:w="3744"/>
          </w:tcPr>
          <w:p>
            <w:pPr>
              <w:spacing w:after="20" w:before="0"/>
            </w:pPr>
            <w:r/>
            <w:r>
              <w:rPr>
                <w:b/>
                <w:sz w:val="17"/>
              </w:rPr>
              <w:t>Q3 2025 start dates?</w:t>
            </w:r>
          </w:p>
        </w:tc>
        <w:tc>
          <w:tcPr>
            <w:tcW w:type="dxa" w:w="10080"/>
          </w:tcPr>
          <w:p>
            <w:pPr>
              <w:spacing w:after="20" w:before="0"/>
            </w:pPr>
            <w:r/>
            <w:r>
              <w:rPr>
                <w:b w:val="0"/>
                <w:sz w:val="17"/>
              </w:rPr>
              <w:t xml:space="preserve">Achievable for L-1, O-1, TN and cap-exempt H-1B transfers. </w:t>
            </w:r>
            <w:r>
              <w:rPr>
                <w:b/>
                <w:sz w:val="17"/>
              </w:rPr>
              <w:t>Not</w:t>
            </w:r>
            <w:r>
              <w:rPr>
                <w:b w:val="0"/>
                <w:sz w:val="17"/>
              </w:rPr>
              <w:t xml:space="preserve"> achievable for new cap-subject H-1Bs, whose earliest start is October 1, 2025, and only if selected in the March 2025 registration.</w:t>
            </w:r>
          </w:p>
        </w:tc>
      </w:tr>
      <w:tr>
        <w:tc>
          <w:tcPr>
            <w:tcW w:type="dxa" w:w="3744"/>
            <w:shd w:val="clear" w:color="auto" w:fill="F2F2F2"/>
          </w:tcPr>
          <w:p>
            <w:pPr>
              <w:spacing w:after="20" w:before="0"/>
            </w:pPr>
            <w:r/>
            <w:r>
              <w:rPr>
                <w:b/>
                <w:sz w:val="17"/>
              </w:rPr>
              <w:t>Historical 78% H-1B approval rate?</w:t>
            </w:r>
          </w:p>
        </w:tc>
        <w:tc>
          <w:tcPr>
            <w:tcW w:type="dxa" w:w="10080"/>
            <w:shd w:val="clear" w:color="auto" w:fill="F2F2F2"/>
          </w:tcPr>
          <w:p>
            <w:pPr>
              <w:spacing w:after="20" w:before="0"/>
            </w:pPr>
            <w:r/>
            <w:r>
              <w:rPr>
                <w:b w:val="0"/>
                <w:sz w:val="17"/>
              </w:rPr>
              <w:t>37 of 47 filed (37 of 44 adjudicated = 84%). Five of seven denials were specialty-occupation issues, so where a candidate fits L-1B or O-1A, those categories reduce lottery and specialty-occupation risk.</w:t>
            </w:r>
          </w:p>
        </w:tc>
      </w:tr>
      <w:tr>
        <w:tc>
          <w:tcPr>
            <w:tcW w:type="dxa" w:w="3744"/>
          </w:tcPr>
          <w:p>
            <w:pPr>
              <w:spacing w:after="20" w:before="0"/>
            </w:pPr>
            <w:r/>
            <w:r>
              <w:rPr>
                <w:b/>
                <w:sz w:val="17"/>
              </w:rPr>
              <w:t>Will the matrix replace the 2022 Flowchart?</w:t>
            </w:r>
          </w:p>
        </w:tc>
        <w:tc>
          <w:tcPr>
            <w:tcW w:type="dxa" w:w="10080"/>
          </w:tcPr>
          <w:p>
            <w:pPr>
              <w:spacing w:after="20" w:before="0"/>
            </w:pPr>
            <w:r/>
            <w:r>
              <w:rPr>
                <w:b w:val="0"/>
                <w:sz w:val="17"/>
              </w:rPr>
              <w:t>Recommended: retire Flowchart v1.0 now (it is outdated and contains errors — see Discrepancy Report OMIT-03) and reissue a v2.0 decision tree conformed to this matrix.</w:t>
            </w:r>
          </w:p>
        </w:tc>
      </w:tr>
    </w:tbl>
    <w:p>
      <w:pPr>
        <w:pStyle w:val="Heading2"/>
      </w:pPr>
      <w:r>
        <w:t>Assumptions and limitations</w:t>
      </w:r>
    </w:p>
    <w:p>
      <w:pPr>
        <w:pStyle w:val="ListBullet"/>
        <w:spacing w:after="40"/>
      </w:pPr>
      <w:r>
        <w:rPr>
          <w:b w:val="0"/>
          <w:sz w:val="18"/>
        </w:rPr>
        <w:t>The attachment “Aethon_FY2025-26_Immigration_Hiring_Plan.xlsx” referenced in the email was not among the materials provided; position-by-position mapping of the 35 hires is pending.</w:t>
      </w:r>
    </w:p>
    <w:p>
      <w:pPr>
        <w:pStyle w:val="ListBullet"/>
        <w:spacing w:after="40"/>
      </w:pPr>
      <w:r>
        <w:rPr>
          <w:b w:val="0"/>
          <w:sz w:val="18"/>
        </w:rPr>
        <w:t>Candidate facts are as stated by Aethon and are unverified (credential evaluations, employment verification, immigration history not yet reviewed).</w:t>
      </w:r>
    </w:p>
    <w:p>
      <w:pPr>
        <w:pStyle w:val="ListBullet"/>
        <w:spacing w:after="40"/>
      </w:pPr>
      <w:r>
        <w:rPr>
          <w:b w:val="0"/>
          <w:sz w:val="18"/>
        </w:rPr>
        <w:t>Visa Bulletin backlogs change monthly; dependants (H-4, L-2, O-3, TD) and adjustment-of-status costs are outside this matrix.</w:t>
      </w:r>
    </w:p>
    <w:p>
      <w:pPr>
        <w:pStyle w:val="ListBullet"/>
        <w:spacing w:after="40"/>
      </w:pPr>
      <w:r>
        <w:rPr>
          <w:b w:val="0"/>
          <w:sz w:val="18"/>
        </w:rPr>
        <w:t>All fee and policy statements should be re-verified at filing; the firm guidance documents should be corrected as set out in the Discrepancy Report before further distribution to client personnel.</w:t>
      </w:r>
    </w:p>
    <w:sectPr w:rsidR="00FC693F" w:rsidRPr="0006063C" w:rsidSect="00034616">
      <w:footerReference w:type="default" r:id="rId9"/>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sz w:val="15"/>
      </w:rPr>
      <w:t>Brightfield &amp; Novak LLP — Privileged &amp; Confidential — Aethon Eligibility Matrix (Draft, February 2025) — Screening tool only; not legal advice to any individual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