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CALLOWAY, STERLING &amp; HATCH LLP</w:t>
      </w:r>
    </w:p>
    <w:p>
      <w:pPr>
        <w:spacing w:after="40"/>
        <w:jc w:val="center"/>
      </w:pPr>
      <w:r>
        <w:rPr>
          <w:b w:val="0"/>
          <w:i w:val="0"/>
          <w:sz w:val="20"/>
        </w:rPr>
        <w:t>1200 Main Street, Suite 1650, Kansas City, MO 64105</w:t>
      </w:r>
    </w:p>
    <w:p>
      <w:pPr>
        <w:spacing w:after="200"/>
        <w:jc w:val="center"/>
      </w:pPr>
      <w:r>
        <w:rPr>
          <w:b/>
          <w:i w:val="0"/>
          <w:sz w:val="18"/>
        </w:rPr>
        <w:t>PRIVILEGED AND CONFIDENTIAL — ATTORNEY-CLIENT COMMUNICATION / ATTORNEY WORK PRODUCT — PREPARED IN ANTICIPATION OF LITIGATION</w:t>
      </w:r>
    </w:p>
    <w:p>
      <w:pPr>
        <w:spacing w:after="160"/>
        <w:jc w:val="center"/>
      </w:pPr>
      <w:r>
        <w:rPr>
          <w:b/>
          <w:i w:val="0"/>
          <w:sz w:val="28"/>
        </w:rPr>
        <w:t>MEMORANDUM</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D9D9"/>
          </w:tcPr>
          <w:p>
            <w:r/>
            <w:r>
              <w:rPr>
                <w:b/>
                <w:sz w:val="20"/>
              </w:rPr>
            </w:r>
          </w:p>
        </w:tc>
        <w:tc>
          <w:tcPr>
            <w:tcW w:type="dxa" w:w="7344"/>
            <w:shd w:val="clear" w:color="auto" w:fill="D9D9D9"/>
          </w:tcPr>
          <w:p>
            <w:r/>
            <w:r>
              <w:rPr>
                <w:b/>
                <w:sz w:val="20"/>
              </w:rPr>
            </w:r>
          </w:p>
        </w:tc>
      </w:tr>
      <w:tr>
        <w:tc>
          <w:tcPr>
            <w:tcW w:type="dxa" w:w="2016"/>
          </w:tcPr>
          <w:p>
            <w:r/>
            <w:r>
              <w:rPr>
                <w:b w:val="0"/>
                <w:i w:val="0"/>
                <w:sz w:val="20"/>
              </w:rPr>
              <w:t>TO:</w:t>
            </w:r>
          </w:p>
        </w:tc>
        <w:tc>
          <w:tcPr>
            <w:tcW w:type="dxa" w:w="7344"/>
          </w:tcPr>
          <w:p>
            <w:r/>
            <w:r>
              <w:rPr>
                <w:b w:val="0"/>
                <w:i w:val="0"/>
                <w:sz w:val="20"/>
              </w:rPr>
              <w:t>Jocelyn A. Hatch, Engagement Partner</w:t>
            </w:r>
          </w:p>
        </w:tc>
      </w:tr>
      <w:tr>
        <w:tc>
          <w:tcPr>
            <w:tcW w:type="dxa" w:w="2016"/>
          </w:tcPr>
          <w:p>
            <w:r/>
            <w:r>
              <w:rPr>
                <w:b w:val="0"/>
                <w:i w:val="0"/>
                <w:sz w:val="20"/>
              </w:rPr>
              <w:t>CC:</w:t>
            </w:r>
          </w:p>
        </w:tc>
        <w:tc>
          <w:tcPr>
            <w:tcW w:type="dxa" w:w="7344"/>
          </w:tcPr>
          <w:p>
            <w:r/>
            <w:r>
              <w:rPr>
                <w:b w:val="0"/>
                <w:i w:val="0"/>
                <w:sz w:val="20"/>
              </w:rPr>
              <w:t>David Kwon, Senior Associate</w:t>
            </w:r>
          </w:p>
        </w:tc>
      </w:tr>
      <w:tr>
        <w:tc>
          <w:tcPr>
            <w:tcW w:type="dxa" w:w="2016"/>
          </w:tcPr>
          <w:p>
            <w:r/>
            <w:r>
              <w:rPr>
                <w:b w:val="0"/>
                <w:i w:val="0"/>
                <w:sz w:val="20"/>
              </w:rPr>
              <w:t>FROM:</w:t>
            </w:r>
          </w:p>
        </w:tc>
        <w:tc>
          <w:tcPr>
            <w:tcW w:type="dxa" w:w="7344"/>
          </w:tcPr>
          <w:p>
            <w:r/>
            <w:r>
              <w:rPr>
                <w:b w:val="0"/>
                <w:i w:val="0"/>
                <w:sz w:val="20"/>
              </w:rPr>
              <w:t>Immigration Compliance &amp; Enforcement Defense Team</w:t>
            </w:r>
          </w:p>
        </w:tc>
      </w:tr>
      <w:tr>
        <w:tc>
          <w:tcPr>
            <w:tcW w:type="dxa" w:w="2016"/>
          </w:tcPr>
          <w:p>
            <w:r/>
            <w:r>
              <w:rPr>
                <w:b w:val="0"/>
                <w:i w:val="0"/>
                <w:sz w:val="20"/>
              </w:rPr>
              <w:t>DATE:</w:t>
            </w:r>
          </w:p>
        </w:tc>
        <w:tc>
          <w:tcPr>
            <w:tcW w:type="dxa" w:w="7344"/>
          </w:tcPr>
          <w:p>
            <w:r/>
            <w:r>
              <w:rPr>
                <w:b w:val="0"/>
                <w:i w:val="0"/>
                <w:sz w:val="20"/>
              </w:rPr>
              <w:t>July 12, 2024</w:t>
            </w:r>
          </w:p>
        </w:tc>
      </w:tr>
      <w:tr>
        <w:tc>
          <w:tcPr>
            <w:tcW w:type="dxa" w:w="2016"/>
          </w:tcPr>
          <w:p>
            <w:r/>
            <w:r>
              <w:rPr>
                <w:b w:val="0"/>
                <w:i w:val="0"/>
                <w:sz w:val="20"/>
              </w:rPr>
              <w:t>CLIENT / MATTER:</w:t>
            </w:r>
          </w:p>
        </w:tc>
        <w:tc>
          <w:tcPr>
            <w:tcW w:type="dxa" w:w="7344"/>
          </w:tcPr>
          <w:p>
            <w:r/>
            <w:r>
              <w:rPr>
                <w:b w:val="0"/>
                <w:i w:val="0"/>
                <w:sz w:val="20"/>
              </w:rPr>
              <w:t>Hawthorne Precision Manufacturing, Inc. (EIN 48-2917365) — ICE HSI Case No. KCS-2024-IF-00482</w:t>
            </w:r>
          </w:p>
        </w:tc>
      </w:tr>
      <w:tr>
        <w:tc>
          <w:tcPr>
            <w:tcW w:type="dxa" w:w="2016"/>
          </w:tcPr>
          <w:p>
            <w:r/>
            <w:r>
              <w:rPr>
                <w:b w:val="0"/>
                <w:i w:val="0"/>
                <w:sz w:val="20"/>
              </w:rPr>
              <w:t>RE:</w:t>
            </w:r>
          </w:p>
        </w:tc>
        <w:tc>
          <w:tcPr>
            <w:tcW w:type="dxa" w:w="7344"/>
          </w:tcPr>
          <w:p>
            <w:r/>
            <w:r>
              <w:rPr>
                <w:b w:val="0"/>
                <w:i w:val="0"/>
                <w:sz w:val="20"/>
              </w:rPr>
              <w:t>Notice of Intent to Fine dated June 12, 2024 — Deficiencies, Errors, and Grounds for Challenge</w:t>
            </w:r>
          </w:p>
        </w:tc>
      </w:tr>
    </w:tbl>
    <w:p>
      <w:pPr>
        <w:spacing w:after="40"/>
      </w:pPr>
    </w:p>
    <w:p>
      <w:pPr>
        <w:pStyle w:val="Heading1"/>
      </w:pPr>
      <w:r>
        <w:t>I. Bottom Line</w:t>
      </w:r>
    </w:p>
    <w:p>
      <w:pPr>
        <w:spacing w:after="120"/>
      </w:pPr>
      <w:r>
        <w:rPr>
          <w:b w:val="0"/>
          <w:i w:val="0"/>
        </w:rPr>
        <w:t xml:space="preserve">The Notice of Intent to Fine (“NIF”) issued by ICE HSI Kansas City against Hawthorne Precision Manufacturing, Inc. (“Hawthorne” or the “Company”) assesses </w:t>
      </w:r>
      <w:r>
        <w:rPr>
          <w:b/>
          <w:i w:val="0"/>
        </w:rPr>
        <w:t>$613,470</w:t>
      </w:r>
      <w:r>
        <w:rPr>
          <w:b w:val="0"/>
          <w:i w:val="0"/>
        </w:rPr>
        <w:t xml:space="preserve">. That figure is wrong on its face, the penalty rates it applies appear to exceed the statutory maxima, and a large share of the individual charges are either factually refuted by the record, legally unsupportable, or curable technical violations that ICE was required to give the Company an opportunity to correct. We recommend that the Company </w:t>
      </w:r>
      <w:r>
        <w:rPr>
          <w:b/>
          <w:i w:val="0"/>
        </w:rPr>
        <w:t>request an OCAHO hearing today (Friday, July 12, 2024)</w:t>
      </w:r>
      <w:r>
        <w:rPr>
          <w:b w:val="0"/>
          <w:i w:val="0"/>
        </w:rPr>
        <w:t xml:space="preserve"> — the most conservative reading of the 30-day deadline — while simultaneously requesting settlement negotiations, and that we contest every category of the NIF.</w:t>
      </w:r>
    </w:p>
    <w:p>
      <w:pPr>
        <w:spacing w:after="60"/>
      </w:pPr>
      <w:r>
        <w:rPr>
          <w:b w:val="0"/>
          <w:i w:val="0"/>
        </w:rPr>
        <w:t>The principal grounds for challenge, in order of significance:</w:t>
      </w:r>
    </w:p>
    <w:p>
      <w:pPr>
        <w:pStyle w:val="ListNumber"/>
        <w:spacing w:after="60"/>
      </w:pPr>
      <w:r>
        <w:rPr>
          <w:b/>
          <w:i w:val="0"/>
        </w:rPr>
        <w:t>Arithmetic error of $448,202.</w:t>
      </w:r>
      <w:r>
        <w:rPr>
          <w:b w:val="0"/>
          <w:i w:val="0"/>
        </w:rPr>
        <w:t xml:space="preserve"> The three category totals stated in the NIF ($100,302 + $15,042 + $49,924) sum to </w:t>
      </w:r>
      <w:r>
        <w:rPr>
          <w:b/>
          <w:i w:val="0"/>
        </w:rPr>
        <w:t>$165,268</w:t>
      </w:r>
      <w:r>
        <w:rPr>
          <w:b w:val="0"/>
          <w:i w:val="0"/>
        </w:rPr>
        <w:t xml:space="preserve"> — the very figure ICE’s own Attachment E, Part 2 reports — yet the cover letter demands </w:t>
      </w:r>
      <w:r>
        <w:rPr>
          <w:b/>
          <w:i w:val="0"/>
        </w:rPr>
        <w:t>$613,470</w:t>
      </w:r>
      <w:r>
        <w:rPr>
          <w:b w:val="0"/>
          <w:i w:val="0"/>
        </w:rPr>
        <w:t>, roughly 3.7 times the computed amount. Attachment E, Part 5 does not state a total and simply defers to the cover letter. The NIF is internally irreconcilable and the stated total has no basis anywhere in the notice.</w:t>
      </w:r>
    </w:p>
    <w:p>
      <w:pPr>
        <w:pStyle w:val="ListNumber"/>
        <w:spacing w:after="60"/>
      </w:pPr>
      <w:r>
        <w:rPr>
          <w:b/>
          <w:i w:val="0"/>
        </w:rPr>
        <w:t>Penalty rates above the statutory ceiling.</w:t>
      </w:r>
      <w:r>
        <w:rPr>
          <w:b w:val="0"/>
          <w:i w:val="0"/>
        </w:rPr>
        <w:t xml:space="preserve"> The “Tier 2” paperwork rate ($5,016) and the knowing-employment rate ($7,132) exceed what we understand to be the 2024 inflation-adjusted maxima (approximately $2,789 per paperwork violation and $5,579 per first-offense knowing-hire violation, 8 C.F.R. § 280.53). The Federal Register citation is a placeholder (“89 Fed. Reg. [page left as asterisks]”). There is no “Tier 2 aggravated first offense” paperwork category in the statute or regulations.</w:t>
      </w:r>
    </w:p>
    <w:p>
      <w:pPr>
        <w:pStyle w:val="ListNumber"/>
        <w:spacing w:after="60"/>
      </w:pPr>
      <w:r>
        <w:rPr>
          <w:b/>
          <w:i w:val="0"/>
        </w:rPr>
        <w:t>All seven Category C “knowing employment” counts rest on a mis-computed deadline and on documents ICE ignored.</w:t>
      </w:r>
      <w:r>
        <w:rPr>
          <w:b w:val="0"/>
          <w:i w:val="0"/>
        </w:rPr>
        <w:t xml:space="preserve"> ICE says the 10-business-day resolution period ran March 8–21, 2024 and that Hawthorne’s March 22 response was late. Counting 10 business days after March 8 actually yields </w:t>
      </w:r>
      <w:r>
        <w:rPr>
          <w:b/>
          <w:i w:val="0"/>
        </w:rPr>
        <w:t>March 22, 2024</w:t>
      </w:r>
      <w:r>
        <w:rPr>
          <w:b w:val="0"/>
          <w:i w:val="0"/>
        </w:rPr>
        <w:t xml:space="preserve">; counting from the date of receipt (March 12, per USPS tracking) yields </w:t>
      </w:r>
      <w:r>
        <w:rPr>
          <w:b/>
          <w:i w:val="0"/>
        </w:rPr>
        <w:t>March 26, 2024</w:t>
      </w:r>
      <w:r>
        <w:rPr>
          <w:b w:val="0"/>
          <w:i w:val="0"/>
        </w:rPr>
        <w:t>. The response was timely on any computation. Six of the seven employees had furnished valid evidence of employment authorization (Exhibits C-1/C-2, D-1/D-2, E-1, F-1, G-1, H-1), and a missed paperwork deadline cannot, as a matter of law, supply knowledge that an employee is unauthorized. Anh Tran is an H-1B worker whose petition Hawthorne itself filed and USCIS approved.</w:t>
      </w:r>
    </w:p>
    <w:p>
      <w:pPr>
        <w:pStyle w:val="ListNumber"/>
        <w:spacing w:after="60"/>
      </w:pPr>
      <w:r>
        <w:rPr>
          <w:b/>
          <w:i w:val="0"/>
        </w:rPr>
        <w:t>Charges that are simply wrong.</w:t>
      </w:r>
      <w:r>
        <w:rPr>
          <w:b w:val="0"/>
          <w:i w:val="0"/>
        </w:rPr>
        <w:t xml:space="preserve"> Carlos Reyes-Montoya is a U.S. citizen (Section 1 attestation; List B/C documents) who never had an EAD and never required reverification. Maria Elena Gutierrez-Padilla’s Section 2 (April 8, 2019) was timely — April 3, 2019 was a Wednesday and the third business day was Monday, April 8. James Coldwater was terminated September 30, 2020; the Company’s retention obligation expired September 30, 2021, more than two years before the NOI, and the NOI sought only current employees.</w:t>
      </w:r>
    </w:p>
    <w:p>
      <w:pPr>
        <w:pStyle w:val="ListNumber"/>
        <w:spacing w:after="60"/>
      </w:pPr>
      <w:r>
        <w:rPr>
          <w:b/>
          <w:i w:val="0"/>
        </w:rPr>
        <w:t>Technical/procedural violations penalized without the statutory opportunity to correct.</w:t>
      </w:r>
      <w:r>
        <w:rPr>
          <w:b w:val="0"/>
          <w:i w:val="0"/>
        </w:rPr>
        <w:t xml:space="preserve"> At least 16, and as many as 19, of the 29 Category A counts are technical or procedural failures (missing document titles, numbers, expiration dates or issuing authority; transpositions; wrong-column entries; undated attestations; missing employer address; preparer certification; outdated form version) that under 8 U.S.C. § 1324a(b)(6) cannot be penalized unless ICE explained the failure and gave at least 10 business days to correct it. The record contains no Notice of Technical or Procedural Failures; the Notice of Suspect Documents covered only 23 employees, while the NIF charges approximately 38 distinct individuals.</w:t>
      </w:r>
    </w:p>
    <w:p>
      <w:pPr>
        <w:pStyle w:val="ListNumber"/>
        <w:spacing w:after="60"/>
      </w:pPr>
      <w:r>
        <w:rPr>
          <w:b/>
          <w:i w:val="0"/>
        </w:rPr>
        <w:t>Defective statutory-factor analysis.</w:t>
      </w:r>
      <w:r>
        <w:rPr>
          <w:b w:val="0"/>
          <w:i w:val="0"/>
        </w:rPr>
        <w:t xml:space="preserve"> ICE treats the existence of violations as proof of bad faith, ignores the Company’s cooperation and remediation (which the NOI promised would be considered), double-counts the clean history as already “reflected” in first-offense rates, applies “unauthorized alien” aggravation to all violations although none of the 29 Category A or 6 Category B employees is alleged to be unauthorized, and miscounts the workforce (≈500 vs. 347).</w:t>
      </w:r>
    </w:p>
    <w:p>
      <w:pPr>
        <w:pStyle w:val="ListNumber"/>
        <w:spacing w:after="60"/>
      </w:pPr>
      <w:r>
        <w:rPr>
          <w:b/>
          <w:i w:val="0"/>
        </w:rPr>
        <w:t>Procedural defects in the NIF itself.</w:t>
      </w:r>
      <w:r>
        <w:rPr>
          <w:b w:val="0"/>
          <w:i w:val="0"/>
        </w:rPr>
        <w:t xml:space="preserve"> The NIF runs the 30 days from its own date rather than from service (contrary to 8 C.F.R. § 274a.9 and the NOI’s own statement), directs the hearing request to OCAHO rather than to the issuing ICE office, presents settlement as an alternative to a hearing request (which risks default), bears a blank signature line, and is issued by a Supervisory Special Agent “under the direction of” the SAC — signatory authority must be confirmed.</w:t>
      </w:r>
    </w:p>
    <w:p>
      <w:pPr>
        <w:spacing w:after="120"/>
      </w:pPr>
      <w:r>
        <w:rPr>
          <w:b w:val="0"/>
          <w:i w:val="0"/>
        </w:rPr>
        <w:t xml:space="preserve">On a conservative correction of the clear errors alone, the Company’s exposure falls from $613,470 to roughly </w:t>
      </w:r>
      <w:r>
        <w:rPr>
          <w:b/>
          <w:i w:val="0"/>
        </w:rPr>
        <w:t>$80,000</w:t>
      </w:r>
      <w:r>
        <w:rPr>
          <w:b w:val="0"/>
          <w:i w:val="0"/>
        </w:rPr>
        <w:t xml:space="preserve">; if the technical-violation and good-faith arguments succeed, the paperwork exposure is in the range of </w:t>
      </w:r>
      <w:r>
        <w:rPr>
          <w:b/>
          <w:i w:val="0"/>
        </w:rPr>
        <w:t>$3,700–$33,000</w:t>
      </w:r>
      <w:r>
        <w:rPr>
          <w:b w:val="0"/>
          <w:i w:val="0"/>
        </w:rPr>
        <w:t xml:space="preserve"> before OCAHO mitigation, with one open knowing-employment risk (Jorge Delgado-Ruiz) that must be resolved immediately (Part IX).</w:t>
      </w:r>
    </w:p>
    <w:p>
      <w:pPr>
        <w:pStyle w:val="Heading1"/>
      </w:pPr>
      <w:r>
        <w:t>II.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D9D9D9"/>
          </w:tcPr>
          <w:p>
            <w:r/>
            <w:r>
              <w:rPr>
                <w:b/>
                <w:sz w:val="18"/>
              </w:rPr>
              <w:t>Document</w:t>
            </w:r>
          </w:p>
        </w:tc>
        <w:tc>
          <w:tcPr>
            <w:tcW w:type="dxa" w:w="1728"/>
            <w:shd w:val="clear" w:color="auto" w:fill="D9D9D9"/>
          </w:tcPr>
          <w:p>
            <w:r/>
            <w:r>
              <w:rPr>
                <w:b/>
                <w:sz w:val="18"/>
              </w:rPr>
              <w:t>Date</w:t>
            </w:r>
          </w:p>
        </w:tc>
        <w:tc>
          <w:tcPr>
            <w:tcW w:type="dxa" w:w="4608"/>
            <w:shd w:val="clear" w:color="auto" w:fill="D9D9D9"/>
          </w:tcPr>
          <w:p>
            <w:r/>
            <w:r>
              <w:rPr>
                <w:b/>
                <w:sz w:val="18"/>
              </w:rPr>
              <w:t>Key content</w:t>
            </w:r>
          </w:p>
        </w:tc>
      </w:tr>
      <w:tr>
        <w:tc>
          <w:tcPr>
            <w:tcW w:type="dxa" w:w="3024"/>
          </w:tcPr>
          <w:p>
            <w:r/>
            <w:r>
              <w:rPr>
                <w:b w:val="0"/>
                <w:i w:val="0"/>
                <w:sz w:val="18"/>
              </w:rPr>
              <w:t>Notice of Inspection (ICE Form I-777), personal service on Linda Garrett</w:t>
            </w:r>
          </w:p>
        </w:tc>
        <w:tc>
          <w:tcPr>
            <w:tcW w:type="dxa" w:w="1728"/>
          </w:tcPr>
          <w:p>
            <w:r/>
            <w:r>
              <w:rPr>
                <w:b w:val="0"/>
                <w:i w:val="0"/>
                <w:sz w:val="18"/>
              </w:rPr>
              <w:t>Nov. 14, 2023 (Tue.)</w:t>
            </w:r>
          </w:p>
        </w:tc>
        <w:tc>
          <w:tcPr>
            <w:tcW w:type="dxa" w:w="4608"/>
          </w:tcPr>
          <w:p>
            <w:r/>
            <w:r>
              <w:rPr>
                <w:b w:val="0"/>
                <w:i w:val="0"/>
                <w:sz w:val="18"/>
              </w:rPr>
              <w:t>Demands I-9s for all current employees within 3 business days (by Fri. Nov. 17, 2023); promises that cooperation and voluntary remediation will be considered; states 30-day hearing right runs from service of any NIF.</w:t>
            </w:r>
          </w:p>
        </w:tc>
      </w:tr>
      <w:tr>
        <w:tc>
          <w:tcPr>
            <w:tcW w:type="dxa" w:w="3024"/>
          </w:tcPr>
          <w:p>
            <w:r/>
            <w:r>
              <w:rPr>
                <w:b w:val="0"/>
                <w:i w:val="0"/>
                <w:sz w:val="18"/>
              </w:rPr>
              <w:t>Braddock &amp; Lyle LLP response to Notice of Suspect Documents (with Exhibit List A-1 through I-15)</w:t>
            </w:r>
          </w:p>
        </w:tc>
        <w:tc>
          <w:tcPr>
            <w:tcW w:type="dxa" w:w="1728"/>
          </w:tcPr>
          <w:p>
            <w:r/>
            <w:r>
              <w:rPr>
                <w:b w:val="0"/>
                <w:i w:val="0"/>
                <w:sz w:val="18"/>
              </w:rPr>
              <w:t>Mar. 22, 2024 (Fri.)</w:t>
            </w:r>
          </w:p>
        </w:tc>
        <w:tc>
          <w:tcPr>
            <w:tcW w:type="dxa" w:w="4608"/>
          </w:tcPr>
          <w:p>
            <w:r/>
            <w:r>
              <w:rPr>
                <w:b w:val="0"/>
                <w:i w:val="0"/>
                <w:sz w:val="18"/>
              </w:rPr>
              <w:t>Addresses 23 flagged employees (22 actually identified by name); submits new EADs, I-797, corrected I-9s; describes remediation; states 347 employees, 341 I-9s produced (98.27%).</w:t>
            </w:r>
          </w:p>
        </w:tc>
      </w:tr>
      <w:tr>
        <w:tc>
          <w:tcPr>
            <w:tcW w:type="dxa" w:w="3024"/>
          </w:tcPr>
          <w:p>
            <w:r/>
            <w:r>
              <w:rPr>
                <w:b w:val="0"/>
                <w:i w:val="0"/>
                <w:sz w:val="18"/>
              </w:rPr>
              <w:t>Notice of Intent to Fine with Attachments A–E (certified mail)</w:t>
            </w:r>
          </w:p>
        </w:tc>
        <w:tc>
          <w:tcPr>
            <w:tcW w:type="dxa" w:w="1728"/>
          </w:tcPr>
          <w:p>
            <w:r/>
            <w:r>
              <w:rPr>
                <w:b w:val="0"/>
                <w:i w:val="0"/>
                <w:sz w:val="18"/>
              </w:rPr>
              <w:t>June 12, 2024 (Wed.)</w:t>
            </w:r>
          </w:p>
        </w:tc>
        <w:tc>
          <w:tcPr>
            <w:tcW w:type="dxa" w:w="4608"/>
          </w:tcPr>
          <w:p>
            <w:r/>
            <w:r>
              <w:rPr>
                <w:b w:val="0"/>
                <w:i w:val="0"/>
                <w:sz w:val="18"/>
              </w:rPr>
              <w:t>Category A: 29 substantive ($100,302); Category B: 6 failure to produce ($15,042); Category C: 7 knowing continuing employment ($49,924); stated total $613,470.</w:t>
            </w:r>
          </w:p>
        </w:tc>
      </w:tr>
      <w:tr>
        <w:tc>
          <w:tcPr>
            <w:tcW w:type="dxa" w:w="3024"/>
          </w:tcPr>
          <w:p>
            <w:r/>
            <w:r>
              <w:rPr>
                <w:b w:val="0"/>
                <w:i w:val="0"/>
                <w:sz w:val="18"/>
              </w:rPr>
              <w:t>USPS certified-mail tracking records (compiled by D. Kwon)</w:t>
            </w:r>
          </w:p>
        </w:tc>
        <w:tc>
          <w:tcPr>
            <w:tcW w:type="dxa" w:w="1728"/>
          </w:tcPr>
          <w:p>
            <w:r/>
            <w:r>
              <w:rPr>
                <w:b w:val="0"/>
                <w:i w:val="0"/>
                <w:sz w:val="18"/>
              </w:rPr>
              <w:t>Printed July 11, 2024</w:t>
            </w:r>
          </w:p>
        </w:tc>
        <w:tc>
          <w:tcPr>
            <w:tcW w:type="dxa" w:w="4608"/>
          </w:tcPr>
          <w:p>
            <w:r/>
            <w:r>
              <w:rPr>
                <w:b w:val="0"/>
                <w:i w:val="0"/>
                <w:sz w:val="18"/>
              </w:rPr>
              <w:t>NSD accepted Mar. 8, 2024, delivered Tue. Mar. 12, 2024; NIF accepted June 12, 2024, delivered Mon. June 17, 2024.</w:t>
            </w:r>
          </w:p>
        </w:tc>
      </w:tr>
      <w:tr>
        <w:tc>
          <w:tcPr>
            <w:tcW w:type="dxa" w:w="3024"/>
          </w:tcPr>
          <w:p>
            <w:r/>
            <w:r>
              <w:rPr>
                <w:b w:val="0"/>
                <w:i w:val="0"/>
                <w:sz w:val="18"/>
              </w:rPr>
              <w:t>I-9 Audit Summary workbook (T. Watkins, at direction of counsel)</w:t>
            </w:r>
          </w:p>
        </w:tc>
        <w:tc>
          <w:tcPr>
            <w:tcW w:type="dxa" w:w="1728"/>
          </w:tcPr>
          <w:p>
            <w:r/>
            <w:r>
              <w:rPr>
                <w:b w:val="0"/>
                <w:i w:val="0"/>
                <w:sz w:val="18"/>
              </w:rPr>
              <w:t>July 12, 2024</w:t>
            </w:r>
          </w:p>
        </w:tc>
        <w:tc>
          <w:tcPr>
            <w:tcW w:type="dxa" w:w="4608"/>
          </w:tcPr>
          <w:p>
            <w:r/>
            <w:r>
              <w:rPr>
                <w:b w:val="0"/>
                <w:i w:val="0"/>
                <w:sz w:val="18"/>
              </w:rPr>
              <w:t>Metadata (347 employees; 341 produced; key dates) and a roster of 200 employee records with I-9 field data and internal notes.</w:t>
            </w:r>
          </w:p>
        </w:tc>
      </w:tr>
    </w:tbl>
    <w:p>
      <w:pPr>
        <w:spacing w:after="40"/>
      </w:pPr>
    </w:p>
    <w:p>
      <w:pPr>
        <w:spacing w:after="160"/>
      </w:pPr>
      <w:r>
        <w:rPr>
          <w:b/>
          <w:i w:val="0"/>
        </w:rPr>
        <w:t>Record gaps.</w:t>
      </w:r>
      <w:r>
        <w:rPr>
          <w:b w:val="0"/>
          <w:i w:val="0"/>
        </w:rPr>
        <w:t xml:space="preserve"> We do not have (i) the Notice of Suspect Documents itself, (ii) the underlying Forms I-9 and document photocopies, (iii) the exhibits to the March 22 response, (iv) the “handwriting analysis” referenced for Priya Shankar, or (v) any ICE notice of technical or procedural failures (we believe none was issued). The workbook roster contains only 200 of 347 employees; 29 of the 38 individuals named in the NIF (including Wei Zhang, Mikhail Volkov, Luis Cabrera, Anh Tran and Jorge Delgado-Ruiz) do not appear in it. Several conclusions below are therefore subject to confirmation against the original forms.</w:t>
      </w:r>
    </w:p>
    <w:p>
      <w:pPr>
        <w:pStyle w:val="Heading1"/>
      </w:pPr>
      <w:r>
        <w:t>III. Critical Deadline and Response Mechanics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D9D9D9"/>
          </w:tcPr>
          <w:p>
            <w:r/>
            <w:r>
              <w:rPr>
                <w:b/>
                <w:sz w:val="18"/>
              </w:rPr>
              <w:t>Measure</w:t>
            </w:r>
          </w:p>
        </w:tc>
        <w:tc>
          <w:tcPr>
            <w:tcW w:type="dxa" w:w="1440"/>
            <w:shd w:val="clear" w:color="auto" w:fill="D9D9D9"/>
          </w:tcPr>
          <w:p>
            <w:r/>
            <w:r>
              <w:rPr>
                <w:b/>
                <w:sz w:val="18"/>
              </w:rPr>
              <w:t>Start</w:t>
            </w:r>
          </w:p>
        </w:tc>
        <w:tc>
          <w:tcPr>
            <w:tcW w:type="dxa" w:w="1728"/>
            <w:shd w:val="clear" w:color="auto" w:fill="D9D9D9"/>
          </w:tcPr>
          <w:p>
            <w:r/>
            <w:r>
              <w:rPr>
                <w:b/>
                <w:sz w:val="18"/>
              </w:rPr>
              <w:t>30th day</w:t>
            </w:r>
          </w:p>
        </w:tc>
        <w:tc>
          <w:tcPr>
            <w:tcW w:type="dxa" w:w="2880"/>
            <w:shd w:val="clear" w:color="auto" w:fill="D9D9D9"/>
          </w:tcPr>
          <w:p>
            <w:r/>
            <w:r>
              <w:rPr>
                <w:b/>
                <w:sz w:val="18"/>
              </w:rPr>
              <w:t>Comment</w:t>
            </w:r>
          </w:p>
        </w:tc>
      </w:tr>
      <w:tr>
        <w:tc>
          <w:tcPr>
            <w:tcW w:type="dxa" w:w="3312"/>
          </w:tcPr>
          <w:p>
            <w:r/>
            <w:r>
              <w:rPr>
                <w:b w:val="0"/>
                <w:i w:val="0"/>
                <w:sz w:val="18"/>
              </w:rPr>
              <w:t>NIF’s own instruction (“30 days of the date of this notice”)</w:t>
            </w:r>
          </w:p>
        </w:tc>
        <w:tc>
          <w:tcPr>
            <w:tcW w:type="dxa" w:w="1440"/>
          </w:tcPr>
          <w:p>
            <w:r/>
            <w:r>
              <w:rPr>
                <w:b w:val="0"/>
                <w:i w:val="0"/>
                <w:sz w:val="18"/>
              </w:rPr>
              <w:t>June 12, 2024</w:t>
            </w:r>
          </w:p>
        </w:tc>
        <w:tc>
          <w:tcPr>
            <w:tcW w:type="dxa" w:w="1728"/>
          </w:tcPr>
          <w:p>
            <w:r/>
            <w:r>
              <w:rPr>
                <w:b w:val="0"/>
                <w:i w:val="0"/>
                <w:sz w:val="18"/>
              </w:rPr>
              <w:t>Fri. July 12, 2024</w:t>
            </w:r>
          </w:p>
        </w:tc>
        <w:tc>
          <w:tcPr>
            <w:tcW w:type="dxa" w:w="2880"/>
          </w:tcPr>
          <w:p>
            <w:r/>
            <w:r>
              <w:rPr>
                <w:b w:val="0"/>
                <w:i w:val="0"/>
                <w:sz w:val="18"/>
              </w:rPr>
              <w:t>Most conservative; treat as controlling — TODAY.</w:t>
            </w:r>
          </w:p>
        </w:tc>
      </w:tr>
      <w:tr>
        <w:tc>
          <w:tcPr>
            <w:tcW w:type="dxa" w:w="3312"/>
          </w:tcPr>
          <w:p>
            <w:r/>
            <w:r>
              <w:rPr>
                <w:b w:val="0"/>
                <w:i w:val="0"/>
                <w:sz w:val="18"/>
              </w:rPr>
              <w:t>Regulatory measure (30 days from service; certified mail delivered)</w:t>
            </w:r>
          </w:p>
        </w:tc>
        <w:tc>
          <w:tcPr>
            <w:tcW w:type="dxa" w:w="1440"/>
          </w:tcPr>
          <w:p>
            <w:r/>
            <w:r>
              <w:rPr>
                <w:b w:val="0"/>
                <w:i w:val="0"/>
                <w:sz w:val="18"/>
              </w:rPr>
              <w:t>June 17, 2024</w:t>
            </w:r>
          </w:p>
        </w:tc>
        <w:tc>
          <w:tcPr>
            <w:tcW w:type="dxa" w:w="1728"/>
          </w:tcPr>
          <w:p>
            <w:r/>
            <w:r>
              <w:rPr>
                <w:b w:val="0"/>
                <w:i w:val="0"/>
                <w:sz w:val="18"/>
              </w:rPr>
              <w:t>Wed. July 17, 2024</w:t>
            </w:r>
          </w:p>
        </w:tc>
        <w:tc>
          <w:tcPr>
            <w:tcW w:type="dxa" w:w="2880"/>
          </w:tcPr>
          <w:p>
            <w:r/>
            <w:r>
              <w:rPr>
                <w:b w:val="0"/>
                <w:i w:val="0"/>
                <w:sz w:val="18"/>
              </w:rPr>
              <w:t>Supported by 8 C.F.R. § 274a.9 and the NOI’s own § 5(d); do not rely on it.</w:t>
            </w:r>
          </w:p>
        </w:tc>
      </w:tr>
    </w:tbl>
    <w:p>
      <w:pPr>
        <w:spacing w:after="40"/>
      </w:pPr>
    </w:p>
    <w:p>
      <w:pPr>
        <w:pStyle w:val="ListBullet"/>
        <w:spacing w:after="60"/>
      </w:pPr>
      <w:r>
        <w:rPr>
          <w:b/>
          <w:i w:val="0"/>
        </w:rPr>
        <w:t>File the written hearing request today</w:t>
      </w:r>
      <w:r>
        <w:rPr>
          <w:b w:val="0"/>
          <w:i w:val="0"/>
        </w:rPr>
        <w:t>, hand-delivered and emailed to SSA Townsend at ICE HSI Kansas City (8600 Farley Street, Suite 300, Overland Park, KS 66212), the office that issued the NIF, which is where 8 C.F.R. § 274a.9 requires it to be filed. Because the NIF directs filing with OCAHO in Falls Church, also send a copy to the OCAHO address stated in the NIF so the Company cannot be defaulted under either reading.</w:t>
      </w:r>
    </w:p>
    <w:p>
      <w:pPr>
        <w:pStyle w:val="ListBullet"/>
        <w:spacing w:after="60"/>
      </w:pPr>
      <w:r>
        <w:rPr>
          <w:b w:val="0"/>
          <w:i w:val="0"/>
        </w:rPr>
        <w:t>Include: case number KCS-2024-IF-00482; a general denial of all violations and of the penalty amount; a statement of reasons (the grounds in this memo, stated at a high level without factual admissions); and the name, address and telephone number of this firm as representative (with Form G-28 / notice of appearance and a corporate authorization from General Counsel Patricia Neville). Expressly reserve all defenses, including statute of limitations, 8 U.S.C. § 1324a(b)(6), and 8 U.S.C. § 1324a(a)(3).</w:t>
      </w:r>
    </w:p>
    <w:p>
      <w:pPr>
        <w:pStyle w:val="ListBullet"/>
        <w:spacing w:after="60"/>
      </w:pPr>
      <w:r>
        <w:rPr>
          <w:b/>
          <w:i w:val="0"/>
        </w:rPr>
        <w:t>Request settlement negotiations in the same letter, not instead of it.</w:t>
      </w:r>
      <w:r>
        <w:rPr>
          <w:b w:val="0"/>
          <w:i w:val="0"/>
        </w:rPr>
        <w:t xml:space="preserve"> The NIF presents settlement as an alternative to a hearing request and warns that failure to do one or the other results in a default; a settlement request alone does not preserve the right to an OCAHO hearing if talks fail. Once the hearing is requested, ICE must file a complaint with OCAHO (28 C.F.R. Part 68) before the case proceeds; negotiations can continue in parallel.</w:t>
      </w:r>
    </w:p>
    <w:p>
      <w:pPr>
        <w:pStyle w:val="ListBullet"/>
        <w:spacing w:after="60"/>
      </w:pPr>
      <w:r>
        <w:rPr>
          <w:b w:val="0"/>
          <w:i w:val="0"/>
        </w:rPr>
        <w:t>Confirm in writing that prior counsel Braddock &amp; Lyle LLP has transferred its complete file, including the actual Notice of Suspect Documents and all transmittal records (email delivery of the March 22 response).</w:t>
      </w:r>
    </w:p>
    <w:p>
      <w:pPr>
        <w:pStyle w:val="Heading1"/>
      </w:pPr>
      <w:r>
        <w:t>IV. Facial and Procedural Defects in the NIF</w:t>
      </w:r>
    </w:p>
    <w:p>
      <w:pPr>
        <w:pStyle w:val="Heading2"/>
      </w:pPr>
      <w:r>
        <w:t>A. The assessed total is unsupported and internally contradictory</w:t>
      </w:r>
    </w:p>
    <w:tbl>
      <w:tblPr>
        <w:tblStyle w:val="TableGrid"/>
        <w:tblW w:type="auto" w:w="0"/>
        <w:jc w:val="center"/>
        <w:tblLook w:firstColumn="1" w:firstRow="1" w:lastColumn="0" w:lastRow="0" w:noHBand="0" w:noVBand="1" w:val="04A0"/>
      </w:tblPr>
      <w:tblGrid>
        <w:gridCol w:w="4680"/>
        <w:gridCol w:w="4680"/>
      </w:tblGrid>
      <w:tr>
        <w:tc>
          <w:tcPr>
            <w:tcW w:type="dxa" w:w="5760"/>
            <w:shd w:val="clear" w:color="auto" w:fill="D9D9D9"/>
          </w:tcPr>
          <w:p>
            <w:r/>
            <w:r>
              <w:rPr>
                <w:b/>
                <w:sz w:val="18"/>
              </w:rPr>
              <w:t>Source in NIF</w:t>
            </w:r>
          </w:p>
        </w:tc>
        <w:tc>
          <w:tcPr>
            <w:tcW w:type="dxa" w:w="2880"/>
            <w:shd w:val="clear" w:color="auto" w:fill="D9D9D9"/>
          </w:tcPr>
          <w:p>
            <w:r/>
            <w:r>
              <w:rPr>
                <w:b/>
                <w:sz w:val="18"/>
              </w:rPr>
              <w:t>Amount stated</w:t>
            </w:r>
          </w:p>
        </w:tc>
      </w:tr>
      <w:tr>
        <w:tc>
          <w:tcPr>
            <w:tcW w:type="dxa" w:w="5760"/>
          </w:tcPr>
          <w:p>
            <w:r/>
            <w:r>
              <w:rPr>
                <w:b w:val="0"/>
                <w:i w:val="0"/>
                <w:sz w:val="18"/>
              </w:rPr>
              <w:t>Cover letter — Category A (29 violations)</w:t>
            </w:r>
          </w:p>
        </w:tc>
        <w:tc>
          <w:tcPr>
            <w:tcW w:type="dxa" w:w="2880"/>
          </w:tcPr>
          <w:p>
            <w:r/>
            <w:r>
              <w:rPr>
                <w:b w:val="0"/>
                <w:i w:val="0"/>
                <w:sz w:val="18"/>
              </w:rPr>
              <w:t>$100,302</w:t>
            </w:r>
          </w:p>
        </w:tc>
      </w:tr>
      <w:tr>
        <w:tc>
          <w:tcPr>
            <w:tcW w:type="dxa" w:w="5760"/>
          </w:tcPr>
          <w:p>
            <w:r/>
            <w:r>
              <w:rPr>
                <w:b w:val="0"/>
                <w:i w:val="0"/>
                <w:sz w:val="18"/>
              </w:rPr>
              <w:t>Cover letter — Category B (6 violations)</w:t>
            </w:r>
          </w:p>
        </w:tc>
        <w:tc>
          <w:tcPr>
            <w:tcW w:type="dxa" w:w="2880"/>
          </w:tcPr>
          <w:p>
            <w:r/>
            <w:r>
              <w:rPr>
                <w:b w:val="0"/>
                <w:i w:val="0"/>
                <w:sz w:val="18"/>
              </w:rPr>
              <w:t>$15,042</w:t>
            </w:r>
          </w:p>
        </w:tc>
      </w:tr>
      <w:tr>
        <w:tc>
          <w:tcPr>
            <w:tcW w:type="dxa" w:w="5760"/>
          </w:tcPr>
          <w:p>
            <w:r/>
            <w:r>
              <w:rPr>
                <w:b w:val="0"/>
                <w:i w:val="0"/>
                <w:sz w:val="18"/>
              </w:rPr>
              <w:t>Cover letter — Category C (7 violations)</w:t>
            </w:r>
          </w:p>
        </w:tc>
        <w:tc>
          <w:tcPr>
            <w:tcW w:type="dxa" w:w="2880"/>
          </w:tcPr>
          <w:p>
            <w:r/>
            <w:r>
              <w:rPr>
                <w:b w:val="0"/>
                <w:i w:val="0"/>
                <w:sz w:val="18"/>
              </w:rPr>
              <w:t>$49,924</w:t>
            </w:r>
          </w:p>
        </w:tc>
      </w:tr>
      <w:tr>
        <w:tc>
          <w:tcPr>
            <w:tcW w:type="dxa" w:w="5760"/>
          </w:tcPr>
          <w:p>
            <w:r/>
            <w:r>
              <w:rPr>
                <w:b w:val="0"/>
                <w:i w:val="0"/>
                <w:sz w:val="18"/>
              </w:rPr>
              <w:t>Arithmetic sum of the three categories</w:t>
            </w:r>
          </w:p>
        </w:tc>
        <w:tc>
          <w:tcPr>
            <w:tcW w:type="dxa" w:w="2880"/>
          </w:tcPr>
          <w:p>
            <w:r/>
            <w:r>
              <w:rPr>
                <w:b w:val="0"/>
                <w:i w:val="0"/>
                <w:sz w:val="18"/>
              </w:rPr>
              <w:t>$165,268</w:t>
            </w:r>
          </w:p>
        </w:tc>
      </w:tr>
      <w:tr>
        <w:tc>
          <w:tcPr>
            <w:tcW w:type="dxa" w:w="5760"/>
          </w:tcPr>
          <w:p>
            <w:r/>
            <w:r>
              <w:rPr>
                <w:b w:val="0"/>
                <w:i w:val="0"/>
                <w:sz w:val="18"/>
              </w:rPr>
              <w:t>Attachment E, Part 2 — “Total” (42 violations)</w:t>
            </w:r>
          </w:p>
        </w:tc>
        <w:tc>
          <w:tcPr>
            <w:tcW w:type="dxa" w:w="2880"/>
          </w:tcPr>
          <w:p>
            <w:r/>
            <w:r>
              <w:rPr>
                <w:b w:val="0"/>
                <w:i w:val="0"/>
                <w:sz w:val="18"/>
              </w:rPr>
              <w:t>$165,268</w:t>
            </w:r>
          </w:p>
        </w:tc>
      </w:tr>
      <w:tr>
        <w:tc>
          <w:tcPr>
            <w:tcW w:type="dxa" w:w="5760"/>
          </w:tcPr>
          <w:p>
            <w:r/>
            <w:r>
              <w:rPr>
                <w:b w:val="0"/>
                <w:i w:val="0"/>
                <w:sz w:val="18"/>
              </w:rPr>
              <w:t>Cover letter — “total civil money penalty” assessed</w:t>
            </w:r>
          </w:p>
        </w:tc>
        <w:tc>
          <w:tcPr>
            <w:tcW w:type="dxa" w:w="2880"/>
          </w:tcPr>
          <w:p>
            <w:r/>
            <w:r>
              <w:rPr>
                <w:b w:val="0"/>
                <w:i w:val="0"/>
                <w:sz w:val="18"/>
              </w:rPr>
              <w:t>$613,470</w:t>
            </w:r>
          </w:p>
        </w:tc>
      </w:tr>
      <w:tr>
        <w:tc>
          <w:tcPr>
            <w:tcW w:type="dxa" w:w="5760"/>
          </w:tcPr>
          <w:p>
            <w:r/>
            <w:r>
              <w:rPr>
                <w:b w:val="0"/>
                <w:i w:val="0"/>
                <w:sz w:val="18"/>
              </w:rPr>
              <w:t>Unexplained excess</w:t>
            </w:r>
          </w:p>
        </w:tc>
        <w:tc>
          <w:tcPr>
            <w:tcW w:type="dxa" w:w="2880"/>
          </w:tcPr>
          <w:p>
            <w:r/>
            <w:r>
              <w:rPr>
                <w:b w:val="0"/>
                <w:i w:val="0"/>
                <w:sz w:val="18"/>
              </w:rPr>
              <w:t>$448,202 (≈ 3.71×)</w:t>
            </w:r>
          </w:p>
        </w:tc>
      </w:tr>
    </w:tbl>
    <w:p>
      <w:pPr>
        <w:spacing w:after="40"/>
      </w:pPr>
    </w:p>
    <w:p>
      <w:pPr>
        <w:spacing w:after="120"/>
      </w:pPr>
      <w:r>
        <w:rPr>
          <w:b w:val="0"/>
          <w:i w:val="0"/>
        </w:rPr>
        <w:t>The category subtotals are themselves arithmetically correct (18 × $2,507 = $45,126; 11 × $5,016 = $55,176; 6 × $2,507 = $15,042; 7 × $7,132 = $49,924). Nothing in the NIF — no multiplier, enhancement, per-day calculation or additional category — accounts for the $613,470 figure, and Attachment E, Part 5 declines to restate a total, saying only that the total “is as reflected in the cover letter.” A charging document must state the penalty and its basis (8 C.F.R. § 274a.9). ICE cannot carry a penalty demand it has not computed; at a minimum the assessment cannot exceed $165,268, and the discrepancy undermines the reliability of the entire penalty analysis. This should be raised immediately in settlement communications and pleaded as a defense.</w:t>
      </w:r>
    </w:p>
    <w:p>
      <w:pPr>
        <w:pStyle w:val="Heading2"/>
      </w:pPr>
      <w:r>
        <w:t>B. Penalty rates and authority</w:t>
      </w:r>
    </w:p>
    <w:p>
      <w:pPr>
        <w:pStyle w:val="ListBullet"/>
        <w:spacing w:after="60"/>
      </w:pPr>
      <w:r>
        <w:rPr>
          <w:b/>
          <w:i w:val="0"/>
        </w:rPr>
        <w:t>Missing citation.</w:t>
      </w:r>
      <w:r>
        <w:rPr>
          <w:b w:val="0"/>
          <w:i w:val="0"/>
        </w:rPr>
        <w:t xml:space="preserve"> The rate schedule is cited as “89 Fed. Reg. [page left as asterisks]” (effective March 27, 2024). The NIF therefore fails to identify the legal source of the amounts it applies. We must confirm the actual 2024 DHS civil monetary penalty adjustment (codified at 8 C.F.R. § 280.53) and its effective date before filing.</w:t>
      </w:r>
    </w:p>
    <w:p>
      <w:pPr>
        <w:pStyle w:val="ListBullet"/>
        <w:spacing w:after="60"/>
      </w:pPr>
      <w:r>
        <w:rPr>
          <w:b/>
          <w:i w:val="0"/>
        </w:rPr>
        <w:t>Rates above statutory maxima.</w:t>
      </w:r>
      <w:r>
        <w:rPr>
          <w:b w:val="0"/>
          <w:i w:val="0"/>
        </w:rPr>
        <w:t xml:space="preserve"> On our understanding of the 2024 adjustment (to be verified against the Federal Register), the range for paperwork violations under 8 U.S.C. § 1324a(e)(5) is approximately </w:t>
      </w:r>
      <w:r>
        <w:rPr>
          <w:b/>
          <w:i w:val="0"/>
        </w:rPr>
        <w:t>$281–$2,789</w:t>
      </w:r>
      <w:r>
        <w:rPr>
          <w:b w:val="0"/>
          <w:i w:val="0"/>
        </w:rPr>
        <w:t xml:space="preserve"> per violation, and the first-offense range for knowing hire / continuing employment under § 1324a(e)(4)(A)(i) is approximately </w:t>
      </w:r>
      <w:r>
        <w:rPr>
          <w:b/>
          <w:i w:val="0"/>
        </w:rPr>
        <w:t>$698–$5,579</w:t>
      </w:r>
      <w:r>
        <w:rPr>
          <w:b w:val="0"/>
          <w:i w:val="0"/>
        </w:rPr>
        <w:t xml:space="preserve"> per unauthorized alien. ICE’s $5,016 “Tier 2” paperwork rate and its $7,132 first-offense knowing-employment rate both exceed those ceilings. Even the “Tier 1” rate of $2,507 sits at roughly 90% of the maximum and is not a “base” rate in any meaningful sense.</w:t>
      </w:r>
    </w:p>
    <w:p>
      <w:pPr>
        <w:pStyle w:val="ListBullet"/>
        <w:spacing w:after="60"/>
      </w:pPr>
      <w:r>
        <w:rPr>
          <w:b/>
          <w:i w:val="0"/>
        </w:rPr>
        <w:t>No “tier” structure exists for paperwork violations.</w:t>
      </w:r>
      <w:r>
        <w:rPr>
          <w:b w:val="0"/>
          <w:i w:val="0"/>
        </w:rPr>
        <w:t xml:space="preserve"> Section 1324a(e)(5) prescribes one range for each paperwork violation, adjusted by the five statutory factors. First/second/third-offense tiers exist only for knowing-hire violations under § 1324a(e)(4). ICE concedes Tier 2 “does not reflect a finding of second-offense status”; it is an invented enhancement layered on top of a separate statutory-factor aggravation (double enhancement).</w:t>
      </w:r>
    </w:p>
    <w:p>
      <w:pPr>
        <w:pStyle w:val="ListBullet"/>
        <w:spacing w:after="60"/>
      </w:pPr>
      <w:r>
        <w:rPr>
          <w:b/>
          <w:i w:val="0"/>
        </w:rPr>
        <w:t>Pre-November 2, 2015 violations.</w:t>
      </w:r>
      <w:r>
        <w:rPr>
          <w:b w:val="0"/>
          <w:i w:val="0"/>
        </w:rPr>
        <w:t xml:space="preserve"> The inflation-adjusted amounts apply only to violations occurring after November 2, 2015. Failure-to-prepare violations for employees hired before that date (Clements, 2005; Markham, 2008; Obeng, May 2015; Coldwater, 2004) are capped at the pre-adjustment range (approximately $110–$1,100), unless ICE re-characterizes them solely as failures to present at the 2023 inspection — a point to be litigated.</w:t>
      </w:r>
    </w:p>
    <w:p>
      <w:pPr>
        <w:pStyle w:val="ListBullet"/>
        <w:spacing w:after="60"/>
      </w:pPr>
      <w:r>
        <w:rPr>
          <w:b/>
          <w:i w:val="0"/>
        </w:rPr>
        <w:t>Factors applied to the wrong provision.</w:t>
      </w:r>
      <w:r>
        <w:rPr>
          <w:b w:val="0"/>
          <w:i w:val="0"/>
        </w:rPr>
        <w:t xml:space="preserve"> Attachment E evaluates all three categories under the five § 1324a(e)(5) factors, which govern paperwork violations only; the knowing-employment counts are governed by § 1324a(e)(4). The analysis conflates the two regimes.</w:t>
      </w:r>
    </w:p>
    <w:p>
      <w:pPr>
        <w:pStyle w:val="Heading2"/>
      </w:pPr>
      <w:r>
        <w:t>C. Hearing-rights and service defects</w:t>
      </w:r>
    </w:p>
    <w:p>
      <w:pPr>
        <w:pStyle w:val="ListBullet"/>
        <w:spacing w:after="60"/>
      </w:pPr>
      <w:r>
        <w:rPr>
          <w:b w:val="0"/>
          <w:i w:val="0"/>
        </w:rPr>
        <w:t xml:space="preserve">The NIF states the 30 days run from “the date of this notice.” The regulation, and the NOI (§ 5(d)), run the period from </w:t>
      </w:r>
      <w:r>
        <w:rPr>
          <w:b/>
          <w:i w:val="0"/>
        </w:rPr>
        <w:t>service</w:t>
      </w:r>
      <w:r>
        <w:rPr>
          <w:b w:val="0"/>
          <w:i w:val="0"/>
        </w:rPr>
        <w:t>. The NIF was not delivered until June 17, 2024. The misstatement shortened the Company’s response window by five days.</w:t>
      </w:r>
    </w:p>
    <w:p>
      <w:pPr>
        <w:pStyle w:val="ListBullet"/>
        <w:spacing w:after="60"/>
      </w:pPr>
      <w:r>
        <w:rPr>
          <w:b w:val="0"/>
          <w:i w:val="0"/>
        </w:rPr>
        <w:t>The NIF directs that the hearing request be filed with OCAHO in Falls Church. Under 8 C.F.R. § 274a.9 the request is filed with the ICE office that issued the NIF; ICE then files the complaint with OCAHO. A misdirected filing instruction in a notice that threatens a “final and unappealable” default order is a material defect (and is why we recommend filing in both places).</w:t>
      </w:r>
    </w:p>
    <w:p>
      <w:pPr>
        <w:pStyle w:val="ListBullet"/>
        <w:spacing w:after="60"/>
      </w:pPr>
      <w:r>
        <w:rPr>
          <w:b w:val="0"/>
          <w:i w:val="0"/>
        </w:rPr>
        <w:t>The NIF frames a settlement request as an alternative to a hearing request — misleading, because a settlement request does not itself preserve hearing rights if negotiations fail.</w:t>
      </w:r>
    </w:p>
    <w:p>
      <w:pPr>
        <w:pStyle w:val="ListBullet"/>
        <w:spacing w:after="60"/>
      </w:pPr>
      <w:r>
        <w:rPr>
          <w:b w:val="0"/>
          <w:i w:val="0"/>
        </w:rPr>
        <w:t>The NIF does not expressly advise of the right to representation by counsel at no expense to the government (the NOI did); it only asks for the name of an “authorized representative.” Confirm the required contents under 8 C.F.R. § 274a.9 against the final notice.</w:t>
      </w:r>
    </w:p>
    <w:p>
      <w:pPr>
        <w:pStyle w:val="ListBullet"/>
        <w:spacing w:after="60"/>
      </w:pPr>
      <w:r>
        <w:rPr>
          <w:b w:val="0"/>
          <w:i w:val="0"/>
        </w:rPr>
        <w:t>The signature block is blank (“By: ________”) and the NIF is issued by SSA Marcia Townsend “under the direction of” SAC Ronald Dietrich. Confirm that the signatory is an officer authorized to issue NIFs under 8 C.F.R. § 274a.9 and the officer list incorporated from 8 C.F.R. § 239.1; demand the signed original.</w:t>
      </w:r>
    </w:p>
    <w:p>
      <w:pPr>
        <w:pStyle w:val="Heading2"/>
      </w:pPr>
      <w:r>
        <w:t>D. Factual narrative errors in the NIF</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9D9D9"/>
          </w:tcPr>
          <w:p>
            <w:r/>
            <w:r>
              <w:rPr>
                <w:b/>
                <w:sz w:val="18"/>
              </w:rPr>
              <w:t>NIF statement</w:t>
            </w:r>
          </w:p>
        </w:tc>
        <w:tc>
          <w:tcPr>
            <w:tcW w:type="dxa" w:w="5040"/>
            <w:shd w:val="clear" w:color="auto" w:fill="D9D9D9"/>
          </w:tcPr>
          <w:p>
            <w:r/>
            <w:r>
              <w:rPr>
                <w:b/>
                <w:sz w:val="18"/>
              </w:rPr>
              <w:t>What the record shows</w:t>
            </w:r>
          </w:p>
        </w:tc>
      </w:tr>
      <w:tr>
        <w:tc>
          <w:tcPr>
            <w:tcW w:type="dxa" w:w="4320"/>
          </w:tcPr>
          <w:p>
            <w:r/>
            <w:r>
              <w:rPr>
                <w:b w:val="0"/>
                <w:i w:val="0"/>
                <w:sz w:val="18"/>
              </w:rPr>
              <w:t>Respondent employs “approximately 500 individuals” (Attachment A § 1; Attachment E Factors 1 and 3).</w:t>
            </w:r>
          </w:p>
        </w:tc>
        <w:tc>
          <w:tcPr>
            <w:tcW w:type="dxa" w:w="5040"/>
          </w:tcPr>
          <w:p>
            <w:r/>
            <w:r>
              <w:rPr>
                <w:b w:val="0"/>
                <w:i w:val="0"/>
                <w:sz w:val="18"/>
              </w:rPr>
              <w:t>Company records: 347 employees as of the NOI date; 341 I-9s produced. If the workforce were 500, the NIF’s statement that only 6 I-9s were missing would be impossible (500 − 341 = 159).</w:t>
            </w:r>
          </w:p>
        </w:tc>
      </w:tr>
      <w:tr>
        <w:tc>
          <w:tcPr>
            <w:tcW w:type="dxa" w:w="4320"/>
          </w:tcPr>
          <w:p>
            <w:r/>
            <w:r>
              <w:rPr>
                <w:b w:val="0"/>
                <w:i w:val="0"/>
                <w:sz w:val="18"/>
              </w:rPr>
              <w:t>NSD resolution period “commenced on March 8, 2024, and expired on March 21, 2024.”</w:t>
            </w:r>
          </w:p>
        </w:tc>
        <w:tc>
          <w:tcPr>
            <w:tcW w:type="dxa" w:w="5040"/>
          </w:tcPr>
          <w:p>
            <w:r/>
            <w:r>
              <w:rPr>
                <w:b w:val="0"/>
                <w:i w:val="0"/>
                <w:sz w:val="18"/>
              </w:rPr>
              <w:t>10 business days after Fri. March 8 is Fri. March 22. Measured from receipt (Tue. March 12, USPS Tracking No. 7019 1120 0001 5487 3290), it is Tue. March 26.</w:t>
            </w:r>
          </w:p>
        </w:tc>
      </w:tr>
      <w:tr>
        <w:tc>
          <w:tcPr>
            <w:tcW w:type="dxa" w:w="4320"/>
          </w:tcPr>
          <w:p>
            <w:r/>
            <w:r>
              <w:rPr>
                <w:b w:val="0"/>
                <w:i w:val="0"/>
                <w:sz w:val="18"/>
              </w:rPr>
              <w:t>The March 22 response “was received after the expiration of the resolution period.”</w:t>
            </w:r>
          </w:p>
        </w:tc>
        <w:tc>
          <w:tcPr>
            <w:tcW w:type="dxa" w:w="5040"/>
          </w:tcPr>
          <w:p>
            <w:r/>
            <w:r>
              <w:rPr>
                <w:b w:val="0"/>
                <w:i w:val="0"/>
                <w:sz w:val="18"/>
              </w:rPr>
              <w:t>The response is dated and was emailed March 22 (as well as sent by certified mail). No ICE receipt date is identified.</w:t>
            </w:r>
          </w:p>
        </w:tc>
      </w:tr>
      <w:tr>
        <w:tc>
          <w:tcPr>
            <w:tcW w:type="dxa" w:w="4320"/>
          </w:tcPr>
          <w:p>
            <w:r/>
            <w:r>
              <w:rPr>
                <w:b w:val="0"/>
                <w:i w:val="0"/>
                <w:sz w:val="18"/>
              </w:rPr>
              <w:t>NSD identified 23 employees; 29 substantive violations “remain unresolved.”</w:t>
            </w:r>
          </w:p>
        </w:tc>
        <w:tc>
          <w:tcPr>
            <w:tcW w:type="dxa" w:w="5040"/>
          </w:tcPr>
          <w:p>
            <w:r/>
            <w:r>
              <w:rPr>
                <w:b w:val="0"/>
                <w:i w:val="0"/>
                <w:sz w:val="18"/>
              </w:rPr>
              <w:t>Twenty-nine unresolved violations cannot arise from 23 noticed employees. The NIF names approximately 38 distinct individuals (29 + 6 + 7, less overlaps for Al-Farsi, Sorokina, Benali and Zhang).</w:t>
            </w:r>
          </w:p>
        </w:tc>
      </w:tr>
      <w:tr>
        <w:tc>
          <w:tcPr>
            <w:tcW w:type="dxa" w:w="4320"/>
          </w:tcPr>
          <w:p>
            <w:r/>
            <w:r>
              <w:rPr>
                <w:b w:val="0"/>
                <w:i w:val="0"/>
                <w:sz w:val="18"/>
              </w:rPr>
              <w:t>“At least seven (7) employees were determined to be unauthorized” (Attachment E, Factor 5).</w:t>
            </w:r>
          </w:p>
        </w:tc>
        <w:tc>
          <w:tcPr>
            <w:tcW w:type="dxa" w:w="5040"/>
          </w:tcPr>
          <w:p>
            <w:r/>
            <w:r>
              <w:rPr>
                <w:b w:val="0"/>
                <w:i w:val="0"/>
                <w:sz w:val="18"/>
              </w:rPr>
              <w:t>Attachment D itself speaks only of “potential unauthorized work status.” Six of the seven furnished evidence of authorization (see Part VII).</w:t>
            </w:r>
          </w:p>
        </w:tc>
      </w:tr>
      <w:tr>
        <w:tc>
          <w:tcPr>
            <w:tcW w:type="dxa" w:w="4320"/>
          </w:tcPr>
          <w:p>
            <w:r/>
            <w:r>
              <w:rPr>
                <w:b w:val="0"/>
                <w:i w:val="0"/>
                <w:sz w:val="18"/>
              </w:rPr>
              <w:t>Workforce deficiency rate stated as 5.8% (Attachment E, Part 3) and 7.0% (Factor 3).</w:t>
            </w:r>
          </w:p>
        </w:tc>
        <w:tc>
          <w:tcPr>
            <w:tcW w:type="dxa" w:w="5040"/>
          </w:tcPr>
          <w:p>
            <w:r/>
            <w:r>
              <w:rPr>
                <w:b w:val="0"/>
                <w:i w:val="0"/>
                <w:sz w:val="18"/>
              </w:rPr>
              <w:t>Inconsistent with each other and premised on the wrong denominator; see Part VIII.</w:t>
            </w:r>
          </w:p>
        </w:tc>
      </w:tr>
      <w:tr>
        <w:tc>
          <w:tcPr>
            <w:tcW w:type="dxa" w:w="4320"/>
          </w:tcPr>
          <w:p>
            <w:r/>
            <w:r>
              <w:rPr>
                <w:b w:val="0"/>
                <w:i w:val="0"/>
                <w:sz w:val="18"/>
              </w:rPr>
              <w:t>Statutory factors listed as size, good faith, seriousness, unauthorized status, history; then analyzed with history as Factor 4 and unauthorized status as Factor 5.</w:t>
            </w:r>
          </w:p>
        </w:tc>
        <w:tc>
          <w:tcPr>
            <w:tcW w:type="dxa" w:w="5040"/>
          </w:tcPr>
          <w:p>
            <w:r/>
            <w:r>
              <w:rPr>
                <w:b w:val="0"/>
                <w:i w:val="0"/>
                <w:sz w:val="18"/>
              </w:rPr>
              <w:t>Minor, but illustrates the lack of care in the assessment.</w:t>
            </w:r>
          </w:p>
        </w:tc>
      </w:tr>
    </w:tbl>
    <w:p>
      <w:pPr>
        <w:spacing w:after="40"/>
      </w:pPr>
    </w:p>
    <w:p>
      <w:pPr>
        <w:pStyle w:val="Heading1"/>
      </w:pPr>
      <w:r>
        <w:t>V. Category A — Substantive Violations (29 counts; $100,302)</w:t>
      </w:r>
    </w:p>
    <w:p>
      <w:pPr>
        <w:pStyle w:val="Heading2"/>
      </w:pPr>
      <w:r>
        <w:t>A. Cross-cutting grounds</w:t>
      </w:r>
    </w:p>
    <w:p>
      <w:pPr>
        <w:spacing w:after="120"/>
      </w:pPr>
      <w:r>
        <w:rPr>
          <w:b/>
          <w:i w:val="0"/>
        </w:rPr>
        <w:t>1. Section 1324a(b)(6) — technical or procedural failures must be noticed and correctable.</w:t>
      </w:r>
      <w:r>
        <w:rPr>
          <w:b w:val="0"/>
          <w:i w:val="0"/>
        </w:rPr>
        <w:t xml:space="preserve"> An employer is considered to have complied with the verification requirement notwithstanding a technical or procedural failure unless the government explained the basis for the failure, gave the employer at least 10 business days to correct it, and the employer failed to do so (8 U.S.C. § 1324a(b)(6)). Under the legacy INS “Virtue Memorandum” (Interim Guidelines, March 6, 1997), which ICE continues to apply, failures such as omitting a document title, number, issuing authority or expiration date (where a photocopy is retained or the information is otherwise recorded), omitting the date of a signed attestation, the employer’s business address, the preparer/translator certification, or “other last names,” transposition errors, and entering correct information in the wrong field are technical/procedural. ICE never issued a Notice of Technical or Procedural Failures; the NSD reached only 23 employees, and prior counsel’s response (its § IV.H) reports that technical items for the flagged employees were corrected under M-274 procedures. Every technical item must be withdrawn or, at minimum, cannot be penalized until a compliant correction opportunity has been afforded.</w:t>
      </w:r>
    </w:p>
    <w:p>
      <w:pPr>
        <w:spacing w:after="120"/>
      </w:pPr>
      <w:r>
        <w:rPr>
          <w:b/>
          <w:i w:val="0"/>
        </w:rPr>
        <w:t>2. No notice for most Category A employees.</w:t>
      </w:r>
      <w:r>
        <w:rPr>
          <w:b w:val="0"/>
          <w:i w:val="0"/>
        </w:rPr>
        <w:t xml:space="preserve"> The response to the NSD addresses (by name) only four of the 29 Category A employees with confidence — Al-Farsi, Sorokina, Benali and (probably) Gutierrez-Padilla (“Maria Gutierrez,” Exh. I-1) — and possibly Bondarenko (the response says “Oleksiy”; the NIF says “Oleksandr,” with a different deficiency). The other Category A employees (e.g., Shankar, Arai, Mendoza-Torres, Voskresenskaya, Asante, Chow, Hassan, Y. Park, Harmon, Novak, Oduya, Schaefer, Robles, Moretti, Patel, Figueroa, Halvorsen, D. Washington, Diallo, Nakamura, Ibrahimovic) were apparently never identified to the Company before the NIF. The Company’s workbook marks Petrescu, Reyes-Montoya and Kowalski as flagged in the NSD, though prior counsel’s letter does not address them — the actual NSD must be obtained to settle the point.</w:t>
      </w:r>
    </w:p>
    <w:p>
      <w:pPr>
        <w:spacing w:after="120"/>
      </w:pPr>
      <w:r>
        <w:rPr>
          <w:b/>
          <w:i w:val="0"/>
        </w:rPr>
        <w:t>3. “Tier 2” is unlawful as applied.</w:t>
      </w:r>
      <w:r>
        <w:rPr>
          <w:b w:val="0"/>
          <w:i w:val="0"/>
        </w:rPr>
        <w:t xml:space="preserve"> Apart from the statutory-maximum problem (Part IV.B), the stated basis — a 5.8% workforce error rate — is not aggravating; ICE’s own published fine methodology places error rates below 10% in its lowest base-fine band. The Tier 2 assignment is also arbitrary: the same violation type receives different treatment (untimely Section 2 is Tier 2 for Gutierrez-Padilla but Tier 1 for Halvorsen; missing List B data is Tier 2 for Voskresenskaya and Hassan but Tier 1 for Moretti and Washington; missing List A expiration date is Tier 2 for Chow while missing List B expiration date is Tier 1 for Washington). Attachment E, Part 3 describes Tier 2 as reserved for expired documents, failure to reverify, Section 1 completed by employer personnel and “failure to record essential document information,” yet five of the eleven Tier 2 counts (Voskresenskaya, Asante, Chow, Hassan, and the incorrectly-charged Gutierrez-Padilla) are pure recording or timing items.</w:t>
      </w:r>
    </w:p>
    <w:p>
      <w:pPr>
        <w:spacing w:after="120"/>
      </w:pPr>
      <w:r>
        <w:rPr>
          <w:b/>
          <w:i w:val="0"/>
        </w:rPr>
        <w:t>4. Statute of limitations (28 U.S.C. § 2462).</w:t>
      </w:r>
      <w:r>
        <w:rPr>
          <w:b w:val="0"/>
          <w:i w:val="0"/>
        </w:rPr>
        <w:t xml:space="preserve"> Civil penalty actions must be commenced within five years of when the claim first accrued. OCAHO has applied § 2462 to § 1324a paperwork violations and has treated failure-to-prepare and improper-completion violations as accruing when the Form I-9 was required to be completed (see, e.g., United States v. Curran Engineering Co., 7 OCAHO no. 975 (1997) — cite to be confirmed). Measured back from the June 12, 2024 NIF (and a fortiori from the later OCAHO complaint), Section 1/Section 2 errors made at hire before mid-June 2019 are arguably time-barred: </w:t>
      </w:r>
      <w:r>
        <w:rPr>
          <w:b/>
          <w:i w:val="0"/>
        </w:rPr>
        <w:t>Arai (11/2017), Moretti (7/2017), Harmon (6/2018), Hassan (11/2018), Figueroa (1/2019), Asante (1/2019), Schaefer (3/2019)</w:t>
      </w:r>
      <w:r>
        <w:rPr>
          <w:b w:val="0"/>
          <w:i w:val="0"/>
        </w:rPr>
        <w:t xml:space="preserve"> and Gutierrez-Padilla (4/2019), plus the Category B failures to prepare for Clements, Markham and Obeng. ICE will argue these are continuing violations or failures to present at the 2023 inspection; the argument is contested but should be preserved and is valuable leverage.</w:t>
      </w:r>
    </w:p>
    <w:p>
      <w:pPr>
        <w:spacing w:after="120"/>
      </w:pPr>
      <w:r>
        <w:rPr>
          <w:b/>
          <w:i w:val="0"/>
        </w:rPr>
        <w:t>5. Factor 5 is mitigating for all Category A counts.</w:t>
      </w:r>
      <w:r>
        <w:rPr>
          <w:b w:val="0"/>
          <w:i w:val="0"/>
        </w:rPr>
        <w:t xml:space="preserve"> ICE does not allege that any of the 29 Category A employees is unauthorized (only Al-Farsi, Sorokina and Benali overlap with Category C, and they are authorized; see Part VII).</w:t>
      </w:r>
    </w:p>
    <w:p>
      <w:pPr>
        <w:pStyle w:val="Heading2"/>
      </w:pPr>
      <w:r>
        <w:t>B. Employee-by-employee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D9D9"/>
          </w:tcPr>
          <w:p>
            <w:r/>
            <w:r>
              <w:rPr>
                <w:b/>
                <w:sz w:val="16"/>
              </w:rPr>
              <w:t>#</w:t>
            </w:r>
          </w:p>
        </w:tc>
        <w:tc>
          <w:tcPr>
            <w:tcW w:type="dxa" w:w="1728"/>
            <w:shd w:val="clear" w:color="auto" w:fill="D9D9D9"/>
          </w:tcPr>
          <w:p>
            <w:r/>
            <w:r>
              <w:rPr>
                <w:b/>
                <w:sz w:val="16"/>
              </w:rPr>
              <w:t>Employee (NIF tier/penalty)</w:t>
            </w:r>
          </w:p>
        </w:tc>
        <w:tc>
          <w:tcPr>
            <w:tcW w:type="dxa" w:w="2160"/>
            <w:shd w:val="clear" w:color="auto" w:fill="D9D9D9"/>
          </w:tcPr>
          <w:p>
            <w:r/>
            <w:r>
              <w:rPr>
                <w:b/>
                <w:sz w:val="16"/>
              </w:rPr>
              <w:t>NIF charge</w:t>
            </w:r>
          </w:p>
        </w:tc>
        <w:tc>
          <w:tcPr>
            <w:tcW w:type="dxa" w:w="3744"/>
            <w:shd w:val="clear" w:color="auto" w:fill="D9D9D9"/>
          </w:tcPr>
          <w:p>
            <w:r/>
            <w:r>
              <w:rPr>
                <w:b/>
                <w:sz w:val="16"/>
              </w:rPr>
              <w:t>Deficiencies in the charge / grounds</w:t>
            </w:r>
          </w:p>
        </w:tc>
        <w:tc>
          <w:tcPr>
            <w:tcW w:type="dxa" w:w="1296"/>
            <w:shd w:val="clear" w:color="auto" w:fill="D9D9D9"/>
          </w:tcPr>
          <w:p>
            <w:r/>
            <w:r>
              <w:rPr>
                <w:b/>
                <w:sz w:val="16"/>
              </w:rPr>
              <w:t>Assessment</w:t>
            </w:r>
          </w:p>
        </w:tc>
      </w:tr>
      <w:tr>
        <w:tc>
          <w:tcPr>
            <w:tcW w:type="dxa" w:w="432"/>
          </w:tcPr>
          <w:p>
            <w:r/>
            <w:r>
              <w:rPr>
                <w:b w:val="0"/>
                <w:i w:val="0"/>
                <w:sz w:val="16"/>
              </w:rPr>
              <w:t>1</w:t>
            </w:r>
          </w:p>
        </w:tc>
        <w:tc>
          <w:tcPr>
            <w:tcW w:type="dxa" w:w="1728"/>
          </w:tcPr>
          <w:p>
            <w:r/>
            <w:r>
              <w:rPr>
                <w:b w:val="0"/>
                <w:i w:val="0"/>
                <w:sz w:val="16"/>
              </w:rPr>
              <w:t>Gutierrez-Padilla (T2, $5,016)</w:t>
            </w:r>
          </w:p>
        </w:tc>
        <w:tc>
          <w:tcPr>
            <w:tcW w:type="dxa" w:w="2160"/>
          </w:tcPr>
          <w:p>
            <w:r/>
            <w:r>
              <w:rPr>
                <w:b w:val="0"/>
                <w:i w:val="0"/>
                <w:sz w:val="16"/>
              </w:rPr>
              <w:t>S2 completed 4/8/2019, “five calendar days” after 4/3/2019 hire.</w:t>
            </w:r>
          </w:p>
        </w:tc>
        <w:tc>
          <w:tcPr>
            <w:tcW w:type="dxa" w:w="3744"/>
          </w:tcPr>
          <w:p>
            <w:r/>
            <w:r>
              <w:rPr>
                <w:b w:val="0"/>
                <w:i w:val="0"/>
                <w:sz w:val="16"/>
              </w:rPr>
              <w:t xml:space="preserve">Wrong standard (calendar vs. business days). Hire was Wed. 4/3/2019; 3 business days = Thu 4/4, Fri 4/5, </w:t>
            </w:r>
            <w:r>
              <w:rPr>
                <w:b/>
                <w:i w:val="0"/>
                <w:sz w:val="16"/>
              </w:rPr>
              <w:t>Mon 4/8</w:t>
            </w:r>
            <w:r>
              <w:rPr>
                <w:b w:val="0"/>
                <w:i w:val="0"/>
                <w:sz w:val="16"/>
              </w:rPr>
              <w:t>. Timely; 8 C.F.R. § 274a.2(b)(1)(ii). NSD response (Exh. I-1) shows the flagged issue was a missing expiration date, not timeliness — new charge without notice. Also pre-June 2019 (SOL).</w:t>
            </w:r>
          </w:p>
        </w:tc>
        <w:tc>
          <w:tcPr>
            <w:tcW w:type="dxa" w:w="1296"/>
          </w:tcPr>
          <w:p>
            <w:r/>
            <w:r>
              <w:rPr>
                <w:b/>
                <w:i w:val="0"/>
                <w:sz w:val="16"/>
              </w:rPr>
              <w:t>Withdraw</w:t>
            </w:r>
          </w:p>
        </w:tc>
      </w:tr>
      <w:tr>
        <w:tc>
          <w:tcPr>
            <w:tcW w:type="dxa" w:w="432"/>
          </w:tcPr>
          <w:p>
            <w:r/>
            <w:r>
              <w:rPr>
                <w:b w:val="0"/>
                <w:i w:val="0"/>
                <w:sz w:val="16"/>
              </w:rPr>
              <w:t>2</w:t>
            </w:r>
          </w:p>
        </w:tc>
        <w:tc>
          <w:tcPr>
            <w:tcW w:type="dxa" w:w="1728"/>
          </w:tcPr>
          <w:p>
            <w:r/>
            <w:r>
              <w:rPr>
                <w:b w:val="0"/>
                <w:i w:val="0"/>
                <w:sz w:val="16"/>
              </w:rPr>
              <w:t>Al-Farsi (T2, $5,016)</w:t>
            </w:r>
          </w:p>
        </w:tc>
        <w:tc>
          <w:tcPr>
            <w:tcW w:type="dxa" w:w="2160"/>
          </w:tcPr>
          <w:p>
            <w:r/>
            <w:r>
              <w:rPr>
                <w:b w:val="0"/>
                <w:i w:val="0"/>
                <w:sz w:val="16"/>
              </w:rPr>
              <w:t>S3 recorded EAD receipt 5/28/2021; actual EAD never recorded within 90 days.</w:t>
            </w:r>
          </w:p>
        </w:tc>
        <w:tc>
          <w:tcPr>
            <w:tcW w:type="dxa" w:w="3744"/>
          </w:tcPr>
          <w:p>
            <w:r/>
            <w:r>
              <w:rPr>
                <w:b w:val="0"/>
                <w:i w:val="0"/>
                <w:sz w:val="16"/>
              </w:rPr>
              <w:t>Paperwork violation is likely valid, but Company has now recorded a current EAD (Exh. E-1). Investigate whether the receipt was an I-765 renewal receipt qualifying for automatic EAD extension under 8 C.F.R. § 274a.13(d), which would change the analysis. No basis for T2 rate above statutory max. Also double-counted in Cat. C.</w:t>
            </w:r>
          </w:p>
        </w:tc>
        <w:tc>
          <w:tcPr>
            <w:tcW w:type="dxa" w:w="1296"/>
          </w:tcPr>
          <w:p>
            <w:r/>
            <w:r>
              <w:rPr>
                <w:b w:val="0"/>
                <w:i w:val="0"/>
                <w:sz w:val="16"/>
              </w:rPr>
              <w:t>Substantive — contest rate; mitigate</w:t>
            </w:r>
          </w:p>
        </w:tc>
      </w:tr>
      <w:tr>
        <w:tc>
          <w:tcPr>
            <w:tcW w:type="dxa" w:w="432"/>
          </w:tcPr>
          <w:p>
            <w:r/>
            <w:r>
              <w:rPr>
                <w:b w:val="0"/>
                <w:i w:val="0"/>
                <w:sz w:val="16"/>
              </w:rPr>
              <w:t>3</w:t>
            </w:r>
          </w:p>
        </w:tc>
        <w:tc>
          <w:tcPr>
            <w:tcW w:type="dxa" w:w="1728"/>
          </w:tcPr>
          <w:p>
            <w:r/>
            <w:r>
              <w:rPr>
                <w:b w:val="0"/>
                <w:i w:val="0"/>
                <w:sz w:val="16"/>
              </w:rPr>
              <w:t>Shankar (T2, $5,016)</w:t>
            </w:r>
          </w:p>
        </w:tc>
        <w:tc>
          <w:tcPr>
            <w:tcW w:type="dxa" w:w="2160"/>
          </w:tcPr>
          <w:p>
            <w:r/>
            <w:r>
              <w:rPr>
                <w:b w:val="0"/>
                <w:i w:val="0"/>
                <w:sz w:val="16"/>
              </w:rPr>
              <w:t>S1 completed entirely by HR Manager; “handwriting analysis.”</w:t>
            </w:r>
          </w:p>
        </w:tc>
        <w:tc>
          <w:tcPr>
            <w:tcW w:type="dxa" w:w="3744"/>
          </w:tcPr>
          <w:p>
            <w:r/>
            <w:r>
              <w:rPr>
                <w:b w:val="0"/>
                <w:i w:val="0"/>
                <w:sz w:val="16"/>
              </w:rPr>
              <w:t>No examiner, method or report identified; demand it. A preparer may lawfully complete S1 if the preparer certification is executed and the employee signs. Name check: NSD response lists “Priya Mehta” (missing DOB, Exh. I-6) — confirm whether same person and whether ever noticed. If employee signature was not hers, this is the most serious item — interview witnesses.</w:t>
            </w:r>
          </w:p>
        </w:tc>
        <w:tc>
          <w:tcPr>
            <w:tcW w:type="dxa" w:w="1296"/>
          </w:tcPr>
          <w:p>
            <w:r/>
            <w:r>
              <w:rPr>
                <w:b w:val="0"/>
                <w:i w:val="0"/>
                <w:sz w:val="16"/>
              </w:rPr>
              <w:t>Substantive (contest proof)</w:t>
            </w:r>
          </w:p>
        </w:tc>
      </w:tr>
      <w:tr>
        <w:tc>
          <w:tcPr>
            <w:tcW w:type="dxa" w:w="432"/>
          </w:tcPr>
          <w:p>
            <w:r/>
            <w:r>
              <w:rPr>
                <w:b w:val="0"/>
                <w:i w:val="0"/>
                <w:sz w:val="16"/>
              </w:rPr>
              <w:t>4</w:t>
            </w:r>
          </w:p>
        </w:tc>
        <w:tc>
          <w:tcPr>
            <w:tcW w:type="dxa" w:w="1728"/>
          </w:tcPr>
          <w:p>
            <w:r/>
            <w:r>
              <w:rPr>
                <w:b w:val="0"/>
                <w:i w:val="0"/>
                <w:sz w:val="16"/>
              </w:rPr>
              <w:t>Arai (T2, $5,016)</w:t>
            </w:r>
          </w:p>
        </w:tc>
        <w:tc>
          <w:tcPr>
            <w:tcW w:type="dxa" w:w="2160"/>
          </w:tcPr>
          <w:p>
            <w:r/>
            <w:r>
              <w:rPr>
                <w:b w:val="0"/>
                <w:i w:val="0"/>
                <w:sz w:val="16"/>
              </w:rPr>
              <w:t>Expired U.S. passport (exp. 9/2016) accepted at 11/3/2017 hire.</w:t>
            </w:r>
          </w:p>
        </w:tc>
        <w:tc>
          <w:tcPr>
            <w:tcW w:type="dxa" w:w="3744"/>
          </w:tcPr>
          <w:p>
            <w:r/>
            <w:r>
              <w:rPr>
                <w:b w:val="0"/>
                <w:i w:val="0"/>
                <w:sz w:val="16"/>
              </w:rPr>
              <w:t>Likely valid substantive violation (List A documents must be unexpired). Employee is presumably a U.S. citizen — no unauthorized-worker harm. Hire is 2017: SOL defense. T2 rate unlawful.</w:t>
            </w:r>
          </w:p>
        </w:tc>
        <w:tc>
          <w:tcPr>
            <w:tcW w:type="dxa" w:w="1296"/>
          </w:tcPr>
          <w:p>
            <w:r/>
            <w:r>
              <w:rPr>
                <w:b w:val="0"/>
                <w:i w:val="0"/>
                <w:sz w:val="16"/>
              </w:rPr>
              <w:t>Substantive — SOL; mitigate</w:t>
            </w:r>
          </w:p>
        </w:tc>
      </w:tr>
      <w:tr>
        <w:tc>
          <w:tcPr>
            <w:tcW w:type="dxa" w:w="432"/>
          </w:tcPr>
          <w:p>
            <w:r/>
            <w:r>
              <w:rPr>
                <w:b w:val="0"/>
                <w:i w:val="0"/>
                <w:sz w:val="16"/>
              </w:rPr>
              <w:t>5</w:t>
            </w:r>
          </w:p>
        </w:tc>
        <w:tc>
          <w:tcPr>
            <w:tcW w:type="dxa" w:w="1728"/>
          </w:tcPr>
          <w:p>
            <w:r/>
            <w:r>
              <w:rPr>
                <w:b w:val="0"/>
                <w:i w:val="0"/>
                <w:sz w:val="16"/>
              </w:rPr>
              <w:t>Reyes-Montoya (T2, $5,016)</w:t>
            </w:r>
          </w:p>
        </w:tc>
        <w:tc>
          <w:tcPr>
            <w:tcW w:type="dxa" w:w="2160"/>
          </w:tcPr>
          <w:p>
            <w:r/>
            <w:r>
              <w:rPr>
                <w:b w:val="0"/>
                <w:i w:val="0"/>
                <w:sz w:val="16"/>
              </w:rPr>
              <w:t>Failed to reverify EAD that expired 7/1/2021.</w:t>
            </w:r>
          </w:p>
        </w:tc>
        <w:tc>
          <w:tcPr>
            <w:tcW w:type="dxa" w:w="3744"/>
          </w:tcPr>
          <w:p>
            <w:r/>
            <w:r>
              <w:rPr>
                <w:b/>
                <w:i w:val="0"/>
                <w:sz w:val="16"/>
              </w:rPr>
              <w:t>Factually wrong.</w:t>
            </w:r>
            <w:r>
              <w:rPr>
                <w:b w:val="0"/>
                <w:i w:val="0"/>
                <w:sz w:val="16"/>
              </w:rPr>
              <w:t xml:space="preserve"> Section 1 attests U.S. citizenship; S2 recorded Kansas DL (K09-22-8841) and unrestricted SSN card. No EAD was ever presented. Citizens are never reverified; 8 C.F.R. § 274a.2(b)(1)(vii) applies only to time-limited authorization. ICE appears to have confused him with another employee.</w:t>
            </w:r>
          </w:p>
        </w:tc>
        <w:tc>
          <w:tcPr>
            <w:tcW w:type="dxa" w:w="1296"/>
          </w:tcPr>
          <w:p>
            <w:r/>
            <w:r>
              <w:rPr>
                <w:b/>
                <w:i w:val="0"/>
                <w:sz w:val="16"/>
              </w:rPr>
              <w:t>Withdraw</w:t>
            </w:r>
          </w:p>
        </w:tc>
      </w:tr>
      <w:tr>
        <w:tc>
          <w:tcPr>
            <w:tcW w:type="dxa" w:w="432"/>
          </w:tcPr>
          <w:p>
            <w:r/>
            <w:r>
              <w:rPr>
                <w:b w:val="0"/>
                <w:i w:val="0"/>
                <w:sz w:val="16"/>
              </w:rPr>
              <w:t>6</w:t>
            </w:r>
          </w:p>
        </w:tc>
        <w:tc>
          <w:tcPr>
            <w:tcW w:type="dxa" w:w="1728"/>
          </w:tcPr>
          <w:p>
            <w:r/>
            <w:r>
              <w:rPr>
                <w:b w:val="0"/>
                <w:i w:val="0"/>
                <w:sz w:val="16"/>
              </w:rPr>
              <w:t>Sorokina (T2, $5,016)</w:t>
            </w:r>
          </w:p>
        </w:tc>
        <w:tc>
          <w:tcPr>
            <w:tcW w:type="dxa" w:w="2160"/>
          </w:tcPr>
          <w:p>
            <w:r/>
            <w:r>
              <w:rPr>
                <w:b w:val="0"/>
                <w:i w:val="0"/>
                <w:sz w:val="16"/>
              </w:rPr>
              <w:t>Restricted SSN card recorded as unrestricted List C document.</w:t>
            </w:r>
          </w:p>
        </w:tc>
        <w:tc>
          <w:tcPr>
            <w:tcW w:type="dxa" w:w="3744"/>
          </w:tcPr>
          <w:p>
            <w:r/>
            <w:r>
              <w:rPr>
                <w:b w:val="0"/>
                <w:i w:val="0"/>
                <w:sz w:val="16"/>
              </w:rPr>
              <w:t>Restricted card is not acceptable List C; deficiency acknowledged in response. But employee attested as an alien authorized to work and has presented current documentation (Exh. F-1); she is authorized. A wrong-document/recording issue, not seriousness warranting T2. Double-counted in Cat. C.</w:t>
            </w:r>
          </w:p>
        </w:tc>
        <w:tc>
          <w:tcPr>
            <w:tcW w:type="dxa" w:w="1296"/>
          </w:tcPr>
          <w:p>
            <w:r/>
            <w:r>
              <w:rPr>
                <w:b w:val="0"/>
                <w:i w:val="0"/>
                <w:sz w:val="16"/>
              </w:rPr>
              <w:t>Substantive — mitigate</w:t>
            </w:r>
          </w:p>
        </w:tc>
      </w:tr>
      <w:tr>
        <w:tc>
          <w:tcPr>
            <w:tcW w:type="dxa" w:w="432"/>
          </w:tcPr>
          <w:p>
            <w:r/>
            <w:r>
              <w:rPr>
                <w:b w:val="0"/>
                <w:i w:val="0"/>
                <w:sz w:val="16"/>
              </w:rPr>
              <w:t>7</w:t>
            </w:r>
          </w:p>
        </w:tc>
        <w:tc>
          <w:tcPr>
            <w:tcW w:type="dxa" w:w="1728"/>
          </w:tcPr>
          <w:p>
            <w:r/>
            <w:r>
              <w:rPr>
                <w:b w:val="0"/>
                <w:i w:val="0"/>
                <w:sz w:val="16"/>
              </w:rPr>
              <w:t>Mendoza-Torres (T2, $5,016)</w:t>
            </w:r>
          </w:p>
        </w:tc>
        <w:tc>
          <w:tcPr>
            <w:tcW w:type="dxa" w:w="2160"/>
          </w:tcPr>
          <w:p>
            <w:r/>
            <w:r>
              <w:rPr>
                <w:b w:val="0"/>
                <w:i w:val="0"/>
                <w:sz w:val="16"/>
              </w:rPr>
              <w:t>Employer did not sign S2.</w:t>
            </w:r>
          </w:p>
        </w:tc>
        <w:tc>
          <w:tcPr>
            <w:tcW w:type="dxa" w:w="3744"/>
          </w:tcPr>
          <w:p>
            <w:r/>
            <w:r>
              <w:rPr>
                <w:b w:val="0"/>
                <w:i w:val="0"/>
                <w:sz w:val="16"/>
              </w:rPr>
              <w:t>Failure to sign S2 attestation is generally substantive. Confirm on original; no allegation of unauthorized status.</w:t>
            </w:r>
          </w:p>
        </w:tc>
        <w:tc>
          <w:tcPr>
            <w:tcW w:type="dxa" w:w="1296"/>
          </w:tcPr>
          <w:p>
            <w:r/>
            <w:r>
              <w:rPr>
                <w:b w:val="0"/>
                <w:i w:val="0"/>
                <w:sz w:val="16"/>
              </w:rPr>
              <w:t>Substantive — mitigate</w:t>
            </w:r>
          </w:p>
        </w:tc>
      </w:tr>
      <w:tr>
        <w:tc>
          <w:tcPr>
            <w:tcW w:type="dxa" w:w="432"/>
          </w:tcPr>
          <w:p>
            <w:r/>
            <w:r>
              <w:rPr>
                <w:b w:val="0"/>
                <w:i w:val="0"/>
                <w:sz w:val="16"/>
              </w:rPr>
              <w:t>8</w:t>
            </w:r>
          </w:p>
        </w:tc>
        <w:tc>
          <w:tcPr>
            <w:tcW w:type="dxa" w:w="1728"/>
          </w:tcPr>
          <w:p>
            <w:r/>
            <w:r>
              <w:rPr>
                <w:b w:val="0"/>
                <w:i w:val="0"/>
                <w:sz w:val="16"/>
              </w:rPr>
              <w:t>Voskresenskaya (T2, $5,016)</w:t>
            </w:r>
          </w:p>
        </w:tc>
        <w:tc>
          <w:tcPr>
            <w:tcW w:type="dxa" w:w="2160"/>
          </w:tcPr>
          <w:p>
            <w:r/>
            <w:r>
              <w:rPr>
                <w:b w:val="0"/>
                <w:i w:val="0"/>
                <w:sz w:val="16"/>
              </w:rPr>
              <w:t>List B document title blank; number and expiration recorded.</w:t>
            </w:r>
          </w:p>
        </w:tc>
        <w:tc>
          <w:tcPr>
            <w:tcW w:type="dxa" w:w="3744"/>
          </w:tcPr>
          <w:p>
            <w:r/>
            <w:r>
              <w:rPr>
                <w:b w:val="0"/>
                <w:i w:val="0"/>
                <w:sz w:val="16"/>
              </w:rPr>
              <w:t>Classic technical failure where number/expiration are recorded and a copy is retained. Never noticed; § 1324a(b)(6). T2 inconsistent with T1 treatment of similar items (#21, #26).</w:t>
            </w:r>
          </w:p>
        </w:tc>
        <w:tc>
          <w:tcPr>
            <w:tcW w:type="dxa" w:w="1296"/>
          </w:tcPr>
          <w:p>
            <w:r/>
            <w:r>
              <w:rPr>
                <w:b/>
                <w:i w:val="0"/>
                <w:sz w:val="16"/>
              </w:rPr>
              <w:t>Technical — withdraw</w:t>
            </w:r>
          </w:p>
        </w:tc>
      </w:tr>
      <w:tr>
        <w:tc>
          <w:tcPr>
            <w:tcW w:type="dxa" w:w="432"/>
          </w:tcPr>
          <w:p>
            <w:r/>
            <w:r>
              <w:rPr>
                <w:b w:val="0"/>
                <w:i w:val="0"/>
                <w:sz w:val="16"/>
              </w:rPr>
              <w:t>9</w:t>
            </w:r>
          </w:p>
        </w:tc>
        <w:tc>
          <w:tcPr>
            <w:tcW w:type="dxa" w:w="1728"/>
          </w:tcPr>
          <w:p>
            <w:r/>
            <w:r>
              <w:rPr>
                <w:b w:val="0"/>
                <w:i w:val="0"/>
                <w:sz w:val="16"/>
              </w:rPr>
              <w:t>Asante (T2, $5,016)</w:t>
            </w:r>
          </w:p>
        </w:tc>
        <w:tc>
          <w:tcPr>
            <w:tcW w:type="dxa" w:w="2160"/>
          </w:tcPr>
          <w:p>
            <w:r/>
            <w:r>
              <w:rPr>
                <w:b w:val="0"/>
                <w:i w:val="0"/>
                <w:sz w:val="16"/>
              </w:rPr>
              <w:t>S2 certification undated.</w:t>
            </w:r>
          </w:p>
        </w:tc>
        <w:tc>
          <w:tcPr>
            <w:tcW w:type="dxa" w:w="3744"/>
          </w:tcPr>
          <w:p>
            <w:r/>
            <w:r>
              <w:rPr>
                <w:b w:val="0"/>
                <w:i w:val="0"/>
                <w:sz w:val="16"/>
              </w:rPr>
              <w:t>Treated as technical/procedural under ICE guidance where S2 is otherwise complete and signed; hire date is recorded. Never noticed. Hire 1/2019: SOL.</w:t>
            </w:r>
          </w:p>
        </w:tc>
        <w:tc>
          <w:tcPr>
            <w:tcW w:type="dxa" w:w="1296"/>
          </w:tcPr>
          <w:p>
            <w:r/>
            <w:r>
              <w:rPr>
                <w:b w:val="0"/>
                <w:i w:val="0"/>
                <w:sz w:val="16"/>
              </w:rPr>
              <w:t>Technical (arguable) — withdraw</w:t>
            </w:r>
          </w:p>
        </w:tc>
      </w:tr>
      <w:tr>
        <w:tc>
          <w:tcPr>
            <w:tcW w:type="dxa" w:w="432"/>
          </w:tcPr>
          <w:p>
            <w:r/>
            <w:r>
              <w:rPr>
                <w:b w:val="0"/>
                <w:i w:val="0"/>
                <w:sz w:val="16"/>
              </w:rPr>
              <w:t>10</w:t>
            </w:r>
          </w:p>
        </w:tc>
        <w:tc>
          <w:tcPr>
            <w:tcW w:type="dxa" w:w="1728"/>
          </w:tcPr>
          <w:p>
            <w:r/>
            <w:r>
              <w:rPr>
                <w:b w:val="0"/>
                <w:i w:val="0"/>
                <w:sz w:val="16"/>
              </w:rPr>
              <w:t>Chow (T2, $5,016)</w:t>
            </w:r>
          </w:p>
        </w:tc>
        <w:tc>
          <w:tcPr>
            <w:tcW w:type="dxa" w:w="2160"/>
          </w:tcPr>
          <w:p>
            <w:r/>
            <w:r>
              <w:rPr>
                <w:b w:val="0"/>
                <w:i w:val="0"/>
                <w:sz w:val="16"/>
              </w:rPr>
              <w:t>List A (U.S. passport card) expiration date blank.</w:t>
            </w:r>
          </w:p>
        </w:tc>
        <w:tc>
          <w:tcPr>
            <w:tcW w:type="dxa" w:w="3744"/>
          </w:tcPr>
          <w:p>
            <w:r/>
            <w:r>
              <w:rPr>
                <w:b w:val="0"/>
                <w:i w:val="0"/>
                <w:sz w:val="16"/>
              </w:rPr>
              <w:t>Technical; same omission charged at T1 for Washington (#26). Never noticed.</w:t>
            </w:r>
          </w:p>
        </w:tc>
        <w:tc>
          <w:tcPr>
            <w:tcW w:type="dxa" w:w="1296"/>
          </w:tcPr>
          <w:p>
            <w:r/>
            <w:r>
              <w:rPr>
                <w:b/>
                <w:i w:val="0"/>
                <w:sz w:val="16"/>
              </w:rPr>
              <w:t>Technical — withdraw</w:t>
            </w:r>
          </w:p>
        </w:tc>
      </w:tr>
      <w:tr>
        <w:tc>
          <w:tcPr>
            <w:tcW w:type="dxa" w:w="432"/>
          </w:tcPr>
          <w:p>
            <w:r/>
            <w:r>
              <w:rPr>
                <w:b w:val="0"/>
                <w:i w:val="0"/>
                <w:sz w:val="16"/>
              </w:rPr>
              <w:t>11</w:t>
            </w:r>
          </w:p>
        </w:tc>
        <w:tc>
          <w:tcPr>
            <w:tcW w:type="dxa" w:w="1728"/>
          </w:tcPr>
          <w:p>
            <w:r/>
            <w:r>
              <w:rPr>
                <w:b w:val="0"/>
                <w:i w:val="0"/>
                <w:sz w:val="16"/>
              </w:rPr>
              <w:t>Hassan (T2, $5,016)</w:t>
            </w:r>
          </w:p>
        </w:tc>
        <w:tc>
          <w:tcPr>
            <w:tcW w:type="dxa" w:w="2160"/>
          </w:tcPr>
          <w:p>
            <w:r/>
            <w:r>
              <w:rPr>
                <w:b w:val="0"/>
                <w:i w:val="0"/>
                <w:sz w:val="16"/>
              </w:rPr>
              <w:t>List B (KS DL) number blank.</w:t>
            </w:r>
          </w:p>
        </w:tc>
        <w:tc>
          <w:tcPr>
            <w:tcW w:type="dxa" w:w="3744"/>
          </w:tcPr>
          <w:p>
            <w:r/>
            <w:r>
              <w:rPr>
                <w:b w:val="0"/>
                <w:i w:val="0"/>
                <w:sz w:val="16"/>
              </w:rPr>
              <w:t>Technical if copy retained; never noticed. Hire 11/2018: SOL. Inconsistent tiering with #21.</w:t>
            </w:r>
          </w:p>
        </w:tc>
        <w:tc>
          <w:tcPr>
            <w:tcW w:type="dxa" w:w="1296"/>
          </w:tcPr>
          <w:p>
            <w:r/>
            <w:r>
              <w:rPr>
                <w:b/>
                <w:i w:val="0"/>
                <w:sz w:val="16"/>
              </w:rPr>
              <w:t>Technical — withdraw</w:t>
            </w:r>
          </w:p>
        </w:tc>
      </w:tr>
      <w:tr>
        <w:tc>
          <w:tcPr>
            <w:tcW w:type="dxa" w:w="432"/>
          </w:tcPr>
          <w:p>
            <w:r/>
            <w:r>
              <w:rPr>
                <w:b w:val="0"/>
                <w:i w:val="0"/>
                <w:sz w:val="16"/>
              </w:rPr>
              <w:t>12</w:t>
            </w:r>
          </w:p>
        </w:tc>
        <w:tc>
          <w:tcPr>
            <w:tcW w:type="dxa" w:w="1728"/>
          </w:tcPr>
          <w:p>
            <w:r/>
            <w:r>
              <w:rPr>
                <w:b w:val="0"/>
                <w:i w:val="0"/>
                <w:sz w:val="16"/>
              </w:rPr>
              <w:t>Y. Park (T1, $2,507)</w:t>
            </w:r>
          </w:p>
        </w:tc>
        <w:tc>
          <w:tcPr>
            <w:tcW w:type="dxa" w:w="2160"/>
          </w:tcPr>
          <w:p>
            <w:r/>
            <w:r>
              <w:rPr>
                <w:b w:val="0"/>
                <w:i w:val="0"/>
                <w:sz w:val="16"/>
              </w:rPr>
              <w:t>I-551 recorded in List B and KS DL in List C.</w:t>
            </w:r>
          </w:p>
        </w:tc>
        <w:tc>
          <w:tcPr>
            <w:tcW w:type="dxa" w:w="3744"/>
          </w:tcPr>
          <w:p>
            <w:r/>
            <w:r>
              <w:rPr>
                <w:b w:val="0"/>
                <w:i w:val="0"/>
                <w:sz w:val="16"/>
              </w:rPr>
              <w:t>Valid List A document examined; recording in wrong column is technical. NIF also misstates the rules: a driver’s license is a List B, not List C, document. NSD response lists “David O. Park” (wrong box in S1) — apparently a different employee; never noticed.</w:t>
            </w:r>
          </w:p>
        </w:tc>
        <w:tc>
          <w:tcPr>
            <w:tcW w:type="dxa" w:w="1296"/>
          </w:tcPr>
          <w:p>
            <w:r/>
            <w:r>
              <w:rPr>
                <w:b/>
                <w:i w:val="0"/>
                <w:sz w:val="16"/>
              </w:rPr>
              <w:t>Technical — withdraw</w:t>
            </w:r>
          </w:p>
        </w:tc>
      </w:tr>
      <w:tr>
        <w:tc>
          <w:tcPr>
            <w:tcW w:type="dxa" w:w="432"/>
          </w:tcPr>
          <w:p>
            <w:r/>
            <w:r>
              <w:rPr>
                <w:b w:val="0"/>
                <w:i w:val="0"/>
                <w:sz w:val="16"/>
              </w:rPr>
              <w:t>13</w:t>
            </w:r>
          </w:p>
        </w:tc>
        <w:tc>
          <w:tcPr>
            <w:tcW w:type="dxa" w:w="1728"/>
          </w:tcPr>
          <w:p>
            <w:r/>
            <w:r>
              <w:rPr>
                <w:b w:val="0"/>
                <w:i w:val="0"/>
                <w:sz w:val="16"/>
              </w:rPr>
              <w:t>Petrescu (T1, $2,507)</w:t>
            </w:r>
          </w:p>
        </w:tc>
        <w:tc>
          <w:tcPr>
            <w:tcW w:type="dxa" w:w="2160"/>
          </w:tcPr>
          <w:p>
            <w:r/>
            <w:r>
              <w:rPr>
                <w:b w:val="0"/>
                <w:i w:val="0"/>
                <w:sz w:val="16"/>
              </w:rPr>
              <w:t>DL number recorded K08-74-2213; copy shows K08-74-2231.</w:t>
            </w:r>
          </w:p>
        </w:tc>
        <w:tc>
          <w:tcPr>
            <w:tcW w:type="dxa" w:w="3744"/>
          </w:tcPr>
          <w:p>
            <w:r/>
            <w:r>
              <w:rPr>
                <w:b w:val="0"/>
                <w:i w:val="0"/>
                <w:sz w:val="16"/>
              </w:rPr>
              <w:t>Transposition; ICE’s own finding relies on the retained photocopy, which defeats any claim that the document could not be verified. Workbook confirms. Technical.</w:t>
            </w:r>
          </w:p>
        </w:tc>
        <w:tc>
          <w:tcPr>
            <w:tcW w:type="dxa" w:w="1296"/>
          </w:tcPr>
          <w:p>
            <w:r/>
            <w:r>
              <w:rPr>
                <w:b/>
                <w:i w:val="0"/>
                <w:sz w:val="16"/>
              </w:rPr>
              <w:t>Technical — withdraw</w:t>
            </w:r>
          </w:p>
        </w:tc>
      </w:tr>
      <w:tr>
        <w:tc>
          <w:tcPr>
            <w:tcW w:type="dxa" w:w="432"/>
          </w:tcPr>
          <w:p>
            <w:r/>
            <w:r>
              <w:rPr>
                <w:b w:val="0"/>
                <w:i w:val="0"/>
                <w:sz w:val="16"/>
              </w:rPr>
              <w:t>14</w:t>
            </w:r>
          </w:p>
        </w:tc>
        <w:tc>
          <w:tcPr>
            <w:tcW w:type="dxa" w:w="1728"/>
          </w:tcPr>
          <w:p>
            <w:r/>
            <w:r>
              <w:rPr>
                <w:b w:val="0"/>
                <w:i w:val="0"/>
                <w:sz w:val="16"/>
              </w:rPr>
              <w:t>Kowalski (T1, $2,507)</w:t>
            </w:r>
          </w:p>
        </w:tc>
        <w:tc>
          <w:tcPr>
            <w:tcW w:type="dxa" w:w="2160"/>
          </w:tcPr>
          <w:p>
            <w:r/>
            <w:r>
              <w:rPr>
                <w:b w:val="0"/>
                <w:i w:val="0"/>
                <w:sz w:val="16"/>
              </w:rPr>
              <w:t>S1 status box blank.</w:t>
            </w:r>
          </w:p>
        </w:tc>
        <w:tc>
          <w:tcPr>
            <w:tcW w:type="dxa" w:w="3744"/>
          </w:tcPr>
          <w:p>
            <w:r/>
            <w:r>
              <w:rPr>
                <w:b w:val="0"/>
                <w:i w:val="0"/>
                <w:sz w:val="16"/>
              </w:rPr>
              <w:t>Failure to check a status box is generally substantive, but employee signed the attestation and presented List B + unrestricted SSN card (consistent with citizen/LPR status). Hire 8/14/2023, S2 same day. Low seriousness.</w:t>
            </w:r>
          </w:p>
        </w:tc>
        <w:tc>
          <w:tcPr>
            <w:tcW w:type="dxa" w:w="1296"/>
          </w:tcPr>
          <w:p>
            <w:r/>
            <w:r>
              <w:rPr>
                <w:b w:val="0"/>
                <w:i w:val="0"/>
                <w:sz w:val="16"/>
              </w:rPr>
              <w:t>Substantive — mitigate to minimum</w:t>
            </w:r>
          </w:p>
        </w:tc>
      </w:tr>
      <w:tr>
        <w:tc>
          <w:tcPr>
            <w:tcW w:type="dxa" w:w="432"/>
          </w:tcPr>
          <w:p>
            <w:r/>
            <w:r>
              <w:rPr>
                <w:b w:val="0"/>
                <w:i w:val="0"/>
                <w:sz w:val="16"/>
              </w:rPr>
              <w:t>15</w:t>
            </w:r>
          </w:p>
        </w:tc>
        <w:tc>
          <w:tcPr>
            <w:tcW w:type="dxa" w:w="1728"/>
          </w:tcPr>
          <w:p>
            <w:r/>
            <w:r>
              <w:rPr>
                <w:b w:val="0"/>
                <w:i w:val="0"/>
                <w:sz w:val="16"/>
              </w:rPr>
              <w:t>Benali (T1, $2,507)</w:t>
            </w:r>
          </w:p>
        </w:tc>
        <w:tc>
          <w:tcPr>
            <w:tcW w:type="dxa" w:w="2160"/>
          </w:tcPr>
          <w:p>
            <w:r/>
            <w:r>
              <w:rPr>
                <w:b w:val="0"/>
                <w:i w:val="0"/>
                <w:sz w:val="16"/>
              </w:rPr>
              <w:t>Obsolete form (Rev. 11/14/2016); claims it “expired” 8/31/2019 and hire postdated “mandatory transition” to 10/21/2019 edition.</w:t>
            </w:r>
          </w:p>
        </w:tc>
        <w:tc>
          <w:tcPr>
            <w:tcW w:type="dxa" w:w="3744"/>
          </w:tcPr>
          <w:p>
            <w:r/>
            <w:r>
              <w:rPr>
                <w:b w:val="0"/>
                <w:i w:val="0"/>
                <w:sz w:val="16"/>
              </w:rPr>
              <w:t>NIF misstates form history: use of the 10/21/2019 edition became mandatory May 1, 2020 — after the 2/20/2020 hire; the prior 07/17/2017 edition remained valid until then. The 11/14/2016 edition was superseded in 2017, so a version error exists, but form-version errors are treated as technical/procedural and are fully curable (new I-9, Exh. G-1). Workbook shows 53 employees on the 2016 edition; ICE charged only Benali — arbitrary. Double-counted in Cat. C.</w:t>
            </w:r>
          </w:p>
        </w:tc>
        <w:tc>
          <w:tcPr>
            <w:tcW w:type="dxa" w:w="1296"/>
          </w:tcPr>
          <w:p>
            <w:r/>
            <w:r>
              <w:rPr>
                <w:b w:val="0"/>
                <w:i w:val="0"/>
                <w:sz w:val="16"/>
              </w:rPr>
              <w:t>Technical (arguable) — withdraw</w:t>
            </w:r>
          </w:p>
        </w:tc>
      </w:tr>
      <w:tr>
        <w:tc>
          <w:tcPr>
            <w:tcW w:type="dxa" w:w="432"/>
          </w:tcPr>
          <w:p>
            <w:r/>
            <w:r>
              <w:rPr>
                <w:b w:val="0"/>
                <w:i w:val="0"/>
                <w:sz w:val="16"/>
              </w:rPr>
              <w:t>16</w:t>
            </w:r>
          </w:p>
        </w:tc>
        <w:tc>
          <w:tcPr>
            <w:tcW w:type="dxa" w:w="1728"/>
          </w:tcPr>
          <w:p>
            <w:r/>
            <w:r>
              <w:rPr>
                <w:b w:val="0"/>
                <w:i w:val="0"/>
                <w:sz w:val="16"/>
              </w:rPr>
              <w:t>Harmon (T1, $2,507)</w:t>
            </w:r>
          </w:p>
        </w:tc>
        <w:tc>
          <w:tcPr>
            <w:tcW w:type="dxa" w:w="2160"/>
          </w:tcPr>
          <w:p>
            <w:r/>
            <w:r>
              <w:rPr>
                <w:b w:val="0"/>
                <w:i w:val="0"/>
                <w:sz w:val="16"/>
              </w:rPr>
              <w:t>S1 DOB 03/31/1990 vs. DL 03/13/1990.</w:t>
            </w:r>
          </w:p>
        </w:tc>
        <w:tc>
          <w:tcPr>
            <w:tcW w:type="dxa" w:w="3744"/>
          </w:tcPr>
          <w:p>
            <w:r/>
            <w:r>
              <w:rPr>
                <w:b w:val="0"/>
                <w:i w:val="0"/>
                <w:sz w:val="16"/>
              </w:rPr>
              <w:t>Transposition in employee-supplied biographic data; technical. Hire 6/2018: SOL.</w:t>
            </w:r>
          </w:p>
        </w:tc>
        <w:tc>
          <w:tcPr>
            <w:tcW w:type="dxa" w:w="1296"/>
          </w:tcPr>
          <w:p>
            <w:r/>
            <w:r>
              <w:rPr>
                <w:b/>
                <w:i w:val="0"/>
                <w:sz w:val="16"/>
              </w:rPr>
              <w:t>Technical — withdraw</w:t>
            </w:r>
          </w:p>
        </w:tc>
      </w:tr>
      <w:tr>
        <w:tc>
          <w:tcPr>
            <w:tcW w:type="dxa" w:w="432"/>
          </w:tcPr>
          <w:p>
            <w:r/>
            <w:r>
              <w:rPr>
                <w:b w:val="0"/>
                <w:i w:val="0"/>
                <w:sz w:val="16"/>
              </w:rPr>
              <w:t>17</w:t>
            </w:r>
          </w:p>
        </w:tc>
        <w:tc>
          <w:tcPr>
            <w:tcW w:type="dxa" w:w="1728"/>
          </w:tcPr>
          <w:p>
            <w:r/>
            <w:r>
              <w:rPr>
                <w:b w:val="0"/>
                <w:i w:val="0"/>
                <w:sz w:val="16"/>
              </w:rPr>
              <w:t>Novak (T1, $2,507)</w:t>
            </w:r>
          </w:p>
        </w:tc>
        <w:tc>
          <w:tcPr>
            <w:tcW w:type="dxa" w:w="2160"/>
          </w:tcPr>
          <w:p>
            <w:r/>
            <w:r>
              <w:rPr>
                <w:b w:val="0"/>
                <w:i w:val="0"/>
                <w:sz w:val="16"/>
              </w:rPr>
              <w:t>Employer business name/address blank.</w:t>
            </w:r>
          </w:p>
        </w:tc>
        <w:tc>
          <w:tcPr>
            <w:tcW w:type="dxa" w:w="3744"/>
          </w:tcPr>
          <w:p>
            <w:r/>
            <w:r>
              <w:rPr>
                <w:b w:val="0"/>
                <w:i w:val="0"/>
                <w:sz w:val="16"/>
              </w:rPr>
              <w:t>Expressly technical under ICE guidance.</w:t>
            </w:r>
          </w:p>
        </w:tc>
        <w:tc>
          <w:tcPr>
            <w:tcW w:type="dxa" w:w="1296"/>
          </w:tcPr>
          <w:p>
            <w:r/>
            <w:r>
              <w:rPr>
                <w:b/>
                <w:i w:val="0"/>
                <w:sz w:val="16"/>
              </w:rPr>
              <w:t>Technical — withdraw</w:t>
            </w:r>
          </w:p>
        </w:tc>
      </w:tr>
      <w:tr>
        <w:tc>
          <w:tcPr>
            <w:tcW w:type="dxa" w:w="432"/>
          </w:tcPr>
          <w:p>
            <w:r/>
            <w:r>
              <w:rPr>
                <w:b w:val="0"/>
                <w:i w:val="0"/>
                <w:sz w:val="16"/>
              </w:rPr>
              <w:t>18</w:t>
            </w:r>
          </w:p>
        </w:tc>
        <w:tc>
          <w:tcPr>
            <w:tcW w:type="dxa" w:w="1728"/>
          </w:tcPr>
          <w:p>
            <w:r/>
            <w:r>
              <w:rPr>
                <w:b w:val="0"/>
                <w:i w:val="0"/>
                <w:sz w:val="16"/>
              </w:rPr>
              <w:t>Oduya (T1, $2,507)</w:t>
            </w:r>
          </w:p>
        </w:tc>
        <w:tc>
          <w:tcPr>
            <w:tcW w:type="dxa" w:w="2160"/>
          </w:tcPr>
          <w:p>
            <w:r/>
            <w:r>
              <w:rPr>
                <w:b w:val="0"/>
                <w:i w:val="0"/>
                <w:sz w:val="16"/>
              </w:rPr>
              <w:t>Employee did not sign S1.</w:t>
            </w:r>
          </w:p>
        </w:tc>
        <w:tc>
          <w:tcPr>
            <w:tcW w:type="dxa" w:w="3744"/>
          </w:tcPr>
          <w:p>
            <w:r/>
            <w:r>
              <w:rPr>
                <w:b w:val="0"/>
                <w:i w:val="0"/>
                <w:sz w:val="16"/>
              </w:rPr>
              <w:t>Substantive. Mitigate.</w:t>
            </w:r>
          </w:p>
        </w:tc>
        <w:tc>
          <w:tcPr>
            <w:tcW w:type="dxa" w:w="1296"/>
          </w:tcPr>
          <w:p>
            <w:r/>
            <w:r>
              <w:rPr>
                <w:b w:val="0"/>
                <w:i w:val="0"/>
                <w:sz w:val="16"/>
              </w:rPr>
              <w:t>Substantive — mitigate</w:t>
            </w:r>
          </w:p>
        </w:tc>
      </w:tr>
      <w:tr>
        <w:tc>
          <w:tcPr>
            <w:tcW w:type="dxa" w:w="432"/>
          </w:tcPr>
          <w:p>
            <w:r/>
            <w:r>
              <w:rPr>
                <w:b w:val="0"/>
                <w:i w:val="0"/>
                <w:sz w:val="16"/>
              </w:rPr>
              <w:t>19</w:t>
            </w:r>
          </w:p>
        </w:tc>
        <w:tc>
          <w:tcPr>
            <w:tcW w:type="dxa" w:w="1728"/>
          </w:tcPr>
          <w:p>
            <w:r/>
            <w:r>
              <w:rPr>
                <w:b w:val="0"/>
                <w:i w:val="0"/>
                <w:sz w:val="16"/>
              </w:rPr>
              <w:t>Schaefer (T1, $2,507)</w:t>
            </w:r>
          </w:p>
        </w:tc>
        <w:tc>
          <w:tcPr>
            <w:tcW w:type="dxa" w:w="2160"/>
          </w:tcPr>
          <w:p>
            <w:r/>
            <w:r>
              <w:rPr>
                <w:b w:val="0"/>
                <w:i w:val="0"/>
                <w:sz w:val="16"/>
              </w:rPr>
              <w:t>S2 “first day of employment” blank.</w:t>
            </w:r>
          </w:p>
        </w:tc>
        <w:tc>
          <w:tcPr>
            <w:tcW w:type="dxa" w:w="3744"/>
          </w:tcPr>
          <w:p>
            <w:r/>
            <w:r>
              <w:rPr>
                <w:b w:val="0"/>
                <w:i w:val="0"/>
                <w:sz w:val="16"/>
              </w:rPr>
              <w:t>Generally technical where hire date is ascertainable from payroll (ICE has payroll). Hire 3/2019: SOL.</w:t>
            </w:r>
          </w:p>
        </w:tc>
        <w:tc>
          <w:tcPr>
            <w:tcW w:type="dxa" w:w="1296"/>
          </w:tcPr>
          <w:p>
            <w:r/>
            <w:r>
              <w:rPr>
                <w:b w:val="0"/>
                <w:i w:val="0"/>
                <w:sz w:val="16"/>
              </w:rPr>
              <w:t>Technical (arguable) — withdraw</w:t>
            </w:r>
          </w:p>
        </w:tc>
      </w:tr>
      <w:tr>
        <w:tc>
          <w:tcPr>
            <w:tcW w:type="dxa" w:w="432"/>
          </w:tcPr>
          <w:p>
            <w:r/>
            <w:r>
              <w:rPr>
                <w:b w:val="0"/>
                <w:i w:val="0"/>
                <w:sz w:val="16"/>
              </w:rPr>
              <w:t>20</w:t>
            </w:r>
          </w:p>
        </w:tc>
        <w:tc>
          <w:tcPr>
            <w:tcW w:type="dxa" w:w="1728"/>
          </w:tcPr>
          <w:p>
            <w:r/>
            <w:r>
              <w:rPr>
                <w:b w:val="0"/>
                <w:i w:val="0"/>
                <w:sz w:val="16"/>
              </w:rPr>
              <w:t>Robles (T1, $2,507)</w:t>
            </w:r>
          </w:p>
        </w:tc>
        <w:tc>
          <w:tcPr>
            <w:tcW w:type="dxa" w:w="2160"/>
          </w:tcPr>
          <w:p>
            <w:r/>
            <w:r>
              <w:rPr>
                <w:b w:val="0"/>
                <w:i w:val="0"/>
                <w:sz w:val="16"/>
              </w:rPr>
              <w:t>S1 field for “date the employee began employment” blank.</w:t>
            </w:r>
          </w:p>
        </w:tc>
        <w:tc>
          <w:tcPr>
            <w:tcW w:type="dxa" w:w="3744"/>
          </w:tcPr>
          <w:p>
            <w:r/>
            <w:r>
              <w:rPr>
                <w:b w:val="0"/>
                <w:i w:val="0"/>
                <w:sz w:val="16"/>
              </w:rPr>
              <w:t>Section 1 contains no such field (first day of employment is in Section 2); the charge is internally incoherent. If it means the S1 signature date, that is technical where the employee signed. Fails to give fair notice of the violation.</w:t>
            </w:r>
          </w:p>
        </w:tc>
        <w:tc>
          <w:tcPr>
            <w:tcW w:type="dxa" w:w="1296"/>
          </w:tcPr>
          <w:p>
            <w:r/>
            <w:r>
              <w:rPr>
                <w:b/>
                <w:i w:val="0"/>
                <w:sz w:val="16"/>
              </w:rPr>
              <w:t>Technical / defective — withdraw</w:t>
            </w:r>
          </w:p>
        </w:tc>
      </w:tr>
      <w:tr>
        <w:tc>
          <w:tcPr>
            <w:tcW w:type="dxa" w:w="432"/>
          </w:tcPr>
          <w:p>
            <w:r/>
            <w:r>
              <w:rPr>
                <w:b w:val="0"/>
                <w:i w:val="0"/>
                <w:sz w:val="16"/>
              </w:rPr>
              <w:t>21</w:t>
            </w:r>
          </w:p>
        </w:tc>
        <w:tc>
          <w:tcPr>
            <w:tcW w:type="dxa" w:w="1728"/>
          </w:tcPr>
          <w:p>
            <w:r/>
            <w:r>
              <w:rPr>
                <w:b w:val="0"/>
                <w:i w:val="0"/>
                <w:sz w:val="16"/>
              </w:rPr>
              <w:t>Moretti (T1, $2,507)</w:t>
            </w:r>
          </w:p>
        </w:tc>
        <w:tc>
          <w:tcPr>
            <w:tcW w:type="dxa" w:w="2160"/>
          </w:tcPr>
          <w:p>
            <w:r/>
            <w:r>
              <w:rPr>
                <w:b w:val="0"/>
                <w:i w:val="0"/>
                <w:sz w:val="16"/>
              </w:rPr>
              <w:t>List B issuing authority omitted (title “Kansas Driver’s License” recorded).</w:t>
            </w:r>
          </w:p>
        </w:tc>
        <w:tc>
          <w:tcPr>
            <w:tcW w:type="dxa" w:w="3744"/>
          </w:tcPr>
          <w:p>
            <w:r/>
            <w:r>
              <w:rPr>
                <w:b w:val="0"/>
                <w:i w:val="0"/>
                <w:sz w:val="16"/>
              </w:rPr>
              <w:t>Issuing authority is evident from the title recorded; technical. Hire 7/2017: SOL.</w:t>
            </w:r>
          </w:p>
        </w:tc>
        <w:tc>
          <w:tcPr>
            <w:tcW w:type="dxa" w:w="1296"/>
          </w:tcPr>
          <w:p>
            <w:r/>
            <w:r>
              <w:rPr>
                <w:b/>
                <w:i w:val="0"/>
                <w:sz w:val="16"/>
              </w:rPr>
              <w:t>Technical — withdraw</w:t>
            </w:r>
          </w:p>
        </w:tc>
      </w:tr>
      <w:tr>
        <w:tc>
          <w:tcPr>
            <w:tcW w:type="dxa" w:w="432"/>
          </w:tcPr>
          <w:p>
            <w:r/>
            <w:r>
              <w:rPr>
                <w:b w:val="0"/>
                <w:i w:val="0"/>
                <w:sz w:val="16"/>
              </w:rPr>
              <w:t>22</w:t>
            </w:r>
          </w:p>
        </w:tc>
        <w:tc>
          <w:tcPr>
            <w:tcW w:type="dxa" w:w="1728"/>
          </w:tcPr>
          <w:p>
            <w:r/>
            <w:r>
              <w:rPr>
                <w:b w:val="0"/>
                <w:i w:val="0"/>
                <w:sz w:val="16"/>
              </w:rPr>
              <w:t>S. Patel (T1, $2,507)</w:t>
            </w:r>
          </w:p>
        </w:tc>
        <w:tc>
          <w:tcPr>
            <w:tcW w:type="dxa" w:w="2160"/>
          </w:tcPr>
          <w:p>
            <w:r/>
            <w:r>
              <w:rPr>
                <w:b w:val="0"/>
                <w:i w:val="0"/>
                <w:sz w:val="16"/>
              </w:rPr>
              <w:t>A-Number entered in SSN field.</w:t>
            </w:r>
          </w:p>
        </w:tc>
        <w:tc>
          <w:tcPr>
            <w:tcW w:type="dxa" w:w="3744"/>
          </w:tcPr>
          <w:p>
            <w:r/>
            <w:r>
              <w:rPr>
                <w:b w:val="0"/>
                <w:i w:val="0"/>
                <w:sz w:val="16"/>
              </w:rPr>
              <w:t>Information is present on the form; wrong-field entry is technical.</w:t>
            </w:r>
          </w:p>
        </w:tc>
        <w:tc>
          <w:tcPr>
            <w:tcW w:type="dxa" w:w="1296"/>
          </w:tcPr>
          <w:p>
            <w:r/>
            <w:r>
              <w:rPr>
                <w:b/>
                <w:i w:val="0"/>
                <w:sz w:val="16"/>
              </w:rPr>
              <w:t>Technical — withdraw</w:t>
            </w:r>
          </w:p>
        </w:tc>
      </w:tr>
      <w:tr>
        <w:tc>
          <w:tcPr>
            <w:tcW w:type="dxa" w:w="432"/>
          </w:tcPr>
          <w:p>
            <w:r/>
            <w:r>
              <w:rPr>
                <w:b w:val="0"/>
                <w:i w:val="0"/>
                <w:sz w:val="16"/>
              </w:rPr>
              <w:t>23</w:t>
            </w:r>
          </w:p>
        </w:tc>
        <w:tc>
          <w:tcPr>
            <w:tcW w:type="dxa" w:w="1728"/>
          </w:tcPr>
          <w:p>
            <w:r/>
            <w:r>
              <w:rPr>
                <w:b w:val="0"/>
                <w:i w:val="0"/>
                <w:sz w:val="16"/>
              </w:rPr>
              <w:t>Bondarenko (T1, $2,507)</w:t>
            </w:r>
          </w:p>
        </w:tc>
        <w:tc>
          <w:tcPr>
            <w:tcW w:type="dxa" w:w="2160"/>
          </w:tcPr>
          <w:p>
            <w:r/>
            <w:r>
              <w:rPr>
                <w:b w:val="0"/>
                <w:i w:val="0"/>
                <w:sz w:val="16"/>
              </w:rPr>
              <w:t>SSN 612-48-9731 vs. card 612-48-9713.</w:t>
            </w:r>
          </w:p>
        </w:tc>
        <w:tc>
          <w:tcPr>
            <w:tcW w:type="dxa" w:w="3744"/>
          </w:tcPr>
          <w:p>
            <w:r/>
            <w:r>
              <w:rPr>
                <w:b w:val="0"/>
                <w:i w:val="0"/>
                <w:sz w:val="16"/>
              </w:rPr>
              <w:t>Transposition shown by ICE’s own reliance on retained copy; technical. NSD response refers to “Oleksiy Bondarenko — missing List B title” (Exh. I-4) — name and deficiency differ; reconcile.</w:t>
            </w:r>
          </w:p>
        </w:tc>
        <w:tc>
          <w:tcPr>
            <w:tcW w:type="dxa" w:w="1296"/>
          </w:tcPr>
          <w:p>
            <w:r/>
            <w:r>
              <w:rPr>
                <w:b/>
                <w:i w:val="0"/>
                <w:sz w:val="16"/>
              </w:rPr>
              <w:t>Technical — withdraw</w:t>
            </w:r>
          </w:p>
        </w:tc>
      </w:tr>
      <w:tr>
        <w:tc>
          <w:tcPr>
            <w:tcW w:type="dxa" w:w="432"/>
          </w:tcPr>
          <w:p>
            <w:r/>
            <w:r>
              <w:rPr>
                <w:b w:val="0"/>
                <w:i w:val="0"/>
                <w:sz w:val="16"/>
              </w:rPr>
              <w:t>24</w:t>
            </w:r>
          </w:p>
        </w:tc>
        <w:tc>
          <w:tcPr>
            <w:tcW w:type="dxa" w:w="1728"/>
          </w:tcPr>
          <w:p>
            <w:r/>
            <w:r>
              <w:rPr>
                <w:b w:val="0"/>
                <w:i w:val="0"/>
                <w:sz w:val="16"/>
              </w:rPr>
              <w:t>Figueroa (T1, $2,507)</w:t>
            </w:r>
          </w:p>
        </w:tc>
        <w:tc>
          <w:tcPr>
            <w:tcW w:type="dxa" w:w="2160"/>
          </w:tcPr>
          <w:p>
            <w:r/>
            <w:r>
              <w:rPr>
                <w:b w:val="0"/>
                <w:i w:val="0"/>
                <w:sz w:val="16"/>
              </w:rPr>
              <w:t>S1 signed but undated.</w:t>
            </w:r>
          </w:p>
        </w:tc>
        <w:tc>
          <w:tcPr>
            <w:tcW w:type="dxa" w:w="3744"/>
          </w:tcPr>
          <w:p>
            <w:r/>
            <w:r>
              <w:rPr>
                <w:b w:val="0"/>
                <w:i w:val="0"/>
                <w:sz w:val="16"/>
              </w:rPr>
              <w:t>Technical. Hire 1/2019: SOL.</w:t>
            </w:r>
          </w:p>
        </w:tc>
        <w:tc>
          <w:tcPr>
            <w:tcW w:type="dxa" w:w="1296"/>
          </w:tcPr>
          <w:p>
            <w:r/>
            <w:r>
              <w:rPr>
                <w:b/>
                <w:i w:val="0"/>
                <w:sz w:val="16"/>
              </w:rPr>
              <w:t>Technical — withdraw</w:t>
            </w:r>
          </w:p>
        </w:tc>
      </w:tr>
      <w:tr>
        <w:tc>
          <w:tcPr>
            <w:tcW w:type="dxa" w:w="432"/>
          </w:tcPr>
          <w:p>
            <w:r/>
            <w:r>
              <w:rPr>
                <w:b w:val="0"/>
                <w:i w:val="0"/>
                <w:sz w:val="16"/>
              </w:rPr>
              <w:t>25</w:t>
            </w:r>
          </w:p>
        </w:tc>
        <w:tc>
          <w:tcPr>
            <w:tcW w:type="dxa" w:w="1728"/>
          </w:tcPr>
          <w:p>
            <w:r/>
            <w:r>
              <w:rPr>
                <w:b w:val="0"/>
                <w:i w:val="0"/>
                <w:sz w:val="16"/>
              </w:rPr>
              <w:t>Halvorsen (T1, $2,507)</w:t>
            </w:r>
          </w:p>
        </w:tc>
        <w:tc>
          <w:tcPr>
            <w:tcW w:type="dxa" w:w="2160"/>
          </w:tcPr>
          <w:p>
            <w:r/>
            <w:r>
              <w:rPr>
                <w:b w:val="0"/>
                <w:i w:val="0"/>
                <w:sz w:val="16"/>
              </w:rPr>
              <w:t>S2 completed 9/3/2021 for 8/30/2021 hire.</w:t>
            </w:r>
          </w:p>
        </w:tc>
        <w:tc>
          <w:tcPr>
            <w:tcW w:type="dxa" w:w="3744"/>
          </w:tcPr>
          <w:p>
            <w:r/>
            <w:r>
              <w:rPr>
                <w:b w:val="0"/>
                <w:i w:val="0"/>
                <w:sz w:val="16"/>
              </w:rPr>
              <w:t>Accurate: Mon. 8/30 hire; deadline Thu. 9/2; completed Fri. 9/3 — one day late. Treated as substantive by ICE; de minimis. Note ICE assigned T1 here but T2 to #1.</w:t>
            </w:r>
          </w:p>
        </w:tc>
        <w:tc>
          <w:tcPr>
            <w:tcW w:type="dxa" w:w="1296"/>
          </w:tcPr>
          <w:p>
            <w:r/>
            <w:r>
              <w:rPr>
                <w:b w:val="0"/>
                <w:i w:val="0"/>
                <w:sz w:val="16"/>
              </w:rPr>
              <w:t>Substantive — mitigate to minimum</w:t>
            </w:r>
          </w:p>
        </w:tc>
      </w:tr>
      <w:tr>
        <w:tc>
          <w:tcPr>
            <w:tcW w:type="dxa" w:w="432"/>
          </w:tcPr>
          <w:p>
            <w:r/>
            <w:r>
              <w:rPr>
                <w:b w:val="0"/>
                <w:i w:val="0"/>
                <w:sz w:val="16"/>
              </w:rPr>
              <w:t>26</w:t>
            </w:r>
          </w:p>
        </w:tc>
        <w:tc>
          <w:tcPr>
            <w:tcW w:type="dxa" w:w="1728"/>
          </w:tcPr>
          <w:p>
            <w:r/>
            <w:r>
              <w:rPr>
                <w:b w:val="0"/>
                <w:i w:val="0"/>
                <w:sz w:val="16"/>
              </w:rPr>
              <w:t>D. Washington (T1, $2,507)</w:t>
            </w:r>
          </w:p>
        </w:tc>
        <w:tc>
          <w:tcPr>
            <w:tcW w:type="dxa" w:w="2160"/>
          </w:tcPr>
          <w:p>
            <w:r/>
            <w:r>
              <w:rPr>
                <w:b w:val="0"/>
                <w:i w:val="0"/>
                <w:sz w:val="16"/>
              </w:rPr>
              <w:t>List B DL expiration date blank.</w:t>
            </w:r>
          </w:p>
        </w:tc>
        <w:tc>
          <w:tcPr>
            <w:tcW w:type="dxa" w:w="3744"/>
          </w:tcPr>
          <w:p>
            <w:r/>
            <w:r>
              <w:rPr>
                <w:b w:val="0"/>
                <w:i w:val="0"/>
                <w:sz w:val="16"/>
              </w:rPr>
              <w:t>Technical. (Workbook roster contains a “Leonard Washington,” not “Demetrius” — confirm identity.)</w:t>
            </w:r>
          </w:p>
        </w:tc>
        <w:tc>
          <w:tcPr>
            <w:tcW w:type="dxa" w:w="1296"/>
          </w:tcPr>
          <w:p>
            <w:r/>
            <w:r>
              <w:rPr>
                <w:b/>
                <w:i w:val="0"/>
                <w:sz w:val="16"/>
              </w:rPr>
              <w:t>Technical — withdraw</w:t>
            </w:r>
          </w:p>
        </w:tc>
      </w:tr>
      <w:tr>
        <w:tc>
          <w:tcPr>
            <w:tcW w:type="dxa" w:w="432"/>
          </w:tcPr>
          <w:p>
            <w:r/>
            <w:r>
              <w:rPr>
                <w:b w:val="0"/>
                <w:i w:val="0"/>
                <w:sz w:val="16"/>
              </w:rPr>
              <w:t>27</w:t>
            </w:r>
          </w:p>
        </w:tc>
        <w:tc>
          <w:tcPr>
            <w:tcW w:type="dxa" w:w="1728"/>
          </w:tcPr>
          <w:p>
            <w:r/>
            <w:r>
              <w:rPr>
                <w:b w:val="0"/>
                <w:i w:val="0"/>
                <w:sz w:val="16"/>
              </w:rPr>
              <w:t>Diallo (T1, $2,507)</w:t>
            </w:r>
          </w:p>
        </w:tc>
        <w:tc>
          <w:tcPr>
            <w:tcW w:type="dxa" w:w="2160"/>
          </w:tcPr>
          <w:p>
            <w:r/>
            <w:r>
              <w:rPr>
                <w:b w:val="0"/>
                <w:i w:val="0"/>
                <w:sz w:val="16"/>
              </w:rPr>
              <w:t>S1 “Other Last Names Used” blank despite prior surname.</w:t>
            </w:r>
          </w:p>
        </w:tc>
        <w:tc>
          <w:tcPr>
            <w:tcW w:type="dxa" w:w="3744"/>
          </w:tcPr>
          <w:p>
            <w:r/>
            <w:r>
              <w:rPr>
                <w:b w:val="0"/>
                <w:i w:val="0"/>
                <w:sz w:val="16"/>
              </w:rPr>
              <w:t>Technical; information is employee-supplied and is only required “if any.”</w:t>
            </w:r>
          </w:p>
        </w:tc>
        <w:tc>
          <w:tcPr>
            <w:tcW w:type="dxa" w:w="1296"/>
          </w:tcPr>
          <w:p>
            <w:r/>
            <w:r>
              <w:rPr>
                <w:b/>
                <w:i w:val="0"/>
                <w:sz w:val="16"/>
              </w:rPr>
              <w:t>Technical — withdraw</w:t>
            </w:r>
          </w:p>
        </w:tc>
      </w:tr>
      <w:tr>
        <w:tc>
          <w:tcPr>
            <w:tcW w:type="dxa" w:w="432"/>
          </w:tcPr>
          <w:p>
            <w:r/>
            <w:r>
              <w:rPr>
                <w:b w:val="0"/>
                <w:i w:val="0"/>
                <w:sz w:val="16"/>
              </w:rPr>
              <w:t>28</w:t>
            </w:r>
          </w:p>
        </w:tc>
        <w:tc>
          <w:tcPr>
            <w:tcW w:type="dxa" w:w="1728"/>
          </w:tcPr>
          <w:p>
            <w:r/>
            <w:r>
              <w:rPr>
                <w:b w:val="0"/>
                <w:i w:val="0"/>
                <w:sz w:val="16"/>
              </w:rPr>
              <w:t>Nakamura (T1, $2,507)</w:t>
            </w:r>
          </w:p>
        </w:tc>
        <w:tc>
          <w:tcPr>
            <w:tcW w:type="dxa" w:w="2160"/>
          </w:tcPr>
          <w:p>
            <w:r/>
            <w:r>
              <w:rPr>
                <w:b w:val="0"/>
                <w:i w:val="0"/>
                <w:sz w:val="16"/>
              </w:rPr>
              <w:t>Employer representative’s printed name illegible.</w:t>
            </w:r>
          </w:p>
        </w:tc>
        <w:tc>
          <w:tcPr>
            <w:tcW w:type="dxa" w:w="3744"/>
          </w:tcPr>
          <w:p>
            <w:r/>
            <w:r>
              <w:rPr>
                <w:b w:val="0"/>
                <w:i w:val="0"/>
                <w:sz w:val="16"/>
              </w:rPr>
              <w:t>Technical where S2 is signed; identity of preparer can be established by testimony.</w:t>
            </w:r>
          </w:p>
        </w:tc>
        <w:tc>
          <w:tcPr>
            <w:tcW w:type="dxa" w:w="1296"/>
          </w:tcPr>
          <w:p>
            <w:r/>
            <w:r>
              <w:rPr>
                <w:b/>
                <w:i w:val="0"/>
                <w:sz w:val="16"/>
              </w:rPr>
              <w:t>Technical — withdraw</w:t>
            </w:r>
          </w:p>
        </w:tc>
      </w:tr>
      <w:tr>
        <w:tc>
          <w:tcPr>
            <w:tcW w:type="dxa" w:w="432"/>
          </w:tcPr>
          <w:p>
            <w:r/>
            <w:r>
              <w:rPr>
                <w:b w:val="0"/>
                <w:i w:val="0"/>
                <w:sz w:val="16"/>
              </w:rPr>
              <w:t>29</w:t>
            </w:r>
          </w:p>
        </w:tc>
        <w:tc>
          <w:tcPr>
            <w:tcW w:type="dxa" w:w="1728"/>
          </w:tcPr>
          <w:p>
            <w:r/>
            <w:r>
              <w:rPr>
                <w:b w:val="0"/>
                <w:i w:val="0"/>
                <w:sz w:val="16"/>
              </w:rPr>
              <w:t>Ibrahimovic (T1, $2,507)</w:t>
            </w:r>
          </w:p>
        </w:tc>
        <w:tc>
          <w:tcPr>
            <w:tcW w:type="dxa" w:w="2160"/>
          </w:tcPr>
          <w:p>
            <w:r/>
            <w:r>
              <w:rPr>
                <w:b w:val="0"/>
                <w:i w:val="0"/>
                <w:sz w:val="16"/>
              </w:rPr>
              <w:t>Preparer/translator certification unsigned.</w:t>
            </w:r>
          </w:p>
        </w:tc>
        <w:tc>
          <w:tcPr>
            <w:tcW w:type="dxa" w:w="3744"/>
          </w:tcPr>
          <w:p>
            <w:r/>
            <w:r>
              <w:rPr>
                <w:b w:val="0"/>
                <w:i w:val="0"/>
                <w:sz w:val="16"/>
              </w:rPr>
              <w:t>Technical/procedural under ICE guidance; correctable by the translator’s signature.</w:t>
            </w:r>
          </w:p>
        </w:tc>
        <w:tc>
          <w:tcPr>
            <w:tcW w:type="dxa" w:w="1296"/>
          </w:tcPr>
          <w:p>
            <w:r/>
            <w:r>
              <w:rPr>
                <w:b/>
                <w:i w:val="0"/>
                <w:sz w:val="16"/>
              </w:rPr>
              <w:t>Technical — withdraw</w:t>
            </w:r>
          </w:p>
        </w:tc>
      </w:tr>
    </w:tbl>
    <w:p>
      <w:pPr>
        <w:spacing w:after="40"/>
      </w:pPr>
    </w:p>
    <w:p>
      <w:pPr>
        <w:spacing w:after="120"/>
      </w:pPr>
      <w:r>
        <w:rPr>
          <w:b/>
          <w:i w:val="0"/>
        </w:rPr>
        <w:t>Category A scorecard.</w:t>
      </w:r>
      <w:r>
        <w:rPr>
          <w:b w:val="0"/>
          <w:i w:val="0"/>
        </w:rPr>
        <w:t xml:space="preserve"> Withdraw as erroneous: 2 (Gutierrez-Padilla, Reyes-Montoya). Technical / § 1324a(b)(6): 16 clear (Voskresenskaya, Chow, Hassan, Y. Park, Petrescu, Harmon, Novak, Robles, Moretti, Patel, Bondarenko, Figueroa, D. Washington, Diallo, Nakamura, Ibrahimovic) plus 3 arguable (Asante, Benali, Schaefer). Substantive but mitigable: 8 (Al-Farsi, Shankar, Arai, Sorokina, Mendoza-Torres, Kowalski, Oduya, Halvorsen). Time-bar argument available for 7 additional counts.</w:t>
      </w:r>
    </w:p>
    <w:p>
      <w:pPr>
        <w:pStyle w:val="Heading1"/>
      </w:pPr>
      <w:r>
        <w:t>VI. Category B — Failure to Produce (6 counts; $15,042)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D9D9"/>
          </w:tcPr>
          <w:p>
            <w:r/>
            <w:r>
              <w:rPr>
                <w:b/>
                <w:sz w:val="16"/>
              </w:rPr>
              <w:t>#</w:t>
            </w:r>
          </w:p>
        </w:tc>
        <w:tc>
          <w:tcPr>
            <w:tcW w:type="dxa" w:w="1584"/>
            <w:shd w:val="clear" w:color="auto" w:fill="D9D9D9"/>
          </w:tcPr>
          <w:p>
            <w:r/>
            <w:r>
              <w:rPr>
                <w:b/>
                <w:sz w:val="16"/>
              </w:rPr>
              <w:t>Employee</w:t>
            </w:r>
          </w:p>
        </w:tc>
        <w:tc>
          <w:tcPr>
            <w:tcW w:type="dxa" w:w="1584"/>
            <w:shd w:val="clear" w:color="auto" w:fill="D9D9D9"/>
          </w:tcPr>
          <w:p>
            <w:r/>
            <w:r>
              <w:rPr>
                <w:b/>
                <w:sz w:val="16"/>
              </w:rPr>
              <w:t>Hire / Term.</w:t>
            </w:r>
          </w:p>
        </w:tc>
        <w:tc>
          <w:tcPr>
            <w:tcW w:type="dxa" w:w="4464"/>
            <w:shd w:val="clear" w:color="auto" w:fill="D9D9D9"/>
          </w:tcPr>
          <w:p>
            <w:r/>
            <w:r>
              <w:rPr>
                <w:b/>
                <w:sz w:val="16"/>
              </w:rPr>
              <w:t>Grounds for challenge</w:t>
            </w:r>
          </w:p>
        </w:tc>
        <w:tc>
          <w:tcPr>
            <w:tcW w:type="dxa" w:w="1296"/>
            <w:shd w:val="clear" w:color="auto" w:fill="D9D9D9"/>
          </w:tcPr>
          <w:p>
            <w:r/>
            <w:r>
              <w:rPr>
                <w:b/>
                <w:sz w:val="16"/>
              </w:rPr>
              <w:t>Assessment</w:t>
            </w:r>
          </w:p>
        </w:tc>
      </w:tr>
      <w:tr>
        <w:tc>
          <w:tcPr>
            <w:tcW w:type="dxa" w:w="432"/>
          </w:tcPr>
          <w:p>
            <w:r/>
            <w:r>
              <w:rPr>
                <w:b w:val="0"/>
                <w:i w:val="0"/>
                <w:sz w:val="16"/>
              </w:rPr>
              <w:t>1</w:t>
            </w:r>
          </w:p>
        </w:tc>
        <w:tc>
          <w:tcPr>
            <w:tcW w:type="dxa" w:w="1584"/>
          </w:tcPr>
          <w:p>
            <w:r/>
            <w:r>
              <w:rPr>
                <w:b w:val="0"/>
                <w:i w:val="0"/>
                <w:sz w:val="16"/>
              </w:rPr>
              <w:t>Robert Clements</w:t>
            </w:r>
          </w:p>
        </w:tc>
        <w:tc>
          <w:tcPr>
            <w:tcW w:type="dxa" w:w="1584"/>
          </w:tcPr>
          <w:p>
            <w:r/>
            <w:r>
              <w:rPr>
                <w:b w:val="0"/>
                <w:i w:val="0"/>
                <w:sz w:val="16"/>
              </w:rPr>
              <w:t>1/5/2005 / active</w:t>
            </w:r>
          </w:p>
        </w:tc>
        <w:tc>
          <w:tcPr>
            <w:tcW w:type="dxa" w:w="4464"/>
          </w:tcPr>
          <w:p>
            <w:r/>
            <w:r>
              <w:rPr>
                <w:b w:val="0"/>
                <w:i w:val="0"/>
                <w:sz w:val="16"/>
              </w:rPr>
              <w:t>Hired before Hawthorne’s incorporation (3/12/2007): determine whether he was hired by a predecessor; successor-employer rules (8 C.F.R. § 274a.2(b)(1)(viii)(A)(7)) may shift the analysis. Pre-11/2/2015 violation: pre-adjustment penalty range; SOL defense to failure-to-prepare theory.</w:t>
            </w:r>
          </w:p>
        </w:tc>
        <w:tc>
          <w:tcPr>
            <w:tcW w:type="dxa" w:w="1296"/>
          </w:tcPr>
          <w:p>
            <w:r/>
            <w:r>
              <w:rPr>
                <w:b w:val="0"/>
                <w:i w:val="0"/>
                <w:sz w:val="16"/>
              </w:rPr>
              <w:t>Valid count; reduce amount</w:t>
            </w:r>
          </w:p>
        </w:tc>
      </w:tr>
      <w:tr>
        <w:tc>
          <w:tcPr>
            <w:tcW w:type="dxa" w:w="432"/>
          </w:tcPr>
          <w:p>
            <w:r/>
            <w:r>
              <w:rPr>
                <w:b w:val="0"/>
                <w:i w:val="0"/>
                <w:sz w:val="16"/>
              </w:rPr>
              <w:t>2</w:t>
            </w:r>
          </w:p>
        </w:tc>
        <w:tc>
          <w:tcPr>
            <w:tcW w:type="dxa" w:w="1584"/>
          </w:tcPr>
          <w:p>
            <w:r/>
            <w:r>
              <w:rPr>
                <w:b w:val="0"/>
                <w:i w:val="0"/>
                <w:sz w:val="16"/>
              </w:rPr>
              <w:t>Denise Markham</w:t>
            </w:r>
          </w:p>
        </w:tc>
        <w:tc>
          <w:tcPr>
            <w:tcW w:type="dxa" w:w="1584"/>
          </w:tcPr>
          <w:p>
            <w:r/>
            <w:r>
              <w:rPr>
                <w:b w:val="0"/>
                <w:i w:val="0"/>
                <w:sz w:val="16"/>
              </w:rPr>
              <w:t>3/30/2008 / active</w:t>
            </w:r>
          </w:p>
        </w:tc>
        <w:tc>
          <w:tcPr>
            <w:tcW w:type="dxa" w:w="4464"/>
          </w:tcPr>
          <w:p>
            <w:r/>
            <w:r>
              <w:rPr>
                <w:b w:val="0"/>
                <w:i w:val="0"/>
                <w:sz w:val="16"/>
              </w:rPr>
              <w:t>Physical file folder exists but the I-9 is missing — evidence the form was prepared and later lost (supports good faith; relevant to failure-to-prepare vs. failure-to-present). Pre-2015 rate; SOL.</w:t>
            </w:r>
          </w:p>
        </w:tc>
        <w:tc>
          <w:tcPr>
            <w:tcW w:type="dxa" w:w="1296"/>
          </w:tcPr>
          <w:p>
            <w:r/>
            <w:r>
              <w:rPr>
                <w:b w:val="0"/>
                <w:i w:val="0"/>
                <w:sz w:val="16"/>
              </w:rPr>
              <w:t>Valid count; reduce amount</w:t>
            </w:r>
          </w:p>
        </w:tc>
      </w:tr>
      <w:tr>
        <w:tc>
          <w:tcPr>
            <w:tcW w:type="dxa" w:w="432"/>
          </w:tcPr>
          <w:p>
            <w:r/>
            <w:r>
              <w:rPr>
                <w:b w:val="0"/>
                <w:i w:val="0"/>
                <w:sz w:val="16"/>
              </w:rPr>
              <w:t>3</w:t>
            </w:r>
          </w:p>
        </w:tc>
        <w:tc>
          <w:tcPr>
            <w:tcW w:type="dxa" w:w="1584"/>
          </w:tcPr>
          <w:p>
            <w:r/>
            <w:r>
              <w:rPr>
                <w:b w:val="0"/>
                <w:i w:val="0"/>
                <w:sz w:val="16"/>
              </w:rPr>
              <w:t>Wei Zhang</w:t>
            </w:r>
          </w:p>
        </w:tc>
        <w:tc>
          <w:tcPr>
            <w:tcW w:type="dxa" w:w="1584"/>
          </w:tcPr>
          <w:p>
            <w:r/>
            <w:r>
              <w:rPr>
                <w:b w:val="0"/>
                <w:i w:val="0"/>
                <w:sz w:val="16"/>
              </w:rPr>
              <w:t>10/12/2019 / active</w:t>
            </w:r>
          </w:p>
        </w:tc>
        <w:tc>
          <w:tcPr>
            <w:tcW w:type="dxa" w:w="4464"/>
          </w:tcPr>
          <w:p>
            <w:r/>
            <w:r>
              <w:rPr>
                <w:b w:val="0"/>
                <w:i w:val="0"/>
                <w:sz w:val="16"/>
              </w:rPr>
              <w:t>New I-9 with valid documents completed (Exh. H-1). Double-counted in Category C on the identical facts.</w:t>
            </w:r>
          </w:p>
        </w:tc>
        <w:tc>
          <w:tcPr>
            <w:tcW w:type="dxa" w:w="1296"/>
          </w:tcPr>
          <w:p>
            <w:r/>
            <w:r>
              <w:rPr>
                <w:b w:val="0"/>
                <w:i w:val="0"/>
                <w:sz w:val="16"/>
              </w:rPr>
              <w:t>Valid count; mitigate</w:t>
            </w:r>
          </w:p>
        </w:tc>
      </w:tr>
      <w:tr>
        <w:tc>
          <w:tcPr>
            <w:tcW w:type="dxa" w:w="432"/>
          </w:tcPr>
          <w:p>
            <w:r/>
            <w:r>
              <w:rPr>
                <w:b w:val="0"/>
                <w:i w:val="0"/>
                <w:sz w:val="16"/>
              </w:rPr>
              <w:t>4</w:t>
            </w:r>
          </w:p>
        </w:tc>
        <w:tc>
          <w:tcPr>
            <w:tcW w:type="dxa" w:w="1584"/>
          </w:tcPr>
          <w:p>
            <w:r/>
            <w:r>
              <w:rPr>
                <w:b w:val="0"/>
                <w:i w:val="0"/>
                <w:sz w:val="16"/>
              </w:rPr>
              <w:t>James Coldwater</w:t>
            </w:r>
          </w:p>
        </w:tc>
        <w:tc>
          <w:tcPr>
            <w:tcW w:type="dxa" w:w="1584"/>
          </w:tcPr>
          <w:p>
            <w:r/>
            <w:r>
              <w:rPr>
                <w:b w:val="0"/>
                <w:i w:val="0"/>
                <w:sz w:val="16"/>
              </w:rPr>
              <w:t>6/20/2004 / terminated 9/30/2020</w:t>
            </w:r>
          </w:p>
        </w:tc>
        <w:tc>
          <w:tcPr>
            <w:tcW w:type="dxa" w:w="4464"/>
          </w:tcPr>
          <w:p>
            <w:r/>
            <w:r>
              <w:rPr>
                <w:b w:val="0"/>
                <w:i w:val="0"/>
                <w:sz w:val="16"/>
              </w:rPr>
              <w:t>Retention runs to the later of 3 years after hire (6/20/2007) or 1 year after termination (9/30/2021). 8 C.F.R. § 274a.2(b)(2)(i)(A). Obligation expired more than two years before the 11/14/2023 NOI, and the NOI demanded only “current employees.” No violation. (Also hired before incorporation.)</w:t>
            </w:r>
          </w:p>
        </w:tc>
        <w:tc>
          <w:tcPr>
            <w:tcW w:type="dxa" w:w="1296"/>
          </w:tcPr>
          <w:p>
            <w:r/>
            <w:r>
              <w:rPr>
                <w:b/>
                <w:i w:val="0"/>
                <w:sz w:val="16"/>
              </w:rPr>
              <w:t>Withdraw</w:t>
            </w:r>
          </w:p>
        </w:tc>
      </w:tr>
      <w:tr>
        <w:tc>
          <w:tcPr>
            <w:tcW w:type="dxa" w:w="432"/>
          </w:tcPr>
          <w:p>
            <w:r/>
            <w:r>
              <w:rPr>
                <w:b w:val="0"/>
                <w:i w:val="0"/>
                <w:sz w:val="16"/>
              </w:rPr>
              <w:t>5</w:t>
            </w:r>
          </w:p>
        </w:tc>
        <w:tc>
          <w:tcPr>
            <w:tcW w:type="dxa" w:w="1584"/>
          </w:tcPr>
          <w:p>
            <w:r/>
            <w:r>
              <w:rPr>
                <w:b w:val="0"/>
                <w:i w:val="0"/>
                <w:sz w:val="16"/>
              </w:rPr>
              <w:t>Sandra Obeng</w:t>
            </w:r>
          </w:p>
        </w:tc>
        <w:tc>
          <w:tcPr>
            <w:tcW w:type="dxa" w:w="1584"/>
          </w:tcPr>
          <w:p>
            <w:r/>
            <w:r>
              <w:rPr>
                <w:b w:val="0"/>
                <w:i w:val="0"/>
                <w:sz w:val="16"/>
              </w:rPr>
              <w:t>5/15/2015 / active</w:t>
            </w:r>
          </w:p>
        </w:tc>
        <w:tc>
          <w:tcPr>
            <w:tcW w:type="dxa" w:w="4464"/>
          </w:tcPr>
          <w:p>
            <w:r/>
            <w:r>
              <w:rPr>
                <w:b w:val="0"/>
                <w:i w:val="0"/>
                <w:sz w:val="16"/>
              </w:rPr>
              <w:t>Pre-11/2/2015 violation: pre-adjustment range; SOL argument for failure to prepare.</w:t>
            </w:r>
          </w:p>
        </w:tc>
        <w:tc>
          <w:tcPr>
            <w:tcW w:type="dxa" w:w="1296"/>
          </w:tcPr>
          <w:p>
            <w:r/>
            <w:r>
              <w:rPr>
                <w:b w:val="0"/>
                <w:i w:val="0"/>
                <w:sz w:val="16"/>
              </w:rPr>
              <w:t>Valid count; reduce amount</w:t>
            </w:r>
          </w:p>
        </w:tc>
      </w:tr>
      <w:tr>
        <w:tc>
          <w:tcPr>
            <w:tcW w:type="dxa" w:w="432"/>
          </w:tcPr>
          <w:p>
            <w:r/>
            <w:r>
              <w:rPr>
                <w:b w:val="0"/>
                <w:i w:val="0"/>
                <w:sz w:val="16"/>
              </w:rPr>
              <w:t>6</w:t>
            </w:r>
          </w:p>
        </w:tc>
        <w:tc>
          <w:tcPr>
            <w:tcW w:type="dxa" w:w="1584"/>
          </w:tcPr>
          <w:p>
            <w:r/>
            <w:r>
              <w:rPr>
                <w:b w:val="0"/>
                <w:i w:val="0"/>
                <w:sz w:val="16"/>
              </w:rPr>
              <w:t>Mikhail Volkov</w:t>
            </w:r>
          </w:p>
        </w:tc>
        <w:tc>
          <w:tcPr>
            <w:tcW w:type="dxa" w:w="1584"/>
          </w:tcPr>
          <w:p>
            <w:r/>
            <w:r>
              <w:rPr>
                <w:b w:val="0"/>
                <w:i w:val="0"/>
                <w:sz w:val="16"/>
              </w:rPr>
              <w:t>4/8/2022 / active</w:t>
            </w:r>
          </w:p>
        </w:tc>
        <w:tc>
          <w:tcPr>
            <w:tcW w:type="dxa" w:w="4464"/>
          </w:tcPr>
          <w:p>
            <w:r/>
            <w:r>
              <w:rPr>
                <w:b w:val="0"/>
                <w:i w:val="0"/>
                <w:sz w:val="16"/>
              </w:rPr>
              <w:t>Not in workbook roster sample; confirm employment and search for I-9 (including E-Verify case records, if any).</w:t>
            </w:r>
          </w:p>
        </w:tc>
        <w:tc>
          <w:tcPr>
            <w:tcW w:type="dxa" w:w="1296"/>
          </w:tcPr>
          <w:p>
            <w:r/>
            <w:r>
              <w:rPr>
                <w:b w:val="0"/>
                <w:i w:val="0"/>
                <w:sz w:val="16"/>
              </w:rPr>
              <w:t>Likely valid; mitigate</w:t>
            </w:r>
          </w:p>
        </w:tc>
      </w:tr>
    </w:tbl>
    <w:p>
      <w:pPr>
        <w:spacing w:after="40"/>
      </w:pPr>
    </w:p>
    <w:p>
      <w:pPr>
        <w:spacing w:after="120"/>
      </w:pPr>
      <w:r>
        <w:rPr>
          <w:b w:val="0"/>
          <w:i w:val="0"/>
        </w:rPr>
        <w:t>Note also that Attachment C asserts these individuals appear on payroll “as current or former employees”; the NOI requested I-9s for current employees only, so any count premised on a former employee is outside the scope of the demand.</w:t>
      </w:r>
    </w:p>
    <w:p>
      <w:pPr>
        <w:pStyle w:val="Heading1"/>
      </w:pPr>
      <w:r>
        <w:t>VII. Category C — Knowing Continuing Employment (7 counts; $49,924)</w:t>
      </w:r>
    </w:p>
    <w:p>
      <w:pPr>
        <w:pStyle w:val="Heading2"/>
      </w:pPr>
      <w:r>
        <w:t>A. Cross-cutting grounds</w:t>
      </w:r>
    </w:p>
    <w:p>
      <w:pPr>
        <w:pStyle w:val="ListBullet"/>
        <w:spacing w:after="60"/>
      </w:pPr>
      <w:r>
        <w:rPr>
          <w:b/>
          <w:i w:val="0"/>
        </w:rPr>
        <w:t>The predicate deadline was mis-computed.</w:t>
      </w:r>
      <w:r>
        <w:rPr>
          <w:b w:val="0"/>
          <w:i w:val="0"/>
        </w:rPr>
        <w:t xml:space="preserve"> ICE’s sole stated basis for constructive knowledge is that the response arrived after a resolution period it says expired March 21, 2024. Ten business days after Friday, March 8 is Friday, </w:t>
      </w:r>
      <w:r>
        <w:rPr>
          <w:b/>
          <w:i w:val="0"/>
        </w:rPr>
        <w:t>March 22</w:t>
      </w:r>
      <w:r>
        <w:rPr>
          <w:b w:val="0"/>
          <w:i w:val="0"/>
        </w:rPr>
        <w:t xml:space="preserve"> — the date of the response. Measured from receipt on Tuesday, March 12 (USPS Tracking No. 7019 1120 0001 5487 3290, “Delivered, Left with Individual”), the period ran to Tuesday, </w:t>
      </w:r>
      <w:r>
        <w:rPr>
          <w:b/>
          <w:i w:val="0"/>
        </w:rPr>
        <w:t>March 26</w:t>
      </w:r>
      <w:r>
        <w:rPr>
          <w:b w:val="0"/>
          <w:i w:val="0"/>
        </w:rPr>
        <w:t>. The response was timely under any method, and the stated basis for all seven counts fails.</w:t>
      </w:r>
    </w:p>
    <w:p>
      <w:pPr>
        <w:pStyle w:val="ListBullet"/>
        <w:spacing w:after="60"/>
      </w:pPr>
      <w:r>
        <w:rPr>
          <w:b/>
          <w:i w:val="0"/>
        </w:rPr>
        <w:t>A missed paperwork deadline is not knowledge of unauthorized status.</w:t>
      </w:r>
      <w:r>
        <w:rPr>
          <w:b w:val="0"/>
          <w:i w:val="0"/>
        </w:rPr>
        <w:t xml:space="preserve"> Under 8 U.S.C. § 1324a(a)(2) ICE must prove the employer knew the alien was (or had become) unauthorized. Constructive knowledge (8 C.F.R. § 274a.1(l)) requires facts that would lead a reasonable employer, through reasonable care, to know the employee is unauthorized; OCAHO and the courts construe it narrowly (see, e.g., Collins Foods Int’l, Inc. v. INS, 948 F.2d 549 (9th Cir. 1991); Mester Mfg. Co. v. INS, 879 F.2d 561 (9th Cir. 1989) (constructive knowledge found only on specific government notice of unauthorized status)). ICE’s own language — “potential unauthorized work status” — concedes that it has made no finding of actual unauthorized status for most of these employees.</w:t>
      </w:r>
    </w:p>
    <w:p>
      <w:pPr>
        <w:pStyle w:val="ListBullet"/>
        <w:spacing w:after="60"/>
      </w:pPr>
      <w:r>
        <w:rPr>
          <w:b/>
          <w:i w:val="0"/>
        </w:rPr>
        <w:t>ICE ignored evidence in its own record.</w:t>
      </w:r>
      <w:r>
        <w:rPr>
          <w:b w:val="0"/>
          <w:i w:val="0"/>
        </w:rPr>
        <w:t xml:space="preserve"> The NIF recites that it reviewed “all documentation in the administrative record,” yet repeatedly states that employees “could not provide” documentation that was in fact enclosed with the March 22 response.</w:t>
      </w:r>
    </w:p>
    <w:p>
      <w:pPr>
        <w:pStyle w:val="ListBullet"/>
        <w:spacing w:after="60"/>
      </w:pPr>
      <w:r>
        <w:rPr>
          <w:b/>
          <w:i w:val="0"/>
        </w:rPr>
        <w:t>Good-faith defense.</w:t>
      </w:r>
      <w:r>
        <w:rPr>
          <w:b w:val="0"/>
          <w:i w:val="0"/>
        </w:rPr>
        <w:t xml:space="preserve"> An employer that complied in good faith with the verification requirements has an affirmative defense to a knowing-hire charge (8 U.S.C. § 1324a(a)(3); 8 C.F.R. § 274a.4).</w:t>
      </w:r>
    </w:p>
    <w:p>
      <w:pPr>
        <w:pStyle w:val="ListBullet"/>
        <w:spacing w:after="60"/>
      </w:pPr>
      <w:r>
        <w:rPr>
          <w:b/>
          <w:i w:val="0"/>
        </w:rPr>
        <w:t>Double counting.</w:t>
      </w:r>
      <w:r>
        <w:rPr>
          <w:b w:val="0"/>
          <w:i w:val="0"/>
        </w:rPr>
        <w:t xml:space="preserve"> Four Category C counts duplicate other counts on the same facts (Al-Farsi, Sorokina and Benali in Category A; Zhang in Category B).</w:t>
      </w:r>
    </w:p>
    <w:p>
      <w:pPr>
        <w:pStyle w:val="ListBullet"/>
        <w:spacing w:after="60"/>
      </w:pPr>
      <w:r>
        <w:rPr>
          <w:b/>
          <w:i w:val="0"/>
        </w:rPr>
        <w:t>Rate.</w:t>
      </w:r>
      <w:r>
        <w:rPr>
          <w:b w:val="0"/>
          <w:i w:val="0"/>
        </w:rPr>
        <w:t xml:space="preserve"> $7,132 exceeds the first-offense ceiling (Part IV.B).</w:t>
      </w:r>
    </w:p>
    <w:p>
      <w:pPr>
        <w:pStyle w:val="Heading2"/>
      </w:pPr>
      <w:r>
        <w:t>B. Employee-by-employee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D9D9"/>
          </w:tcPr>
          <w:p>
            <w:r/>
            <w:r>
              <w:rPr>
                <w:b/>
                <w:sz w:val="16"/>
              </w:rPr>
              <w:t>#</w:t>
            </w:r>
          </w:p>
        </w:tc>
        <w:tc>
          <w:tcPr>
            <w:tcW w:type="dxa" w:w="1584"/>
            <w:shd w:val="clear" w:color="auto" w:fill="D9D9D9"/>
          </w:tcPr>
          <w:p>
            <w:r/>
            <w:r>
              <w:rPr>
                <w:b/>
                <w:sz w:val="16"/>
              </w:rPr>
              <w:t>Employee</w:t>
            </w:r>
          </w:p>
        </w:tc>
        <w:tc>
          <w:tcPr>
            <w:tcW w:type="dxa" w:w="2160"/>
            <w:shd w:val="clear" w:color="auto" w:fill="D9D9D9"/>
          </w:tcPr>
          <w:p>
            <w:r/>
            <w:r>
              <w:rPr>
                <w:b/>
                <w:sz w:val="16"/>
              </w:rPr>
              <w:t>NIF basis</w:t>
            </w:r>
          </w:p>
        </w:tc>
        <w:tc>
          <w:tcPr>
            <w:tcW w:type="dxa" w:w="3888"/>
            <w:shd w:val="clear" w:color="auto" w:fill="D9D9D9"/>
          </w:tcPr>
          <w:p>
            <w:r/>
            <w:r>
              <w:rPr>
                <w:b/>
                <w:sz w:val="16"/>
              </w:rPr>
              <w:t>Record evidence / grounds</w:t>
            </w:r>
          </w:p>
        </w:tc>
        <w:tc>
          <w:tcPr>
            <w:tcW w:type="dxa" w:w="1296"/>
            <w:shd w:val="clear" w:color="auto" w:fill="D9D9D9"/>
          </w:tcPr>
          <w:p>
            <w:r/>
            <w:r>
              <w:rPr>
                <w:b/>
                <w:sz w:val="16"/>
              </w:rPr>
              <w:t>Assessment</w:t>
            </w:r>
          </w:p>
        </w:tc>
      </w:tr>
      <w:tr>
        <w:tc>
          <w:tcPr>
            <w:tcW w:type="dxa" w:w="432"/>
          </w:tcPr>
          <w:p>
            <w:r/>
            <w:r>
              <w:rPr>
                <w:b w:val="0"/>
                <w:i w:val="0"/>
                <w:sz w:val="16"/>
              </w:rPr>
              <w:t>1</w:t>
            </w:r>
          </w:p>
        </w:tc>
        <w:tc>
          <w:tcPr>
            <w:tcW w:type="dxa" w:w="1584"/>
          </w:tcPr>
          <w:p>
            <w:r/>
            <w:r>
              <w:rPr>
                <w:b w:val="0"/>
                <w:i w:val="0"/>
                <w:sz w:val="16"/>
              </w:rPr>
              <w:t>Ahmad Rashid Al-Farsi</w:t>
            </w:r>
          </w:p>
        </w:tc>
        <w:tc>
          <w:tcPr>
            <w:tcW w:type="dxa" w:w="2160"/>
          </w:tcPr>
          <w:p>
            <w:r/>
            <w:r>
              <w:rPr>
                <w:b w:val="0"/>
                <w:i w:val="0"/>
                <w:sz w:val="16"/>
              </w:rPr>
              <w:t>Receipt in S3; actual EAD never presented; “could not provide” updated documents.</w:t>
            </w:r>
          </w:p>
        </w:tc>
        <w:tc>
          <w:tcPr>
            <w:tcW w:type="dxa" w:w="3888"/>
          </w:tcPr>
          <w:p>
            <w:r/>
            <w:r>
              <w:rPr>
                <w:b w:val="0"/>
                <w:i w:val="0"/>
                <w:sz w:val="16"/>
              </w:rPr>
              <w:t>Current valid EAD presented (Exh. E-1) and corrected Section 3 completed. Paperwork lapse already charged in Cat. A #2.</w:t>
            </w:r>
          </w:p>
        </w:tc>
        <w:tc>
          <w:tcPr>
            <w:tcW w:type="dxa" w:w="1296"/>
          </w:tcPr>
          <w:p>
            <w:r/>
            <w:r>
              <w:rPr>
                <w:b/>
                <w:i w:val="0"/>
                <w:sz w:val="16"/>
              </w:rPr>
              <w:t>Withdraw</w:t>
            </w:r>
          </w:p>
        </w:tc>
      </w:tr>
      <w:tr>
        <w:tc>
          <w:tcPr>
            <w:tcW w:type="dxa" w:w="432"/>
          </w:tcPr>
          <w:p>
            <w:r/>
            <w:r>
              <w:rPr>
                <w:b w:val="0"/>
                <w:i w:val="0"/>
                <w:sz w:val="16"/>
              </w:rPr>
              <w:t>2</w:t>
            </w:r>
          </w:p>
        </w:tc>
        <w:tc>
          <w:tcPr>
            <w:tcW w:type="dxa" w:w="1584"/>
          </w:tcPr>
          <w:p>
            <w:r/>
            <w:r>
              <w:rPr>
                <w:b w:val="0"/>
                <w:i w:val="0"/>
                <w:sz w:val="16"/>
              </w:rPr>
              <w:t>Natalya Sorokina</w:t>
            </w:r>
          </w:p>
        </w:tc>
        <w:tc>
          <w:tcPr>
            <w:tcW w:type="dxa" w:w="2160"/>
          </w:tcPr>
          <w:p>
            <w:r/>
            <w:r>
              <w:rPr>
                <w:b w:val="0"/>
                <w:i w:val="0"/>
                <w:sz w:val="16"/>
              </w:rPr>
              <w:t>Restricted SSN card accepted; “could not provide” acceptable documents.</w:t>
            </w:r>
          </w:p>
        </w:tc>
        <w:tc>
          <w:tcPr>
            <w:tcW w:type="dxa" w:w="3888"/>
          </w:tcPr>
          <w:p>
            <w:r/>
            <w:r>
              <w:rPr>
                <w:b w:val="0"/>
                <w:i w:val="0"/>
                <w:sz w:val="16"/>
              </w:rPr>
              <w:t>Current documentation consistent with work authorization presented (Exh. F-1); Section 1 attests alien authorized to work. A restricted SSN card signals that DHS authorization is needed, not that the holder lacks it. Duplicates Cat. A #6.</w:t>
            </w:r>
          </w:p>
        </w:tc>
        <w:tc>
          <w:tcPr>
            <w:tcW w:type="dxa" w:w="1296"/>
          </w:tcPr>
          <w:p>
            <w:r/>
            <w:r>
              <w:rPr>
                <w:b/>
                <w:i w:val="0"/>
                <w:sz w:val="16"/>
              </w:rPr>
              <w:t>Withdraw</w:t>
            </w:r>
          </w:p>
        </w:tc>
      </w:tr>
      <w:tr>
        <w:tc>
          <w:tcPr>
            <w:tcW w:type="dxa" w:w="432"/>
          </w:tcPr>
          <w:p>
            <w:r/>
            <w:r>
              <w:rPr>
                <w:b w:val="0"/>
                <w:i w:val="0"/>
                <w:sz w:val="16"/>
              </w:rPr>
              <w:t>3</w:t>
            </w:r>
          </w:p>
        </w:tc>
        <w:tc>
          <w:tcPr>
            <w:tcW w:type="dxa" w:w="1584"/>
          </w:tcPr>
          <w:p>
            <w:r/>
            <w:r>
              <w:rPr>
                <w:b w:val="0"/>
                <w:i w:val="0"/>
                <w:sz w:val="16"/>
              </w:rPr>
              <w:t>Wei Zhang</w:t>
            </w:r>
          </w:p>
        </w:tc>
        <w:tc>
          <w:tcPr>
            <w:tcW w:type="dxa" w:w="2160"/>
          </w:tcPr>
          <w:p>
            <w:r/>
            <w:r>
              <w:rPr>
                <w:b w:val="0"/>
                <w:i w:val="0"/>
                <w:sz w:val="16"/>
              </w:rPr>
              <w:t>No I-9; “could not present any” I-9 or documents.</w:t>
            </w:r>
          </w:p>
        </w:tc>
        <w:tc>
          <w:tcPr>
            <w:tcW w:type="dxa" w:w="3888"/>
          </w:tcPr>
          <w:p>
            <w:r/>
            <w:r>
              <w:rPr>
                <w:b w:val="0"/>
                <w:i w:val="0"/>
                <w:sz w:val="16"/>
              </w:rPr>
              <w:t>Contradicted: new I-9 with valid identity and employment authorization documents submitted (Exh. H-1). Absence of an I-9 is a paperwork violation (already Cat. B #3), not knowledge of unauthorized status.</w:t>
            </w:r>
          </w:p>
        </w:tc>
        <w:tc>
          <w:tcPr>
            <w:tcW w:type="dxa" w:w="1296"/>
          </w:tcPr>
          <w:p>
            <w:r/>
            <w:r>
              <w:rPr>
                <w:b/>
                <w:i w:val="0"/>
                <w:sz w:val="16"/>
              </w:rPr>
              <w:t>Withdraw</w:t>
            </w:r>
          </w:p>
        </w:tc>
      </w:tr>
      <w:tr>
        <w:tc>
          <w:tcPr>
            <w:tcW w:type="dxa" w:w="432"/>
          </w:tcPr>
          <w:p>
            <w:r/>
            <w:r>
              <w:rPr>
                <w:b w:val="0"/>
                <w:i w:val="0"/>
                <w:sz w:val="16"/>
              </w:rPr>
              <w:t>4</w:t>
            </w:r>
          </w:p>
        </w:tc>
        <w:tc>
          <w:tcPr>
            <w:tcW w:type="dxa" w:w="1584"/>
          </w:tcPr>
          <w:p>
            <w:r/>
            <w:r>
              <w:rPr>
                <w:b w:val="0"/>
                <w:i w:val="0"/>
                <w:sz w:val="16"/>
              </w:rPr>
              <w:t>Fatima Benali</w:t>
            </w:r>
          </w:p>
        </w:tc>
        <w:tc>
          <w:tcPr>
            <w:tcW w:type="dxa" w:w="2160"/>
          </w:tcPr>
          <w:p>
            <w:r/>
            <w:r>
              <w:rPr>
                <w:b w:val="0"/>
                <w:i w:val="0"/>
                <w:sz w:val="16"/>
              </w:rPr>
              <w:t>Obsolete form version; could not provide corrected I-9.</w:t>
            </w:r>
          </w:p>
        </w:tc>
        <w:tc>
          <w:tcPr>
            <w:tcW w:type="dxa" w:w="3888"/>
          </w:tcPr>
          <w:p>
            <w:r/>
            <w:r>
              <w:rPr>
                <w:b w:val="0"/>
                <w:i w:val="0"/>
                <w:sz w:val="16"/>
              </w:rPr>
              <w:t>Contradicted: corrected I-9 on current edition with List B and unrestricted List C documents (Exh. G-1). Form version says nothing about authorization. Duplicates Cat. A #15.</w:t>
            </w:r>
          </w:p>
        </w:tc>
        <w:tc>
          <w:tcPr>
            <w:tcW w:type="dxa" w:w="1296"/>
          </w:tcPr>
          <w:p>
            <w:r/>
            <w:r>
              <w:rPr>
                <w:b/>
                <w:i w:val="0"/>
                <w:sz w:val="16"/>
              </w:rPr>
              <w:t>Withdraw</w:t>
            </w:r>
          </w:p>
        </w:tc>
      </w:tr>
      <w:tr>
        <w:tc>
          <w:tcPr>
            <w:tcW w:type="dxa" w:w="432"/>
          </w:tcPr>
          <w:p>
            <w:r/>
            <w:r>
              <w:rPr>
                <w:b w:val="0"/>
                <w:i w:val="0"/>
                <w:sz w:val="16"/>
              </w:rPr>
              <w:t>5</w:t>
            </w:r>
          </w:p>
        </w:tc>
        <w:tc>
          <w:tcPr>
            <w:tcW w:type="dxa" w:w="1584"/>
          </w:tcPr>
          <w:p>
            <w:r/>
            <w:r>
              <w:rPr>
                <w:b w:val="0"/>
                <w:i w:val="0"/>
                <w:sz w:val="16"/>
              </w:rPr>
              <w:t>Luis Cabrera</w:t>
            </w:r>
          </w:p>
        </w:tc>
        <w:tc>
          <w:tcPr>
            <w:tcW w:type="dxa" w:w="2160"/>
          </w:tcPr>
          <w:p>
            <w:r/>
            <w:r>
              <w:rPr>
                <w:b w:val="0"/>
                <w:i w:val="0"/>
                <w:sz w:val="16"/>
              </w:rPr>
              <w:t>List A document “could not be verified as matching available records.”</w:t>
            </w:r>
          </w:p>
        </w:tc>
        <w:tc>
          <w:tcPr>
            <w:tcW w:type="dxa" w:w="3888"/>
          </w:tcPr>
          <w:p>
            <w:r/>
            <w:r>
              <w:rPr>
                <w:b w:val="0"/>
                <w:i w:val="0"/>
                <w:sz w:val="16"/>
              </w:rPr>
              <w:t>Vague; identifies no record or discrepancy. Employee presented new, unexpired EAD No. SRC2490012587 valid to 2/28/2026 (Exh. C-1) and Section 3 updated (Exh. C-2). Not charged in Cat. A — ICE treats the same issue as knowing employment but not as a paperwork violation.</w:t>
            </w:r>
          </w:p>
        </w:tc>
        <w:tc>
          <w:tcPr>
            <w:tcW w:type="dxa" w:w="1296"/>
          </w:tcPr>
          <w:p>
            <w:r/>
            <w:r>
              <w:rPr>
                <w:b/>
                <w:i w:val="0"/>
                <w:sz w:val="16"/>
              </w:rPr>
              <w:t>Withdraw</w:t>
            </w:r>
          </w:p>
        </w:tc>
      </w:tr>
      <w:tr>
        <w:tc>
          <w:tcPr>
            <w:tcW w:type="dxa" w:w="432"/>
          </w:tcPr>
          <w:p>
            <w:r/>
            <w:r>
              <w:rPr>
                <w:b w:val="0"/>
                <w:i w:val="0"/>
                <w:sz w:val="16"/>
              </w:rPr>
              <w:t>6</w:t>
            </w:r>
          </w:p>
        </w:tc>
        <w:tc>
          <w:tcPr>
            <w:tcW w:type="dxa" w:w="1584"/>
          </w:tcPr>
          <w:p>
            <w:r/>
            <w:r>
              <w:rPr>
                <w:b w:val="0"/>
                <w:i w:val="0"/>
                <w:sz w:val="16"/>
              </w:rPr>
              <w:t>Anh Tran</w:t>
            </w:r>
          </w:p>
        </w:tc>
        <w:tc>
          <w:tcPr>
            <w:tcW w:type="dxa" w:w="2160"/>
          </w:tcPr>
          <w:p>
            <w:r/>
            <w:r>
              <w:rPr>
                <w:b w:val="0"/>
                <w:i w:val="0"/>
                <w:sz w:val="16"/>
              </w:rPr>
              <w:t>A-Number in S1 does not match immigration records; “classified as unauthorized.”</w:t>
            </w:r>
          </w:p>
        </w:tc>
        <w:tc>
          <w:tcPr>
            <w:tcW w:type="dxa" w:w="3888"/>
          </w:tcPr>
          <w:p>
            <w:r/>
            <w:r>
              <w:rPr>
                <w:b w:val="0"/>
                <w:i w:val="0"/>
                <w:sz w:val="16"/>
              </w:rPr>
              <w:t xml:space="preserve">Clerical transposition of two digits; corrected I-9 (Exh. D-2). Employee holds H-1B status through 9/30/2025 on a petition </w:t>
            </w:r>
            <w:r>
              <w:rPr>
                <w:b/>
                <w:i w:val="0"/>
                <w:sz w:val="16"/>
              </w:rPr>
              <w:t>filed by Hawthorne and approved by USCIS</w:t>
            </w:r>
            <w:r>
              <w:rPr>
                <w:b w:val="0"/>
                <w:i w:val="0"/>
                <w:sz w:val="16"/>
              </w:rPr>
              <w:t xml:space="preserve"> (I-797, Exh. D-1) — DHS’s own records establish authorization. Reconcile hire date (NIF: 7/15/2019; response: employed “since 2021”).</w:t>
            </w:r>
          </w:p>
        </w:tc>
        <w:tc>
          <w:tcPr>
            <w:tcW w:type="dxa" w:w="1296"/>
          </w:tcPr>
          <w:p>
            <w:r/>
            <w:r>
              <w:rPr>
                <w:b/>
                <w:i w:val="0"/>
                <w:sz w:val="16"/>
              </w:rPr>
              <w:t>Withdraw</w:t>
            </w:r>
          </w:p>
        </w:tc>
      </w:tr>
      <w:tr>
        <w:tc>
          <w:tcPr>
            <w:tcW w:type="dxa" w:w="432"/>
          </w:tcPr>
          <w:p>
            <w:r/>
            <w:r>
              <w:rPr>
                <w:b w:val="0"/>
                <w:i w:val="0"/>
                <w:sz w:val="16"/>
              </w:rPr>
              <w:t>7</w:t>
            </w:r>
          </w:p>
        </w:tc>
        <w:tc>
          <w:tcPr>
            <w:tcW w:type="dxa" w:w="1584"/>
          </w:tcPr>
          <w:p>
            <w:r/>
            <w:r>
              <w:rPr>
                <w:b w:val="0"/>
                <w:i w:val="0"/>
                <w:sz w:val="16"/>
              </w:rPr>
              <w:t>Jorge Delgado-Ruiz</w:t>
            </w:r>
          </w:p>
        </w:tc>
        <w:tc>
          <w:tcPr>
            <w:tcW w:type="dxa" w:w="2160"/>
          </w:tcPr>
          <w:p>
            <w:r/>
            <w:r>
              <w:rPr>
                <w:b w:val="0"/>
                <w:i w:val="0"/>
                <w:sz w:val="16"/>
              </w:rPr>
              <w:t>EAD recorded in S2 expired before inspection; could not provide updated documents.</w:t>
            </w:r>
          </w:p>
        </w:tc>
        <w:tc>
          <w:tcPr>
            <w:tcW w:type="dxa" w:w="3888"/>
          </w:tcPr>
          <w:p>
            <w:r/>
            <w:r>
              <w:rPr>
                <w:b w:val="0"/>
                <w:i w:val="0"/>
                <w:sz w:val="16"/>
              </w:rPr>
              <w:t>Response (Part IV.G) confirms he had not presented documents as of 3/22/2024. ICE does not charge a reverification failure in Cat. A. This is the only count where the Company lacks affirmative proof of authorization. Determine immediately whether a timely EAD renewal was filed (automatic extension under 8 C.F.R. § 274a.13(d)) or other status exists.</w:t>
            </w:r>
          </w:p>
        </w:tc>
        <w:tc>
          <w:tcPr>
            <w:tcW w:type="dxa" w:w="1296"/>
          </w:tcPr>
          <w:p>
            <w:r/>
            <w:r>
              <w:rPr>
                <w:b/>
                <w:i w:val="0"/>
                <w:sz w:val="16"/>
              </w:rPr>
              <w:t>Contest; highest open risk</w:t>
            </w:r>
          </w:p>
        </w:tc>
      </w:tr>
    </w:tbl>
    <w:p>
      <w:pPr>
        <w:spacing w:after="40"/>
      </w:pPr>
    </w:p>
    <w:p>
      <w:pPr>
        <w:pStyle w:val="Heading1"/>
      </w:pPr>
      <w:r>
        <w:t>VIII. Statutory Penalty Factors (8 U.S.C. § 1324a(e)(5)) — Errors in Attachment 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D9D9"/>
          </w:tcPr>
          <w:p>
            <w:r/>
            <w:r>
              <w:rPr>
                <w:b/>
                <w:sz w:val="16"/>
              </w:rPr>
              <w:t>Factor</w:t>
            </w:r>
          </w:p>
        </w:tc>
        <w:tc>
          <w:tcPr>
            <w:tcW w:type="dxa" w:w="2880"/>
            <w:shd w:val="clear" w:color="auto" w:fill="D9D9D9"/>
          </w:tcPr>
          <w:p>
            <w:r/>
            <w:r>
              <w:rPr>
                <w:b/>
                <w:sz w:val="16"/>
              </w:rPr>
              <w:t>ICE’s treatment</w:t>
            </w:r>
          </w:p>
        </w:tc>
        <w:tc>
          <w:tcPr>
            <w:tcW w:type="dxa" w:w="4752"/>
            <w:shd w:val="clear" w:color="auto" w:fill="D9D9D9"/>
          </w:tcPr>
          <w:p>
            <w:r/>
            <w:r>
              <w:rPr>
                <w:b/>
                <w:sz w:val="16"/>
              </w:rPr>
              <w:t>Errors / Company position</w:t>
            </w:r>
          </w:p>
        </w:tc>
      </w:tr>
      <w:tr>
        <w:tc>
          <w:tcPr>
            <w:tcW w:type="dxa" w:w="1728"/>
          </w:tcPr>
          <w:p>
            <w:r/>
            <w:r>
              <w:rPr>
                <w:b w:val="0"/>
                <w:i w:val="0"/>
                <w:sz w:val="16"/>
              </w:rPr>
              <w:t>Size of business</w:t>
            </w:r>
          </w:p>
        </w:tc>
        <w:tc>
          <w:tcPr>
            <w:tcW w:type="dxa" w:w="2880"/>
          </w:tcPr>
          <w:p>
            <w:r/>
            <w:r>
              <w:rPr>
                <w:b w:val="0"/>
                <w:i w:val="0"/>
                <w:sz w:val="16"/>
              </w:rPr>
              <w:t>Neutral; ≈500 employees, ≈$78M revenue, “sufficient resources.”</w:t>
            </w:r>
          </w:p>
        </w:tc>
        <w:tc>
          <w:tcPr>
            <w:tcW w:type="dxa" w:w="4752"/>
          </w:tcPr>
          <w:p>
            <w:r/>
            <w:r>
              <w:rPr>
                <w:b w:val="0"/>
                <w:i w:val="0"/>
                <w:sz w:val="16"/>
              </w:rPr>
              <w:t>Headcount overstated by ~44% (347 actual). Revenue figure is from unspecified “publicly available data” — demand the source. Reasoning that resources make the factor neutral reads aggravation into a factor that OCAHO treats as neutral-to-mitigating. Company should consider presenting financial evidence (ability to pay is a recognized non-statutory consideration).</w:t>
            </w:r>
          </w:p>
        </w:tc>
      </w:tr>
      <w:tr>
        <w:tc>
          <w:tcPr>
            <w:tcW w:type="dxa" w:w="1728"/>
          </w:tcPr>
          <w:p>
            <w:r/>
            <w:r>
              <w:rPr>
                <w:b w:val="0"/>
                <w:i w:val="0"/>
                <w:sz w:val="16"/>
              </w:rPr>
              <w:t>Good faith</w:t>
            </w:r>
          </w:p>
        </w:tc>
        <w:tc>
          <w:tcPr>
            <w:tcW w:type="dxa" w:w="2880"/>
          </w:tcPr>
          <w:p>
            <w:r/>
            <w:r>
              <w:rPr>
                <w:b w:val="0"/>
                <w:i w:val="0"/>
                <w:sz w:val="16"/>
              </w:rPr>
              <w:t>Aggravating — breadth of errors shows “pattern of inattention.”</w:t>
            </w:r>
          </w:p>
        </w:tc>
        <w:tc>
          <w:tcPr>
            <w:tcW w:type="dxa" w:w="4752"/>
          </w:tcPr>
          <w:p>
            <w:r/>
            <w:r>
              <w:rPr>
                <w:b w:val="0"/>
                <w:i w:val="0"/>
                <w:sz w:val="16"/>
              </w:rPr>
              <w:t>OCAHO holds that the existence or number of violations alone does not establish bad faith; ICE must show culpable conduct (e.g., disregard of known requirements). Ignored: 98.27% production (341/347) within the 3-day deadline; full cooperation; no extensions sought; internal audit; training; tickler system; GC oversight; corrected I-9s — all of which the NOI (§ 4) promised would be considered. At minimum neutral; properly mitigating.</w:t>
            </w:r>
          </w:p>
        </w:tc>
      </w:tr>
      <w:tr>
        <w:tc>
          <w:tcPr>
            <w:tcW w:type="dxa" w:w="1728"/>
          </w:tcPr>
          <w:p>
            <w:r/>
            <w:r>
              <w:rPr>
                <w:b w:val="0"/>
                <w:i w:val="0"/>
                <w:sz w:val="16"/>
              </w:rPr>
              <w:t>Seriousness</w:t>
            </w:r>
          </w:p>
        </w:tc>
        <w:tc>
          <w:tcPr>
            <w:tcW w:type="dxa" w:w="2880"/>
          </w:tcPr>
          <w:p>
            <w:r/>
            <w:r>
              <w:rPr>
                <w:b w:val="0"/>
                <w:i w:val="0"/>
                <w:sz w:val="16"/>
              </w:rPr>
              <w:t>Moderately aggravating; 7.0% of workforce; knowing-employment counts “particularly serious.”</w:t>
            </w:r>
          </w:p>
        </w:tc>
        <w:tc>
          <w:tcPr>
            <w:tcW w:type="dxa" w:w="4752"/>
          </w:tcPr>
          <w:p>
            <w:r/>
            <w:r>
              <w:rPr>
                <w:b w:val="0"/>
                <w:i w:val="0"/>
                <w:sz w:val="16"/>
              </w:rPr>
              <w:t>Most counts are technical. Seriousness is assessed per violation; recording omissions are at the low end. Reliance on Category C is circular and fails with Category C. Rate uses wrong denominator and conflicts with the 5.8% stated in Part 3.</w:t>
            </w:r>
          </w:p>
        </w:tc>
      </w:tr>
      <w:tr>
        <w:tc>
          <w:tcPr>
            <w:tcW w:type="dxa" w:w="1728"/>
          </w:tcPr>
          <w:p>
            <w:r/>
            <w:r>
              <w:rPr>
                <w:b w:val="0"/>
                <w:i w:val="0"/>
                <w:sz w:val="16"/>
              </w:rPr>
              <w:t>Unauthorized aliens</w:t>
            </w:r>
          </w:p>
        </w:tc>
        <w:tc>
          <w:tcPr>
            <w:tcW w:type="dxa" w:w="2880"/>
          </w:tcPr>
          <w:p>
            <w:r/>
            <w:r>
              <w:rPr>
                <w:b w:val="0"/>
                <w:i w:val="0"/>
                <w:sz w:val="16"/>
              </w:rPr>
              <w:t>Aggravating — “at least seven” unauthorized.</w:t>
            </w:r>
          </w:p>
        </w:tc>
        <w:tc>
          <w:tcPr>
            <w:tcW w:type="dxa" w:w="4752"/>
          </w:tcPr>
          <w:p>
            <w:r/>
            <w:r>
              <w:rPr>
                <w:b w:val="0"/>
                <w:i w:val="0"/>
                <w:sz w:val="16"/>
              </w:rPr>
              <w:t>No finding of actual unauthorized status; six of seven documented as authorized. None of the 29 Category A or 6 Category B employees is alleged to be unauthorized — this factor is mitigating for all paperwork counts.</w:t>
            </w:r>
          </w:p>
        </w:tc>
      </w:tr>
      <w:tr>
        <w:tc>
          <w:tcPr>
            <w:tcW w:type="dxa" w:w="1728"/>
          </w:tcPr>
          <w:p>
            <w:r/>
            <w:r>
              <w:rPr>
                <w:b w:val="0"/>
                <w:i w:val="0"/>
                <w:sz w:val="16"/>
              </w:rPr>
              <w:t>History of violations</w:t>
            </w:r>
          </w:p>
        </w:tc>
        <w:tc>
          <w:tcPr>
            <w:tcW w:type="dxa" w:w="2880"/>
          </w:tcPr>
          <w:p>
            <w:r/>
            <w:r>
              <w:rPr>
                <w:b w:val="0"/>
                <w:i w:val="0"/>
                <w:sz w:val="16"/>
              </w:rPr>
              <w:t>Mitigating, but credit deemed “reflected” in first-offense rates and Tier 1 classifications; no additional credit.</w:t>
            </w:r>
          </w:p>
        </w:tc>
        <w:tc>
          <w:tcPr>
            <w:tcW w:type="dxa" w:w="4752"/>
          </w:tcPr>
          <w:p>
            <w:r/>
            <w:r>
              <w:rPr>
                <w:b w:val="0"/>
                <w:i w:val="0"/>
                <w:sz w:val="16"/>
              </w:rPr>
              <w:t>First-offense status is the default, not mitigation; Tier 1 is not a reduction (no tiers exist). The clean history (first NOI ever; no prior violations — conceded) has in substance been given zero weight.</w:t>
            </w:r>
          </w:p>
        </w:tc>
      </w:tr>
    </w:tbl>
    <w:p>
      <w:pPr>
        <w:spacing w:after="40"/>
      </w:pPr>
    </w:p>
    <w:p>
      <w:pPr>
        <w:spacing w:after="120"/>
      </w:pPr>
      <w:r>
        <w:rPr>
          <w:b/>
          <w:i w:val="0"/>
        </w:rPr>
        <w:t>Balancing.</w:t>
      </w:r>
      <w:r>
        <w:rPr>
          <w:b w:val="0"/>
          <w:i w:val="0"/>
        </w:rPr>
        <w:t xml:space="preserve"> ICE concludes “no downward adjustment” is warranted. Properly analyzed, at least three factors (good faith, unauthorized status, history) are mitigating and one (size) is neutral; only seriousness can be argued against the Company, and only for the handful of genuinely substantive counts. OCAHO reviews penalties de novo and routinely reduces ICE assessments to, or near, the statutory minimum for first-time employers in comparable circumstances.</w:t>
      </w:r>
    </w:p>
    <w:p>
      <w:pPr>
        <w:spacing w:after="120"/>
      </w:pPr>
      <w:r>
        <w:rPr>
          <w:b/>
          <w:i w:val="0"/>
        </w:rPr>
        <w:t>Violation-rate arithmetic (for our own use).</w:t>
      </w:r>
      <w:r>
        <w:rPr>
          <w:b w:val="0"/>
          <w:i w:val="0"/>
        </w:rPr>
        <w:t xml:space="preserve"> Using the correct denominator of 347, the NIF’s Categories A + B (35) would be 10.1% — higher than ICE’s figure — so we should not lead with the denominator point on rate; we should lead with it on the 500-employee factual error and on size. After removing the three erroneous counts the rate is 9.2% (32/347); counting only substantive paperwork violations and valid failures to produce, it is 3.7% (13/347).</w:t>
      </w:r>
    </w:p>
    <w:p>
      <w:pPr>
        <w:pStyle w:val="Heading1"/>
      </w:pPr>
      <w:r>
        <w:t>IX. Record Inconsistencies and Internal Risk Items (Privileged)</w:t>
      </w:r>
    </w:p>
    <w:p>
      <w:pPr>
        <w:spacing w:after="60"/>
      </w:pPr>
      <w:r>
        <w:rPr>
          <w:b w:val="0"/>
          <w:i w:val="0"/>
        </w:rPr>
        <w:t>The following items do not appear in the NIF but could surface in OCAHO discovery or in a re-inspection. They require investigation before any production or substantive submission:</w:t>
      </w:r>
    </w:p>
    <w:p>
      <w:pPr>
        <w:pStyle w:val="ListBullet"/>
        <w:spacing w:after="60"/>
      </w:pPr>
      <w:r>
        <w:rPr>
          <w:b/>
          <w:i w:val="0"/>
        </w:rPr>
        <w:t>Jorge Delgado-Ruiz — live knowing-employment exposure.</w:t>
      </w:r>
      <w:r>
        <w:rPr>
          <w:b w:val="0"/>
          <w:i w:val="0"/>
        </w:rPr>
        <w:t xml:space="preserve"> After ICE’s NSD put the Company on specific notice, continued employment without valid authorization is the classic Mester fact pattern. Immediately determine status (pending I-765, automatic extension, other basis). If he cannot establish authorization within a reasonable period, the Company must reverify or separate him, applying the same procedure it applies to all employees to avoid unfair documentary practices under 8 U.S.C. § 1324b. Document every step.</w:t>
      </w:r>
    </w:p>
    <w:p>
      <w:pPr>
        <w:pStyle w:val="ListBullet"/>
        <w:spacing w:after="60"/>
      </w:pPr>
      <w:r>
        <w:rPr>
          <w:b/>
          <w:i w:val="0"/>
        </w:rPr>
        <w:t>Fatima Benali.</w:t>
      </w:r>
      <w:r>
        <w:rPr>
          <w:b w:val="0"/>
          <w:i w:val="0"/>
        </w:rPr>
        <w:t xml:space="preserve"> The workbook records a List A EAD expiring 2/20/2022 with “Section 3 Reverification Required: No.” An unrecorded reverification lapse may exist (not charged). Confirm her current status (the March 2024 I-9 used List B + unrestricted List C, consistent with a status change).</w:t>
      </w:r>
    </w:p>
    <w:p>
      <w:pPr>
        <w:pStyle w:val="ListBullet"/>
        <w:spacing w:after="60"/>
      </w:pPr>
      <w:r>
        <w:rPr>
          <w:b/>
          <w:i w:val="0"/>
        </w:rPr>
        <w:t>Ahmad Rashid Al-Farsi.</w:t>
      </w:r>
      <w:r>
        <w:rPr>
          <w:b w:val="0"/>
          <w:i w:val="0"/>
        </w:rPr>
        <w:t xml:space="preserve"> The workbook shows the original EAD expired 6/1/2020, but Section 3 was not touched until 5/28/2021 — a potential ~12-month reverification gap that ICE did not charge.</w:t>
      </w:r>
    </w:p>
    <w:p>
      <w:pPr>
        <w:pStyle w:val="ListBullet"/>
        <w:spacing w:after="60"/>
      </w:pPr>
      <w:r>
        <w:rPr>
          <w:b/>
          <w:i w:val="0"/>
        </w:rPr>
        <w:t>Luis Cabrera.</w:t>
      </w:r>
      <w:r>
        <w:rPr>
          <w:b w:val="0"/>
          <w:i w:val="0"/>
        </w:rPr>
        <w:t xml:space="preserve"> The response refers to a possibly expired EAD that required Section 3 updating; determine whether a pre-NOI reverification lapse exists.</w:t>
      </w:r>
    </w:p>
    <w:p>
      <w:pPr>
        <w:pStyle w:val="ListBullet"/>
        <w:spacing w:after="60"/>
      </w:pPr>
      <w:r>
        <w:rPr>
          <w:b/>
          <w:i w:val="0"/>
        </w:rPr>
        <w:t>Anh Tran.</w:t>
      </w:r>
      <w:r>
        <w:rPr>
          <w:b w:val="0"/>
          <w:i w:val="0"/>
        </w:rPr>
        <w:t xml:space="preserve"> Reconcile hire date (NIF 7/15/2019; prior counsel “since 2021”). If employment began before H-1B approval, confirm the basis of authorization for the earlier period (e.g., F-1 OPT/STEM OPT). Calendar H-1B expiration 9/30/2025 for extension.</w:t>
      </w:r>
    </w:p>
    <w:p>
      <w:pPr>
        <w:pStyle w:val="ListBullet"/>
        <w:spacing w:after="60"/>
      </w:pPr>
      <w:r>
        <w:rPr>
          <w:b/>
          <w:i w:val="0"/>
        </w:rPr>
        <w:t>Workbook anomalies.</w:t>
      </w:r>
      <w:r>
        <w:rPr>
          <w:b w:val="0"/>
          <w:i w:val="0"/>
        </w:rPr>
        <w:t xml:space="preserve"> About 100 roster records show the 10/21/2019 form edition for employees hired years earlier (e.g., HPM-0001 hired 3/12/2007), and many records show S. Bledsoe completing Section 2 on dates before her own 1/10/2012 hire. Either the spreadsheet fields are unreliable, or I-9s were re-executed without retaining originals (which ICE could characterize as backdating). Reconcile every entry to the original forms before the workbook is used or produced; do not produce it as is.</w:t>
      </w:r>
    </w:p>
    <w:p>
      <w:pPr>
        <w:pStyle w:val="ListBullet"/>
        <w:spacing w:after="60"/>
      </w:pPr>
      <w:r>
        <w:rPr>
          <w:b/>
          <w:i w:val="0"/>
        </w:rPr>
        <w:t>Coverage.</w:t>
      </w:r>
      <w:r>
        <w:rPr>
          <w:b w:val="0"/>
          <w:i w:val="0"/>
        </w:rPr>
        <w:t xml:space="preserve"> The roster lists 200 of 347 employees; 29 NIF-named individuals are absent. Obtain the complete roster and original I-9 for every NIF-named employee.</w:t>
      </w:r>
    </w:p>
    <w:p>
      <w:pPr>
        <w:pStyle w:val="ListBullet"/>
        <w:spacing w:after="60"/>
      </w:pPr>
      <w:r>
        <w:rPr>
          <w:b/>
          <w:i w:val="0"/>
        </w:rPr>
        <w:t>Prior counsel’s response.</w:t>
      </w:r>
      <w:r>
        <w:rPr>
          <w:b w:val="0"/>
          <w:i w:val="0"/>
        </w:rPr>
        <w:t xml:space="preserve"> It states 23 employees were flagged but accounts for only 22 by name, uses names that do not match the NIF (“Maria Gutierrez,” “David O. Park,” “Oleksiy Bondarenko,” “Priya Mehta”), and contains admissions (e.g., Zhang “constitutes a substantive deficiency”; Benali form error; Sorokina recording error; Schultz and Vasquez “procedural failures that cannot be fully remediated”). Future submissions should neither repeat nor expand those admissions. Also note that at least 12 of the 15 “remaining” NSD employees addressed in the response (Reeves, Whitfield, Mehta, T. Jackson, Salazar-Lopez, Schultz, Ibrahim, Doyle, Petrov, S. Kim, Thompson, Vasquez, etc.) do not appear in the NIF — consistent with ICE having accepted those corrections, which itself supports the § 1324a(b)(6) argument for the remaining technical items.</w:t>
      </w:r>
    </w:p>
    <w:p>
      <w:pPr>
        <w:pStyle w:val="ListBullet"/>
        <w:spacing w:after="60"/>
      </w:pPr>
      <w:r>
        <w:rPr>
          <w:b/>
          <w:i w:val="0"/>
        </w:rPr>
        <w:t>Former HR Manager.</w:t>
      </w:r>
      <w:r>
        <w:rPr>
          <w:b w:val="0"/>
          <w:i w:val="0"/>
        </w:rPr>
        <w:t xml:space="preserve"> Sandra Bledsoe (departed 1/15/2024) prepared Section 2 for nearly all forms and is the key witness on Shankar (Section 1 handwriting), Mendoza-Torres, Markham’s missing form, and the Al-Farsi receipt. Locate and interview her promptly through counsel.</w:t>
      </w:r>
    </w:p>
    <w:p>
      <w:pPr>
        <w:pStyle w:val="ListBullet"/>
        <w:spacing w:after="60"/>
      </w:pPr>
      <w:r>
        <w:rPr>
          <w:b/>
          <w:i w:val="0"/>
        </w:rPr>
        <w:t>Minor NOI note.</w:t>
      </w:r>
      <w:r>
        <w:rPr>
          <w:b w:val="0"/>
          <w:i w:val="0"/>
        </w:rPr>
        <w:t xml:space="preserve"> The NOI lists two ICE telephone numbers ((913) 555-0100 and (913) 555-0147). Irrelevant to liability, but confirm which line prior counsel used for any communications regarding the March 22 response.</w:t>
      </w:r>
    </w:p>
    <w:p>
      <w:pPr>
        <w:pStyle w:val="Heading1"/>
      </w:pPr>
      <w:r>
        <w:t>X. Penalty Exposure Scenarios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608"/>
            <w:shd w:val="clear" w:color="auto" w:fill="D9D9D9"/>
          </w:tcPr>
          <w:p>
            <w:r/>
            <w:r>
              <w:rPr>
                <w:b/>
                <w:sz w:val="16"/>
              </w:rPr>
              <w:t>Scenario</w:t>
            </w:r>
          </w:p>
        </w:tc>
        <w:tc>
          <w:tcPr>
            <w:tcW w:type="dxa" w:w="1152"/>
            <w:shd w:val="clear" w:color="auto" w:fill="D9D9D9"/>
          </w:tcPr>
          <w:p>
            <w:r/>
            <w:r>
              <w:rPr>
                <w:b/>
                <w:sz w:val="16"/>
              </w:rPr>
              <w:t>Cat. A</w:t>
            </w:r>
          </w:p>
        </w:tc>
        <w:tc>
          <w:tcPr>
            <w:tcW w:type="dxa" w:w="1152"/>
            <w:shd w:val="clear" w:color="auto" w:fill="D9D9D9"/>
          </w:tcPr>
          <w:p>
            <w:r/>
            <w:r>
              <w:rPr>
                <w:b/>
                <w:sz w:val="16"/>
              </w:rPr>
              <w:t>Cat. B</w:t>
            </w:r>
          </w:p>
        </w:tc>
        <w:tc>
          <w:tcPr>
            <w:tcW w:type="dxa" w:w="1296"/>
            <w:shd w:val="clear" w:color="auto" w:fill="D9D9D9"/>
          </w:tcPr>
          <w:p>
            <w:r/>
            <w:r>
              <w:rPr>
                <w:b/>
                <w:sz w:val="16"/>
              </w:rPr>
              <w:t>Cat. C</w:t>
            </w:r>
          </w:p>
        </w:tc>
        <w:tc>
          <w:tcPr>
            <w:tcW w:type="dxa" w:w="1152"/>
            <w:shd w:val="clear" w:color="auto" w:fill="D9D9D9"/>
          </w:tcPr>
          <w:p>
            <w:r/>
            <w:r>
              <w:rPr>
                <w:b/>
                <w:sz w:val="16"/>
              </w:rPr>
              <w:t>Total</w:t>
            </w:r>
          </w:p>
        </w:tc>
      </w:tr>
      <w:tr>
        <w:tc>
          <w:tcPr>
            <w:tcW w:type="dxa" w:w="4608"/>
          </w:tcPr>
          <w:p>
            <w:r/>
            <w:r>
              <w:rPr>
                <w:b w:val="0"/>
                <w:i w:val="0"/>
                <w:sz w:val="16"/>
              </w:rPr>
              <w:t>1. NIF as issued (cover letter)</w:t>
            </w:r>
          </w:p>
        </w:tc>
        <w:tc>
          <w:tcPr>
            <w:tcW w:type="dxa" w:w="1152"/>
          </w:tcPr>
          <w:p>
            <w:r/>
            <w:r>
              <w:rPr>
                <w:b w:val="0"/>
                <w:i w:val="0"/>
                <w:sz w:val="16"/>
              </w:rPr>
              <w:t>—</w:t>
            </w:r>
          </w:p>
        </w:tc>
        <w:tc>
          <w:tcPr>
            <w:tcW w:type="dxa" w:w="1152"/>
          </w:tcPr>
          <w:p>
            <w:r/>
            <w:r>
              <w:rPr>
                <w:b w:val="0"/>
                <w:i w:val="0"/>
                <w:sz w:val="16"/>
              </w:rPr>
              <w:t>—</w:t>
            </w:r>
          </w:p>
        </w:tc>
        <w:tc>
          <w:tcPr>
            <w:tcW w:type="dxa" w:w="1296"/>
          </w:tcPr>
          <w:p>
            <w:r/>
            <w:r>
              <w:rPr>
                <w:b w:val="0"/>
                <w:i w:val="0"/>
                <w:sz w:val="16"/>
              </w:rPr>
              <w:t>—</w:t>
            </w:r>
          </w:p>
        </w:tc>
        <w:tc>
          <w:tcPr>
            <w:tcW w:type="dxa" w:w="1152"/>
          </w:tcPr>
          <w:p>
            <w:r/>
            <w:r>
              <w:rPr>
                <w:b w:val="0"/>
                <w:i w:val="0"/>
                <w:sz w:val="16"/>
              </w:rPr>
              <w:t>$613,470</w:t>
            </w:r>
          </w:p>
        </w:tc>
      </w:tr>
      <w:tr>
        <w:tc>
          <w:tcPr>
            <w:tcW w:type="dxa" w:w="4608"/>
          </w:tcPr>
          <w:p>
            <w:r/>
            <w:r>
              <w:rPr>
                <w:b w:val="0"/>
                <w:i w:val="0"/>
                <w:sz w:val="16"/>
              </w:rPr>
              <w:t>2. NIF as correctly summed (Att. E, Part 2)</w:t>
            </w:r>
          </w:p>
        </w:tc>
        <w:tc>
          <w:tcPr>
            <w:tcW w:type="dxa" w:w="1152"/>
          </w:tcPr>
          <w:p>
            <w:r/>
            <w:r>
              <w:rPr>
                <w:b w:val="0"/>
                <w:i w:val="0"/>
                <w:sz w:val="16"/>
              </w:rPr>
              <w:t>$100,302</w:t>
            </w:r>
          </w:p>
        </w:tc>
        <w:tc>
          <w:tcPr>
            <w:tcW w:type="dxa" w:w="1152"/>
          </w:tcPr>
          <w:p>
            <w:r/>
            <w:r>
              <w:rPr>
                <w:b w:val="0"/>
                <w:i w:val="0"/>
                <w:sz w:val="16"/>
              </w:rPr>
              <w:t>$15,042</w:t>
            </w:r>
          </w:p>
        </w:tc>
        <w:tc>
          <w:tcPr>
            <w:tcW w:type="dxa" w:w="1296"/>
          </w:tcPr>
          <w:p>
            <w:r/>
            <w:r>
              <w:rPr>
                <w:b w:val="0"/>
                <w:i w:val="0"/>
                <w:sz w:val="16"/>
              </w:rPr>
              <w:t>$49,924</w:t>
            </w:r>
          </w:p>
        </w:tc>
        <w:tc>
          <w:tcPr>
            <w:tcW w:type="dxa" w:w="1152"/>
          </w:tcPr>
          <w:p>
            <w:r/>
            <w:r>
              <w:rPr>
                <w:b w:val="0"/>
                <w:i w:val="0"/>
                <w:sz w:val="16"/>
              </w:rPr>
              <w:t>$165,268</w:t>
            </w:r>
          </w:p>
        </w:tc>
      </w:tr>
      <w:tr>
        <w:tc>
          <w:tcPr>
            <w:tcW w:type="dxa" w:w="4608"/>
          </w:tcPr>
          <w:p>
            <w:r/>
            <w:r>
              <w:rPr>
                <w:b w:val="0"/>
                <w:i w:val="0"/>
                <w:sz w:val="16"/>
              </w:rPr>
              <w:t>3. Clear errors corrected: withdraw Gutierrez-Padilla, Reyes-Montoya, Coldwater and all Cat. C; cap all paperwork counts at ICE’s own $2,507 rate (27 + 5 counts)</w:t>
            </w:r>
          </w:p>
        </w:tc>
        <w:tc>
          <w:tcPr>
            <w:tcW w:type="dxa" w:w="1152"/>
          </w:tcPr>
          <w:p>
            <w:r/>
            <w:r>
              <w:rPr>
                <w:b w:val="0"/>
                <w:i w:val="0"/>
                <w:sz w:val="16"/>
              </w:rPr>
              <w:t>$67,689</w:t>
            </w:r>
          </w:p>
        </w:tc>
        <w:tc>
          <w:tcPr>
            <w:tcW w:type="dxa" w:w="1152"/>
          </w:tcPr>
          <w:p>
            <w:r/>
            <w:r>
              <w:rPr>
                <w:b w:val="0"/>
                <w:i w:val="0"/>
                <w:sz w:val="16"/>
              </w:rPr>
              <w:t>$12,535</w:t>
            </w:r>
          </w:p>
        </w:tc>
        <w:tc>
          <w:tcPr>
            <w:tcW w:type="dxa" w:w="1296"/>
          </w:tcPr>
          <w:p>
            <w:r/>
            <w:r>
              <w:rPr>
                <w:b w:val="0"/>
                <w:i w:val="0"/>
                <w:sz w:val="16"/>
              </w:rPr>
              <w:t>$0</w:t>
            </w:r>
          </w:p>
        </w:tc>
        <w:tc>
          <w:tcPr>
            <w:tcW w:type="dxa" w:w="1152"/>
          </w:tcPr>
          <w:p>
            <w:r/>
            <w:r>
              <w:rPr>
                <w:b w:val="0"/>
                <w:i w:val="0"/>
                <w:sz w:val="16"/>
              </w:rPr>
              <w:t>$80,224</w:t>
            </w:r>
          </w:p>
        </w:tc>
      </w:tr>
      <w:tr>
        <w:tc>
          <w:tcPr>
            <w:tcW w:type="dxa" w:w="4608"/>
          </w:tcPr>
          <w:p>
            <w:r/>
            <w:r>
              <w:rPr>
                <w:b w:val="0"/>
                <w:i w:val="0"/>
                <w:sz w:val="16"/>
              </w:rPr>
              <w:t>4. Scenario 3 plus withdrawal of 19 technical/§ 1324a(b)(6) counts (8 + 5 counts at $2,507)</w:t>
            </w:r>
          </w:p>
        </w:tc>
        <w:tc>
          <w:tcPr>
            <w:tcW w:type="dxa" w:w="1152"/>
          </w:tcPr>
          <w:p>
            <w:r/>
            <w:r>
              <w:rPr>
                <w:b w:val="0"/>
                <w:i w:val="0"/>
                <w:sz w:val="16"/>
              </w:rPr>
              <w:t>$20,056</w:t>
            </w:r>
          </w:p>
        </w:tc>
        <w:tc>
          <w:tcPr>
            <w:tcW w:type="dxa" w:w="1152"/>
          </w:tcPr>
          <w:p>
            <w:r/>
            <w:r>
              <w:rPr>
                <w:b w:val="0"/>
                <w:i w:val="0"/>
                <w:sz w:val="16"/>
              </w:rPr>
              <w:t>$12,535</w:t>
            </w:r>
          </w:p>
        </w:tc>
        <w:tc>
          <w:tcPr>
            <w:tcW w:type="dxa" w:w="1296"/>
          </w:tcPr>
          <w:p>
            <w:r/>
            <w:r>
              <w:rPr>
                <w:b w:val="0"/>
                <w:i w:val="0"/>
                <w:sz w:val="16"/>
              </w:rPr>
              <w:t>$0</w:t>
            </w:r>
          </w:p>
        </w:tc>
        <w:tc>
          <w:tcPr>
            <w:tcW w:type="dxa" w:w="1152"/>
          </w:tcPr>
          <w:p>
            <w:r/>
            <w:r>
              <w:rPr>
                <w:b w:val="0"/>
                <w:i w:val="0"/>
                <w:sz w:val="16"/>
              </w:rPr>
              <w:t>$32,591</w:t>
            </w:r>
          </w:p>
        </w:tc>
      </w:tr>
      <w:tr>
        <w:tc>
          <w:tcPr>
            <w:tcW w:type="dxa" w:w="4608"/>
          </w:tcPr>
          <w:p>
            <w:r/>
            <w:r>
              <w:rPr>
                <w:b w:val="0"/>
                <w:i w:val="0"/>
                <w:sz w:val="16"/>
              </w:rPr>
              <w:t>5. Scenario 4 at the 2024 statutory minimum (~$281 × 13), reflecting full mitigation</w:t>
            </w:r>
          </w:p>
        </w:tc>
        <w:tc>
          <w:tcPr>
            <w:tcW w:type="dxa" w:w="1152"/>
          </w:tcPr>
          <w:p>
            <w:r/>
            <w:r>
              <w:rPr>
                <w:b w:val="0"/>
                <w:i w:val="0"/>
                <w:sz w:val="16"/>
              </w:rPr>
              <w:t>$2,248</w:t>
            </w:r>
          </w:p>
        </w:tc>
        <w:tc>
          <w:tcPr>
            <w:tcW w:type="dxa" w:w="1152"/>
          </w:tcPr>
          <w:p>
            <w:r/>
            <w:r>
              <w:rPr>
                <w:b w:val="0"/>
                <w:i w:val="0"/>
                <w:sz w:val="16"/>
              </w:rPr>
              <w:t>$1,405</w:t>
            </w:r>
          </w:p>
        </w:tc>
        <w:tc>
          <w:tcPr>
            <w:tcW w:type="dxa" w:w="1296"/>
          </w:tcPr>
          <w:p>
            <w:r/>
            <w:r>
              <w:rPr>
                <w:b w:val="0"/>
                <w:i w:val="0"/>
                <w:sz w:val="16"/>
              </w:rPr>
              <w:t>$0</w:t>
            </w:r>
          </w:p>
        </w:tc>
        <w:tc>
          <w:tcPr>
            <w:tcW w:type="dxa" w:w="1152"/>
          </w:tcPr>
          <w:p>
            <w:r/>
            <w:r>
              <w:rPr>
                <w:b w:val="0"/>
                <w:i w:val="0"/>
                <w:sz w:val="16"/>
              </w:rPr>
              <w:t>$3,653</w:t>
            </w:r>
          </w:p>
        </w:tc>
      </w:tr>
      <w:tr>
        <w:tc>
          <w:tcPr>
            <w:tcW w:type="dxa" w:w="4608"/>
          </w:tcPr>
          <w:p>
            <w:r/>
            <w:r>
              <w:rPr>
                <w:b w:val="0"/>
                <w:i w:val="0"/>
                <w:sz w:val="16"/>
              </w:rPr>
              <w:t>Contingent: Delgado-Ruiz knowing-employment count if sustained (2024 first-offense range, to be verified)</w:t>
            </w:r>
          </w:p>
        </w:tc>
        <w:tc>
          <w:tcPr>
            <w:tcW w:type="dxa" w:w="1152"/>
          </w:tcPr>
          <w:p>
            <w:r/>
          </w:p>
        </w:tc>
        <w:tc>
          <w:tcPr>
            <w:tcW w:type="dxa" w:w="1152"/>
          </w:tcPr>
          <w:p>
            <w:r/>
          </w:p>
        </w:tc>
        <w:tc>
          <w:tcPr>
            <w:tcW w:type="dxa" w:w="1296"/>
          </w:tcPr>
          <w:p>
            <w:r/>
            <w:r>
              <w:rPr>
                <w:b w:val="0"/>
                <w:i w:val="0"/>
                <w:sz w:val="16"/>
              </w:rPr>
              <w:t>$698–$5,579</w:t>
            </w:r>
          </w:p>
        </w:tc>
        <w:tc>
          <w:tcPr>
            <w:tcW w:type="dxa" w:w="1152"/>
          </w:tcPr>
          <w:p>
            <w:r/>
          </w:p>
        </w:tc>
      </w:tr>
    </w:tbl>
    <w:p>
      <w:pPr>
        <w:spacing w:after="40"/>
      </w:pPr>
    </w:p>
    <w:p>
      <w:pPr>
        <w:spacing w:after="120"/>
      </w:pPr>
      <w:r>
        <w:rPr>
          <w:b w:val="0"/>
          <w:i w:val="0"/>
        </w:rPr>
        <w:t>Scenarios 3–5 do not yet credit the statute-of-limitations defense or the pre-November 2, 2015 rate for Clements, Markham and Obeng, either of which would reduce exposure further. A realistic negotiated or adjudicated outcome on this record is within Scenarios 4–5 plus any Delgado-Ruiz exposure. Opening settlement position: Scenario 5, with the arithmetic error and rate overages documented in writing.</w:t>
      </w:r>
    </w:p>
    <w:p>
      <w:pPr>
        <w:pStyle w:val="Heading1"/>
      </w:pPr>
      <w:r>
        <w:t>XI. Recommended Actions</w:t>
      </w:r>
    </w:p>
    <w:p>
      <w:pPr>
        <w:pStyle w:val="Heading3"/>
      </w:pPr>
      <w:r>
        <w:t>Immediate (today, July 12, 2024)</w:t>
      </w:r>
    </w:p>
    <w:p>
      <w:pPr>
        <w:pStyle w:val="ListNumber"/>
        <w:spacing w:after="60"/>
      </w:pPr>
      <w:r>
        <w:rPr>
          <w:b w:val="0"/>
          <w:i w:val="0"/>
        </w:rPr>
        <w:t>File the hearing request with ICE HSI Kansas City (hand delivery and email), with a copy to OCAHO at the address in the NIF; include a concurrent request for settlement negotiations, a general denial, and reservation of all defenses. Retain proof of delivery.</w:t>
      </w:r>
    </w:p>
    <w:p>
      <w:pPr>
        <w:pStyle w:val="ListNumber"/>
        <w:spacing w:after="60"/>
      </w:pPr>
      <w:r>
        <w:rPr>
          <w:b w:val="0"/>
          <w:i w:val="0"/>
        </w:rPr>
        <w:t>File notice of appearance/G-28 and corporate authorization (Patricia Neville).</w:t>
      </w:r>
    </w:p>
    <w:p>
      <w:pPr>
        <w:pStyle w:val="Heading3"/>
      </w:pPr>
      <w:r>
        <w:t>Within 1–2 weeks</w:t>
      </w:r>
    </w:p>
    <w:p>
      <w:pPr>
        <w:pStyle w:val="ListNumber"/>
        <w:spacing w:after="60"/>
      </w:pPr>
      <w:r>
        <w:rPr>
          <w:b w:val="0"/>
          <w:i w:val="0"/>
        </w:rPr>
        <w:t>Send ICE a letter identifying the $448,202 arithmetic discrepancy and the rate overages and requesting a corrected computation and the Federal Register citation relied on.</w:t>
      </w:r>
    </w:p>
    <w:p>
      <w:pPr>
        <w:pStyle w:val="ListNumber"/>
        <w:spacing w:after="60"/>
      </w:pPr>
      <w:r>
        <w:rPr>
          <w:b w:val="0"/>
          <w:i w:val="0"/>
        </w:rPr>
        <w:t>Request ICE’s file: the Notice of Suspect Documents, any notice of technical/procedural failures, the handwriting analysis, the USCIS/SSA records relied on (including for Cabrera and Tran), the penalty worksheet, and the signatory’s delegation of authority; file a FOIA request in parallel.</w:t>
      </w:r>
    </w:p>
    <w:p>
      <w:pPr>
        <w:pStyle w:val="ListNumber"/>
        <w:spacing w:after="60"/>
      </w:pPr>
      <w:r>
        <w:rPr>
          <w:b w:val="0"/>
          <w:i w:val="0"/>
        </w:rPr>
        <w:t>Resolve Delgado-Ruiz’s status (Part IX) and document lawful, non-discriminatory handling.</w:t>
      </w:r>
    </w:p>
    <w:p>
      <w:pPr>
        <w:pStyle w:val="ListNumber"/>
        <w:spacing w:after="60"/>
      </w:pPr>
      <w:r>
        <w:rPr>
          <w:b w:val="0"/>
          <w:i w:val="0"/>
        </w:rPr>
        <w:t>Collect originals: all I-9s and copies for the 38 NIF-named employees, the complete 347-person roster, Markham’s file folder, E-Verify records (if any), predecessor-entity records for Clements and Coldwater, and Braddock &amp; Lyle’s full file including proof of March 22 email transmission.</w:t>
      </w:r>
    </w:p>
    <w:p>
      <w:pPr>
        <w:pStyle w:val="ListNumber"/>
        <w:spacing w:after="60"/>
      </w:pPr>
      <w:r>
        <w:rPr>
          <w:b w:val="0"/>
          <w:i w:val="0"/>
        </w:rPr>
        <w:t>Verify the 2024 DHS penalty table (8 C.F.R. § 280.53) and the effective date, and confirm the OCAHO limitations authorities, before relying on them in a pleading.</w:t>
      </w:r>
    </w:p>
    <w:p>
      <w:pPr>
        <w:pStyle w:val="Heading3"/>
      </w:pPr>
      <w:r>
        <w:t>Before the OCAHO answer</w:t>
      </w:r>
    </w:p>
    <w:p>
      <w:pPr>
        <w:pStyle w:val="ListNumber"/>
        <w:spacing w:after="60"/>
      </w:pPr>
      <w:r>
        <w:rPr>
          <w:b w:val="0"/>
          <w:i w:val="0"/>
        </w:rPr>
        <w:t>Prepare a count-by-count answer tracking Parts V–VII; assert affirmative defenses: § 1324a(b)(6) technical-failure safe harbor; § 1324a(a)(3) good faith; 28 U.S.C. § 2462 limitations; penalties in excess of statutory maxima; lack of notice; duplication of counts.</w:t>
      </w:r>
    </w:p>
    <w:p>
      <w:pPr>
        <w:pStyle w:val="ListNumber"/>
        <w:spacing w:after="60"/>
      </w:pPr>
      <w:r>
        <w:rPr>
          <w:b w:val="0"/>
          <w:i w:val="0"/>
        </w:rPr>
        <w:t>Assemble mitigation evidence: remediation program, training records, tickler system, internal audit, financial information.</w:t>
      </w:r>
    </w:p>
    <w:p>
      <w:pPr>
        <w:pStyle w:val="ListNumber"/>
        <w:spacing w:after="60"/>
      </w:pPr>
      <w:r>
        <w:rPr>
          <w:b w:val="0"/>
          <w:i w:val="0"/>
        </w:rPr>
        <w:t>Interview Sandra Bledsoe, Linda Garrett, Tyrone Watkins and Patricia Neville; reconcile the workbook anomalies before any production.</w:t>
      </w:r>
    </w:p>
    <w:p>
      <w:pPr>
        <w:pStyle w:val="ListNumber"/>
        <w:spacing w:after="60"/>
      </w:pPr>
      <w:r>
        <w:rPr>
          <w:b w:val="0"/>
          <w:i w:val="0"/>
        </w:rPr>
        <w:t>Continue remediation without new admissions, and ensure the Company does not over-document or selectively reverify (8 U.S.C. § 1324b).</w:t>
      </w:r>
    </w:p>
    <w:p>
      <w:pPr>
        <w:spacing w:after="120"/>
      </w:pPr>
    </w:p>
    <w:p>
      <w:pPr>
        <w:spacing w:after="120"/>
      </w:pPr>
      <w:r>
        <w:rPr>
          <w:b w:val="0"/>
          <w:i/>
          <w:sz w:val="18"/>
        </w:rPr>
        <w:t>This memorandum is based on the five documents identified in Part II. Statements regarding 2024 penalty amounts, Form I-9 edition dates, and OCAHO authorities are drawn from our working knowledge and are flagged for verification against primary sources before they are asserted in any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