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18"/>
        </w:rPr>
        <w:t>PRIVILEGED &amp; CONFIDENTIAL | ATTORNEY WORK PRODUCT | PREPARED AT THE DIRECTION OF COUNSEL</w:t>
      </w:r>
    </w:p>
    <w:p>
      <w:pPr>
        <w:jc w:val="center"/>
      </w:pPr>
      <w:r>
        <w:rPr>
          <w:b/>
          <w:i w:val="0"/>
          <w:sz w:val="28"/>
        </w:rPr>
        <w:t>HOLLOWAY STERNE LLP</w:t>
      </w:r>
    </w:p>
    <w:p>
      <w:pPr>
        <w:jc w:val="center"/>
      </w:pPr>
      <w:r>
        <w:rPr>
          <w:b/>
          <w:i w:val="0"/>
          <w:sz w:val="26"/>
        </w:rPr>
        <w:t>MEMORANDUM</w:t>
      </w:r>
    </w:p>
    <w:tbl>
      <w:tblPr>
        <w:tblStyle w:val="TableGrid"/>
        <w:tblW w:type="auto" w:w="0"/>
        <w:jc w:val="center"/>
        <w:tblLook w:firstColumn="1" w:firstRow="1" w:lastColumn="0" w:lastRow="0" w:noHBand="0" w:noVBand="1" w:val="04A0"/>
      </w:tblPr>
      <w:tblGrid>
        <w:gridCol w:w="4680"/>
        <w:gridCol w:w="4680"/>
      </w:tblGrid>
      <w:tr>
        <w:tc>
          <w:tcPr>
            <w:tcW w:type="dxa" w:w="2016"/>
            <w:shd w:val="clear" w:color="auto" w:fill="D9E2F3"/>
          </w:tcPr>
          <w:p>
            <w:r/>
            <w:r>
              <w:rPr>
                <w:b/>
                <w:sz w:val="20"/>
              </w:rPr>
            </w:r>
          </w:p>
        </w:tc>
        <w:tc>
          <w:tcPr>
            <w:tcW w:type="dxa" w:w="7344"/>
            <w:shd w:val="clear" w:color="auto" w:fill="D9E2F3"/>
          </w:tcPr>
          <w:p>
            <w:r/>
            <w:r>
              <w:rPr>
                <w:b/>
                <w:sz w:val="20"/>
              </w:rPr>
            </w:r>
          </w:p>
        </w:tc>
      </w:tr>
      <w:tr>
        <w:tc>
          <w:tcPr>
            <w:tcW w:type="dxa" w:w="2016"/>
          </w:tcPr>
          <w:p>
            <w:r/>
            <w:r>
              <w:rPr>
                <w:b w:val="0"/>
                <w:i w:val="0"/>
                <w:sz w:val="20"/>
              </w:rPr>
              <w:t>TO:</w:t>
            </w:r>
          </w:p>
        </w:tc>
        <w:tc>
          <w:tcPr>
            <w:tcW w:type="dxa" w:w="7344"/>
          </w:tcPr>
          <w:p>
            <w:r/>
            <w:r>
              <w:rPr>
                <w:b w:val="0"/>
                <w:i w:val="0"/>
                <w:sz w:val="20"/>
              </w:rPr>
              <w:t>Daniel Okafor, Partner (Attorney of Record)</w:t>
            </w:r>
          </w:p>
        </w:tc>
      </w:tr>
      <w:tr>
        <w:tc>
          <w:tcPr>
            <w:tcW w:type="dxa" w:w="2016"/>
          </w:tcPr>
          <w:p>
            <w:r/>
            <w:r>
              <w:rPr>
                <w:b w:val="0"/>
                <w:i w:val="0"/>
                <w:sz w:val="20"/>
              </w:rPr>
              <w:t>FROM:</w:t>
            </w:r>
          </w:p>
        </w:tc>
        <w:tc>
          <w:tcPr>
            <w:tcW w:type="dxa" w:w="7344"/>
          </w:tcPr>
          <w:p>
            <w:r/>
            <w:r>
              <w:rPr>
                <w:b w:val="0"/>
                <w:i w:val="0"/>
                <w:sz w:val="20"/>
              </w:rPr>
              <w:t>Immigration Associate</w:t>
            </w:r>
          </w:p>
        </w:tc>
      </w:tr>
      <w:tr>
        <w:tc>
          <w:tcPr>
            <w:tcW w:type="dxa" w:w="2016"/>
          </w:tcPr>
          <w:p>
            <w:r/>
            <w:r>
              <w:rPr>
                <w:b w:val="0"/>
                <w:i w:val="0"/>
                <w:sz w:val="20"/>
              </w:rPr>
              <w:t>CLIENT / MATTER:</w:t>
            </w:r>
          </w:p>
        </w:tc>
        <w:tc>
          <w:tcPr>
            <w:tcW w:type="dxa" w:w="7344"/>
          </w:tcPr>
          <w:p>
            <w:r/>
            <w:r>
              <w:rPr>
                <w:b w:val="0"/>
                <w:i w:val="0"/>
                <w:sz w:val="20"/>
              </w:rPr>
              <w:t>Brightfield Analytics Inc. (Petitioner) / Rajesh Venkataraman (Beneficiary) - H-1B Petition (Form I-129), Senior Machine Learning Engineer</w:t>
            </w:r>
          </w:p>
        </w:tc>
      </w:tr>
      <w:tr>
        <w:tc>
          <w:tcPr>
            <w:tcW w:type="dxa" w:w="2016"/>
          </w:tcPr>
          <w:p>
            <w:r/>
            <w:r>
              <w:rPr>
                <w:b w:val="0"/>
                <w:i w:val="0"/>
                <w:sz w:val="20"/>
              </w:rPr>
              <w:t>RE:</w:t>
            </w:r>
          </w:p>
        </w:tc>
        <w:tc>
          <w:tcPr>
            <w:tcW w:type="dxa" w:w="7344"/>
          </w:tcPr>
          <w:p>
            <w:r/>
            <w:r>
              <w:rPr>
                <w:b w:val="0"/>
                <w:i w:val="0"/>
                <w:sz w:val="20"/>
              </w:rPr>
              <w:t>Pre-filing issue identification and cross-document review of H-1B petition package</w:t>
            </w:r>
          </w:p>
        </w:tc>
      </w:tr>
      <w:tr>
        <w:tc>
          <w:tcPr>
            <w:tcW w:type="dxa" w:w="2016"/>
          </w:tcPr>
          <w:p>
            <w:r/>
            <w:r>
              <w:rPr>
                <w:b w:val="0"/>
                <w:i w:val="0"/>
                <w:sz w:val="20"/>
              </w:rPr>
              <w:t>STATUS:</w:t>
            </w:r>
          </w:p>
        </w:tc>
        <w:tc>
          <w:tcPr>
            <w:tcW w:type="dxa" w:w="7344"/>
          </w:tcPr>
          <w:p>
            <w:r/>
            <w:r>
              <w:rPr>
                <w:b w:val="0"/>
                <w:i w:val="0"/>
                <w:sz w:val="20"/>
              </w:rPr>
              <w:t>Draft for partner review - petition should NOT be filed in its current form</w:t>
            </w:r>
          </w:p>
        </w:tc>
      </w:tr>
    </w:tbl>
    <w:p/>
    <w:p>
      <w:pPr>
        <w:pStyle w:val="Heading1"/>
      </w:pPr>
      <w:r>
        <w:t>I. Executive Summary and Bottom Line</w:t>
      </w:r>
    </w:p>
    <w:p>
      <w:r>
        <w:rPr>
          <w:b w:val="0"/>
          <w:i w:val="0"/>
        </w:rPr>
        <w:t xml:space="preserve">I reviewed all ten documents in the petition package and cross-checked every recurring data point (dates, titles, wages, duties, degree fields, reporting lines, contact information, signatures). The package is internally coherent on the basic employer data (FEIN 84-3291756, NAICS 541511, 187 employees, $41.2M revenue, single Austin worksite, LCA/PWD case numbers, $128,000 offered wage). However, it contains several defects that, individually, would likely draw a Request for Evidence (RFE) and, in combination, create a substantial risk of denial and of exposure for the employer and the beneficiary. </w:t>
      </w:r>
      <w:r>
        <w:rPr>
          <w:b/>
          <w:i w:val="0"/>
        </w:rPr>
        <w:t>My recommendation is that we do not file the I-129 on the current record.</w:t>
      </w:r>
      <w:r>
        <w:rPr>
          <w:b w:val="0"/>
          <w:i w:val="0"/>
        </w:rPr>
        <w:t xml:space="preserve"> The filing window for cap-subject FY2026 petitions runs through June 30, 2025, which leaves time to cure the most serious problems, including filing a new LCA.</w:t>
      </w:r>
    </w:p>
    <w:p>
      <w:r>
        <w:rPr>
          <w:b/>
          <w:i w:val="0"/>
        </w:rPr>
        <w:t>The four threshold problems are:</w:t>
      </w:r>
    </w:p>
    <w:p>
      <w:pPr>
        <w:pStyle w:val="ListNumber"/>
      </w:pPr>
      <w:r>
        <w:rPr>
          <w:b/>
          <w:i w:val="0"/>
        </w:rPr>
        <w:t>Beneficiary immigration-status history does not add up (CRITICAL).</w:t>
      </w:r>
      <w:r>
        <w:rPr>
          <w:b w:val="0"/>
          <w:i w:val="0"/>
        </w:rPr>
        <w:t xml:space="preserve"> The support letter represents that Mr. Venkataraman is "maintaining valid F-1 Optional Practical Training (OPT) status," yet no document shows any U.S. degree (his only degree is a 2014 Indian B.Tech), and he has worked in the United States since April 2017 (NovaStar, Dallas; self-employed consultant, Austin; Brightfield, Austin). OPT requires completion of U.S. study and is time-limited; roughly eight years of continuous U.S. work cannot be explained by a single OPT period. If the status representation is wrong, the change-of-status request and the letter itself present misrepresentation and eligibility problems.</w:t>
      </w:r>
    </w:p>
    <w:p>
      <w:pPr>
        <w:pStyle w:val="ListNumber"/>
      </w:pPr>
      <w:r>
        <w:rPr>
          <w:b/>
          <w:i w:val="0"/>
        </w:rPr>
        <w:t>The beneficiary does not hold a degree in the fields the petitioner itself defines as required (CRITICAL).</w:t>
      </w:r>
      <w:r>
        <w:rPr>
          <w:b w:val="0"/>
          <w:i w:val="0"/>
        </w:rPr>
        <w:t xml:space="preserve"> The position requires a bachelor's in Computer Science, Machine Learning, Artificial Intelligence or a closely related field. The beneficiary's degree is in Electronics and Communication Engineering (ECE). The credential evaluation equates it to a U.S. B.S. in ECE, expressly declines to opine on field match, and calculates computer-related coursework at only ~7.5% of the program. The support letter mischaracterizes the evaluation as confirming a generic "Bachelor of Science" equivalency. No education-plus-experience equivalency evaluation is in the file.</w:t>
      </w:r>
    </w:p>
    <w:p>
      <w:pPr>
        <w:pStyle w:val="ListNumber"/>
      </w:pPr>
      <w:r>
        <w:rPr>
          <w:b/>
          <w:i w:val="0"/>
        </w:rPr>
        <w:t>The wage level is understated relative to the job described (CRITICAL).</w:t>
      </w:r>
      <w:r>
        <w:rPr>
          <w:b w:val="0"/>
          <w:i w:val="0"/>
        </w:rPr>
        <w:t xml:space="preserve"> The LCA and PWD are at Level II ($113,734), which the PWD itself describes as "moderately complex tasks requiring limited judgment." The support letter describes a "Senior" role that exercises "independent judgment," supervises 3 (org chart: 2) data scientists, reports directly to the CTO, presents to C-suite executives, and requires 3 years of experience plus specialized NLP/LLM skills - all Level III/IV indicators. The offered $128,000 is $9,946 below Level III ($137,946) and $34,157 below Level IV ($162,157).</w:t>
      </w:r>
    </w:p>
    <w:p>
      <w:pPr>
        <w:pStyle w:val="ListNumber"/>
      </w:pPr>
      <w:r>
        <w:rPr>
          <w:b/>
          <w:i w:val="0"/>
        </w:rPr>
        <w:t>The LCA notice was not posted for the required period (CRITICAL).</w:t>
      </w:r>
      <w:r>
        <w:rPr>
          <w:b w:val="0"/>
          <w:i w:val="0"/>
        </w:rPr>
        <w:t xml:space="preserve"> The LCA, the notice and the Public Access File notation all state the notice was posted March 10 - March 19, 2025. That is 10 calendar days but only </w:t>
      </w:r>
      <w:r>
        <w:rPr>
          <w:b/>
          <w:i w:val="0"/>
        </w:rPr>
        <w:t>8 business days</w:t>
      </w:r>
      <w:r>
        <w:rPr>
          <w:b w:val="0"/>
          <w:i w:val="0"/>
        </w:rPr>
        <w:t xml:space="preserve"> (Mon 3/10 through Wed 3/19). 20 C.F.R. § 655.734(a)(1)(ii)(A) requires 10 business days in two conspicuous locations. The LCA (Section J.3) identifies only one posting location (first-floor break room), while the notice claims two. The notice attestation in Section K.4 is therefore inaccurate.</w:t>
      </w:r>
    </w:p>
    <w:p>
      <w:r>
        <w:rPr>
          <w:b w:val="0"/>
          <w:i w:val="0"/>
        </w:rPr>
        <w:t>Additional HIGH and MEDIUM issues include: an "any engineering discipline + 5 years" alternative requirement that undercuts the specialty-occupation theory; experience that is inconsistently stated and only partially documented (the only third-party ML experience letter documents scikit-learn only, and verifiable ML experience as of filing is under 5 years); inconsistent duties and reporting lines (3 vs. 2 direct reports; the beneficiary's current title of Data Scientist vs. the proposed senior role); internal errors in the credential evaluation; unsigned documents; inconsistent employer telephone numbers (including one that is the beneficiary's personal number); an unsupported industry-standard assertion; and a consulting business model that raises third-party worksite questions. Each is analyzed in Part V with a concrete remediation step, and Part VII consolidates the action items.</w:t>
      </w:r>
    </w:p>
    <w:p>
      <w:pPr>
        <w:pStyle w:val="Heading2"/>
      </w:pPr>
      <w:r>
        <w:t>Issue Heat Map</w:t>
      </w:r>
    </w:p>
    <w:p>
      <w:r>
        <w:rPr>
          <w:b w:val="0"/>
          <w:i/>
        </w:rPr>
        <w:t>Ordered by severity; the # column corresponds to the issue numbers in Part V.</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D9E2F3"/>
          </w:tcPr>
          <w:p>
            <w:r/>
            <w:r>
              <w:rPr>
                <w:b/>
                <w:sz w:val="16"/>
              </w:rPr>
              <w:t>#</w:t>
            </w:r>
          </w:p>
        </w:tc>
        <w:tc>
          <w:tcPr>
            <w:tcW w:type="dxa" w:w="3168"/>
            <w:shd w:val="clear" w:color="auto" w:fill="D9E2F3"/>
          </w:tcPr>
          <w:p>
            <w:r/>
            <w:r>
              <w:rPr>
                <w:b/>
                <w:sz w:val="16"/>
              </w:rPr>
              <w:t>Issue</w:t>
            </w:r>
          </w:p>
        </w:tc>
        <w:tc>
          <w:tcPr>
            <w:tcW w:type="dxa" w:w="1296"/>
            <w:shd w:val="clear" w:color="auto" w:fill="D9E2F3"/>
          </w:tcPr>
          <w:p>
            <w:r/>
            <w:r>
              <w:rPr>
                <w:b/>
                <w:sz w:val="16"/>
              </w:rPr>
              <w:t>Severity</w:t>
            </w:r>
          </w:p>
        </w:tc>
        <w:tc>
          <w:tcPr>
            <w:tcW w:type="dxa" w:w="2304"/>
            <w:shd w:val="clear" w:color="auto" w:fill="D9E2F3"/>
          </w:tcPr>
          <w:p>
            <w:r/>
            <w:r>
              <w:rPr>
                <w:b/>
                <w:sz w:val="16"/>
              </w:rPr>
              <w:t>Primary documents</w:t>
            </w:r>
          </w:p>
        </w:tc>
        <w:tc>
          <w:tcPr>
            <w:tcW w:type="dxa" w:w="2592"/>
            <w:shd w:val="clear" w:color="auto" w:fill="D9E2F3"/>
          </w:tcPr>
          <w:p>
            <w:r/>
            <w:r>
              <w:rPr>
                <w:b/>
                <w:sz w:val="16"/>
              </w:rPr>
              <w:t>Cure</w:t>
            </w:r>
          </w:p>
        </w:tc>
      </w:tr>
      <w:tr>
        <w:tc>
          <w:tcPr>
            <w:tcW w:type="dxa" w:w="432"/>
          </w:tcPr>
          <w:p>
            <w:r/>
            <w:r>
              <w:rPr>
                <w:b w:val="0"/>
                <w:i w:val="0"/>
                <w:sz w:val="16"/>
              </w:rPr>
              <w:t>1</w:t>
            </w:r>
          </w:p>
        </w:tc>
        <w:tc>
          <w:tcPr>
            <w:tcW w:type="dxa" w:w="3168"/>
          </w:tcPr>
          <w:p>
            <w:r/>
            <w:r>
              <w:rPr>
                <w:b w:val="0"/>
                <w:i w:val="0"/>
                <w:sz w:val="16"/>
              </w:rPr>
              <w:t>F-1 OPT status claim unsupported; potential unauthorized employment 2017-2025</w:t>
            </w:r>
          </w:p>
        </w:tc>
        <w:tc>
          <w:tcPr>
            <w:tcW w:type="dxa" w:w="1296"/>
            <w:shd w:val="clear" w:color="auto" w:fill="F4CCCC"/>
          </w:tcPr>
          <w:p>
            <w:r/>
            <w:r>
              <w:rPr>
                <w:b w:val="0"/>
                <w:i w:val="0"/>
                <w:sz w:val="16"/>
              </w:rPr>
              <w:t>CRITICAL</w:t>
            </w:r>
          </w:p>
        </w:tc>
        <w:tc>
          <w:tcPr>
            <w:tcW w:type="dxa" w:w="2304"/>
          </w:tcPr>
          <w:p>
            <w:r/>
            <w:r>
              <w:rPr>
                <w:b w:val="0"/>
                <w:i w:val="0"/>
                <w:sz w:val="16"/>
              </w:rPr>
              <w:t>Support letter; resume; NovaStar &amp; Kiran letters</w:t>
            </w:r>
          </w:p>
        </w:tc>
        <w:tc>
          <w:tcPr>
            <w:tcW w:type="dxa" w:w="2592"/>
          </w:tcPr>
          <w:p>
            <w:r/>
            <w:r>
              <w:rPr>
                <w:b w:val="0"/>
                <w:i w:val="0"/>
                <w:sz w:val="16"/>
              </w:rPr>
              <w:t>Full immigration-history intake before filing; correct letter; consider consular processing</w:t>
            </w:r>
          </w:p>
        </w:tc>
      </w:tr>
      <w:tr>
        <w:tc>
          <w:tcPr>
            <w:tcW w:type="dxa" w:w="432"/>
          </w:tcPr>
          <w:p>
            <w:r/>
            <w:r>
              <w:rPr>
                <w:b w:val="0"/>
                <w:i w:val="0"/>
                <w:sz w:val="16"/>
              </w:rPr>
              <w:t>2</w:t>
            </w:r>
          </w:p>
        </w:tc>
        <w:tc>
          <w:tcPr>
            <w:tcW w:type="dxa" w:w="3168"/>
          </w:tcPr>
          <w:p>
            <w:r/>
            <w:r>
              <w:rPr>
                <w:b w:val="0"/>
                <w:i w:val="0"/>
                <w:sz w:val="16"/>
              </w:rPr>
              <w:t>Degree field (ECE) does not match stated requirement (CS/ML/AI)</w:t>
            </w:r>
          </w:p>
        </w:tc>
        <w:tc>
          <w:tcPr>
            <w:tcW w:type="dxa" w:w="1296"/>
            <w:shd w:val="clear" w:color="auto" w:fill="F4CCCC"/>
          </w:tcPr>
          <w:p>
            <w:r/>
            <w:r>
              <w:rPr>
                <w:b w:val="0"/>
                <w:i w:val="0"/>
                <w:sz w:val="16"/>
              </w:rPr>
              <w:t>CRITICAL</w:t>
            </w:r>
          </w:p>
        </w:tc>
        <w:tc>
          <w:tcPr>
            <w:tcW w:type="dxa" w:w="2304"/>
          </w:tcPr>
          <w:p>
            <w:r/>
            <w:r>
              <w:rPr>
                <w:b w:val="0"/>
                <w:i w:val="0"/>
                <w:sz w:val="16"/>
              </w:rPr>
              <w:t>Support letter; evaluation; transcripts; LCA G.7</w:t>
            </w:r>
          </w:p>
        </w:tc>
        <w:tc>
          <w:tcPr>
            <w:tcW w:type="dxa" w:w="2592"/>
          </w:tcPr>
          <w:p>
            <w:r/>
            <w:r>
              <w:rPr>
                <w:b w:val="0"/>
                <w:i w:val="0"/>
                <w:sz w:val="16"/>
              </w:rPr>
              <w:t>Directly-related analysis + professor education/experience evaluation; reconsider requirement wording</w:t>
            </w:r>
          </w:p>
        </w:tc>
      </w:tr>
      <w:tr>
        <w:tc>
          <w:tcPr>
            <w:tcW w:type="dxa" w:w="432"/>
          </w:tcPr>
          <w:p>
            <w:r/>
            <w:r>
              <w:rPr>
                <w:b w:val="0"/>
                <w:i w:val="0"/>
                <w:sz w:val="16"/>
              </w:rPr>
              <w:t>10</w:t>
            </w:r>
          </w:p>
        </w:tc>
        <w:tc>
          <w:tcPr>
            <w:tcW w:type="dxa" w:w="3168"/>
          </w:tcPr>
          <w:p>
            <w:r/>
            <w:r>
              <w:rPr>
                <w:b w:val="0"/>
                <w:i w:val="0"/>
                <w:sz w:val="16"/>
              </w:rPr>
              <w:t>Wage level (Level II) inconsistent with senior, supervisory, independent-judgment duties</w:t>
            </w:r>
          </w:p>
        </w:tc>
        <w:tc>
          <w:tcPr>
            <w:tcW w:type="dxa" w:w="1296"/>
            <w:shd w:val="clear" w:color="auto" w:fill="F4CCCC"/>
          </w:tcPr>
          <w:p>
            <w:r/>
            <w:r>
              <w:rPr>
                <w:b w:val="0"/>
                <w:i w:val="0"/>
                <w:sz w:val="16"/>
              </w:rPr>
              <w:t>CRITICAL</w:t>
            </w:r>
          </w:p>
        </w:tc>
        <w:tc>
          <w:tcPr>
            <w:tcW w:type="dxa" w:w="2304"/>
          </w:tcPr>
          <w:p>
            <w:r/>
            <w:r>
              <w:rPr>
                <w:b w:val="0"/>
                <w:i w:val="0"/>
                <w:sz w:val="16"/>
              </w:rPr>
              <w:t>LCA; PWD; support letter; org chart</w:t>
            </w:r>
          </w:p>
        </w:tc>
        <w:tc>
          <w:tcPr>
            <w:tcW w:type="dxa" w:w="2592"/>
          </w:tcPr>
          <w:p>
            <w:r/>
            <w:r>
              <w:rPr>
                <w:b w:val="0"/>
                <w:i w:val="0"/>
                <w:sz w:val="16"/>
              </w:rPr>
              <w:t>New LCA at Level III/IV and wage increase, or re-scope duties consistently</w:t>
            </w:r>
          </w:p>
        </w:tc>
      </w:tr>
      <w:tr>
        <w:tc>
          <w:tcPr>
            <w:tcW w:type="dxa" w:w="432"/>
          </w:tcPr>
          <w:p>
            <w:r/>
            <w:r>
              <w:rPr>
                <w:b w:val="0"/>
                <w:i w:val="0"/>
                <w:sz w:val="16"/>
              </w:rPr>
              <w:t>11</w:t>
            </w:r>
          </w:p>
        </w:tc>
        <w:tc>
          <w:tcPr>
            <w:tcW w:type="dxa" w:w="3168"/>
          </w:tcPr>
          <w:p>
            <w:r/>
            <w:r>
              <w:rPr>
                <w:b w:val="0"/>
                <w:i w:val="0"/>
                <w:sz w:val="16"/>
              </w:rPr>
              <w:t>LCA notice posted 8 business days, not 10; one vs. two locations</w:t>
            </w:r>
          </w:p>
        </w:tc>
        <w:tc>
          <w:tcPr>
            <w:tcW w:type="dxa" w:w="1296"/>
            <w:shd w:val="clear" w:color="auto" w:fill="F4CCCC"/>
          </w:tcPr>
          <w:p>
            <w:r/>
            <w:r>
              <w:rPr>
                <w:b w:val="0"/>
                <w:i w:val="0"/>
                <w:sz w:val="16"/>
              </w:rPr>
              <w:t>CRITICAL</w:t>
            </w:r>
          </w:p>
        </w:tc>
        <w:tc>
          <w:tcPr>
            <w:tcW w:type="dxa" w:w="2304"/>
          </w:tcPr>
          <w:p>
            <w:r/>
            <w:r>
              <w:rPr>
                <w:b w:val="0"/>
                <w:i w:val="0"/>
                <w:sz w:val="16"/>
              </w:rPr>
              <w:t>LCA J.2-J.3, K.4; posting notice</w:t>
            </w:r>
          </w:p>
        </w:tc>
        <w:tc>
          <w:tcPr>
            <w:tcW w:type="dxa" w:w="2592"/>
          </w:tcPr>
          <w:p>
            <w:r/>
            <w:r>
              <w:rPr>
                <w:b w:val="0"/>
                <w:i w:val="0"/>
                <w:sz w:val="16"/>
              </w:rPr>
              <w:t>Re-post properly; file and obtain new LCA before I-129 filing</w:t>
            </w:r>
          </w:p>
        </w:tc>
      </w:tr>
      <w:tr>
        <w:tc>
          <w:tcPr>
            <w:tcW w:type="dxa" w:w="432"/>
          </w:tcPr>
          <w:p>
            <w:r/>
            <w:r>
              <w:rPr>
                <w:b w:val="0"/>
                <w:i w:val="0"/>
                <w:sz w:val="16"/>
              </w:rPr>
              <w:t>5</w:t>
            </w:r>
          </w:p>
        </w:tc>
        <w:tc>
          <w:tcPr>
            <w:tcW w:type="dxa" w:w="3168"/>
          </w:tcPr>
          <w:p>
            <w:r/>
            <w:r>
              <w:rPr>
                <w:b w:val="0"/>
                <w:i w:val="0"/>
                <w:sz w:val="16"/>
              </w:rPr>
              <w:t>"Any engineering" + 5 years alternative undermines specific-specialty requirement</w:t>
            </w:r>
          </w:p>
        </w:tc>
        <w:tc>
          <w:tcPr>
            <w:tcW w:type="dxa" w:w="1296"/>
            <w:shd w:val="clear" w:color="auto" w:fill="FCE5CD"/>
          </w:tcPr>
          <w:p>
            <w:r/>
            <w:r>
              <w:rPr>
                <w:b w:val="0"/>
                <w:i w:val="0"/>
                <w:sz w:val="16"/>
              </w:rPr>
              <w:t>HIGH</w:t>
            </w:r>
          </w:p>
        </w:tc>
        <w:tc>
          <w:tcPr>
            <w:tcW w:type="dxa" w:w="2304"/>
          </w:tcPr>
          <w:p>
            <w:r/>
            <w:r>
              <w:rPr>
                <w:b w:val="0"/>
                <w:i w:val="0"/>
                <w:sz w:val="16"/>
              </w:rPr>
              <w:t>Support letter Sec. 3</w:t>
            </w:r>
          </w:p>
        </w:tc>
        <w:tc>
          <w:tcPr>
            <w:tcW w:type="dxa" w:w="2592"/>
          </w:tcPr>
          <w:p>
            <w:r/>
            <w:r>
              <w:rPr>
                <w:b w:val="0"/>
                <w:i w:val="0"/>
                <w:sz w:val="16"/>
              </w:rPr>
              <w:t>Delete or limit to directly related fields; align with LCA/PWD</w:t>
            </w:r>
          </w:p>
        </w:tc>
      </w:tr>
      <w:tr>
        <w:tc>
          <w:tcPr>
            <w:tcW w:type="dxa" w:w="432"/>
          </w:tcPr>
          <w:p>
            <w:r/>
            <w:r>
              <w:rPr>
                <w:b w:val="0"/>
                <w:i w:val="0"/>
                <w:sz w:val="16"/>
              </w:rPr>
              <w:t>3</w:t>
            </w:r>
          </w:p>
        </w:tc>
        <w:tc>
          <w:tcPr>
            <w:tcW w:type="dxa" w:w="3168"/>
          </w:tcPr>
          <w:p>
            <w:r/>
            <w:r>
              <w:rPr>
                <w:b w:val="0"/>
                <w:i w:val="0"/>
                <w:sz w:val="16"/>
              </w:rPr>
              <w:t>Experience: inconsistent dates/totals; ML skills largely undocumented; &lt;5 yrs verified ML at filing</w:t>
            </w:r>
          </w:p>
        </w:tc>
        <w:tc>
          <w:tcPr>
            <w:tcW w:type="dxa" w:w="1296"/>
            <w:shd w:val="clear" w:color="auto" w:fill="FCE5CD"/>
          </w:tcPr>
          <w:p>
            <w:r/>
            <w:r>
              <w:rPr>
                <w:b w:val="0"/>
                <w:i w:val="0"/>
                <w:sz w:val="16"/>
              </w:rPr>
              <w:t>HIGH</w:t>
            </w:r>
          </w:p>
        </w:tc>
        <w:tc>
          <w:tcPr>
            <w:tcW w:type="dxa" w:w="2304"/>
          </w:tcPr>
          <w:p>
            <w:r/>
            <w:r>
              <w:rPr>
                <w:b w:val="0"/>
                <w:i w:val="0"/>
                <w:sz w:val="16"/>
              </w:rPr>
              <w:t>Resume; Kiran &amp; NovaStar letters; support letter</w:t>
            </w:r>
          </w:p>
        </w:tc>
        <w:tc>
          <w:tcPr>
            <w:tcW w:type="dxa" w:w="2592"/>
          </w:tcPr>
          <w:p>
            <w:r/>
            <w:r>
              <w:rPr>
                <w:b w:val="0"/>
                <w:i w:val="0"/>
                <w:sz w:val="16"/>
              </w:rPr>
              <w:t>Reconcile dates; obtain consultancy and Brightfield evidence; supplemental NovaStar letter</w:t>
            </w:r>
          </w:p>
        </w:tc>
      </w:tr>
      <w:tr>
        <w:tc>
          <w:tcPr>
            <w:tcW w:type="dxa" w:w="432"/>
          </w:tcPr>
          <w:p>
            <w:r/>
            <w:r>
              <w:rPr>
                <w:b w:val="0"/>
                <w:i w:val="0"/>
                <w:sz w:val="16"/>
              </w:rPr>
              <w:t>4</w:t>
            </w:r>
          </w:p>
        </w:tc>
        <w:tc>
          <w:tcPr>
            <w:tcW w:type="dxa" w:w="3168"/>
          </w:tcPr>
          <w:p>
            <w:r/>
            <w:r>
              <w:rPr>
                <w:b w:val="0"/>
                <w:i w:val="0"/>
                <w:sz w:val="16"/>
              </w:rPr>
              <w:t>Credential evaluation internal errors and limited scope</w:t>
            </w:r>
          </w:p>
        </w:tc>
        <w:tc>
          <w:tcPr>
            <w:tcW w:type="dxa" w:w="1296"/>
            <w:shd w:val="clear" w:color="auto" w:fill="FCE5CD"/>
          </w:tcPr>
          <w:p>
            <w:r/>
            <w:r>
              <w:rPr>
                <w:b w:val="0"/>
                <w:i w:val="0"/>
                <w:sz w:val="16"/>
              </w:rPr>
              <w:t>HIGH</w:t>
            </w:r>
          </w:p>
        </w:tc>
        <w:tc>
          <w:tcPr>
            <w:tcW w:type="dxa" w:w="2304"/>
          </w:tcPr>
          <w:p>
            <w:r/>
            <w:r>
              <w:rPr>
                <w:b w:val="0"/>
                <w:i w:val="0"/>
                <w:sz w:val="16"/>
              </w:rPr>
              <w:t>Evaluation; transcripts</w:t>
            </w:r>
          </w:p>
        </w:tc>
        <w:tc>
          <w:tcPr>
            <w:tcW w:type="dxa" w:w="2592"/>
          </w:tcPr>
          <w:p>
            <w:r/>
            <w:r>
              <w:rPr>
                <w:b w:val="0"/>
                <w:i w:val="0"/>
                <w:sz w:val="16"/>
              </w:rPr>
              <w:t>Corrected/signed evaluation; separate qualified experience evaluation</w:t>
            </w:r>
          </w:p>
        </w:tc>
      </w:tr>
      <w:tr>
        <w:tc>
          <w:tcPr>
            <w:tcW w:type="dxa" w:w="432"/>
          </w:tcPr>
          <w:p>
            <w:r/>
            <w:r>
              <w:rPr>
                <w:b w:val="0"/>
                <w:i w:val="0"/>
                <w:sz w:val="16"/>
              </w:rPr>
              <w:t>6</w:t>
            </w:r>
          </w:p>
        </w:tc>
        <w:tc>
          <w:tcPr>
            <w:tcW w:type="dxa" w:w="3168"/>
          </w:tcPr>
          <w:p>
            <w:r/>
            <w:r>
              <w:rPr>
                <w:b w:val="0"/>
                <w:i w:val="0"/>
                <w:sz w:val="16"/>
              </w:rPr>
              <w:t>Duties, reporting line and staffing inconsistencies</w:t>
            </w:r>
          </w:p>
        </w:tc>
        <w:tc>
          <w:tcPr>
            <w:tcW w:type="dxa" w:w="1296"/>
            <w:shd w:val="clear" w:color="auto" w:fill="FCE5CD"/>
          </w:tcPr>
          <w:p>
            <w:r/>
            <w:r>
              <w:rPr>
                <w:b w:val="0"/>
                <w:i w:val="0"/>
                <w:sz w:val="16"/>
              </w:rPr>
              <w:t>HIGH</w:t>
            </w:r>
          </w:p>
        </w:tc>
        <w:tc>
          <w:tcPr>
            <w:tcW w:type="dxa" w:w="2304"/>
          </w:tcPr>
          <w:p>
            <w:r/>
            <w:r>
              <w:rPr>
                <w:b w:val="0"/>
                <w:i w:val="0"/>
                <w:sz w:val="16"/>
              </w:rPr>
              <w:t>Support letter; org chart; LCA G.5; PWD; resume</w:t>
            </w:r>
          </w:p>
        </w:tc>
        <w:tc>
          <w:tcPr>
            <w:tcW w:type="dxa" w:w="2592"/>
          </w:tcPr>
          <w:p>
            <w:r/>
            <w:r>
              <w:rPr>
                <w:b w:val="0"/>
                <w:i w:val="0"/>
                <w:sz w:val="16"/>
              </w:rPr>
              <w:t>Conform all descriptions; clarify beneficiary's current role</w:t>
            </w:r>
          </w:p>
        </w:tc>
      </w:tr>
      <w:tr>
        <w:tc>
          <w:tcPr>
            <w:tcW w:type="dxa" w:w="432"/>
          </w:tcPr>
          <w:p>
            <w:r/>
            <w:r>
              <w:rPr>
                <w:b w:val="0"/>
                <w:i w:val="0"/>
                <w:sz w:val="16"/>
              </w:rPr>
              <w:t>7</w:t>
            </w:r>
          </w:p>
        </w:tc>
        <w:tc>
          <w:tcPr>
            <w:tcW w:type="dxa" w:w="3168"/>
          </w:tcPr>
          <w:p>
            <w:r/>
            <w:r>
              <w:rPr>
                <w:b w:val="0"/>
                <w:i w:val="0"/>
                <w:sz w:val="16"/>
              </w:rPr>
              <w:t>Specialty-occupation evidence thin (industry standard unsupported; no hiring history)</w:t>
            </w:r>
          </w:p>
        </w:tc>
        <w:tc>
          <w:tcPr>
            <w:tcW w:type="dxa" w:w="1296"/>
            <w:shd w:val="clear" w:color="auto" w:fill="FFF2CC"/>
          </w:tcPr>
          <w:p>
            <w:r/>
            <w:r>
              <w:rPr>
                <w:b w:val="0"/>
                <w:i w:val="0"/>
                <w:sz w:val="16"/>
              </w:rPr>
              <w:t>MEDIUM</w:t>
            </w:r>
          </w:p>
        </w:tc>
        <w:tc>
          <w:tcPr>
            <w:tcW w:type="dxa" w:w="2304"/>
          </w:tcPr>
          <w:p>
            <w:r/>
            <w:r>
              <w:rPr>
                <w:b w:val="0"/>
                <w:i w:val="0"/>
                <w:sz w:val="16"/>
              </w:rPr>
              <w:t>Support letter Sec. 3</w:t>
            </w:r>
          </w:p>
        </w:tc>
        <w:tc>
          <w:tcPr>
            <w:tcW w:type="dxa" w:w="2592"/>
          </w:tcPr>
          <w:p>
            <w:r/>
            <w:r>
              <w:rPr>
                <w:b w:val="0"/>
                <w:i w:val="0"/>
                <w:sz w:val="16"/>
              </w:rPr>
              <w:t>Add OOH/O*NET analysis, job postings, hiring history, expert opinion</w:t>
            </w:r>
          </w:p>
        </w:tc>
      </w:tr>
      <w:tr>
        <w:tc>
          <w:tcPr>
            <w:tcW w:type="dxa" w:w="432"/>
          </w:tcPr>
          <w:p>
            <w:r/>
            <w:r>
              <w:rPr>
                <w:b w:val="0"/>
                <w:i w:val="0"/>
                <w:sz w:val="16"/>
              </w:rPr>
              <w:t>8</w:t>
            </w:r>
          </w:p>
        </w:tc>
        <w:tc>
          <w:tcPr>
            <w:tcW w:type="dxa" w:w="3168"/>
          </w:tcPr>
          <w:p>
            <w:r/>
            <w:r>
              <w:rPr>
                <w:b w:val="0"/>
                <w:i w:val="0"/>
                <w:sz w:val="16"/>
              </w:rPr>
              <w:t>SOC code 15-2051 vs. heavy infrastructure/software duties</w:t>
            </w:r>
          </w:p>
        </w:tc>
        <w:tc>
          <w:tcPr>
            <w:tcW w:type="dxa" w:w="1296"/>
            <w:shd w:val="clear" w:color="auto" w:fill="FFF2CC"/>
          </w:tcPr>
          <w:p>
            <w:r/>
            <w:r>
              <w:rPr>
                <w:b w:val="0"/>
                <w:i w:val="0"/>
                <w:sz w:val="16"/>
              </w:rPr>
              <w:t>MEDIUM</w:t>
            </w:r>
          </w:p>
        </w:tc>
        <w:tc>
          <w:tcPr>
            <w:tcW w:type="dxa" w:w="2304"/>
          </w:tcPr>
          <w:p>
            <w:r/>
            <w:r>
              <w:rPr>
                <w:b w:val="0"/>
                <w:i w:val="0"/>
                <w:sz w:val="16"/>
              </w:rPr>
              <w:t>LCA; PWD; support letter</w:t>
            </w:r>
          </w:p>
        </w:tc>
        <w:tc>
          <w:tcPr>
            <w:tcW w:type="dxa" w:w="2592"/>
          </w:tcPr>
          <w:p>
            <w:r/>
            <w:r>
              <w:rPr>
                <w:b w:val="0"/>
                <w:i w:val="0"/>
                <w:sz w:val="16"/>
              </w:rPr>
              <w:t>Document SOC rationale; confirm no better-fitting code</w:t>
            </w:r>
          </w:p>
        </w:tc>
      </w:tr>
      <w:tr>
        <w:tc>
          <w:tcPr>
            <w:tcW w:type="dxa" w:w="432"/>
          </w:tcPr>
          <w:p>
            <w:r/>
            <w:r>
              <w:rPr>
                <w:b w:val="0"/>
                <w:i w:val="0"/>
                <w:sz w:val="16"/>
              </w:rPr>
              <w:t>9</w:t>
            </w:r>
          </w:p>
        </w:tc>
        <w:tc>
          <w:tcPr>
            <w:tcW w:type="dxa" w:w="3168"/>
          </w:tcPr>
          <w:p>
            <w:r/>
            <w:r>
              <w:rPr>
                <w:b w:val="0"/>
                <w:i w:val="0"/>
                <w:sz w:val="16"/>
              </w:rPr>
              <w:t>Consulting model / client engagements; remote team; worksite</w:t>
            </w:r>
          </w:p>
        </w:tc>
        <w:tc>
          <w:tcPr>
            <w:tcW w:type="dxa" w:w="1296"/>
            <w:shd w:val="clear" w:color="auto" w:fill="FFF2CC"/>
          </w:tcPr>
          <w:p>
            <w:r/>
            <w:r>
              <w:rPr>
                <w:b w:val="0"/>
                <w:i w:val="0"/>
                <w:sz w:val="16"/>
              </w:rPr>
              <w:t>MEDIUM</w:t>
            </w:r>
          </w:p>
        </w:tc>
        <w:tc>
          <w:tcPr>
            <w:tcW w:type="dxa" w:w="2304"/>
          </w:tcPr>
          <w:p>
            <w:r/>
            <w:r>
              <w:rPr>
                <w:b w:val="0"/>
                <w:i w:val="0"/>
                <w:sz w:val="16"/>
              </w:rPr>
              <w:t>Support letter; org chart</w:t>
            </w:r>
          </w:p>
        </w:tc>
        <w:tc>
          <w:tcPr>
            <w:tcW w:type="dxa" w:w="2592"/>
          </w:tcPr>
          <w:p>
            <w:r/>
            <w:r>
              <w:rPr>
                <w:b w:val="0"/>
                <w:i w:val="0"/>
                <w:sz w:val="16"/>
              </w:rPr>
              <w:t>Confirm in-house work; address client-site/remote work and LCA coverage</w:t>
            </w:r>
          </w:p>
        </w:tc>
      </w:tr>
      <w:tr>
        <w:tc>
          <w:tcPr>
            <w:tcW w:type="dxa" w:w="432"/>
          </w:tcPr>
          <w:p>
            <w:r/>
            <w:r>
              <w:rPr>
                <w:b w:val="0"/>
                <w:i w:val="0"/>
                <w:sz w:val="16"/>
              </w:rPr>
              <w:t>13</w:t>
            </w:r>
          </w:p>
        </w:tc>
        <w:tc>
          <w:tcPr>
            <w:tcW w:type="dxa" w:w="3168"/>
          </w:tcPr>
          <w:p>
            <w:r/>
            <w:r>
              <w:rPr>
                <w:b w:val="0"/>
                <w:i w:val="0"/>
                <w:sz w:val="16"/>
              </w:rPr>
              <w:t>Unsigned documents; inconsistent phone numbers; stale financials; misc. errors</w:t>
            </w:r>
          </w:p>
        </w:tc>
        <w:tc>
          <w:tcPr>
            <w:tcW w:type="dxa" w:w="1296"/>
            <w:shd w:val="clear" w:color="auto" w:fill="FFF2CC"/>
          </w:tcPr>
          <w:p>
            <w:r/>
            <w:r>
              <w:rPr>
                <w:b w:val="0"/>
                <w:i w:val="0"/>
                <w:sz w:val="16"/>
              </w:rPr>
              <w:t>MEDIUM</w:t>
            </w:r>
          </w:p>
        </w:tc>
        <w:tc>
          <w:tcPr>
            <w:tcW w:type="dxa" w:w="2304"/>
          </w:tcPr>
          <w:p>
            <w:r/>
            <w:r>
              <w:rPr>
                <w:b w:val="0"/>
                <w:i w:val="0"/>
                <w:sz w:val="16"/>
              </w:rPr>
              <w:t>All</w:t>
            </w:r>
          </w:p>
        </w:tc>
        <w:tc>
          <w:tcPr>
            <w:tcW w:type="dxa" w:w="2592"/>
          </w:tcPr>
          <w:p>
            <w:r/>
            <w:r>
              <w:rPr>
                <w:b w:val="0"/>
                <w:i w:val="0"/>
                <w:sz w:val="16"/>
              </w:rPr>
              <w:t>Execute originals; conform contact data; update financials</w:t>
            </w:r>
          </w:p>
        </w:tc>
      </w:tr>
      <w:tr>
        <w:tc>
          <w:tcPr>
            <w:tcW w:type="dxa" w:w="432"/>
          </w:tcPr>
          <w:p>
            <w:r/>
            <w:r>
              <w:rPr>
                <w:b w:val="0"/>
                <w:i w:val="0"/>
                <w:sz w:val="16"/>
              </w:rPr>
              <w:t>12</w:t>
            </w:r>
          </w:p>
        </w:tc>
        <w:tc>
          <w:tcPr>
            <w:tcW w:type="dxa" w:w="3168"/>
          </w:tcPr>
          <w:p>
            <w:r/>
            <w:r>
              <w:rPr>
                <w:b w:val="0"/>
                <w:i w:val="0"/>
                <w:sz w:val="16"/>
              </w:rPr>
              <w:t>Cap selection, cap-gap and LCA compliance items (PAF, LCA copy to worker, wage start)</w:t>
            </w:r>
          </w:p>
        </w:tc>
        <w:tc>
          <w:tcPr>
            <w:tcW w:type="dxa" w:w="1296"/>
            <w:shd w:val="clear" w:color="auto" w:fill="D9EAD3"/>
          </w:tcPr>
          <w:p>
            <w:r/>
            <w:r>
              <w:rPr>
                <w:b w:val="0"/>
                <w:i w:val="0"/>
                <w:sz w:val="16"/>
              </w:rPr>
              <w:t>LOW/MEDIUM</w:t>
            </w:r>
          </w:p>
        </w:tc>
        <w:tc>
          <w:tcPr>
            <w:tcW w:type="dxa" w:w="2304"/>
          </w:tcPr>
          <w:p>
            <w:r/>
            <w:r>
              <w:rPr>
                <w:b w:val="0"/>
                <w:i w:val="0"/>
                <w:sz w:val="16"/>
              </w:rPr>
              <w:t>Support letter; LCA</w:t>
            </w:r>
          </w:p>
        </w:tc>
        <w:tc>
          <w:tcPr>
            <w:tcW w:type="dxa" w:w="2592"/>
          </w:tcPr>
          <w:p>
            <w:r/>
            <w:r>
              <w:rPr>
                <w:b w:val="0"/>
                <w:i w:val="0"/>
                <w:sz w:val="16"/>
              </w:rPr>
              <w:t>Confirm registration selection; PAF audit; correct wage-obligation language</w:t>
            </w:r>
          </w:p>
        </w:tc>
      </w:tr>
    </w:tbl>
    <w:p/>
    <w:p>
      <w:pPr>
        <w:pStyle w:val="Heading1"/>
      </w:pPr>
      <w:r>
        <w:t>II. Documents Reviewed</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9E2F3"/>
          </w:tcPr>
          <w:p>
            <w:r/>
            <w:r>
              <w:rPr>
                <w:b/>
                <w:sz w:val="16"/>
              </w:rPr>
              <w:t>Document</w:t>
            </w:r>
          </w:p>
        </w:tc>
        <w:tc>
          <w:tcPr>
            <w:tcW w:type="dxa" w:w="1440"/>
            <w:shd w:val="clear" w:color="auto" w:fill="D9E2F3"/>
          </w:tcPr>
          <w:p>
            <w:r/>
            <w:r>
              <w:rPr>
                <w:b/>
                <w:sz w:val="16"/>
              </w:rPr>
              <w:t>Date</w:t>
            </w:r>
          </w:p>
        </w:tc>
        <w:tc>
          <w:tcPr>
            <w:tcW w:type="dxa" w:w="5040"/>
            <w:shd w:val="clear" w:color="auto" w:fill="D9E2F3"/>
          </w:tcPr>
          <w:p>
            <w:r/>
            <w:r>
              <w:rPr>
                <w:b/>
                <w:sz w:val="16"/>
              </w:rPr>
              <w:t>Key content / observations</w:t>
            </w:r>
          </w:p>
        </w:tc>
      </w:tr>
      <w:tr>
        <w:tc>
          <w:tcPr>
            <w:tcW w:type="dxa" w:w="2880"/>
          </w:tcPr>
          <w:p>
            <w:r/>
            <w:r>
              <w:rPr>
                <w:b w:val="0"/>
                <w:i w:val="0"/>
                <w:sz w:val="16"/>
              </w:rPr>
              <w:t>Employer support letter (Patricia Kwon, HR Director)</w:t>
            </w:r>
          </w:p>
        </w:tc>
        <w:tc>
          <w:tcPr>
            <w:tcW w:type="dxa" w:w="1440"/>
          </w:tcPr>
          <w:p>
            <w:r/>
            <w:r>
              <w:rPr>
                <w:b w:val="0"/>
                <w:i w:val="0"/>
                <w:sz w:val="16"/>
              </w:rPr>
              <w:t>Apr. 7, 2025</w:t>
            </w:r>
          </w:p>
        </w:tc>
        <w:tc>
          <w:tcPr>
            <w:tcW w:type="dxa" w:w="5040"/>
          </w:tcPr>
          <w:p>
            <w:r/>
            <w:r>
              <w:rPr>
                <w:b w:val="0"/>
                <w:i w:val="0"/>
                <w:sz w:val="16"/>
              </w:rPr>
              <w:t>Position description, duties with time allocations, degree/experience requirements, beneficiary qualifications, terms of employment. Signature line blank.</w:t>
            </w:r>
          </w:p>
        </w:tc>
      </w:tr>
      <w:tr>
        <w:tc>
          <w:tcPr>
            <w:tcW w:type="dxa" w:w="2880"/>
          </w:tcPr>
          <w:p>
            <w:r/>
            <w:r>
              <w:rPr>
                <w:b w:val="0"/>
                <w:i w:val="0"/>
                <w:sz w:val="16"/>
              </w:rPr>
              <w:t>Certified LCA, ETA-9035, Case I-200-25031-543219</w:t>
            </w:r>
          </w:p>
        </w:tc>
        <w:tc>
          <w:tcPr>
            <w:tcW w:type="dxa" w:w="1440"/>
          </w:tcPr>
          <w:p>
            <w:r/>
            <w:r>
              <w:rPr>
                <w:b w:val="0"/>
                <w:i w:val="0"/>
                <w:sz w:val="16"/>
              </w:rPr>
              <w:t>Certified Mar. 10, 2025</w:t>
            </w:r>
          </w:p>
        </w:tc>
        <w:tc>
          <w:tcPr>
            <w:tcW w:type="dxa" w:w="5040"/>
          </w:tcPr>
          <w:p>
            <w:r/>
            <w:r>
              <w:rPr>
                <w:b w:val="0"/>
                <w:i w:val="0"/>
                <w:sz w:val="16"/>
              </w:rPr>
              <w:t>SOC 15-2051 Data Scientists, Level II, PW $113,734, wage $128,000; single Austin worksite; posting Mar. 10-19, 2025, one location. Employer signature line blank.</w:t>
            </w:r>
          </w:p>
        </w:tc>
      </w:tr>
      <w:tr>
        <w:tc>
          <w:tcPr>
            <w:tcW w:type="dxa" w:w="2880"/>
          </w:tcPr>
          <w:p>
            <w:r/>
            <w:r>
              <w:rPr>
                <w:b w:val="0"/>
                <w:i w:val="0"/>
                <w:sz w:val="16"/>
              </w:rPr>
              <w:t>Prevailing Wage Determination, P-300-25012-183456</w:t>
            </w:r>
          </w:p>
        </w:tc>
        <w:tc>
          <w:tcPr>
            <w:tcW w:type="dxa" w:w="1440"/>
          </w:tcPr>
          <w:p>
            <w:r/>
            <w:r>
              <w:rPr>
                <w:b w:val="0"/>
                <w:i w:val="0"/>
                <w:sz w:val="16"/>
              </w:rPr>
              <w:t>Jan. 15, 2025</w:t>
            </w:r>
          </w:p>
        </w:tc>
        <w:tc>
          <w:tcPr>
            <w:tcW w:type="dxa" w:w="5040"/>
          </w:tcPr>
          <w:p>
            <w:r/>
            <w:r>
              <w:rPr>
                <w:b w:val="0"/>
                <w:i w:val="0"/>
                <w:sz w:val="16"/>
              </w:rPr>
              <w:t>Level 2 requested and determined; min. bachelor's + 36 months; all four wage levels listed ($89,523 / $113,734 / $137,946 / $162,157).</w:t>
            </w:r>
          </w:p>
        </w:tc>
      </w:tr>
      <w:tr>
        <w:tc>
          <w:tcPr>
            <w:tcW w:type="dxa" w:w="2880"/>
          </w:tcPr>
          <w:p>
            <w:r/>
            <w:r>
              <w:rPr>
                <w:b w:val="0"/>
                <w:i w:val="0"/>
                <w:sz w:val="16"/>
              </w:rPr>
              <w:t>LCA posting notice</w:t>
            </w:r>
          </w:p>
        </w:tc>
        <w:tc>
          <w:tcPr>
            <w:tcW w:type="dxa" w:w="1440"/>
          </w:tcPr>
          <w:p>
            <w:r/>
            <w:r>
              <w:rPr>
                <w:b w:val="0"/>
                <w:i w:val="0"/>
                <w:sz w:val="16"/>
              </w:rPr>
              <w:t>Mar. 10, 2025</w:t>
            </w:r>
          </w:p>
        </w:tc>
        <w:tc>
          <w:tcPr>
            <w:tcW w:type="dxa" w:w="5040"/>
          </w:tcPr>
          <w:p>
            <w:r/>
            <w:r>
              <w:rPr>
                <w:b w:val="0"/>
                <w:i w:val="0"/>
                <w:sz w:val="16"/>
              </w:rPr>
              <w:t>States posting in two conspicuous locations, Mar. 10-19, 2025; employer phone (512) 555-0174.</w:t>
            </w:r>
          </w:p>
        </w:tc>
      </w:tr>
      <w:tr>
        <w:tc>
          <w:tcPr>
            <w:tcW w:type="dxa" w:w="2880"/>
          </w:tcPr>
          <w:p>
            <w:r/>
            <w:r>
              <w:rPr>
                <w:b w:val="0"/>
                <w:i w:val="0"/>
                <w:sz w:val="16"/>
              </w:rPr>
              <w:t>Organizational chart (Data Science &amp; ML Group)</w:t>
            </w:r>
          </w:p>
        </w:tc>
        <w:tc>
          <w:tcPr>
            <w:tcW w:type="dxa" w:w="1440"/>
          </w:tcPr>
          <w:p>
            <w:r/>
            <w:r>
              <w:rPr>
                <w:b w:val="0"/>
                <w:i w:val="0"/>
                <w:sz w:val="16"/>
              </w:rPr>
              <w:t>Mar. 2025</w:t>
            </w:r>
          </w:p>
        </w:tc>
        <w:tc>
          <w:tcPr>
            <w:tcW w:type="dxa" w:w="5040"/>
          </w:tcPr>
          <w:p>
            <w:r/>
            <w:r>
              <w:rPr>
                <w:b w:val="0"/>
                <w:i w:val="0"/>
                <w:sz w:val="16"/>
              </w:rPr>
              <w:t>CTO (unnamed) &gt; VP Data Science (TBH) &gt; Senior MLE (proposed; interim to CTO) &gt; 2 Data Scientists.</w:t>
            </w:r>
          </w:p>
        </w:tc>
      </w:tr>
      <w:tr>
        <w:tc>
          <w:tcPr>
            <w:tcW w:type="dxa" w:w="2880"/>
          </w:tcPr>
          <w:p>
            <w:r/>
            <w:r>
              <w:rPr>
                <w:b w:val="0"/>
                <w:i w:val="0"/>
                <w:sz w:val="16"/>
              </w:rPr>
              <w:t>Beneficiary resume</w:t>
            </w:r>
          </w:p>
        </w:tc>
        <w:tc>
          <w:tcPr>
            <w:tcW w:type="dxa" w:w="1440"/>
          </w:tcPr>
          <w:p>
            <w:r/>
            <w:r>
              <w:rPr>
                <w:b w:val="0"/>
                <w:i w:val="0"/>
                <w:sz w:val="16"/>
              </w:rPr>
              <w:t>Undated</w:t>
            </w:r>
          </w:p>
        </w:tc>
        <w:tc>
          <w:tcPr>
            <w:tcW w:type="dxa" w:w="5040"/>
          </w:tcPr>
          <w:p>
            <w:r/>
            <w:r>
              <w:rPr>
                <w:b w:val="0"/>
                <w:i w:val="0"/>
                <w:sz w:val="16"/>
              </w:rPr>
              <w:t>Current title Data Scientist at Brightfield; employment dates differ from letters; 7+ years experience.</w:t>
            </w:r>
          </w:p>
        </w:tc>
      </w:tr>
      <w:tr>
        <w:tc>
          <w:tcPr>
            <w:tcW w:type="dxa" w:w="2880"/>
          </w:tcPr>
          <w:p>
            <w:r/>
            <w:r>
              <w:rPr>
                <w:b w:val="0"/>
                <w:i w:val="0"/>
                <w:sz w:val="16"/>
              </w:rPr>
              <w:t>Credential evaluation, Westbridge WCS-2025-03187 (Dr. Linda Farnsworth)</w:t>
            </w:r>
          </w:p>
        </w:tc>
        <w:tc>
          <w:tcPr>
            <w:tcW w:type="dxa" w:w="1440"/>
          </w:tcPr>
          <w:p>
            <w:r/>
            <w:r>
              <w:rPr>
                <w:b w:val="0"/>
                <w:i w:val="0"/>
                <w:sz w:val="16"/>
              </w:rPr>
              <w:t>Feb. 18, 2025</w:t>
            </w:r>
          </w:p>
        </w:tc>
        <w:tc>
          <w:tcPr>
            <w:tcW w:type="dxa" w:w="5040"/>
          </w:tcPr>
          <w:p>
            <w:r/>
            <w:r>
              <w:rPr>
                <w:b w:val="0"/>
                <w:i w:val="0"/>
                <w:sz w:val="16"/>
              </w:rPr>
              <w:t>Equivalent to U.S. B.S. in ECE; CS coursework ~12 of ~160 credit hours (~7.5%); declines to opine on field. Signature line blank.</w:t>
            </w:r>
          </w:p>
        </w:tc>
      </w:tr>
      <w:tr>
        <w:tc>
          <w:tcPr>
            <w:tcW w:type="dxa" w:w="2880"/>
          </w:tcPr>
          <w:p>
            <w:r/>
            <w:r>
              <w:rPr>
                <w:b w:val="0"/>
                <w:i w:val="0"/>
                <w:sz w:val="16"/>
              </w:rPr>
              <w:t>JNTU Hyderabad official transcript, JNTUH/ECE/2014/08347</w:t>
            </w:r>
          </w:p>
        </w:tc>
        <w:tc>
          <w:tcPr>
            <w:tcW w:type="dxa" w:w="1440"/>
          </w:tcPr>
          <w:p>
            <w:r/>
            <w:r>
              <w:rPr>
                <w:b w:val="0"/>
                <w:i w:val="0"/>
                <w:sz w:val="16"/>
              </w:rPr>
              <w:t>June 12, 2014</w:t>
            </w:r>
          </w:p>
        </w:tc>
        <w:tc>
          <w:tcPr>
            <w:tcW w:type="dxa" w:w="5040"/>
          </w:tcPr>
          <w:p>
            <w:r/>
            <w:r>
              <w:rPr>
                <w:b w:val="0"/>
                <w:i w:val="0"/>
                <w:sz w:val="16"/>
              </w:rPr>
              <w:t>8 semesters, 184 total credits, CGPA 8.52, First Class with Distinction; ECE curriculum.</w:t>
            </w:r>
          </w:p>
        </w:tc>
      </w:tr>
      <w:tr>
        <w:tc>
          <w:tcPr>
            <w:tcW w:type="dxa" w:w="2880"/>
          </w:tcPr>
          <w:p>
            <w:r/>
            <w:r>
              <w:rPr>
                <w:b w:val="0"/>
                <w:i w:val="0"/>
                <w:sz w:val="16"/>
              </w:rPr>
              <w:t>Kiran Software Solutions experience letter (Suresh Raghavan, VP Eng.)</w:t>
            </w:r>
          </w:p>
        </w:tc>
        <w:tc>
          <w:tcPr>
            <w:tcW w:type="dxa" w:w="1440"/>
          </w:tcPr>
          <w:p>
            <w:r/>
            <w:r>
              <w:rPr>
                <w:b w:val="0"/>
                <w:i w:val="0"/>
                <w:sz w:val="16"/>
              </w:rPr>
              <w:t>Feb. 18, 2025</w:t>
            </w:r>
          </w:p>
        </w:tc>
        <w:tc>
          <w:tcPr>
            <w:tcW w:type="dxa" w:w="5040"/>
          </w:tcPr>
          <w:p>
            <w:r/>
            <w:r>
              <w:rPr>
                <w:b w:val="0"/>
                <w:i w:val="0"/>
                <w:sz w:val="16"/>
              </w:rPr>
              <w:t>Junior Software Developer, June 16, 2014 - Dec. 9, 2016, full-time; software/database duties, no ML. Signed /s/.</w:t>
            </w:r>
          </w:p>
        </w:tc>
      </w:tr>
      <w:tr>
        <w:tc>
          <w:tcPr>
            <w:tcW w:type="dxa" w:w="2880"/>
          </w:tcPr>
          <w:p>
            <w:r/>
            <w:r>
              <w:rPr>
                <w:b w:val="0"/>
                <w:i w:val="0"/>
                <w:sz w:val="16"/>
              </w:rPr>
              <w:t>NovaStar Data Systems experience letter (Carolyn Beech, Dir. Eng.)</w:t>
            </w:r>
          </w:p>
        </w:tc>
        <w:tc>
          <w:tcPr>
            <w:tcW w:type="dxa" w:w="1440"/>
          </w:tcPr>
          <w:p>
            <w:r/>
            <w:r>
              <w:rPr>
                <w:b w:val="0"/>
                <w:i w:val="0"/>
                <w:sz w:val="16"/>
              </w:rPr>
              <w:t>Mar. 5, 2025</w:t>
            </w:r>
          </w:p>
        </w:tc>
        <w:tc>
          <w:tcPr>
            <w:tcW w:type="dxa" w:w="5040"/>
          </w:tcPr>
          <w:p>
            <w:r/>
            <w:r>
              <w:rPr>
                <w:b w:val="0"/>
                <w:i w:val="0"/>
                <w:sz w:val="16"/>
              </w:rPr>
              <w:t>Machine Learning Analyst, April 2017 - July 2020 (month/year only), full-time; Python, scikit-learn, Tableau, SQL, A/B testing. Signature line blank.</w:t>
            </w:r>
          </w:p>
        </w:tc>
      </w:tr>
    </w:tbl>
    <w:p/>
    <w:p>
      <w:r>
        <w:rPr>
          <w:b w:val="0"/>
          <w:i/>
        </w:rPr>
        <w:t>Not in the package (and needed - see Part VII): Form I-129 and H Supplement; H-1B registration selection notice; beneficiary passport, visas, I-94, all Forms I-20, SEVIS records, EAD cards, prior I-797s; any I-983 training plan; evidence for the 2020-2023 consultancy; Brightfield employment verification and payroll; Public Access File; employer financial statements for FY2024.</w:t>
      </w:r>
    </w:p>
    <w:p>
      <w:pPr>
        <w:pStyle w:val="Heading1"/>
      </w:pPr>
      <w:r>
        <w:t>III. Cross-Document Consistency Matrix</w:t>
      </w:r>
    </w:p>
    <w:p>
      <w:r>
        <w:rPr>
          <w:b w:val="0"/>
          <w:i w:val="0"/>
        </w:rPr>
        <w:t>The table below lists every data point that appears in more than one document. Items marked "CONFLICT" must be reconciled before filing because USCIS (and FDNS on any site visit) will compare them.</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D9E2F3"/>
          </w:tcPr>
          <w:p>
            <w:r/>
            <w:r>
              <w:rPr>
                <w:b/>
                <w:sz w:val="16"/>
              </w:rPr>
              <w:t>Data point</w:t>
            </w:r>
          </w:p>
        </w:tc>
        <w:tc>
          <w:tcPr>
            <w:tcW w:type="dxa" w:w="5760"/>
            <w:shd w:val="clear" w:color="auto" w:fill="D9E2F3"/>
          </w:tcPr>
          <w:p>
            <w:r/>
            <w:r>
              <w:rPr>
                <w:b/>
                <w:sz w:val="16"/>
              </w:rPr>
              <w:t>Values by document</w:t>
            </w:r>
          </w:p>
        </w:tc>
        <w:tc>
          <w:tcPr>
            <w:tcW w:type="dxa" w:w="1440"/>
            <w:shd w:val="clear" w:color="auto" w:fill="D9E2F3"/>
          </w:tcPr>
          <w:p>
            <w:r/>
            <w:r>
              <w:rPr>
                <w:b/>
                <w:sz w:val="16"/>
              </w:rPr>
              <w:t>Status</w:t>
            </w:r>
          </w:p>
        </w:tc>
      </w:tr>
      <w:tr>
        <w:tc>
          <w:tcPr>
            <w:tcW w:type="dxa" w:w="2160"/>
          </w:tcPr>
          <w:p>
            <w:r/>
            <w:r>
              <w:rPr>
                <w:b w:val="0"/>
                <w:i w:val="0"/>
                <w:sz w:val="16"/>
              </w:rPr>
              <w:t>Employer name, address, FEIN, NAICS, headcount, revenue</w:t>
            </w:r>
          </w:p>
        </w:tc>
        <w:tc>
          <w:tcPr>
            <w:tcW w:type="dxa" w:w="5760"/>
          </w:tcPr>
          <w:p>
            <w:r/>
            <w:r>
              <w:rPr>
                <w:b w:val="0"/>
                <w:i w:val="0"/>
                <w:sz w:val="16"/>
              </w:rPr>
              <w:t>Consistent across support letter, LCA, PWD, notice, org chart (FEIN 84-3291756; NAICS 541511; 187 employees; $41.2M; 4200 Congress Ave., Ste. 1100)</w:t>
            </w:r>
          </w:p>
        </w:tc>
        <w:tc>
          <w:tcPr>
            <w:tcW w:type="dxa" w:w="1440"/>
          </w:tcPr>
          <w:p>
            <w:r/>
            <w:r>
              <w:rPr>
                <w:b w:val="0"/>
                <w:i w:val="0"/>
                <w:sz w:val="16"/>
              </w:rPr>
              <w:t>Consistent</w:t>
            </w:r>
          </w:p>
        </w:tc>
      </w:tr>
      <w:tr>
        <w:tc>
          <w:tcPr>
            <w:tcW w:type="dxa" w:w="2160"/>
          </w:tcPr>
          <w:p>
            <w:r/>
            <w:r>
              <w:rPr>
                <w:b w:val="0"/>
                <w:i w:val="0"/>
                <w:sz w:val="16"/>
              </w:rPr>
              <w:t>Job title / SOC</w:t>
            </w:r>
          </w:p>
        </w:tc>
        <w:tc>
          <w:tcPr>
            <w:tcW w:type="dxa" w:w="5760"/>
          </w:tcPr>
          <w:p>
            <w:r/>
            <w:r>
              <w:rPr>
                <w:b w:val="0"/>
                <w:i w:val="0"/>
                <w:sz w:val="16"/>
              </w:rPr>
              <w:t>Senior Machine Learning Engineer; 15-2051 Data Scientists (letter, LCA, PWD, notice)</w:t>
            </w:r>
          </w:p>
        </w:tc>
        <w:tc>
          <w:tcPr>
            <w:tcW w:type="dxa" w:w="1440"/>
          </w:tcPr>
          <w:p>
            <w:r/>
            <w:r>
              <w:rPr>
                <w:b w:val="0"/>
                <w:i w:val="0"/>
                <w:sz w:val="16"/>
              </w:rPr>
              <w:t>Consistent (but see Issue 10)</w:t>
            </w:r>
          </w:p>
        </w:tc>
      </w:tr>
      <w:tr>
        <w:tc>
          <w:tcPr>
            <w:tcW w:type="dxa" w:w="2160"/>
          </w:tcPr>
          <w:p>
            <w:r/>
            <w:r>
              <w:rPr>
                <w:b w:val="0"/>
                <w:i w:val="0"/>
                <w:sz w:val="16"/>
              </w:rPr>
              <w:t>Offered wage / PW</w:t>
            </w:r>
          </w:p>
        </w:tc>
        <w:tc>
          <w:tcPr>
            <w:tcW w:type="dxa" w:w="5760"/>
          </w:tcPr>
          <w:p>
            <w:r/>
            <w:r>
              <w:rPr>
                <w:b w:val="0"/>
                <w:i w:val="0"/>
                <w:sz w:val="16"/>
              </w:rPr>
              <w:t>$128,000; PW $113,734 Level II (letter, LCA, PWD, notice)</w:t>
            </w:r>
          </w:p>
        </w:tc>
        <w:tc>
          <w:tcPr>
            <w:tcW w:type="dxa" w:w="1440"/>
          </w:tcPr>
          <w:p>
            <w:r/>
            <w:r>
              <w:rPr>
                <w:b w:val="0"/>
                <w:i w:val="0"/>
                <w:sz w:val="16"/>
              </w:rPr>
              <w:t>Consistent (but see Issue 3)</w:t>
            </w:r>
          </w:p>
        </w:tc>
      </w:tr>
      <w:tr>
        <w:tc>
          <w:tcPr>
            <w:tcW w:type="dxa" w:w="2160"/>
          </w:tcPr>
          <w:p>
            <w:r/>
            <w:r>
              <w:rPr>
                <w:b w:val="0"/>
                <w:i w:val="0"/>
                <w:sz w:val="16"/>
              </w:rPr>
              <w:t>Employment period</w:t>
            </w:r>
          </w:p>
        </w:tc>
        <w:tc>
          <w:tcPr>
            <w:tcW w:type="dxa" w:w="5760"/>
          </w:tcPr>
          <w:p>
            <w:r/>
            <w:r>
              <w:rPr>
                <w:b w:val="0"/>
                <w:i w:val="0"/>
                <w:sz w:val="16"/>
              </w:rPr>
              <w:t>Oct. 1, 2025 - Sept. 30, 2028 (letter, LCA, notice)</w:t>
            </w:r>
          </w:p>
        </w:tc>
        <w:tc>
          <w:tcPr>
            <w:tcW w:type="dxa" w:w="1440"/>
          </w:tcPr>
          <w:p>
            <w:r/>
            <w:r>
              <w:rPr>
                <w:b w:val="0"/>
                <w:i w:val="0"/>
                <w:sz w:val="16"/>
              </w:rPr>
              <w:t>Consistent</w:t>
            </w:r>
          </w:p>
        </w:tc>
      </w:tr>
      <w:tr>
        <w:tc>
          <w:tcPr>
            <w:tcW w:type="dxa" w:w="2160"/>
          </w:tcPr>
          <w:p>
            <w:r/>
            <w:r>
              <w:rPr>
                <w:b w:val="0"/>
                <w:i w:val="0"/>
                <w:sz w:val="16"/>
              </w:rPr>
              <w:t>Employer telephone</w:t>
            </w:r>
          </w:p>
        </w:tc>
        <w:tc>
          <w:tcPr>
            <w:tcW w:type="dxa" w:w="5760"/>
          </w:tcPr>
          <w:p>
            <w:r/>
            <w:r>
              <w:rPr>
                <w:b w:val="0"/>
                <w:i w:val="0"/>
                <w:sz w:val="16"/>
              </w:rPr>
              <w:t xml:space="preserve">Letter (512) 555-0194; LCA C.4/D.4 (512) 555-0142; PWD (512) 555-0187; posting notice (512) 555-0174 - </w:t>
            </w:r>
            <w:r>
              <w:rPr>
                <w:b/>
                <w:i w:val="0"/>
                <w:sz w:val="16"/>
              </w:rPr>
              <w:t>which is the beneficiary's personal number on his resume</w:t>
            </w:r>
          </w:p>
        </w:tc>
        <w:tc>
          <w:tcPr>
            <w:tcW w:type="dxa" w:w="1440"/>
          </w:tcPr>
          <w:p>
            <w:r/>
            <w:r>
              <w:rPr>
                <w:b w:val="0"/>
                <w:i w:val="0"/>
                <w:sz w:val="16"/>
              </w:rPr>
              <w:t>CONFLICT</w:t>
            </w:r>
          </w:p>
        </w:tc>
      </w:tr>
      <w:tr>
        <w:tc>
          <w:tcPr>
            <w:tcW w:type="dxa" w:w="2160"/>
          </w:tcPr>
          <w:p>
            <w:r/>
            <w:r>
              <w:rPr>
                <w:b w:val="0"/>
                <w:i w:val="0"/>
                <w:sz w:val="16"/>
              </w:rPr>
              <w:t>Minimum education</w:t>
            </w:r>
          </w:p>
        </w:tc>
        <w:tc>
          <w:tcPr>
            <w:tcW w:type="dxa" w:w="5760"/>
          </w:tcPr>
          <w:p>
            <w:r/>
            <w:r>
              <w:rPr>
                <w:b w:val="0"/>
                <w:i w:val="0"/>
                <w:sz w:val="16"/>
              </w:rPr>
              <w:t>Letter: bachelor's in CS, ML, AI or closely related, OR any engineering + 5 yrs ML. LCA G.7: CS, ML, AI or closely related (no alternative). PWD: "Bachelor's degree" only.</w:t>
            </w:r>
          </w:p>
        </w:tc>
        <w:tc>
          <w:tcPr>
            <w:tcW w:type="dxa" w:w="1440"/>
          </w:tcPr>
          <w:p>
            <w:r/>
            <w:r>
              <w:rPr>
                <w:b w:val="0"/>
                <w:i w:val="0"/>
                <w:sz w:val="16"/>
              </w:rPr>
              <w:t>CONFLICT</w:t>
            </w:r>
          </w:p>
        </w:tc>
      </w:tr>
      <w:tr>
        <w:tc>
          <w:tcPr>
            <w:tcW w:type="dxa" w:w="2160"/>
          </w:tcPr>
          <w:p>
            <w:r/>
            <w:r>
              <w:rPr>
                <w:b w:val="0"/>
                <w:i w:val="0"/>
                <w:sz w:val="16"/>
              </w:rPr>
              <w:t>Minimum experience</w:t>
            </w:r>
          </w:p>
        </w:tc>
        <w:tc>
          <w:tcPr>
            <w:tcW w:type="dxa" w:w="5760"/>
          </w:tcPr>
          <w:p>
            <w:r/>
            <w:r>
              <w:rPr>
                <w:b w:val="0"/>
                <w:i w:val="0"/>
                <w:sz w:val="16"/>
              </w:rPr>
              <w:t>Letter: 3 yrs ML engineering + Python/TF/PyTorch/SageMaker + NLP/LLM required. PWD: 36 months. LCA: not stated. Alternative path: 5 yrs ML.</w:t>
            </w:r>
          </w:p>
        </w:tc>
        <w:tc>
          <w:tcPr>
            <w:tcW w:type="dxa" w:w="1440"/>
          </w:tcPr>
          <w:p>
            <w:r/>
            <w:r>
              <w:rPr>
                <w:b w:val="0"/>
                <w:i w:val="0"/>
                <w:sz w:val="16"/>
              </w:rPr>
              <w:t>Partial conflict</w:t>
            </w:r>
          </w:p>
        </w:tc>
      </w:tr>
      <w:tr>
        <w:tc>
          <w:tcPr>
            <w:tcW w:type="dxa" w:w="2160"/>
          </w:tcPr>
          <w:p>
            <w:r/>
            <w:r>
              <w:rPr>
                <w:b w:val="0"/>
                <w:i w:val="0"/>
                <w:sz w:val="16"/>
              </w:rPr>
              <w:t>Number of direct reports</w:t>
            </w:r>
          </w:p>
        </w:tc>
        <w:tc>
          <w:tcPr>
            <w:tcW w:type="dxa" w:w="5760"/>
          </w:tcPr>
          <w:p>
            <w:r/>
            <w:r>
              <w:rPr>
                <w:b w:val="0"/>
                <w:i w:val="0"/>
                <w:sz w:val="16"/>
              </w:rPr>
              <w:t>Letter: "team of 3 junior data scientists." Org chart: "2 direct reports" (two Data Scientists). LCA/PWD: "a team."</w:t>
            </w:r>
          </w:p>
        </w:tc>
        <w:tc>
          <w:tcPr>
            <w:tcW w:type="dxa" w:w="1440"/>
          </w:tcPr>
          <w:p>
            <w:r/>
            <w:r>
              <w:rPr>
                <w:b w:val="0"/>
                <w:i w:val="0"/>
                <w:sz w:val="16"/>
              </w:rPr>
              <w:t>CONFLICT</w:t>
            </w:r>
          </w:p>
        </w:tc>
      </w:tr>
      <w:tr>
        <w:tc>
          <w:tcPr>
            <w:tcW w:type="dxa" w:w="2160"/>
          </w:tcPr>
          <w:p>
            <w:r/>
            <w:r>
              <w:rPr>
                <w:b w:val="0"/>
                <w:i w:val="0"/>
                <w:sz w:val="16"/>
              </w:rPr>
              <w:t>Reporting line</w:t>
            </w:r>
          </w:p>
        </w:tc>
        <w:tc>
          <w:tcPr>
            <w:tcW w:type="dxa" w:w="5760"/>
          </w:tcPr>
          <w:p>
            <w:r/>
            <w:r>
              <w:rPr>
                <w:b w:val="0"/>
                <w:i w:val="0"/>
                <w:sz w:val="16"/>
              </w:rPr>
              <w:t>Letter: reports directly to CTO. Org chart: interim report to CTO pending hire of VP Data Science (TBH).</w:t>
            </w:r>
          </w:p>
        </w:tc>
        <w:tc>
          <w:tcPr>
            <w:tcW w:type="dxa" w:w="1440"/>
          </w:tcPr>
          <w:p>
            <w:r/>
            <w:r>
              <w:rPr>
                <w:b w:val="0"/>
                <w:i w:val="0"/>
                <w:sz w:val="16"/>
              </w:rPr>
              <w:t>Clarify</w:t>
            </w:r>
          </w:p>
        </w:tc>
      </w:tr>
      <w:tr>
        <w:tc>
          <w:tcPr>
            <w:tcW w:type="dxa" w:w="2160"/>
          </w:tcPr>
          <w:p>
            <w:r/>
            <w:r>
              <w:rPr>
                <w:b w:val="0"/>
                <w:i w:val="0"/>
                <w:sz w:val="16"/>
              </w:rPr>
              <w:t>Judgment / complexity</w:t>
            </w:r>
          </w:p>
        </w:tc>
        <w:tc>
          <w:tcPr>
            <w:tcW w:type="dxa" w:w="5760"/>
          </w:tcPr>
          <w:p>
            <w:r/>
            <w:r>
              <w:rPr>
                <w:b w:val="0"/>
                <w:i w:val="0"/>
                <w:sz w:val="16"/>
              </w:rPr>
              <w:t>Letter: "exercises independent judgment." PWD Level 2 descriptor: "limited judgment."</w:t>
            </w:r>
          </w:p>
        </w:tc>
        <w:tc>
          <w:tcPr>
            <w:tcW w:type="dxa" w:w="1440"/>
          </w:tcPr>
          <w:p>
            <w:r/>
            <w:r>
              <w:rPr>
                <w:b w:val="0"/>
                <w:i w:val="0"/>
                <w:sz w:val="16"/>
              </w:rPr>
              <w:t>CONFLICT</w:t>
            </w:r>
          </w:p>
        </w:tc>
      </w:tr>
      <w:tr>
        <w:tc>
          <w:tcPr>
            <w:tcW w:type="dxa" w:w="2160"/>
          </w:tcPr>
          <w:p>
            <w:r/>
            <w:r>
              <w:rPr>
                <w:b w:val="0"/>
                <w:i w:val="0"/>
                <w:sz w:val="16"/>
              </w:rPr>
              <w:t>NLP duty</w:t>
            </w:r>
          </w:p>
        </w:tc>
        <w:tc>
          <w:tcPr>
            <w:tcW w:type="dxa" w:w="5760"/>
          </w:tcPr>
          <w:p>
            <w:r/>
            <w:r>
              <w:rPr>
                <w:b w:val="0"/>
                <w:i w:val="0"/>
                <w:sz w:val="16"/>
              </w:rPr>
              <w:t>Letter: building/fine-tuning NLP pipelines, LLM fine-tuning, RAG. LCA G.5: "conduct research on NLP and LLM fine-tuning."</w:t>
            </w:r>
          </w:p>
        </w:tc>
        <w:tc>
          <w:tcPr>
            <w:tcW w:type="dxa" w:w="1440"/>
          </w:tcPr>
          <w:p>
            <w:r/>
            <w:r>
              <w:rPr>
                <w:b w:val="0"/>
                <w:i w:val="0"/>
                <w:sz w:val="16"/>
              </w:rPr>
              <w:t>Minor variance</w:t>
            </w:r>
          </w:p>
        </w:tc>
      </w:tr>
      <w:tr>
        <w:tc>
          <w:tcPr>
            <w:tcW w:type="dxa" w:w="2160"/>
          </w:tcPr>
          <w:p>
            <w:r/>
            <w:r>
              <w:rPr>
                <w:b w:val="0"/>
                <w:i w:val="0"/>
                <w:sz w:val="16"/>
              </w:rPr>
              <w:t>Posting locations</w:t>
            </w:r>
          </w:p>
        </w:tc>
        <w:tc>
          <w:tcPr>
            <w:tcW w:type="dxa" w:w="5760"/>
          </w:tcPr>
          <w:p>
            <w:r/>
            <w:r>
              <w:rPr>
                <w:b w:val="0"/>
                <w:i w:val="0"/>
                <w:sz w:val="16"/>
              </w:rPr>
              <w:t>Notice: two conspicuous locations. LCA J.3: one (first-floor break room).</w:t>
            </w:r>
          </w:p>
        </w:tc>
        <w:tc>
          <w:tcPr>
            <w:tcW w:type="dxa" w:w="1440"/>
          </w:tcPr>
          <w:p>
            <w:r/>
            <w:r>
              <w:rPr>
                <w:b w:val="0"/>
                <w:i w:val="0"/>
                <w:sz w:val="16"/>
              </w:rPr>
              <w:t>CONFLICT</w:t>
            </w:r>
          </w:p>
        </w:tc>
      </w:tr>
      <w:tr>
        <w:tc>
          <w:tcPr>
            <w:tcW w:type="dxa" w:w="2160"/>
          </w:tcPr>
          <w:p>
            <w:r/>
            <w:r>
              <w:rPr>
                <w:b w:val="0"/>
                <w:i w:val="0"/>
                <w:sz w:val="16"/>
              </w:rPr>
              <w:t>Posting period</w:t>
            </w:r>
          </w:p>
        </w:tc>
        <w:tc>
          <w:tcPr>
            <w:tcW w:type="dxa" w:w="5760"/>
          </w:tcPr>
          <w:p>
            <w:r/>
            <w:r>
              <w:rPr>
                <w:b w:val="0"/>
                <w:i w:val="0"/>
                <w:sz w:val="16"/>
              </w:rPr>
              <w:t>Mar. 10-19, 2025 in LCA J.2, K.4, PAF notation and notice = 8 business days</w:t>
            </w:r>
          </w:p>
        </w:tc>
        <w:tc>
          <w:tcPr>
            <w:tcW w:type="dxa" w:w="1440"/>
          </w:tcPr>
          <w:p>
            <w:r/>
            <w:r>
              <w:rPr>
                <w:b w:val="0"/>
                <w:i w:val="0"/>
                <w:sz w:val="16"/>
              </w:rPr>
              <w:t>DEFICIENT</w:t>
            </w:r>
          </w:p>
        </w:tc>
      </w:tr>
      <w:tr>
        <w:tc>
          <w:tcPr>
            <w:tcW w:type="dxa" w:w="2160"/>
          </w:tcPr>
          <w:p>
            <w:r/>
            <w:r>
              <w:rPr>
                <w:b w:val="0"/>
                <w:i w:val="0"/>
                <w:sz w:val="16"/>
              </w:rPr>
              <w:t>Kiran dates</w:t>
            </w:r>
          </w:p>
        </w:tc>
        <w:tc>
          <w:tcPr>
            <w:tcW w:type="dxa" w:w="5760"/>
          </w:tcPr>
          <w:p>
            <w:r/>
            <w:r>
              <w:rPr>
                <w:b w:val="0"/>
                <w:i w:val="0"/>
                <w:sz w:val="16"/>
              </w:rPr>
              <w:t xml:space="preserve">Kiran letter: June 16, 2014 - Dec. 9, 2016 ("approximately two years and seven months" - actual is ~2 yrs 6 mos). Support letter: June 2014 - Dec. 2016. Resume: June 2014 - </w:t>
            </w:r>
            <w:r>
              <w:rPr>
                <w:b/>
                <w:i w:val="0"/>
                <w:sz w:val="16"/>
              </w:rPr>
              <w:t>March 2017</w:t>
            </w:r>
            <w:r>
              <w:rPr>
                <w:b w:val="0"/>
                <w:i w:val="0"/>
                <w:sz w:val="16"/>
              </w:rPr>
              <w:t>.</w:t>
            </w:r>
          </w:p>
        </w:tc>
        <w:tc>
          <w:tcPr>
            <w:tcW w:type="dxa" w:w="1440"/>
          </w:tcPr>
          <w:p>
            <w:r/>
            <w:r>
              <w:rPr>
                <w:b w:val="0"/>
                <w:i w:val="0"/>
                <w:sz w:val="16"/>
              </w:rPr>
              <w:t>CONFLICT</w:t>
            </w:r>
          </w:p>
        </w:tc>
      </w:tr>
      <w:tr>
        <w:tc>
          <w:tcPr>
            <w:tcW w:type="dxa" w:w="2160"/>
          </w:tcPr>
          <w:p>
            <w:r/>
            <w:r>
              <w:rPr>
                <w:b w:val="0"/>
                <w:i w:val="0"/>
                <w:sz w:val="16"/>
              </w:rPr>
              <w:t>NovaStar dates</w:t>
            </w:r>
          </w:p>
        </w:tc>
        <w:tc>
          <w:tcPr>
            <w:tcW w:type="dxa" w:w="5760"/>
          </w:tcPr>
          <w:p>
            <w:r/>
            <w:r>
              <w:rPr>
                <w:b w:val="0"/>
                <w:i w:val="0"/>
                <w:sz w:val="16"/>
              </w:rPr>
              <w:t xml:space="preserve">NovaStar letter and support letter: April 2017 - July 2020. Resume: April 2017 - </w:t>
            </w:r>
            <w:r>
              <w:rPr>
                <w:b/>
                <w:i w:val="0"/>
                <w:sz w:val="16"/>
              </w:rPr>
              <w:t>August 2020</w:t>
            </w:r>
            <w:r>
              <w:rPr>
                <w:b w:val="0"/>
                <w:i w:val="0"/>
                <w:sz w:val="16"/>
              </w:rPr>
              <w:t xml:space="preserve"> (overlaps consultancy start Aug. 2020).</w:t>
            </w:r>
          </w:p>
        </w:tc>
        <w:tc>
          <w:tcPr>
            <w:tcW w:type="dxa" w:w="1440"/>
          </w:tcPr>
          <w:p>
            <w:r/>
            <w:r>
              <w:rPr>
                <w:b w:val="0"/>
                <w:i w:val="0"/>
                <w:sz w:val="16"/>
              </w:rPr>
              <w:t>CONFLICT</w:t>
            </w:r>
          </w:p>
        </w:tc>
      </w:tr>
      <w:tr>
        <w:tc>
          <w:tcPr>
            <w:tcW w:type="dxa" w:w="2160"/>
          </w:tcPr>
          <w:p>
            <w:r/>
            <w:r>
              <w:rPr>
                <w:b w:val="0"/>
                <w:i w:val="0"/>
                <w:sz w:val="16"/>
              </w:rPr>
              <w:t>Total experience</w:t>
            </w:r>
          </w:p>
        </w:tc>
        <w:tc>
          <w:tcPr>
            <w:tcW w:type="dxa" w:w="5760"/>
          </w:tcPr>
          <w:p>
            <w:r/>
            <w:r>
              <w:rPr>
                <w:b w:val="0"/>
                <w:i w:val="0"/>
                <w:sz w:val="16"/>
              </w:rPr>
              <w:t>Support letter: "over 8 years." Resume: "7+ years."</w:t>
            </w:r>
          </w:p>
        </w:tc>
        <w:tc>
          <w:tcPr>
            <w:tcW w:type="dxa" w:w="1440"/>
          </w:tcPr>
          <w:p>
            <w:r/>
            <w:r>
              <w:rPr>
                <w:b w:val="0"/>
                <w:i w:val="0"/>
                <w:sz w:val="16"/>
              </w:rPr>
              <w:t>CONFLICT</w:t>
            </w:r>
          </w:p>
        </w:tc>
      </w:tr>
      <w:tr>
        <w:tc>
          <w:tcPr>
            <w:tcW w:type="dxa" w:w="2160"/>
          </w:tcPr>
          <w:p>
            <w:r/>
            <w:r>
              <w:rPr>
                <w:b w:val="0"/>
                <w:i w:val="0"/>
                <w:sz w:val="16"/>
              </w:rPr>
              <w:t>Current role at Brightfield</w:t>
            </w:r>
          </w:p>
        </w:tc>
        <w:tc>
          <w:tcPr>
            <w:tcW w:type="dxa" w:w="5760"/>
          </w:tcPr>
          <w:p>
            <w:r/>
            <w:r>
              <w:rPr>
                <w:b w:val="0"/>
                <w:i w:val="0"/>
                <w:sz w:val="16"/>
              </w:rPr>
              <w:t>Resume: "Data Scientist" (retail and financial services clients; "assist with" AWS). Support letter: generic "contributing to" ML initiatives; no title. Org chart: beneficiary "proposed" for Senior MLE; two Data Scientist slots "filled" (is one of them the beneficiary?).</w:t>
            </w:r>
          </w:p>
        </w:tc>
        <w:tc>
          <w:tcPr>
            <w:tcW w:type="dxa" w:w="1440"/>
          </w:tcPr>
          <w:p>
            <w:r/>
            <w:r>
              <w:rPr>
                <w:b w:val="0"/>
                <w:i w:val="0"/>
                <w:sz w:val="16"/>
              </w:rPr>
              <w:t>Clarify</w:t>
            </w:r>
          </w:p>
        </w:tc>
      </w:tr>
      <w:tr>
        <w:tc>
          <w:tcPr>
            <w:tcW w:type="dxa" w:w="2160"/>
          </w:tcPr>
          <w:p>
            <w:r/>
            <w:r>
              <w:rPr>
                <w:b w:val="0"/>
                <w:i w:val="0"/>
                <w:sz w:val="16"/>
              </w:rPr>
              <w:t>Degree equivalency</w:t>
            </w:r>
          </w:p>
        </w:tc>
        <w:tc>
          <w:tcPr>
            <w:tcW w:type="dxa" w:w="5760"/>
          </w:tcPr>
          <w:p>
            <w:r/>
            <w:r>
              <w:rPr>
                <w:b w:val="0"/>
                <w:i w:val="0"/>
                <w:sz w:val="16"/>
              </w:rPr>
              <w:t xml:space="preserve">Evaluation: equivalent to U.S. B.S. </w:t>
            </w:r>
            <w:r>
              <w:rPr>
                <w:b/>
                <w:i w:val="0"/>
                <w:sz w:val="16"/>
              </w:rPr>
              <w:t>in Electronics and Communication Engineering</w:t>
            </w:r>
            <w:r>
              <w:rPr>
                <w:b w:val="0"/>
                <w:i w:val="0"/>
                <w:sz w:val="16"/>
              </w:rPr>
              <w:t>. Support letter: "equivalent to a Bachelor of Science degree" (field omitted).</w:t>
            </w:r>
          </w:p>
        </w:tc>
        <w:tc>
          <w:tcPr>
            <w:tcW w:type="dxa" w:w="1440"/>
          </w:tcPr>
          <w:p>
            <w:r/>
            <w:r>
              <w:rPr>
                <w:b w:val="0"/>
                <w:i w:val="0"/>
                <w:sz w:val="16"/>
              </w:rPr>
              <w:t>Mischaracterized</w:t>
            </w:r>
          </w:p>
        </w:tc>
      </w:tr>
      <w:tr>
        <w:tc>
          <w:tcPr>
            <w:tcW w:type="dxa" w:w="2160"/>
          </w:tcPr>
          <w:p>
            <w:r/>
            <w:r>
              <w:rPr>
                <w:b w:val="0"/>
                <w:i w:val="0"/>
                <w:sz w:val="16"/>
              </w:rPr>
              <w:t>Program credits</w:t>
            </w:r>
          </w:p>
        </w:tc>
        <w:tc>
          <w:tcPr>
            <w:tcW w:type="dxa" w:w="5760"/>
          </w:tcPr>
          <w:p>
            <w:r/>
            <w:r>
              <w:rPr>
                <w:b w:val="0"/>
                <w:i w:val="0"/>
                <w:sz w:val="16"/>
              </w:rPr>
              <w:t>Evaluation: ~160 credit hours. Transcript: 184 total credits (160 theory approx.).</w:t>
            </w:r>
          </w:p>
        </w:tc>
        <w:tc>
          <w:tcPr>
            <w:tcW w:type="dxa" w:w="1440"/>
          </w:tcPr>
          <w:p>
            <w:r/>
            <w:r>
              <w:rPr>
                <w:b w:val="0"/>
                <w:i w:val="0"/>
                <w:sz w:val="16"/>
              </w:rPr>
              <w:t>Variance</w:t>
            </w:r>
          </w:p>
        </w:tc>
      </w:tr>
      <w:tr>
        <w:tc>
          <w:tcPr>
            <w:tcW w:type="dxa" w:w="2160"/>
          </w:tcPr>
          <w:p>
            <w:r/>
            <w:r>
              <w:rPr>
                <w:b w:val="0"/>
                <w:i w:val="0"/>
                <w:sz w:val="16"/>
              </w:rPr>
              <w:t>Curriculum</w:t>
            </w:r>
          </w:p>
        </w:tc>
        <w:tc>
          <w:tcPr>
            <w:tcW w:type="dxa" w:w="5760"/>
          </w:tcPr>
          <w:p>
            <w:r/>
            <w:r>
              <w:rPr>
                <w:b w:val="0"/>
                <w:i w:val="0"/>
                <w:sz w:val="16"/>
              </w:rPr>
              <w:t>Evaluation lists Thermodynamics, Workshop Practice, Environmental Studies, Management &amp; Economics, Switching Theory &amp; Logic Design, Electronic Circuit Analysis - none appear on the transcript.</w:t>
            </w:r>
          </w:p>
        </w:tc>
        <w:tc>
          <w:tcPr>
            <w:tcW w:type="dxa" w:w="1440"/>
          </w:tcPr>
          <w:p>
            <w:r/>
            <w:r>
              <w:rPr>
                <w:b w:val="0"/>
                <w:i w:val="0"/>
                <w:sz w:val="16"/>
              </w:rPr>
              <w:t>CONFLICT</w:t>
            </w:r>
          </w:p>
        </w:tc>
      </w:tr>
      <w:tr>
        <w:tc>
          <w:tcPr>
            <w:tcW w:type="dxa" w:w="2160"/>
          </w:tcPr>
          <w:p>
            <w:r/>
            <w:r>
              <w:rPr>
                <w:b w:val="0"/>
                <w:i w:val="0"/>
                <w:sz w:val="16"/>
              </w:rPr>
              <w:t>Immigration status</w:t>
            </w:r>
          </w:p>
        </w:tc>
        <w:tc>
          <w:tcPr>
            <w:tcW w:type="dxa" w:w="5760"/>
          </w:tcPr>
          <w:p>
            <w:r/>
            <w:r>
              <w:rPr>
                <w:b w:val="0"/>
                <w:i w:val="0"/>
                <w:sz w:val="16"/>
              </w:rPr>
              <w:t>Support letter: F-1 OPT. No U.S. degree in any document; U.S. employment since April 2017.</w:t>
            </w:r>
          </w:p>
        </w:tc>
        <w:tc>
          <w:tcPr>
            <w:tcW w:type="dxa" w:w="1440"/>
          </w:tcPr>
          <w:p>
            <w:r/>
            <w:r>
              <w:rPr>
                <w:b w:val="0"/>
                <w:i w:val="0"/>
                <w:sz w:val="16"/>
              </w:rPr>
              <w:t>CONFLICT (critical)</w:t>
            </w:r>
          </w:p>
        </w:tc>
      </w:tr>
      <w:tr>
        <w:tc>
          <w:tcPr>
            <w:tcW w:type="dxa" w:w="2160"/>
          </w:tcPr>
          <w:p>
            <w:r/>
            <w:r>
              <w:rPr>
                <w:b w:val="0"/>
                <w:i w:val="0"/>
                <w:sz w:val="16"/>
              </w:rPr>
              <w:t>LCA filing vs. certification</w:t>
            </w:r>
          </w:p>
        </w:tc>
        <w:tc>
          <w:tcPr>
            <w:tcW w:type="dxa" w:w="5760"/>
          </w:tcPr>
          <w:p>
            <w:r/>
            <w:r>
              <w:rPr>
                <w:b w:val="0"/>
                <w:i w:val="0"/>
                <w:sz w:val="16"/>
              </w:rPr>
              <w:t>Notice: LCA filed Mar. 10, 2025. LCA: certified Mar. 10, 2025 (same day).</w:t>
            </w:r>
          </w:p>
        </w:tc>
        <w:tc>
          <w:tcPr>
            <w:tcW w:type="dxa" w:w="1440"/>
          </w:tcPr>
          <w:p>
            <w:r/>
            <w:r>
              <w:rPr>
                <w:b w:val="0"/>
                <w:i w:val="0"/>
                <w:sz w:val="16"/>
              </w:rPr>
              <w:t>Verify</w:t>
            </w:r>
          </w:p>
        </w:tc>
      </w:tr>
      <w:tr>
        <w:tc>
          <w:tcPr>
            <w:tcW w:type="dxa" w:w="2160"/>
          </w:tcPr>
          <w:p>
            <w:r/>
            <w:r>
              <w:rPr>
                <w:b w:val="0"/>
                <w:i w:val="0"/>
                <w:sz w:val="16"/>
              </w:rPr>
              <w:t>Signatures</w:t>
            </w:r>
          </w:p>
        </w:tc>
        <w:tc>
          <w:tcPr>
            <w:tcW w:type="dxa" w:w="5760"/>
          </w:tcPr>
          <w:p>
            <w:r/>
            <w:r>
              <w:rPr>
                <w:b w:val="0"/>
                <w:i w:val="0"/>
                <w:sz w:val="16"/>
              </w:rPr>
              <w:t>Support letter, LCA (employer), evaluation and NovaStar letter all show blank signature lines.</w:t>
            </w:r>
          </w:p>
        </w:tc>
        <w:tc>
          <w:tcPr>
            <w:tcW w:type="dxa" w:w="1440"/>
          </w:tcPr>
          <w:p>
            <w:r/>
            <w:r>
              <w:rPr>
                <w:b w:val="0"/>
                <w:i w:val="0"/>
                <w:sz w:val="16"/>
              </w:rPr>
              <w:t>Deficient</w:t>
            </w:r>
          </w:p>
        </w:tc>
      </w:tr>
    </w:tbl>
    <w:p/>
    <w:p>
      <w:pPr>
        <w:pStyle w:val="Heading1"/>
      </w:pPr>
      <w:r>
        <w:t>IV. Beneficiary Employment Timeline and Experience Computation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4"/>
            <w:shd w:val="clear" w:color="auto" w:fill="D9E2F3"/>
          </w:tcPr>
          <w:p>
            <w:r/>
            <w:r>
              <w:rPr>
                <w:b/>
                <w:sz w:val="16"/>
              </w:rPr>
              <w:t>Period</w:t>
            </w:r>
          </w:p>
        </w:tc>
        <w:tc>
          <w:tcPr>
            <w:tcW w:type="dxa" w:w="2160"/>
            <w:shd w:val="clear" w:color="auto" w:fill="D9E2F3"/>
          </w:tcPr>
          <w:p>
            <w:r/>
            <w:r>
              <w:rPr>
                <w:b/>
                <w:sz w:val="16"/>
              </w:rPr>
              <w:t>Employer / role</w:t>
            </w:r>
          </w:p>
        </w:tc>
        <w:tc>
          <w:tcPr>
            <w:tcW w:type="dxa" w:w="1152"/>
            <w:shd w:val="clear" w:color="auto" w:fill="D9E2F3"/>
          </w:tcPr>
          <w:p>
            <w:r/>
            <w:r>
              <w:rPr>
                <w:b/>
                <w:sz w:val="16"/>
              </w:rPr>
              <w:t>Duration</w:t>
            </w:r>
          </w:p>
        </w:tc>
        <w:tc>
          <w:tcPr>
            <w:tcW w:type="dxa" w:w="1152"/>
            <w:shd w:val="clear" w:color="auto" w:fill="D9E2F3"/>
          </w:tcPr>
          <w:p>
            <w:r/>
            <w:r>
              <w:rPr>
                <w:b/>
                <w:sz w:val="16"/>
              </w:rPr>
              <w:t>Location</w:t>
            </w:r>
          </w:p>
        </w:tc>
        <w:tc>
          <w:tcPr>
            <w:tcW w:type="dxa" w:w="1728"/>
            <w:shd w:val="clear" w:color="auto" w:fill="D9E2F3"/>
          </w:tcPr>
          <w:p>
            <w:r/>
            <w:r>
              <w:rPr>
                <w:b/>
                <w:sz w:val="16"/>
              </w:rPr>
              <w:t>Evidence in file</w:t>
            </w:r>
          </w:p>
        </w:tc>
        <w:tc>
          <w:tcPr>
            <w:tcW w:type="dxa" w:w="1584"/>
            <w:shd w:val="clear" w:color="auto" w:fill="D9E2F3"/>
          </w:tcPr>
          <w:p>
            <w:r/>
            <w:r>
              <w:rPr>
                <w:b/>
                <w:sz w:val="16"/>
              </w:rPr>
              <w:t>ML-relevant?</w:t>
            </w:r>
          </w:p>
        </w:tc>
      </w:tr>
      <w:tr>
        <w:tc>
          <w:tcPr>
            <w:tcW w:type="dxa" w:w="1584"/>
          </w:tcPr>
          <w:p>
            <w:r/>
            <w:r>
              <w:rPr>
                <w:b w:val="0"/>
                <w:i w:val="0"/>
                <w:sz w:val="16"/>
              </w:rPr>
              <w:t>Aug. 2010 - May 2014</w:t>
            </w:r>
          </w:p>
        </w:tc>
        <w:tc>
          <w:tcPr>
            <w:tcW w:type="dxa" w:w="2160"/>
          </w:tcPr>
          <w:p>
            <w:r/>
            <w:r>
              <w:rPr>
                <w:b w:val="0"/>
                <w:i w:val="0"/>
                <w:sz w:val="16"/>
              </w:rPr>
              <w:t>JNTU Hyderabad, B.Tech ECE (student)</w:t>
            </w:r>
          </w:p>
        </w:tc>
        <w:tc>
          <w:tcPr>
            <w:tcW w:type="dxa" w:w="1152"/>
          </w:tcPr>
          <w:p>
            <w:r/>
            <w:r>
              <w:rPr>
                <w:b w:val="0"/>
                <w:i w:val="0"/>
                <w:sz w:val="16"/>
              </w:rPr>
              <w:t>4 yrs</w:t>
            </w:r>
          </w:p>
        </w:tc>
        <w:tc>
          <w:tcPr>
            <w:tcW w:type="dxa" w:w="1152"/>
          </w:tcPr>
          <w:p>
            <w:r/>
            <w:r>
              <w:rPr>
                <w:b w:val="0"/>
                <w:i w:val="0"/>
                <w:sz w:val="16"/>
              </w:rPr>
              <w:t>India</w:t>
            </w:r>
          </w:p>
        </w:tc>
        <w:tc>
          <w:tcPr>
            <w:tcW w:type="dxa" w:w="1728"/>
          </w:tcPr>
          <w:p>
            <w:r/>
            <w:r>
              <w:rPr>
                <w:b w:val="0"/>
                <w:i w:val="0"/>
                <w:sz w:val="16"/>
              </w:rPr>
              <w:t>Transcript; evaluation</w:t>
            </w:r>
          </w:p>
        </w:tc>
        <w:tc>
          <w:tcPr>
            <w:tcW w:type="dxa" w:w="1584"/>
          </w:tcPr>
          <w:p>
            <w:r/>
            <w:r>
              <w:rPr>
                <w:b w:val="0"/>
                <w:i w:val="0"/>
                <w:sz w:val="16"/>
              </w:rPr>
              <w:t>N/A</w:t>
            </w:r>
          </w:p>
        </w:tc>
      </w:tr>
      <w:tr>
        <w:tc>
          <w:tcPr>
            <w:tcW w:type="dxa" w:w="1584"/>
          </w:tcPr>
          <w:p>
            <w:r/>
            <w:r>
              <w:rPr>
                <w:b w:val="0"/>
                <w:i w:val="0"/>
                <w:sz w:val="16"/>
              </w:rPr>
              <w:t>June 16, 2014 - Dec. 9, 2016</w:t>
            </w:r>
          </w:p>
        </w:tc>
        <w:tc>
          <w:tcPr>
            <w:tcW w:type="dxa" w:w="2160"/>
          </w:tcPr>
          <w:p>
            <w:r/>
            <w:r>
              <w:rPr>
                <w:b w:val="0"/>
                <w:i w:val="0"/>
                <w:sz w:val="16"/>
              </w:rPr>
              <w:t>Kiran Software Solutions - Junior Software Developer</w:t>
            </w:r>
          </w:p>
        </w:tc>
        <w:tc>
          <w:tcPr>
            <w:tcW w:type="dxa" w:w="1152"/>
          </w:tcPr>
          <w:p>
            <w:r/>
            <w:r>
              <w:rPr>
                <w:b w:val="0"/>
                <w:i w:val="0"/>
                <w:sz w:val="16"/>
              </w:rPr>
              <w:t>~2 yrs 6 mos</w:t>
            </w:r>
          </w:p>
        </w:tc>
        <w:tc>
          <w:tcPr>
            <w:tcW w:type="dxa" w:w="1152"/>
          </w:tcPr>
          <w:p>
            <w:r/>
            <w:r>
              <w:rPr>
                <w:b w:val="0"/>
                <w:i w:val="0"/>
                <w:sz w:val="16"/>
              </w:rPr>
              <w:t>Hyderabad, India</w:t>
            </w:r>
          </w:p>
        </w:tc>
        <w:tc>
          <w:tcPr>
            <w:tcW w:type="dxa" w:w="1728"/>
          </w:tcPr>
          <w:p>
            <w:r/>
            <w:r>
              <w:rPr>
                <w:b w:val="0"/>
                <w:i w:val="0"/>
                <w:sz w:val="16"/>
              </w:rPr>
              <w:t>Signed (/s/) letter with duties</w:t>
            </w:r>
          </w:p>
        </w:tc>
        <w:tc>
          <w:tcPr>
            <w:tcW w:type="dxa" w:w="1584"/>
          </w:tcPr>
          <w:p>
            <w:r/>
            <w:r>
              <w:rPr>
                <w:b w:val="0"/>
                <w:i w:val="0"/>
                <w:sz w:val="16"/>
              </w:rPr>
              <w:t>No - software/database; "assisted" with preprocessing</w:t>
            </w:r>
          </w:p>
        </w:tc>
      </w:tr>
      <w:tr>
        <w:tc>
          <w:tcPr>
            <w:tcW w:type="dxa" w:w="1584"/>
          </w:tcPr>
          <w:p>
            <w:r/>
            <w:r>
              <w:rPr>
                <w:b w:val="0"/>
                <w:i w:val="0"/>
                <w:sz w:val="16"/>
              </w:rPr>
              <w:t>Dec. 2016 - Mar. 2017</w:t>
            </w:r>
          </w:p>
        </w:tc>
        <w:tc>
          <w:tcPr>
            <w:tcW w:type="dxa" w:w="2160"/>
          </w:tcPr>
          <w:p>
            <w:r/>
            <w:r>
              <w:rPr>
                <w:b w:val="0"/>
                <w:i w:val="0"/>
                <w:sz w:val="16"/>
              </w:rPr>
              <w:t>Unexplained gap (resume fills it by extending Kiran to Mar. 2017)</w:t>
            </w:r>
          </w:p>
        </w:tc>
        <w:tc>
          <w:tcPr>
            <w:tcW w:type="dxa" w:w="1152"/>
          </w:tcPr>
          <w:p>
            <w:r/>
            <w:r>
              <w:rPr>
                <w:b w:val="0"/>
                <w:i w:val="0"/>
                <w:sz w:val="16"/>
              </w:rPr>
              <w:t>~4 mos</w:t>
            </w:r>
          </w:p>
        </w:tc>
        <w:tc>
          <w:tcPr>
            <w:tcW w:type="dxa" w:w="1152"/>
          </w:tcPr>
          <w:p>
            <w:r/>
            <w:r>
              <w:rPr>
                <w:b w:val="0"/>
                <w:i w:val="0"/>
                <w:sz w:val="16"/>
              </w:rPr>
              <w:t>?</w:t>
            </w:r>
          </w:p>
        </w:tc>
        <w:tc>
          <w:tcPr>
            <w:tcW w:type="dxa" w:w="1728"/>
          </w:tcPr>
          <w:p>
            <w:r/>
            <w:r>
              <w:rPr>
                <w:b w:val="0"/>
                <w:i w:val="0"/>
                <w:sz w:val="16"/>
              </w:rPr>
              <w:t>None</w:t>
            </w:r>
          </w:p>
        </w:tc>
        <w:tc>
          <w:tcPr>
            <w:tcW w:type="dxa" w:w="1584"/>
          </w:tcPr>
          <w:p>
            <w:r/>
            <w:r>
              <w:rPr>
                <w:b w:val="0"/>
                <w:i w:val="0"/>
                <w:sz w:val="16"/>
              </w:rPr>
              <w:t>-</w:t>
            </w:r>
          </w:p>
        </w:tc>
      </w:tr>
      <w:tr>
        <w:tc>
          <w:tcPr>
            <w:tcW w:type="dxa" w:w="1584"/>
          </w:tcPr>
          <w:p>
            <w:r/>
            <w:r>
              <w:rPr>
                <w:b w:val="0"/>
                <w:i w:val="0"/>
                <w:sz w:val="16"/>
              </w:rPr>
              <w:t>Apr. 2017 - July 2020</w:t>
            </w:r>
          </w:p>
        </w:tc>
        <w:tc>
          <w:tcPr>
            <w:tcW w:type="dxa" w:w="2160"/>
          </w:tcPr>
          <w:p>
            <w:r/>
            <w:r>
              <w:rPr>
                <w:b w:val="0"/>
                <w:i w:val="0"/>
                <w:sz w:val="16"/>
              </w:rPr>
              <w:t>NovaStar Data Systems - Machine Learning Analyst</w:t>
            </w:r>
          </w:p>
        </w:tc>
        <w:tc>
          <w:tcPr>
            <w:tcW w:type="dxa" w:w="1152"/>
          </w:tcPr>
          <w:p>
            <w:r/>
            <w:r>
              <w:rPr>
                <w:b w:val="0"/>
                <w:i w:val="0"/>
                <w:sz w:val="16"/>
              </w:rPr>
              <w:t>~3 yrs 3-4 mos</w:t>
            </w:r>
          </w:p>
        </w:tc>
        <w:tc>
          <w:tcPr>
            <w:tcW w:type="dxa" w:w="1152"/>
          </w:tcPr>
          <w:p>
            <w:r/>
            <w:r>
              <w:rPr>
                <w:b w:val="0"/>
                <w:i w:val="0"/>
                <w:sz w:val="16"/>
              </w:rPr>
              <w:t>Dallas, TX</w:t>
            </w:r>
          </w:p>
        </w:tc>
        <w:tc>
          <w:tcPr>
            <w:tcW w:type="dxa" w:w="1728"/>
          </w:tcPr>
          <w:p>
            <w:r/>
            <w:r>
              <w:rPr>
                <w:b w:val="0"/>
                <w:i w:val="0"/>
                <w:sz w:val="16"/>
              </w:rPr>
              <w:t>Unsigned letter; month/year only</w:t>
            </w:r>
          </w:p>
        </w:tc>
        <w:tc>
          <w:tcPr>
            <w:tcW w:type="dxa" w:w="1584"/>
          </w:tcPr>
          <w:p>
            <w:r/>
            <w:r>
              <w:rPr>
                <w:b w:val="0"/>
                <w:i w:val="0"/>
                <w:sz w:val="16"/>
              </w:rPr>
              <w:t>Yes - but Python/scikit-learn/Tableau/SQL only; no TF, PyTorch, AWS, NLP/LLM</w:t>
            </w:r>
          </w:p>
        </w:tc>
      </w:tr>
      <w:tr>
        <w:tc>
          <w:tcPr>
            <w:tcW w:type="dxa" w:w="1584"/>
          </w:tcPr>
          <w:p>
            <w:r/>
            <w:r>
              <w:rPr>
                <w:b w:val="0"/>
                <w:i w:val="0"/>
                <w:sz w:val="16"/>
              </w:rPr>
              <w:t>Aug. 2020 - Aug. 2023</w:t>
            </w:r>
          </w:p>
        </w:tc>
        <w:tc>
          <w:tcPr>
            <w:tcW w:type="dxa" w:w="2160"/>
          </w:tcPr>
          <w:p>
            <w:r/>
            <w:r>
              <w:rPr>
                <w:b w:val="0"/>
                <w:i w:val="0"/>
                <w:sz w:val="16"/>
              </w:rPr>
              <w:t>Independent ML Consultant (self-employed)</w:t>
            </w:r>
          </w:p>
        </w:tc>
        <w:tc>
          <w:tcPr>
            <w:tcW w:type="dxa" w:w="1152"/>
          </w:tcPr>
          <w:p>
            <w:r/>
            <w:r>
              <w:rPr>
                <w:b w:val="0"/>
                <w:i w:val="0"/>
                <w:sz w:val="16"/>
              </w:rPr>
              <w:t>~3 yrs</w:t>
            </w:r>
          </w:p>
        </w:tc>
        <w:tc>
          <w:tcPr>
            <w:tcW w:type="dxa" w:w="1152"/>
          </w:tcPr>
          <w:p>
            <w:r/>
            <w:r>
              <w:rPr>
                <w:b w:val="0"/>
                <w:i w:val="0"/>
                <w:sz w:val="16"/>
              </w:rPr>
              <w:t>Austin, TX / remote</w:t>
            </w:r>
          </w:p>
        </w:tc>
        <w:tc>
          <w:tcPr>
            <w:tcW w:type="dxa" w:w="1728"/>
          </w:tcPr>
          <w:p>
            <w:r/>
            <w:r>
              <w:rPr>
                <w:b w:val="0"/>
                <w:i w:val="0"/>
                <w:sz w:val="16"/>
              </w:rPr>
              <w:t>Resume and support letter only</w:t>
            </w:r>
          </w:p>
        </w:tc>
        <w:tc>
          <w:tcPr>
            <w:tcW w:type="dxa" w:w="1584"/>
          </w:tcPr>
          <w:p>
            <w:r/>
            <w:r>
              <w:rPr>
                <w:b w:val="0"/>
                <w:i w:val="0"/>
                <w:sz w:val="16"/>
              </w:rPr>
              <w:t>Claimed yes (NLP, TF, PyTorch, SageMaker, LLM) - unverified</w:t>
            </w:r>
          </w:p>
        </w:tc>
      </w:tr>
      <w:tr>
        <w:tc>
          <w:tcPr>
            <w:tcW w:type="dxa" w:w="1584"/>
          </w:tcPr>
          <w:p>
            <w:r/>
            <w:r>
              <w:rPr>
                <w:b w:val="0"/>
                <w:i w:val="0"/>
                <w:sz w:val="16"/>
              </w:rPr>
              <w:t>Sept. 5, 2023 - present</w:t>
            </w:r>
          </w:p>
        </w:tc>
        <w:tc>
          <w:tcPr>
            <w:tcW w:type="dxa" w:w="2160"/>
          </w:tcPr>
          <w:p>
            <w:r/>
            <w:r>
              <w:rPr>
                <w:b w:val="0"/>
                <w:i w:val="0"/>
                <w:sz w:val="16"/>
              </w:rPr>
              <w:t>Brightfield Analytics - Data Scientist (per resume)</w:t>
            </w:r>
          </w:p>
        </w:tc>
        <w:tc>
          <w:tcPr>
            <w:tcW w:type="dxa" w:w="1152"/>
          </w:tcPr>
          <w:p>
            <w:r/>
            <w:r>
              <w:rPr>
                <w:b w:val="0"/>
                <w:i w:val="0"/>
                <w:sz w:val="16"/>
              </w:rPr>
              <w:t>~1 yr 7 mos at Apr. 7, 2025</w:t>
            </w:r>
          </w:p>
        </w:tc>
        <w:tc>
          <w:tcPr>
            <w:tcW w:type="dxa" w:w="1152"/>
          </w:tcPr>
          <w:p>
            <w:r/>
            <w:r>
              <w:rPr>
                <w:b w:val="0"/>
                <w:i w:val="0"/>
                <w:sz w:val="16"/>
              </w:rPr>
              <w:t>Austin, TX</w:t>
            </w:r>
          </w:p>
        </w:tc>
        <w:tc>
          <w:tcPr>
            <w:tcW w:type="dxa" w:w="1728"/>
          </w:tcPr>
          <w:p>
            <w:r/>
            <w:r>
              <w:rPr>
                <w:b w:val="0"/>
                <w:i w:val="0"/>
                <w:sz w:val="16"/>
              </w:rPr>
              <w:t>Support letter (generic); no verification letter/payroll</w:t>
            </w:r>
          </w:p>
        </w:tc>
        <w:tc>
          <w:tcPr>
            <w:tcW w:type="dxa" w:w="1584"/>
          </w:tcPr>
          <w:p>
            <w:r/>
            <w:r>
              <w:rPr>
                <w:b w:val="0"/>
                <w:i w:val="0"/>
                <w:sz w:val="16"/>
              </w:rPr>
              <w:t>Yes - employer can attest</w:t>
            </w:r>
          </w:p>
        </w:tc>
      </w:tr>
    </w:tbl>
    <w:p/>
    <w:p>
      <w:r>
        <w:rPr>
          <w:b/>
          <w:i w:val="0"/>
        </w:rPr>
        <w:t>Computation.</w:t>
      </w:r>
      <w:r>
        <w:rPr>
          <w:b w:val="0"/>
          <w:i w:val="0"/>
        </w:rPr>
        <w:t xml:space="preserve"> Total post-degree work history through April 7, 2025 is roughly 10.3-10.5 years (both the letter's "over 8" and the resume's "7+" are understatements and inconsistent with each other). Machine-learning experience, if the consultancy is credited, is roughly 7.9 years. </w:t>
      </w:r>
      <w:r>
        <w:rPr>
          <w:b/>
          <w:i w:val="0"/>
        </w:rPr>
        <w:t>Third-party-verified ML experience is only NovaStar (~3.3 years).</w:t>
      </w:r>
      <w:r>
        <w:rPr>
          <w:b w:val="0"/>
          <w:i w:val="0"/>
        </w:rPr>
        <w:t xml:space="preserve"> Adding the Brightfield tenure (~1.6 years as of April 7, 2025) yields ~4.9 years - </w:t>
      </w:r>
      <w:r>
        <w:rPr>
          <w:b/>
          <w:i w:val="0"/>
        </w:rPr>
        <w:t>short of the 5 years required by the petitioner's own alternative qualification path</w:t>
      </w:r>
      <w:r>
        <w:rPr>
          <w:b w:val="0"/>
          <w:i w:val="0"/>
        </w:rPr>
        <w:t xml:space="preserve"> unless the unverified consultancy is credited. Eligibility must exist at filing (8 C.F.R. § 103.2(b)(1)). Experience with the specifically required tools (TensorFlow, PyTorch, AWS SageMaker, NLP/LLM fine-tuning) is documented by no third party; on the current record it rests on the self-described consultancy and the Brightfield tenure (~1.6 years), which is less than the 3-year requirement.</w:t>
      </w:r>
    </w:p>
    <w:p>
      <w:pPr>
        <w:pStyle w:val="Heading1"/>
      </w:pPr>
      <w:r>
        <w:t>V. Detailed Issue Analysis</w:t>
      </w:r>
    </w:p>
    <w:p>
      <w:pPr>
        <w:pStyle w:val="Heading2"/>
      </w:pPr>
      <w:r>
        <w:t>A. Beneficiary Status and Work-Authorization History</w:t>
      </w:r>
    </w:p>
    <w:p>
      <w:pPr>
        <w:pStyle w:val="Heading3"/>
      </w:pPr>
      <w:r>
        <w:t>Issue 1: Representation of F-1 OPT status is unsupported and inconsistent with the employment history</w:t>
      </w:r>
    </w:p>
    <w:p>
      <w:r>
        <w:rPr>
          <w:b/>
          <w:i w:val="0"/>
        </w:rPr>
        <w:t>Severity:</w:t>
      </w:r>
      <w:r>
        <w:rPr>
          <w:b w:val="0"/>
          <w:i w:val="0"/>
        </w:rPr>
        <w:t xml:space="preserve"> CRITICAL    </w:t>
      </w:r>
      <w:r>
        <w:rPr>
          <w:b/>
          <w:i w:val="0"/>
        </w:rPr>
        <w:t>Documents:</w:t>
      </w:r>
      <w:r>
        <w:rPr>
          <w:b w:val="0"/>
          <w:i w:val="0"/>
        </w:rPr>
        <w:t xml:space="preserve"> Support letter Sec. 4; resume; Kiran and NovaStar letters; transcript; evaluation</w:t>
      </w:r>
    </w:p>
    <w:p>
      <w:r>
        <w:rPr>
          <w:b/>
          <w:i w:val="0"/>
        </w:rPr>
        <w:t>What the documents show.</w:t>
      </w:r>
    </w:p>
    <w:p>
      <w:pPr>
        <w:pStyle w:val="ListBullet"/>
      </w:pPr>
      <w:r>
        <w:rPr>
          <w:b w:val="0"/>
          <w:i w:val="0"/>
        </w:rPr>
        <w:t>The support letter states the beneficiary "is currently maintaining valid F-1 Optional Practical Training (OPT) status and will transition to H-1B nonimmigrant status effective October 1, 2025."</w:t>
      </w:r>
    </w:p>
    <w:p>
      <w:pPr>
        <w:pStyle w:val="ListBullet"/>
      </w:pPr>
      <w:r>
        <w:rPr>
          <w:b w:val="0"/>
          <w:i w:val="0"/>
        </w:rPr>
        <w:t>Every educational document reflects a single degree: the 2014 JNTU B.Tech. No U.S. degree, enrollment, I-20 or SEVIS record appears anywhere. Post-completion OPT (8 C.F.R. § 214.2(f)(10)(ii)) and the STEM extension (§ 214.2(f)(10)(ii)(C)) presuppose completion of a U.S. program of study.</w:t>
      </w:r>
    </w:p>
    <w:p>
      <w:pPr>
        <w:pStyle w:val="ListBullet"/>
      </w:pPr>
      <w:r>
        <w:rPr>
          <w:b w:val="0"/>
          <w:i w:val="0"/>
        </w:rPr>
        <w:t>The beneficiary has worked continuously in the United States since April 2017 (NovaStar, Dallas, ~3.3 yrs; self-employed consultant, Austin, ~3 yrs; Brightfield, Austin, since Sept. 5, 2023). Even a STEM-eligible student is limited to 12 months of post-completion OPT plus a 24-month STEM extension per qualifying degree; one OPT period cannot cover ~8 years, and a STEM OPT participant may not be self-employed (the employer must be E-Verify enrolled and sign Form I-983).</w:t>
      </w:r>
    </w:p>
    <w:p>
      <w:pPr>
        <w:pStyle w:val="ListBullet"/>
      </w:pPr>
      <w:r>
        <w:rPr>
          <w:b w:val="0"/>
          <w:i w:val="0"/>
        </w:rPr>
        <w:t>The 4-month gap between Kiran (Dec. 2016) and NovaStar (Apr. 2017) is too short to have completed a U.S. degree; the resume obscures the gap by extending Kiran to March 2017.</w:t>
      </w:r>
    </w:p>
    <w:p>
      <w:pPr>
        <w:pStyle w:val="ListBullet"/>
      </w:pPr>
      <w:r>
        <w:rPr>
          <w:b w:val="0"/>
          <w:i w:val="0"/>
        </w:rPr>
        <w:t>There is no explanation of what status authorized the NovaStar employment (e.g., a prior H-1B, which would change the cap analysis) or the self-employment.</w:t>
      </w:r>
    </w:p>
    <w:p>
      <w:r>
        <w:rPr>
          <w:b/>
          <w:i w:val="0"/>
        </w:rPr>
        <w:t>Governing standard.</w:t>
      </w:r>
      <w:r>
        <w:rPr>
          <w:b w:val="0"/>
          <w:i w:val="0"/>
        </w:rPr>
        <w:t xml:space="preserve"> A change of status from F-1 to H-1B requires that the beneficiary has maintained status (8 C.F.R. § 248.1(b)); unauthorized employment is a status violation (8 C.F.R. § 214.1(e)). USCIS may excuse a status lapse only in narrow circumstances. A willful misrepresentation of a material fact in a petition supports inadmissibility under INA § 212(a)(6)(C)(i), and all petitions are signed under penalty of perjury. If the beneficiary previously held H-1B status (e.g., through NovaStar), he may be cap-exempt and subject to the six-year maximum (8 C.F.R. § 214.2(h)(13)(iii)), and the time already used would limit the requested three-year period.</w:t>
      </w:r>
    </w:p>
    <w:p>
      <w:r>
        <w:rPr>
          <w:b/>
          <w:i w:val="0"/>
        </w:rPr>
        <w:t>Risk.</w:t>
      </w:r>
      <w:r>
        <w:rPr>
          <w:b w:val="0"/>
          <w:i w:val="0"/>
        </w:rPr>
        <w:t xml:space="preserve"> If the status statement is inaccurate, the change of status will be denied (forcing consular processing, where prior violations will be examined), and counsel and the employer would be on record with a false statement. If he holds F-1 status through a U.S. program not disclosed, the omission still leaves the support letter and resume materially incomplete and USCIS will issue an RFE. Unauthorized employment would also raise Form I-9 exposure for Brightfield and potentially for past employers.</w:t>
      </w:r>
    </w:p>
    <w:p>
      <w:r>
        <w:rPr>
          <w:b/>
          <w:i w:val="0"/>
        </w:rPr>
        <w:t>Recommended action.</w:t>
      </w:r>
    </w:p>
    <w:p>
      <w:pPr>
        <w:pStyle w:val="ListBullet"/>
      </w:pPr>
      <w:r>
        <w:rPr>
          <w:b w:val="0"/>
          <w:i w:val="0"/>
        </w:rPr>
        <w:t>Before anything else, conduct a complete immigration-history intake: passport biographic and visa pages, every I-94 (CBP online history), all Forms I-20 and SEVIS printouts, every EAD (category c(3)(B)/(C)), any I-983, prior I-797 approval notices (including any H-1B through NovaStar), and the H-1B registration selection notice.</w:t>
      </w:r>
    </w:p>
    <w:p>
      <w:pPr>
        <w:pStyle w:val="ListBullet"/>
      </w:pPr>
      <w:r>
        <w:rPr>
          <w:b w:val="0"/>
          <w:i w:val="0"/>
        </w:rPr>
        <w:t>Determine whether he holds a U.S. degree not reflected in the package. If so, add it to the resume, support letter and evaluation strategy (a U.S. degree in a related field could also solve Issue 2) and obtain a NACES evaluation only if needed.</w:t>
      </w:r>
    </w:p>
    <w:p>
      <w:pPr>
        <w:pStyle w:val="ListBullet"/>
      </w:pPr>
      <w:r>
        <w:rPr>
          <w:b w:val="0"/>
          <w:i w:val="0"/>
        </w:rPr>
        <w:t>If any period of unauthorized employment or status violation is identified, advise on requesting consular notification (rather than change of status), assess INA § 212(a)(9)(B) unlawful-presence exposure under the current D/S framework, and evaluate disclosure obligations. Do not file a change-of-status request on a statement we cannot document.</w:t>
      </w:r>
    </w:p>
    <w:p>
      <w:pPr>
        <w:pStyle w:val="ListBullet"/>
      </w:pPr>
      <w:r>
        <w:rPr>
          <w:b w:val="0"/>
          <w:i w:val="0"/>
        </w:rPr>
        <w:t>Confirm Brightfield's Form I-9 for the beneficiary (document list, EAD expiration, reverification) and, if STEM OPT, the I-983 training plan and E-Verify enrollment.</w:t>
      </w:r>
    </w:p>
    <w:p>
      <w:pPr>
        <w:pStyle w:val="ListBullet"/>
      </w:pPr>
      <w:r>
        <w:rPr>
          <w:b w:val="0"/>
          <w:i w:val="0"/>
        </w:rPr>
        <w:t>If he is on OPT with an EAD expiring before Oct. 1, 2025, confirm cap-gap eligibility (8 C.F.R. § 214.2(f)(5)(vi), as extended by the 2024 modernization rule) and that the petition requests change of status and is timely filed.</w:t>
      </w:r>
    </w:p>
    <w:p>
      <w:pPr>
        <w:pStyle w:val="Heading2"/>
      </w:pPr>
      <w:r>
        <w:t>B. Beneficiary Qualifications</w:t>
      </w:r>
    </w:p>
    <w:p>
      <w:pPr>
        <w:pStyle w:val="Heading3"/>
      </w:pPr>
      <w:r>
        <w:t>Issue 2: Beneficiary's degree field (ECE) does not match the petitioner's required fields; no equivalency theory is presented</w:t>
      </w:r>
    </w:p>
    <w:p>
      <w:r>
        <w:rPr>
          <w:b/>
          <w:i w:val="0"/>
        </w:rPr>
        <w:t>Severity:</w:t>
      </w:r>
      <w:r>
        <w:rPr>
          <w:b w:val="0"/>
          <w:i w:val="0"/>
        </w:rPr>
        <w:t xml:space="preserve"> CRITICAL    </w:t>
      </w:r>
      <w:r>
        <w:rPr>
          <w:b/>
          <w:i w:val="0"/>
        </w:rPr>
        <w:t>Documents:</w:t>
      </w:r>
      <w:r>
        <w:rPr>
          <w:b w:val="0"/>
          <w:i w:val="0"/>
        </w:rPr>
        <w:t xml:space="preserve"> Support letter Sec. 3-4; LCA G.7; credential evaluation Sec. 4-5, 7; transcript</w:t>
      </w:r>
    </w:p>
    <w:p>
      <w:r>
        <w:rPr>
          <w:b/>
          <w:i w:val="0"/>
        </w:rPr>
        <w:t>What the documents show.</w:t>
      </w:r>
    </w:p>
    <w:p>
      <w:pPr>
        <w:pStyle w:val="ListBullet"/>
      </w:pPr>
      <w:r>
        <w:rPr>
          <w:b w:val="0"/>
          <w:i w:val="0"/>
        </w:rPr>
        <w:t>The petitioner defines the minimum requirement as a bachelor's "in Computer Science, Machine Learning, Artificial Intelligence, or a closely related field" (support letter; LCA G.7).</w:t>
      </w:r>
    </w:p>
    <w:p>
      <w:pPr>
        <w:pStyle w:val="ListBullet"/>
      </w:pPr>
      <w:r>
        <w:rPr>
          <w:b w:val="0"/>
          <w:i w:val="0"/>
        </w:rPr>
        <w:t>The beneficiary's degree is a B.Tech in Electronics and Communication Engineering. The evaluation finds it equivalent to a U.S. B.S. in ECE, states the curriculum "is primarily focused on the study of electronics, communication systems, signal processing," calculates computer coursework at ~12 of ~160 credit hours (~7.5%), and disclaims any opinion on whether the field satisfies the position.</w:t>
      </w:r>
    </w:p>
    <w:p>
      <w:pPr>
        <w:pStyle w:val="ListBullet"/>
      </w:pPr>
      <w:r>
        <w:rPr>
          <w:b w:val="0"/>
          <w:i w:val="0"/>
        </w:rPr>
        <w:t>From the transcript, computer coursework is CS101 (3), CS101L (2), CS201 (3), CS401 Data Structures (3) and EC704 Intro. to AI (3) = 14 of 184 credits (7.6%); adding EC602 Computer Architecture (4) = 18 (9.8%).</w:t>
      </w:r>
    </w:p>
    <w:p>
      <w:pPr>
        <w:pStyle w:val="ListBullet"/>
      </w:pPr>
      <w:r>
        <w:rPr>
          <w:b w:val="0"/>
          <w:i w:val="0"/>
        </w:rPr>
        <w:t>The support letter states the evaluation "confirms that Mr. Venkataraman's degree is equivalent to a Bachelor of Science degree," omitting the field, and says the curriculum provided "a strong technical foundation for machine learning engineering." USCIS will read the evaluation itself.</w:t>
      </w:r>
    </w:p>
    <w:p>
      <w:pPr>
        <w:pStyle w:val="ListBullet"/>
      </w:pPr>
      <w:r>
        <w:rPr>
          <w:b w:val="0"/>
          <w:i w:val="0"/>
        </w:rPr>
        <w:t>Potentially helpful quantitative coursework exists: Probability Theory and Stochastic Processes (MT401), Engineering Mathematics I-III, Signals and Systems, Digital Signal Processing, Information Theory and Coding, Digital Image Processing (+lab), Speech and Audio Signal Processing - foundations used in ML, but not identified anywhere in the package.</w:t>
      </w:r>
    </w:p>
    <w:p>
      <w:pPr>
        <w:pStyle w:val="ListBullet"/>
      </w:pPr>
      <w:r>
        <w:rPr>
          <w:b w:val="0"/>
          <w:i w:val="0"/>
        </w:rPr>
        <w:t>The beneficiary can satisfy the petitioner's alternative path ("Bachelor's degree in any engineering discipline combined with 5 years of progressive experience in machine learning") only if the unverified consultancy is credited (see Part IV) - and that alternative is itself problematic (Issue 5).</w:t>
      </w:r>
    </w:p>
    <w:p>
      <w:r>
        <w:rPr>
          <w:b/>
          <w:i w:val="0"/>
        </w:rPr>
        <w:t>Governing standard.</w:t>
      </w:r>
      <w:r>
        <w:rPr>
          <w:b w:val="0"/>
          <w:i w:val="0"/>
        </w:rPr>
        <w:t xml:space="preserve"> The beneficiary must hold a U.S. bachelor's or higher in the specific specialty, a foreign equivalent, or education/training/experience equivalent to such a degree plus recognition of expertise (INA § 214(i)(2); 8 C.F.R. § 214.2(h)(4)(iii)(C)). As amended by the H-1B modernization final rule (89 Fed. Reg. 103054, Dec. 18, 2024; effective Jan. 17, 2025, and applicable to this petition), the required degree must be in a specific specialty "directly related" to the duties, meaning a logical connection between the degree (or its coursework) and the duties (8 C.F.R. § 214.2(h)(4)(ii)). Equivalency for a degree in a different field may be shown under 8 C.F.R. § 214.2(h)(4)(iii)(D): (1) an evaluation by an official with authority to grant college-level credit for training/experience at an accredited U.S. institution with such a program; (3) a credential evaluation service may evaluate education only; (5) USCIS's own determination using three years of specialized experience for each year of missing specialized college-level training, which must include the theoretical and practical application of specialized knowledge, be gained while working with peers/supervisors holding the degree or equivalent, and be accompanied by recognition of expertise.</w:t>
      </w:r>
    </w:p>
    <w:p>
      <w:r>
        <w:rPr>
          <w:b/>
          <w:i w:val="0"/>
        </w:rPr>
        <w:t>Risk.</w:t>
      </w:r>
      <w:r>
        <w:rPr>
          <w:b w:val="0"/>
          <w:i w:val="0"/>
        </w:rPr>
        <w:t xml:space="preserve"> An adjudicator comparing the petitioner's required fields with an ECE equivalency that expressly does not match is likely to issue an RFE or deny for failure to show the beneficiary is qualified. The mismatch between the letter's description of the evaluation and the evaluation itself also undermines credibility.</w:t>
      </w:r>
    </w:p>
    <w:p>
      <w:r>
        <w:rPr>
          <w:b/>
          <w:i w:val="0"/>
        </w:rPr>
        <w:t>Recommended action.</w:t>
      </w:r>
    </w:p>
    <w:p>
      <w:pPr>
        <w:pStyle w:val="ListBullet"/>
      </w:pPr>
      <w:r>
        <w:rPr>
          <w:b w:val="0"/>
          <w:i w:val="0"/>
        </w:rPr>
        <w:t>Develop a "directly related" argument for ECE: map transcript courses (probability/stochastic processes, signal and image/speech processing, information theory, linear systems mathematics, programming, data structures, AI) to each duty, ideally supported by a professor's opinion letter.</w:t>
      </w:r>
    </w:p>
    <w:p>
      <w:pPr>
        <w:pStyle w:val="ListBullet"/>
      </w:pPr>
      <w:r>
        <w:rPr>
          <w:b w:val="0"/>
          <w:i w:val="0"/>
        </w:rPr>
        <w:t>Commission an education-plus-experience equivalency evaluation from a university professor with documented authority to grant college-level credit for experience at a U.S. institution with such a program (§ 214.2(h)(4)(iii)(D)(1)), concluding equivalence to a U.S. bachelor's in Computer Science (or Computer Science with ML concentration). Westbridge's Ph.D. in Education analyst cannot provide this (§ (D)(3) limits services to education).</w:t>
      </w:r>
    </w:p>
    <w:p>
      <w:pPr>
        <w:pStyle w:val="ListBullet"/>
      </w:pPr>
      <w:r>
        <w:rPr>
          <w:b w:val="0"/>
          <w:i w:val="0"/>
        </w:rPr>
        <w:t>Assemble (D)(5) evidence: detailed duty letters showing theoretical and practical ML application, the degree credentials of supervisors/peers (e.g., Carolyn Beech), and recognition of expertise (the AWS Certified ML - Specialty, publications, client recognition, membership, etc.).</w:t>
      </w:r>
    </w:p>
    <w:p>
      <w:pPr>
        <w:pStyle w:val="ListBullet"/>
      </w:pPr>
      <w:r>
        <w:rPr>
          <w:b w:val="0"/>
          <w:i w:val="0"/>
        </w:rPr>
        <w:t>Consider whether the minimum requirement should list additional directly related fields (e.g., Electrical/Electronics Engineering, Mathematics, Statistics) - but only if that genuinely reflects how Brightfield hires for the role; USCIS will look past a requirement tailored to the beneficiary. Any change must be mirrored across the support letter and LCA/PWD documentation.</w:t>
      </w:r>
    </w:p>
    <w:p>
      <w:pPr>
        <w:pStyle w:val="ListBullet"/>
      </w:pPr>
      <w:r>
        <w:rPr>
          <w:b w:val="0"/>
          <w:i w:val="0"/>
        </w:rPr>
        <w:t>Correct the support letter's description of the evaluation to state the actual equivalency (B.S. in ECE).</w:t>
      </w:r>
    </w:p>
    <w:p>
      <w:pPr>
        <w:pStyle w:val="Heading3"/>
      </w:pPr>
      <w:r>
        <w:t>Issue 3: Experience: inconsistent dates and totals; required skills largely undocumented</w:t>
      </w:r>
    </w:p>
    <w:p>
      <w:r>
        <w:rPr>
          <w:b/>
          <w:i w:val="0"/>
        </w:rPr>
        <w:t>Severity:</w:t>
      </w:r>
      <w:r>
        <w:rPr>
          <w:b w:val="0"/>
          <w:i w:val="0"/>
        </w:rPr>
        <w:t xml:space="preserve"> HIGH    </w:t>
      </w:r>
      <w:r>
        <w:rPr>
          <w:b/>
          <w:i w:val="0"/>
        </w:rPr>
        <w:t>Documents:</w:t>
      </w:r>
      <w:r>
        <w:rPr>
          <w:b w:val="0"/>
          <w:i w:val="0"/>
        </w:rPr>
        <w:t xml:space="preserve"> Resume; Kiran letter; NovaStar letter; support letter Sec. 3-4; PWD</w:t>
      </w:r>
    </w:p>
    <w:p>
      <w:r>
        <w:rPr>
          <w:b/>
          <w:i w:val="0"/>
        </w:rPr>
        <w:t>What the documents show.</w:t>
      </w:r>
    </w:p>
    <w:p>
      <w:pPr>
        <w:pStyle w:val="ListBullet"/>
      </w:pPr>
      <w:r>
        <w:rPr>
          <w:b w:val="0"/>
          <w:i w:val="0"/>
        </w:rPr>
        <w:t>Kiran end date: Dec. 9, 2016 (Kiran letter) vs. March 2017 (resume). Kiran letter calls June 16, 2014 - Dec. 9, 2016 "approximately two years and seven months" (it is ~2 years 6 months).</w:t>
      </w:r>
    </w:p>
    <w:p>
      <w:pPr>
        <w:pStyle w:val="ListBullet"/>
      </w:pPr>
      <w:r>
        <w:rPr>
          <w:b w:val="0"/>
          <w:i w:val="0"/>
        </w:rPr>
        <w:t>NovaStar end date: July 2020 (NovaStar letter, support letter) vs. August 2020 (resume, which overlaps the consultancy beginning August 2020).</w:t>
      </w:r>
    </w:p>
    <w:p>
      <w:pPr>
        <w:pStyle w:val="ListBullet"/>
      </w:pPr>
      <w:r>
        <w:rPr>
          <w:b w:val="0"/>
          <w:i w:val="0"/>
        </w:rPr>
        <w:t>Totals: support letter "over 8 years"; resume "7+ years"; actual chronology ~10.4 years total, ~7.9 years ML-related if the consultancy is credited.</w:t>
      </w:r>
    </w:p>
    <w:p>
      <w:pPr>
        <w:pStyle w:val="ListBullet"/>
      </w:pPr>
      <w:r>
        <w:rPr>
          <w:b w:val="0"/>
          <w:i w:val="0"/>
        </w:rPr>
        <w:t>The NovaStar letter (the only third-party ML evidence) lists Python, scikit-learn, Tableau, SQL and A/B testing; it does not mention TensorFlow, PyTorch, AWS SageMaker, NLP or LLMs, which the position requires; it gives only month/year dates and is unsigned.</w:t>
      </w:r>
    </w:p>
    <w:p>
      <w:pPr>
        <w:pStyle w:val="ListBullet"/>
      </w:pPr>
      <w:r>
        <w:rPr>
          <w:b w:val="0"/>
          <w:i w:val="0"/>
        </w:rPr>
        <w:t>The 2020-2023 consultancy - which is where the resume locates the NLP, TensorFlow/PyTorch, SageMaker and LLM work - has no supporting evidence (no client letters, contracts, invoices, Forms 1099, tax returns or business registration).</w:t>
      </w:r>
    </w:p>
    <w:p>
      <w:pPr>
        <w:pStyle w:val="ListBullet"/>
      </w:pPr>
      <w:r>
        <w:rPr>
          <w:b w:val="0"/>
          <w:i w:val="0"/>
        </w:rPr>
        <w:t>No Brightfield verification of the current role (title, start date, duties, supervisor) is in the file, and the resume's description ("assist with" AWS; retail/financial services clients) is more junior than the support letter's narrative.</w:t>
      </w:r>
    </w:p>
    <w:p>
      <w:pPr>
        <w:pStyle w:val="ListBullet"/>
      </w:pPr>
      <w:r>
        <w:rPr>
          <w:b w:val="0"/>
          <w:i w:val="0"/>
        </w:rPr>
        <w:t>Kiran duties are software/database development, not ML; the support letter properly lists them as software experience but counts them toward "progressive experience in software development and machine learning engineering."</w:t>
      </w:r>
    </w:p>
    <w:p>
      <w:r>
        <w:rPr>
          <w:b/>
          <w:i w:val="0"/>
        </w:rPr>
        <w:t>Governing standard.</w:t>
      </w:r>
      <w:r>
        <w:rPr>
          <w:b w:val="0"/>
          <w:i w:val="0"/>
        </w:rPr>
        <w:t xml:space="preserve"> Experience offered to establish qualifications or equivalency must be documented by letters from employers/supervisors describing specific duties, dates and hours (8 C.F.R. § 214.2(h)(4)(iii)(D)(5)); USCIS weighs inconsistencies against the petitioner (Matter of Ho, 19 I&amp;N Dec. 582 (BIA 1988): doubt cast on any aspect of the proof may lead to reevaluation of the reliability of the remaining evidence).</w:t>
      </w:r>
    </w:p>
    <w:p>
      <w:r>
        <w:rPr>
          <w:b/>
          <w:i w:val="0"/>
        </w:rPr>
        <w:t>Risk.</w:t>
      </w:r>
      <w:r>
        <w:rPr>
          <w:b w:val="0"/>
          <w:i w:val="0"/>
        </w:rPr>
        <w:t xml:space="preserve"> Inconsistent dates are a standard fraud indicator and will undermine both the qualification and equivalency arguments. Verified ML experience as of filing (~4.9 years) is below the petitioner's own 5-year alternative path; documented experience with the specifically required tools is below 3 years.</w:t>
      </w:r>
    </w:p>
    <w:p>
      <w:r>
        <w:rPr>
          <w:b/>
          <w:i w:val="0"/>
        </w:rPr>
        <w:t>Recommended action.</w:t>
      </w:r>
    </w:p>
    <w:p>
      <w:pPr>
        <w:pStyle w:val="ListBullet"/>
      </w:pPr>
      <w:r>
        <w:rPr>
          <w:b w:val="0"/>
          <w:i w:val="0"/>
        </w:rPr>
        <w:t>Reconcile all dates with the beneficiary and correct the resume to match the signed letters (or obtain corrected letters if the letters are wrong).</w:t>
      </w:r>
    </w:p>
    <w:p>
      <w:pPr>
        <w:pStyle w:val="ListBullet"/>
      </w:pPr>
      <w:r>
        <w:rPr>
          <w:b w:val="0"/>
          <w:i w:val="0"/>
        </w:rPr>
        <w:t>Obtain a signed, supplemental NovaStar letter on letterhead with exact start/end dates, hours, and any TensorFlow/PyTorch/AWS/NLP work actually performed (only if accurate).</w:t>
      </w:r>
    </w:p>
    <w:p>
      <w:pPr>
        <w:pStyle w:val="ListBullet"/>
      </w:pPr>
      <w:r>
        <w:rPr>
          <w:b w:val="0"/>
          <w:i w:val="0"/>
        </w:rPr>
        <w:t>Document the consultancy: client letters with dates, hours and technical duties; contracts/SOWs; invoices; 1099s; Schedule C returns; business registration. Address the work-authorization basis (Issue 1).</w:t>
      </w:r>
    </w:p>
    <w:p>
      <w:pPr>
        <w:pStyle w:val="ListBullet"/>
      </w:pPr>
      <w:r>
        <w:rPr>
          <w:b w:val="0"/>
          <w:i w:val="0"/>
        </w:rPr>
        <w:t>Obtain a Brightfield verification letter (title, start date Sept. 5, 2023, duties, supervisor) with payroll records.</w:t>
      </w:r>
    </w:p>
    <w:p>
      <w:pPr>
        <w:pStyle w:val="ListBullet"/>
      </w:pPr>
      <w:r>
        <w:rPr>
          <w:b w:val="0"/>
          <w:i w:val="0"/>
        </w:rPr>
        <w:t>Restate total experience consistently (e.g., "more than 10 years total, including approximately 8 years in machine learning") only after reconciliation.</w:t>
      </w:r>
    </w:p>
    <w:p>
      <w:pPr>
        <w:pStyle w:val="Heading3"/>
      </w:pPr>
      <w:r>
        <w:t>Issue 4: Credential evaluation contains internal errors and is limited to education</w:t>
      </w:r>
    </w:p>
    <w:p>
      <w:r>
        <w:rPr>
          <w:b/>
          <w:i w:val="0"/>
        </w:rPr>
        <w:t>Severity:</w:t>
      </w:r>
      <w:r>
        <w:rPr>
          <w:b w:val="0"/>
          <w:i w:val="0"/>
        </w:rPr>
        <w:t xml:space="preserve"> HIGH    </w:t>
      </w:r>
      <w:r>
        <w:rPr>
          <w:b/>
          <w:i w:val="0"/>
        </w:rPr>
        <w:t>Documents:</w:t>
      </w:r>
      <w:r>
        <w:rPr>
          <w:b w:val="0"/>
          <w:i w:val="0"/>
        </w:rPr>
        <w:t xml:space="preserve"> Credential evaluation; transcript</w:t>
      </w:r>
    </w:p>
    <w:p>
      <w:r>
        <w:rPr>
          <w:b/>
          <w:i w:val="0"/>
        </w:rPr>
        <w:t>What the documents show.</w:t>
      </w:r>
    </w:p>
    <w:p>
      <w:pPr>
        <w:pStyle w:val="ListBullet"/>
      </w:pPr>
      <w:r>
        <w:rPr>
          <w:b w:val="0"/>
          <w:i w:val="0"/>
        </w:rPr>
        <w:t>The evaluation describes curriculum components not on the transcript: Thermodynamics, Workshop Practice, Environmental Studies, Management and Economics, Electronic Circuit Analysis, Switching Theory and Logic Design. The transcript instead shows Analog Electronic Circuits, Digital Logic Design, Network Analysis, Basic Electrical Engineering, English I-II, etc.</w:t>
      </w:r>
    </w:p>
    <w:p>
      <w:pPr>
        <w:pStyle w:val="ListBullet"/>
      </w:pPr>
      <w:r>
        <w:rPr>
          <w:b w:val="0"/>
          <w:i w:val="0"/>
        </w:rPr>
        <w:t>Its credit categories (24 + 80 + 32 + 12 + 12 = 160) leave nothing for "Project Work and Seminar (~remaining credit hours)," while the transcript shows 184 total credits including 10 credits of project/viva/seminar.</w:t>
      </w:r>
    </w:p>
    <w:p>
      <w:pPr>
        <w:pStyle w:val="ListBullet"/>
      </w:pPr>
      <w:r>
        <w:rPr>
          <w:b w:val="0"/>
          <w:i w:val="0"/>
        </w:rPr>
        <w:t>It states it reviewed the official transcripts, so departures from them suggest reliance on a generic catalog template.</w:t>
      </w:r>
    </w:p>
    <w:p>
      <w:pPr>
        <w:pStyle w:val="ListBullet"/>
      </w:pPr>
      <w:r>
        <w:rPr>
          <w:b w:val="0"/>
          <w:i w:val="0"/>
        </w:rPr>
        <w:t>The signature line is blank. The evaluator's credentials (Ph.D., Education) do not support any experience-based equivalency.</w:t>
      </w:r>
    </w:p>
    <w:p>
      <w:pPr>
        <w:pStyle w:val="ListBullet"/>
      </w:pPr>
      <w:r>
        <w:rPr>
          <w:b w:val="0"/>
          <w:i w:val="0"/>
        </w:rPr>
        <w:t>The evaluation expressly does not address field match to the position.</w:t>
      </w:r>
    </w:p>
    <w:p>
      <w:r>
        <w:rPr>
          <w:b/>
          <w:i w:val="0"/>
        </w:rPr>
        <w:t>Governing standard.</w:t>
      </w:r>
      <w:r>
        <w:rPr>
          <w:b w:val="0"/>
          <w:i w:val="0"/>
        </w:rPr>
        <w:t xml:space="preserve"> USCIS may give less weight to an expert opinion that is inconsistent with the record or otherwise in question (Matter of Caron International, 19 I&amp;N Dec. 791 (Comm'r 1988)). Credential services may evaluate education only (8 C.F.R. § 214.2(h)(4)(iii)(D)(3)).</w:t>
      </w:r>
    </w:p>
    <w:p>
      <w:r>
        <w:rPr>
          <w:b/>
          <w:i w:val="0"/>
        </w:rPr>
        <w:t>Risk.</w:t>
      </w:r>
      <w:r>
        <w:rPr>
          <w:b w:val="0"/>
          <w:i w:val="0"/>
        </w:rPr>
        <w:t xml:space="preserve"> An adjudicator comparing the evaluation with the transcript will notice the discrepancies and discount the evaluation.</w:t>
      </w:r>
    </w:p>
    <w:p>
      <w:r>
        <w:rPr>
          <w:b/>
          <w:i w:val="0"/>
        </w:rPr>
        <w:t>Recommended action.</w:t>
      </w:r>
    </w:p>
    <w:p>
      <w:pPr>
        <w:pStyle w:val="ListBullet"/>
      </w:pPr>
      <w:r>
        <w:rPr>
          <w:b w:val="0"/>
          <w:i w:val="0"/>
        </w:rPr>
        <w:t>Ask Westbridge to issue a corrected, signed evaluation that tracks the actual transcript (184 credits, actual course titles) and, if supportable, identifies the quantitative/computing coursework relevant to ML.</w:t>
      </w:r>
    </w:p>
    <w:p>
      <w:pPr>
        <w:pStyle w:val="ListBullet"/>
      </w:pPr>
      <w:r>
        <w:rPr>
          <w:b w:val="0"/>
          <w:i w:val="0"/>
        </w:rPr>
        <w:t>Separately obtain the professor education-plus-experience evaluation recommended under Issue 2.</w:t>
      </w:r>
    </w:p>
    <w:p>
      <w:pPr>
        <w:pStyle w:val="Heading2"/>
      </w:pPr>
      <w:r>
        <w:t>C. Specialty Occupation and Position Definition</w:t>
      </w:r>
    </w:p>
    <w:p>
      <w:pPr>
        <w:pStyle w:val="Heading3"/>
      </w:pPr>
      <w:r>
        <w:t>Issue 5: "Any engineering discipline + 5 years" alternative undercuts the specific-specialty requirement</w:t>
      </w:r>
    </w:p>
    <w:p>
      <w:r>
        <w:rPr>
          <w:b/>
          <w:i w:val="0"/>
        </w:rPr>
        <w:t>Severity:</w:t>
      </w:r>
      <w:r>
        <w:rPr>
          <w:b w:val="0"/>
          <w:i w:val="0"/>
        </w:rPr>
        <w:t xml:space="preserve"> HIGH    </w:t>
      </w:r>
      <w:r>
        <w:rPr>
          <w:b/>
          <w:i w:val="0"/>
        </w:rPr>
        <w:t>Documents:</w:t>
      </w:r>
      <w:r>
        <w:rPr>
          <w:b w:val="0"/>
          <w:i w:val="0"/>
        </w:rPr>
        <w:t xml:space="preserve"> Support letter Sec. 3; LCA G.6-G.7; PWD Sec. 3</w:t>
      </w:r>
    </w:p>
    <w:p>
      <w:r>
        <w:rPr>
          <w:b/>
          <w:i w:val="0"/>
        </w:rPr>
        <w:t>What the documents show.</w:t>
      </w:r>
    </w:p>
    <w:p>
      <w:pPr>
        <w:pStyle w:val="ListBullet"/>
      </w:pPr>
      <w:r>
        <w:rPr>
          <w:b w:val="0"/>
          <w:i w:val="0"/>
        </w:rPr>
        <w:t>The letter states that "a Bachelor's degree in any engineering discipline combined with 5 years of progressive experience in machine learning may be accepted as an equivalent qualification."</w:t>
      </w:r>
    </w:p>
    <w:p>
      <w:pPr>
        <w:pStyle w:val="ListBullet"/>
      </w:pPr>
      <w:r>
        <w:rPr>
          <w:b w:val="0"/>
          <w:i w:val="0"/>
        </w:rPr>
        <w:t>This alternative appears nowhere in the LCA (G.7 lists CS, ML, AI or closely related) or the PWD (bachelor's + 36 months, no alternative).</w:t>
      </w:r>
    </w:p>
    <w:p>
      <w:pPr>
        <w:pStyle w:val="ListBullet"/>
      </w:pPr>
      <w:r>
        <w:rPr>
          <w:b w:val="0"/>
          <w:i w:val="0"/>
        </w:rPr>
        <w:t>It is ambiguous whether the 5 years is in addition to, or inclusive of, the separate 3-year ML experience requirement.</w:t>
      </w:r>
    </w:p>
    <w:p>
      <w:r>
        <w:rPr>
          <w:b/>
          <w:i w:val="0"/>
        </w:rPr>
        <w:t>Governing standard.</w:t>
      </w:r>
      <w:r>
        <w:rPr>
          <w:b w:val="0"/>
          <w:i w:val="0"/>
        </w:rPr>
        <w:t xml:space="preserve"> A position is a specialty occupation only if it requires a bachelor's or higher in a specific specialty directly related to the duties (INA § 214(i)(1); 8 C.F.R. § 214.2(h)(4)(ii), (iii)(A)). A requirement that may be met by a degree in any of a broad range of unrelated fields (e.g., civil, chemical or mechanical engineering) indicates the position does not require a specific specialty. See, e.g., Royal Siam Corp. v. Chertoff, 484 F.3d 139, 147 (1st Cir. 2007) (general-purpose degree requirement insufficient); Caremax Inc. v. Holder, 40 F. Supp. 3d 1182 (N.D. Cal. 2014). The 2024 rule permits multiple qualifying fields only if each is directly related to the duties. Experience substitution is evaluated as a beneficiary-qualification question, but an employer's acceptance of an unrelated degree speaks to what the position actually requires.</w:t>
      </w:r>
    </w:p>
    <w:p>
      <w:r>
        <w:rPr>
          <w:b/>
          <w:i w:val="0"/>
        </w:rPr>
        <w:t>Risk.</w:t>
      </w:r>
      <w:r>
        <w:rPr>
          <w:b w:val="0"/>
          <w:i w:val="0"/>
        </w:rPr>
        <w:t xml:space="preserve"> USCIS is likely to cite this sentence to find that the position does not require a degree in a specific specialty - denial grounds independent of the beneficiary's qualifications. It also appears tailored to the beneficiary, who would otherwise not meet the stated requirement.</w:t>
      </w:r>
    </w:p>
    <w:p>
      <w:r>
        <w:rPr>
          <w:b/>
          <w:i w:val="0"/>
        </w:rPr>
        <w:t>Recommended action.</w:t>
      </w:r>
    </w:p>
    <w:p>
      <w:pPr>
        <w:pStyle w:val="ListBullet"/>
      </w:pPr>
      <w:r>
        <w:rPr>
          <w:b w:val="0"/>
          <w:i w:val="0"/>
        </w:rPr>
        <w:t>Delete the "any engineering discipline" alternative, or limit it to enumerated directly related engineering fields (e.g., Electrical/Electronics/Computer Engineering) with an explanation of the link to the duties - and only if this reflects Brightfield's actual hiring practice.</w:t>
      </w:r>
    </w:p>
    <w:p>
      <w:pPr>
        <w:pStyle w:val="ListBullet"/>
      </w:pPr>
      <w:r>
        <w:rPr>
          <w:b w:val="0"/>
          <w:i w:val="0"/>
        </w:rPr>
        <w:t>If the beneficiary will qualify through equivalency, present that as a beneficiary-qualification argument under § 214.2(h)(4)(iii)(D), not as a loosening of the position's requirement.</w:t>
      </w:r>
    </w:p>
    <w:p>
      <w:pPr>
        <w:pStyle w:val="ListBullet"/>
      </w:pPr>
      <w:r>
        <w:rPr>
          <w:b w:val="0"/>
          <w:i w:val="0"/>
        </w:rPr>
        <w:t>Conform the requirement statement across the support letter, LCA (G.7) and any new PWD request.</w:t>
      </w:r>
    </w:p>
    <w:p>
      <w:pPr>
        <w:pStyle w:val="Heading3"/>
      </w:pPr>
      <w:r>
        <w:t>Issue 6: Duties, reporting line and staffing descriptions are inconsistent</w:t>
      </w:r>
    </w:p>
    <w:p>
      <w:r>
        <w:rPr>
          <w:b/>
          <w:i w:val="0"/>
        </w:rPr>
        <w:t>Severity:</w:t>
      </w:r>
      <w:r>
        <w:rPr>
          <w:b w:val="0"/>
          <w:i w:val="0"/>
        </w:rPr>
        <w:t xml:space="preserve"> HIGH    </w:t>
      </w:r>
      <w:r>
        <w:rPr>
          <w:b/>
          <w:i w:val="0"/>
        </w:rPr>
        <w:t>Documents:</w:t>
      </w:r>
      <w:r>
        <w:rPr>
          <w:b w:val="0"/>
          <w:i w:val="0"/>
        </w:rPr>
        <w:t xml:space="preserve"> Support letter Sec. 2, 4; org chart; LCA G.5; PWD Sec. 3; resume</w:t>
      </w:r>
    </w:p>
    <w:p>
      <w:r>
        <w:rPr>
          <w:b/>
          <w:i w:val="0"/>
        </w:rPr>
        <w:t>What the documents show.</w:t>
      </w:r>
    </w:p>
    <w:p>
      <w:pPr>
        <w:pStyle w:val="ListBullet"/>
      </w:pPr>
      <w:r>
        <w:rPr>
          <w:b w:val="0"/>
          <w:i w:val="0"/>
        </w:rPr>
        <w:t>Direct reports: "team of 3 junior data scientists" (letter) vs. "2 direct reports" (org chart).</w:t>
      </w:r>
    </w:p>
    <w:p>
      <w:pPr>
        <w:pStyle w:val="ListBullet"/>
      </w:pPr>
      <w:r>
        <w:rPr>
          <w:b w:val="0"/>
          <w:i w:val="0"/>
        </w:rPr>
        <w:t>Reporting: "reports directly to the CTO" (letter) vs. interim reporting to CTO pending a VP Data Science hire (org chart). The CTO is not named ("Title only").</w:t>
      </w:r>
    </w:p>
    <w:p>
      <w:pPr>
        <w:pStyle w:val="ListBullet"/>
      </w:pPr>
      <w:r>
        <w:rPr>
          <w:b w:val="0"/>
          <w:i w:val="0"/>
        </w:rPr>
        <w:t>The org chart purports to depict the Data Science &amp; ML group of a 187-person ML consulting firm but shows only five positions (one unfilled, one proposed); its credibility will be questioned, and it does not say whether the beneficiary currently occupies one of the two "filled" Data Scientist slots.</w:t>
      </w:r>
    </w:p>
    <w:p>
      <w:pPr>
        <w:pStyle w:val="ListBullet"/>
      </w:pPr>
      <w:r>
        <w:rPr>
          <w:b w:val="0"/>
          <w:i w:val="0"/>
        </w:rPr>
        <w:t>The resume describes the beneficiary's current Brightfield role as "Data Scientist" with more junior duties; the letter does not state his current title or explain the promotion.</w:t>
      </w:r>
    </w:p>
    <w:p>
      <w:pPr>
        <w:pStyle w:val="ListBullet"/>
      </w:pPr>
      <w:r>
        <w:rPr>
          <w:b w:val="0"/>
          <w:i w:val="0"/>
        </w:rPr>
        <w:t>LCA G.5 describes "research on natural language processing and large language model fine-tuning"; the letter describes production engineering of NLP pipelines.</w:t>
      </w:r>
    </w:p>
    <w:p>
      <w:pPr>
        <w:pStyle w:val="ListBullet"/>
      </w:pPr>
      <w:r>
        <w:rPr>
          <w:b w:val="0"/>
          <w:i w:val="0"/>
        </w:rPr>
        <w:t>Industry focus: letter (healthcare, financial services, technology) vs. resume current role (retail and financial services).</w:t>
      </w:r>
    </w:p>
    <w:p>
      <w:r>
        <w:rPr>
          <w:b/>
          <w:i w:val="0"/>
        </w:rPr>
        <w:t>Governing standard.</w:t>
      </w:r>
      <w:r>
        <w:rPr>
          <w:b w:val="0"/>
          <w:i w:val="0"/>
        </w:rPr>
        <w:t xml:space="preserve"> USCIS evaluates the actual duties of the position and requires a consistent, credible record (8 C.F.R. § 214.2(h)(4)(iv); Matter of Ho). The LCA must correspond to the petition (8 C.F.R. § 214.2(h)(4)(i)(B)(2); 20 C.F.R. § 655.705(b)).</w:t>
      </w:r>
    </w:p>
    <w:p>
      <w:r>
        <w:rPr>
          <w:b/>
          <w:i w:val="0"/>
        </w:rPr>
        <w:t>Risk.</w:t>
      </w:r>
      <w:r>
        <w:rPr>
          <w:b w:val="0"/>
          <w:i w:val="0"/>
        </w:rPr>
        <w:t xml:space="preserve"> Inconsistency invites an RFE on the bona fides of the position and on the wage level; FDNS site visits frequently probe reporting lines and staffing.</w:t>
      </w:r>
    </w:p>
    <w:p>
      <w:r>
        <w:rPr>
          <w:b/>
          <w:i w:val="0"/>
        </w:rPr>
        <w:t>Recommended action.</w:t>
      </w:r>
    </w:p>
    <w:p>
      <w:pPr>
        <w:pStyle w:val="ListBullet"/>
      </w:pPr>
      <w:r>
        <w:rPr>
          <w:b w:val="0"/>
          <w:i w:val="0"/>
        </w:rPr>
        <w:t>Confirm the actual number of direct reports and conform the letter and org chart.</w:t>
      </w:r>
    </w:p>
    <w:p>
      <w:pPr>
        <w:pStyle w:val="ListBullet"/>
      </w:pPr>
      <w:r>
        <w:rPr>
          <w:b w:val="0"/>
          <w:i w:val="0"/>
        </w:rPr>
        <w:t>Name the CTO and state the reporting relationship identically in all documents; explain the VP Data Science recruitment.</w:t>
      </w:r>
    </w:p>
    <w:p>
      <w:pPr>
        <w:pStyle w:val="ListBullet"/>
      </w:pPr>
      <w:r>
        <w:rPr>
          <w:b w:val="0"/>
          <w:i w:val="0"/>
        </w:rPr>
        <w:t>Expand the org chart to show the full data-science/ML group (Austin, Denver, remote) and identify where the beneficiary currently sits.</w:t>
      </w:r>
    </w:p>
    <w:p>
      <w:pPr>
        <w:pStyle w:val="ListBullet"/>
      </w:pPr>
      <w:r>
        <w:rPr>
          <w:b w:val="0"/>
          <w:i w:val="0"/>
        </w:rPr>
        <w:t>Add a sentence to the support letter explaining the beneficiary's current role and title and the promotion to Senior MLE effective Oct. 1, 2025.</w:t>
      </w:r>
    </w:p>
    <w:p>
      <w:pPr>
        <w:pStyle w:val="ListBullet"/>
      </w:pPr>
      <w:r>
        <w:rPr>
          <w:b w:val="0"/>
          <w:i w:val="0"/>
        </w:rPr>
        <w:t>Align the LCA/PWD duty summaries with the letter (any new LCA should use the conformed description).</w:t>
      </w:r>
    </w:p>
    <w:p>
      <w:pPr>
        <w:pStyle w:val="Heading3"/>
      </w:pPr>
      <w:r>
        <w:t>Issue 7: Specialty-occupation proof is thin</w:t>
      </w:r>
    </w:p>
    <w:p>
      <w:r>
        <w:rPr>
          <w:b/>
          <w:i w:val="0"/>
        </w:rPr>
        <w:t>Severity:</w:t>
      </w:r>
      <w:r>
        <w:rPr>
          <w:b w:val="0"/>
          <w:i w:val="0"/>
        </w:rPr>
        <w:t xml:space="preserve"> MEDIUM    </w:t>
      </w:r>
      <w:r>
        <w:rPr>
          <w:b/>
          <w:i w:val="0"/>
        </w:rPr>
        <w:t>Documents:</w:t>
      </w:r>
      <w:r>
        <w:rPr>
          <w:b w:val="0"/>
          <w:i w:val="0"/>
        </w:rPr>
        <w:t xml:space="preserve"> Support letter Sec. 3</w:t>
      </w:r>
    </w:p>
    <w:p>
      <w:r>
        <w:rPr>
          <w:b/>
          <w:i w:val="0"/>
        </w:rPr>
        <w:t>What the documents show.</w:t>
      </w:r>
    </w:p>
    <w:p>
      <w:pPr>
        <w:pStyle w:val="ListBullet"/>
      </w:pPr>
      <w:r>
        <w:rPr>
          <w:b w:val="0"/>
          <w:i w:val="0"/>
        </w:rPr>
        <w:t>The letter asserts that peer companies "uniformly require" a specialized degree but offers no evidence (job postings, association statements, expert opinion).</w:t>
      </w:r>
    </w:p>
    <w:p>
      <w:pPr>
        <w:pStyle w:val="ListBullet"/>
      </w:pPr>
      <w:r>
        <w:rPr>
          <w:b w:val="0"/>
          <w:i w:val="0"/>
        </w:rPr>
        <w:t>No evidence that Brightfield normally requires the degree (hiring history, credentials of current incumbents, prior postings).</w:t>
      </w:r>
    </w:p>
    <w:p>
      <w:pPr>
        <w:pStyle w:val="ListBullet"/>
      </w:pPr>
      <w:r>
        <w:rPr>
          <w:b w:val="0"/>
          <w:i w:val="0"/>
        </w:rPr>
        <w:t>Duties are reasonably detailed with time allocations summing to 100%, which helps; but 40% of time (AWS infrastructure 20%, Python codebase 20%) reads as software engineering, and the letter does not explain why each duty requires specialized theoretical knowledge.</w:t>
      </w:r>
    </w:p>
    <w:p>
      <w:r>
        <w:rPr>
          <w:b/>
          <w:i w:val="0"/>
        </w:rPr>
        <w:t>Governing standard.</w:t>
      </w:r>
      <w:r>
        <w:rPr>
          <w:b w:val="0"/>
          <w:i w:val="0"/>
        </w:rPr>
        <w:t xml:space="preserve"> The petitioner must satisfy at least one criterion of 8 C.F.R. § 214.2(h)(4)(iii)(A): (1) degree normally the minimum for the position; (2) industry requirement among similar organizations, or unusually complex/unique position; (3) employer normally requires the degree; or (4) duties so specialized and complex that knowledge is usually associated with a degree. The 2024 rule clarifies that "normally" does not mean "always."</w:t>
      </w:r>
    </w:p>
    <w:p>
      <w:r>
        <w:rPr>
          <w:b/>
          <w:i w:val="0"/>
        </w:rPr>
        <w:t>Risk.</w:t>
      </w:r>
      <w:r>
        <w:rPr>
          <w:b w:val="0"/>
          <w:i w:val="0"/>
        </w:rPr>
        <w:t xml:space="preserve"> Conclusory assertions do not meet the burden (Matter of Chawathe, 25 I&amp;N Dec. 369 (AAO 2010) - preponderance standard).</w:t>
      </w:r>
    </w:p>
    <w:p>
      <w:r>
        <w:rPr>
          <w:b/>
          <w:i w:val="0"/>
        </w:rPr>
        <w:t>Recommended action.</w:t>
      </w:r>
    </w:p>
    <w:p>
      <w:pPr>
        <w:pStyle w:val="ListBullet"/>
      </w:pPr>
      <w:r>
        <w:rPr>
          <w:b w:val="0"/>
          <w:i w:val="0"/>
        </w:rPr>
        <w:t>Add an Occupational Outlook Handbook / O*NET analysis for Data Scientists (15-2051).</w:t>
      </w:r>
    </w:p>
    <w:p>
      <w:pPr>
        <w:pStyle w:val="ListBullet"/>
      </w:pPr>
      <w:r>
        <w:rPr>
          <w:b w:val="0"/>
          <w:i w:val="0"/>
        </w:rPr>
        <w:t>Attach 5-10 comparable job postings from similar-size AI/analytics consultancies requiring CS/ML/AI-type degrees.</w:t>
      </w:r>
    </w:p>
    <w:p>
      <w:pPr>
        <w:pStyle w:val="ListBullet"/>
      </w:pPr>
      <w:r>
        <w:rPr>
          <w:b w:val="0"/>
          <w:i w:val="0"/>
        </w:rPr>
        <w:t>Provide Brightfield's hiring history for this and similar roles (incumbent degrees, postings).</w:t>
      </w:r>
    </w:p>
    <w:p>
      <w:pPr>
        <w:pStyle w:val="ListBullet"/>
      </w:pPr>
      <w:r>
        <w:rPr>
          <w:b w:val="0"/>
          <w:i w:val="0"/>
        </w:rPr>
        <w:t>Consider an expert opinion letter from a professor of computer science on the degree requirement and on the duties' complexity.</w:t>
      </w:r>
    </w:p>
    <w:p>
      <w:pPr>
        <w:pStyle w:val="ListBullet"/>
      </w:pPr>
      <w:r>
        <w:rPr>
          <w:b w:val="0"/>
          <w:i w:val="0"/>
        </w:rPr>
        <w:t>Have the CTO (not only HR) sign or co-sign a technical declaration explaining each duty's theoretical knowledge requirements.</w:t>
      </w:r>
    </w:p>
    <w:p>
      <w:pPr>
        <w:pStyle w:val="Heading3"/>
      </w:pPr>
      <w:r>
        <w:t>Issue 8: SOC code selection (15-2051 Data Scientists) should be documented</w:t>
      </w:r>
    </w:p>
    <w:p>
      <w:r>
        <w:rPr>
          <w:b/>
          <w:i w:val="0"/>
        </w:rPr>
        <w:t>Severity:</w:t>
      </w:r>
      <w:r>
        <w:rPr>
          <w:b w:val="0"/>
          <w:i w:val="0"/>
        </w:rPr>
        <w:t xml:space="preserve"> MEDIUM    </w:t>
      </w:r>
      <w:r>
        <w:rPr>
          <w:b/>
          <w:i w:val="0"/>
        </w:rPr>
        <w:t>Documents:</w:t>
      </w:r>
      <w:r>
        <w:rPr>
          <w:b w:val="0"/>
          <w:i w:val="0"/>
        </w:rPr>
        <w:t xml:space="preserve"> LCA F.3/G.2; PWD Sec. 3; support letter</w:t>
      </w:r>
    </w:p>
    <w:p>
      <w:r>
        <w:rPr>
          <w:b/>
          <w:i w:val="0"/>
        </w:rPr>
        <w:t>What the documents show.</w:t>
      </w:r>
    </w:p>
    <w:p>
      <w:pPr>
        <w:pStyle w:val="ListBullet"/>
      </w:pPr>
      <w:r>
        <w:rPr>
          <w:b w:val="0"/>
          <w:i w:val="0"/>
        </w:rPr>
        <w:t>Title is "Senior Machine Learning Engineer"; SOC is 15-2051 Data Scientists.</w:t>
      </w:r>
    </w:p>
    <w:p>
      <w:pPr>
        <w:pStyle w:val="ListBullet"/>
      </w:pPr>
      <w:r>
        <w:rPr>
          <w:b w:val="0"/>
          <w:i w:val="0"/>
        </w:rPr>
        <w:t>About 40% of duties are cloud ML infrastructure and production code development, and 15% is supervision; USCIS may consider 15-1252 Software Developers or 15-1221 Computer and Information Research Scientists a closer fit.</w:t>
      </w:r>
    </w:p>
    <w:p>
      <w:r>
        <w:rPr>
          <w:b/>
          <w:i w:val="0"/>
        </w:rPr>
        <w:t>Governing standard.</w:t>
      </w:r>
      <w:r>
        <w:rPr>
          <w:b w:val="0"/>
          <w:i w:val="0"/>
        </w:rPr>
        <w:t xml:space="preserve"> The LCA must be filed for the occupational classification that corresponds to the position (20 C.F.R. § 655.730(c)(4)(ii)); USCIS determines whether the LCA "supports" the petition (8 C.F.R. § 214.2(h)(4)(i)(B)(2)).</w:t>
      </w:r>
    </w:p>
    <w:p>
      <w:r>
        <w:rPr>
          <w:b/>
          <w:i w:val="0"/>
        </w:rPr>
        <w:t>Risk.</w:t>
      </w:r>
      <w:r>
        <w:rPr>
          <w:b w:val="0"/>
          <w:i w:val="0"/>
        </w:rPr>
        <w:t xml:space="preserve"> A finding that the wrong SOC was used would mean the LCA does not correspond to the petition and the wage may be understated.</w:t>
      </w:r>
    </w:p>
    <w:p>
      <w:r>
        <w:rPr>
          <w:b/>
          <w:i w:val="0"/>
        </w:rPr>
        <w:t>Recommended action.</w:t>
      </w:r>
    </w:p>
    <w:p>
      <w:pPr>
        <w:pStyle w:val="ListBullet"/>
      </w:pPr>
      <w:r>
        <w:rPr>
          <w:b w:val="0"/>
          <w:i w:val="0"/>
        </w:rPr>
        <w:t>Document in the file why 15-2051 best fits (O*NET task statements for Data Scientists include applying ML, NLP and developing models), and compare the wages for any plausible alternative codes in the Austin MSA before filing a new LCA.</w:t>
      </w:r>
    </w:p>
    <w:p>
      <w:pPr>
        <w:pStyle w:val="Heading3"/>
      </w:pPr>
      <w:r>
        <w:t>Issue 9: Consulting business model, client engagements and worksite coverage</w:t>
      </w:r>
    </w:p>
    <w:p>
      <w:r>
        <w:rPr>
          <w:b/>
          <w:i w:val="0"/>
        </w:rPr>
        <w:t>Severity:</w:t>
      </w:r>
      <w:r>
        <w:rPr>
          <w:b w:val="0"/>
          <w:i w:val="0"/>
        </w:rPr>
        <w:t xml:space="preserve"> MEDIUM    </w:t>
      </w:r>
      <w:r>
        <w:rPr>
          <w:b/>
          <w:i w:val="0"/>
        </w:rPr>
        <w:t>Documents:</w:t>
      </w:r>
      <w:r>
        <w:rPr>
          <w:b w:val="0"/>
          <w:i w:val="0"/>
        </w:rPr>
        <w:t xml:space="preserve"> Support letter Sec. 1-2, 5; org chart; LCA H</w:t>
      </w:r>
    </w:p>
    <w:p>
      <w:r>
        <w:rPr>
          <w:b/>
          <w:i w:val="0"/>
        </w:rPr>
        <w:t>What the documents show.</w:t>
      </w:r>
    </w:p>
    <w:p>
      <w:pPr>
        <w:pStyle w:val="ListBullet"/>
      </w:pPr>
      <w:r>
        <w:rPr>
          <w:b w:val="0"/>
          <w:i w:val="0"/>
        </w:rPr>
        <w:t>Brightfield is a consultancy (NAICS 541511) serving enterprise clients; duties refer to "client engagements," "client-specific use cases" and presenting to "client stakeholders."</w:t>
      </w:r>
    </w:p>
    <w:p>
      <w:pPr>
        <w:pStyle w:val="ListBullet"/>
      </w:pPr>
      <w:r>
        <w:rPr>
          <w:b w:val="0"/>
          <w:i w:val="0"/>
        </w:rPr>
        <w:t>The company has a Denver office and a "distributed remote team"; the LCA covers only the Austin HQ.</w:t>
      </w:r>
    </w:p>
    <w:p>
      <w:pPr>
        <w:pStyle w:val="ListBullet"/>
      </w:pPr>
      <w:r>
        <w:rPr>
          <w:b w:val="0"/>
          <w:i w:val="0"/>
        </w:rPr>
        <w:t>The beneficiary lives at 1807 Barton Springs Rd, Austin (same MSA), so occasional home work may be within the area of intended employment, but posting/notice obligations still apply to any new worksite.</w:t>
      </w:r>
    </w:p>
    <w:p>
      <w:r>
        <w:rPr>
          <w:b/>
          <w:i w:val="0"/>
        </w:rPr>
        <w:t>Governing standard.</w:t>
      </w:r>
      <w:r>
        <w:rPr>
          <w:b w:val="0"/>
          <w:i w:val="0"/>
        </w:rPr>
        <w:t xml:space="preserve"> Where a beneficiary will be staffed to a third party, the third party's requirements are relevant to the specialty-occupation analysis (8 C.F.R. § 214.2(h)(4)(i)(B)(3), as added by the 2024 rule), and the petitioner must show a bona fide, non-speculative position. Work at a location outside the LCA's area may require a new LCA and an amended petition (Matter of Simeio Solutions, LLC, 26 I&amp;N Dec. 542 (AAO 2015)); worksites within the area require notice under 20 C.F.R. § 655.734.</w:t>
      </w:r>
    </w:p>
    <w:p>
      <w:r>
        <w:rPr>
          <w:b/>
          <w:i w:val="0"/>
        </w:rPr>
        <w:t>Risk.</w:t>
      </w:r>
      <w:r>
        <w:rPr>
          <w:b w:val="0"/>
          <w:i w:val="0"/>
        </w:rPr>
        <w:t xml:space="preserve"> If the beneficiary will work at client sites or in Denver, the petition is incomplete and the LCA does not cover the work.</w:t>
      </w:r>
    </w:p>
    <w:p>
      <w:r>
        <w:rPr>
          <w:b/>
          <w:i w:val="0"/>
        </w:rPr>
        <w:t>Recommended action.</w:t>
      </w:r>
    </w:p>
    <w:p>
      <w:pPr>
        <w:pStyle w:val="ListBullet"/>
      </w:pPr>
      <w:r>
        <w:rPr>
          <w:b w:val="0"/>
          <w:i w:val="0"/>
        </w:rPr>
        <w:t>Add an express statement that the beneficiary will work in-house at the Austin HQ and will not be placed at client sites (if true); otherwise identify client sites, obtain client letters and an itinerary, and file LCAs for each area.</w:t>
      </w:r>
    </w:p>
    <w:p>
      <w:pPr>
        <w:pStyle w:val="ListBullet"/>
      </w:pPr>
      <w:r>
        <w:rPr>
          <w:b w:val="0"/>
          <w:i w:val="0"/>
        </w:rPr>
        <w:t>Adopt a remote/hybrid work protocol (home-worksite notice posting within the MSA; new LCA/amendment for out-of-area work).</w:t>
      </w:r>
    </w:p>
    <w:p>
      <w:pPr>
        <w:pStyle w:val="Heading2"/>
      </w:pPr>
      <w:r>
        <w:t>D. LCA and Wage Compliance</w:t>
      </w:r>
    </w:p>
    <w:p>
      <w:pPr>
        <w:pStyle w:val="Heading3"/>
      </w:pPr>
      <w:r>
        <w:t>Issue 10: Wage level (Level II) does not match the position as described; offered wage below Level III</w:t>
      </w:r>
    </w:p>
    <w:p>
      <w:r>
        <w:rPr>
          <w:b/>
          <w:i w:val="0"/>
        </w:rPr>
        <w:t>Severity:</w:t>
      </w:r>
      <w:r>
        <w:rPr>
          <w:b w:val="0"/>
          <w:i w:val="0"/>
        </w:rPr>
        <w:t xml:space="preserve"> CRITICAL    </w:t>
      </w:r>
      <w:r>
        <w:rPr>
          <w:b/>
          <w:i w:val="0"/>
        </w:rPr>
        <w:t>Documents:</w:t>
      </w:r>
      <w:r>
        <w:rPr>
          <w:b w:val="0"/>
          <w:i w:val="0"/>
        </w:rPr>
        <w:t xml:space="preserve"> LCA F.1-F.5; PWD Sec. 3-4; support letter Sec. 2-3, 5; org chart; posting notice</w:t>
      </w:r>
    </w:p>
    <w:p>
      <w:r>
        <w:rPr>
          <w:b/>
          <w:i w:val="0"/>
        </w:rPr>
        <w:t>What the documents show.</w:t>
      </w:r>
    </w:p>
    <w:p>
      <w:pPr>
        <w:pStyle w:val="ListBullet"/>
      </w:pPr>
      <w:r>
        <w:rPr>
          <w:b w:val="0"/>
          <w:i w:val="0"/>
        </w:rPr>
        <w:t>PWD descriptors: Level II = "moderately complex tasks requiring limited judgment"; Level III = "may exercise independent judgment, and may have supervisory responsibilities"; Level IV = "exercise broad latitude ... and supervise and train other workers."</w:t>
      </w:r>
    </w:p>
    <w:p>
      <w:pPr>
        <w:pStyle w:val="ListBullet"/>
      </w:pPr>
      <w:r>
        <w:rPr>
          <w:b w:val="0"/>
          <w:i w:val="0"/>
        </w:rPr>
        <w:t>The letter describes: "Senior" title; "exercises independent judgment"; leads and mentors 3 junior data scientists (15% of time); reports directly to the CTO; presents strategy to C-suite executives; architects cloud ML infrastructure; requires 3 years of experience plus specific skills (TF, PyTorch, SageMaker, NLP/LLM fine-tuning).</w:t>
      </w:r>
    </w:p>
    <w:p>
      <w:pPr>
        <w:pStyle w:val="ListBullet"/>
      </w:pPr>
      <w:r>
        <w:rPr>
          <w:b w:val="0"/>
          <w:i w:val="0"/>
        </w:rPr>
        <w:t>Wage levels for 15-2051, Austin MSA: L1 $89,523; L2 $113,734; L3 $137,946; L4 $162,157. Offered wage $128,000 is $9,946 below L3 and $34,157 below L4.</w:t>
      </w:r>
    </w:p>
    <w:p>
      <w:pPr>
        <w:pStyle w:val="ListBullet"/>
      </w:pPr>
      <w:r>
        <w:rPr>
          <w:b w:val="0"/>
          <w:i w:val="0"/>
        </w:rPr>
        <w:t>The PWD shows a "Wage Level Requested: Level 2," i.e., the level was proposed by the employer; the PWD expressly rests on information the employer supplied, and the job summary submitted to the NPWC did not mention independent judgment, C-suite presentation or the specific special-skills requirements.</w:t>
      </w:r>
    </w:p>
    <w:p>
      <w:r>
        <w:rPr>
          <w:b/>
          <w:i w:val="0"/>
        </w:rPr>
        <w:t>Governing standard.</w:t>
      </w:r>
      <w:r>
        <w:rPr>
          <w:b w:val="0"/>
          <w:i w:val="0"/>
        </w:rPr>
        <w:t xml:space="preserve"> The LCA wage must be at least the higher of the actual wage and the prevailing wage for the occupational classification in the area (INA § 212(n)(1)(A); 20 C.F.R. § 655.731(a)). DOL's Prevailing Wage Determination Policy Guidance, Nonagricultural Immigration Programs (rev. Nov. 2009) increases the wage level for experience above the O*NET Job Zone norm, special skills/requirements, and supervisory duties. USCIS will not approve a petition where the LCA does not correspond to the job (8 C.F.R. § 214.2(h)(4)(i)(B)(2); 20 C.F.R. § 655.705(b)), and the PWD protects the employer only to the extent the information submitted was accurate and complete (20 C.F.R. § 655.731(a)(2)(ii)(A)).</w:t>
      </w:r>
    </w:p>
    <w:p>
      <w:r>
        <w:rPr>
          <w:b/>
          <w:i w:val="0"/>
        </w:rPr>
        <w:t>Risk.</w:t>
      </w:r>
      <w:r>
        <w:rPr>
          <w:b w:val="0"/>
          <w:i w:val="0"/>
        </w:rPr>
        <w:t xml:space="preserve"> Likely RFE challenging LCA correspondence; possible denial. Separately, DOL Wage and Hour back-wage liability and civil money penalties if an investigation concludes the required wage was Level III or IV. Note the tension: describing a senior, supervisory, independent-judgment role helps the specialty-occupation argument but undermines the Level II wage.</w:t>
      </w:r>
    </w:p>
    <w:p>
      <w:r>
        <w:rPr>
          <w:b/>
          <w:i w:val="0"/>
        </w:rPr>
        <w:t>Recommended action.</w:t>
      </w:r>
    </w:p>
    <w:p>
      <w:pPr>
        <w:pStyle w:val="ListBullet"/>
      </w:pPr>
      <w:r>
        <w:rPr>
          <w:b w:val="0"/>
          <w:i w:val="0"/>
        </w:rPr>
        <w:t>Preferred: raise the offered wage to at least $137,946 (Level III) - or $162,157 if the role is confirmed to carry Level IV indicators - and file a new LCA (and, if desired, a new PWD with a complete and accurate job description) before filing the I-129.</w:t>
      </w:r>
    </w:p>
    <w:p>
      <w:pPr>
        <w:pStyle w:val="ListBullet"/>
      </w:pPr>
      <w:r>
        <w:rPr>
          <w:b w:val="0"/>
          <w:i w:val="0"/>
        </w:rPr>
        <w:t>Alternative: if the business genuinely intends a Level II role, revise the duties (remove supervision, independent-judgment and C-suite language, "Senior" title, special-skill requirements) consistently across all documents - recognizing this weakens the specialty-occupation case and must reflect reality.</w:t>
      </w:r>
    </w:p>
    <w:p>
      <w:pPr>
        <w:pStyle w:val="ListBullet"/>
      </w:pPr>
      <w:r>
        <w:rPr>
          <w:b w:val="0"/>
          <w:i w:val="0"/>
        </w:rPr>
        <w:t>Prepare a written wage-leveling worksheet for the file applying the 2009 guidance step-by-step (Job Zone, experience, education, special skills, supervision).</w:t>
      </w:r>
    </w:p>
    <w:p>
      <w:pPr>
        <w:pStyle w:val="ListBullet"/>
      </w:pPr>
      <w:r>
        <w:rPr>
          <w:b w:val="0"/>
          <w:i w:val="0"/>
        </w:rPr>
        <w:t>Document the actual wage (pay of the two data scientists and any other ML engineers) in the Public Access File.</w:t>
      </w:r>
    </w:p>
    <w:p>
      <w:pPr>
        <w:pStyle w:val="Heading3"/>
      </w:pPr>
      <w:r>
        <w:t>Issue 11: LCA notice posted for 8 business days (not 10); posting locations inconsistent; same-day certification</w:t>
      </w:r>
    </w:p>
    <w:p>
      <w:r>
        <w:rPr>
          <w:b/>
          <w:i w:val="0"/>
        </w:rPr>
        <w:t>Severity:</w:t>
      </w:r>
      <w:r>
        <w:rPr>
          <w:b w:val="0"/>
          <w:i w:val="0"/>
        </w:rPr>
        <w:t xml:space="preserve"> CRITICAL    </w:t>
      </w:r>
      <w:r>
        <w:rPr>
          <w:b/>
          <w:i w:val="0"/>
        </w:rPr>
        <w:t>Documents:</w:t>
      </w:r>
      <w:r>
        <w:rPr>
          <w:b w:val="0"/>
          <w:i w:val="0"/>
        </w:rPr>
        <w:t xml:space="preserve"> LCA J.1-J.3, K.4, PAF notation; posting notice</w:t>
      </w:r>
    </w:p>
    <w:p>
      <w:r>
        <w:rPr>
          <w:b/>
          <w:i w:val="0"/>
        </w:rPr>
        <w:t>What the documents show.</w:t>
      </w:r>
    </w:p>
    <w:p>
      <w:pPr>
        <w:pStyle w:val="ListBullet"/>
      </w:pPr>
      <w:r>
        <w:rPr>
          <w:b w:val="0"/>
          <w:i w:val="0"/>
        </w:rPr>
        <w:t>Posting Mar. 10 (Mon) - Mar. 19 (Wed), 2025 = 8 business days (Mar. 10, 11, 12, 13, 14, 17, 18, 19).</w:t>
      </w:r>
    </w:p>
    <w:p>
      <w:pPr>
        <w:pStyle w:val="ListBullet"/>
      </w:pPr>
      <w:r>
        <w:rPr>
          <w:b w:val="0"/>
          <w:i w:val="0"/>
        </w:rPr>
        <w:t>Notice says posted "in two conspicuous locations"; LCA J.3 lists only the first-floor break room.</w:t>
      </w:r>
    </w:p>
    <w:p>
      <w:pPr>
        <w:pStyle w:val="ListBullet"/>
      </w:pPr>
      <w:r>
        <w:rPr>
          <w:b w:val="0"/>
          <w:i w:val="0"/>
        </w:rPr>
        <w:t>The notice lists the employer phone as (512) 555-0174 - the beneficiary's personal number on his resume.</w:t>
      </w:r>
    </w:p>
    <w:p>
      <w:pPr>
        <w:pStyle w:val="ListBullet"/>
      </w:pPr>
      <w:r>
        <w:rPr>
          <w:b w:val="0"/>
          <w:i w:val="0"/>
        </w:rPr>
        <w:t>The notice gives the LCA filing date as Mar. 10, 2025, the same date the LCA shows as certified. DOL generally certifies within seven working days of filing (20 C.F.R. § 655.740(a)); same-day certification is unusual and should be verified against the FLAG record.</w:t>
      </w:r>
    </w:p>
    <w:p>
      <w:r>
        <w:rPr>
          <w:b/>
          <w:i w:val="0"/>
        </w:rPr>
        <w:t>Governing standard.</w:t>
      </w:r>
      <w:r>
        <w:rPr>
          <w:b w:val="0"/>
          <w:i w:val="0"/>
        </w:rPr>
        <w:t xml:space="preserve"> 20 C.F.R. § 655.734(a)(1)(ii)(A): hard-copy notice must be posted in at least two conspicuous locations at each place of employment for a total of 10 business days, on or within 30 days before the LCA filing date (or electronic notice under (a)(1)(ii)(B)). The employer attests to notice in the LCA. The employer must also provide the H-1B worker a copy of the LCA no later than the day work begins (§ 655.734(a)(3)) and maintain the Public Access File (§ 655.760).</w:t>
      </w:r>
    </w:p>
    <w:p>
      <w:r>
        <w:rPr>
          <w:b/>
          <w:i w:val="0"/>
        </w:rPr>
        <w:t>Risk.</w:t>
      </w:r>
      <w:r>
        <w:rPr>
          <w:b w:val="0"/>
          <w:i w:val="0"/>
        </w:rPr>
        <w:t xml:space="preserve"> False attestation of notice compliance exposes Brightfield to DOL enforcement (including civil money penalties under 20 C.F.R. § 655.810) and can support LCA invalidation; USCIS can also question an LCA the record shows was not properly noticed. The posting-notice phone number tied to the beneficiary invites questions about who prepared the notice.</w:t>
      </w:r>
    </w:p>
    <w:p>
      <w:r>
        <w:rPr>
          <w:b/>
          <w:i w:val="0"/>
        </w:rPr>
        <w:t>Recommended action.</w:t>
      </w:r>
    </w:p>
    <w:p>
      <w:pPr>
        <w:pStyle w:val="ListBullet"/>
      </w:pPr>
      <w:r>
        <w:rPr>
          <w:b w:val="0"/>
          <w:i w:val="0"/>
        </w:rPr>
        <w:t>Re-post a corrected notice (correct employer phone; two named locations, documented by date-stamped photos) for a full 10 business days, or post electronically as permitted, and file a new LCA (combining this fix with the wage-level fix in Issue 10). Obtain certification before filing the I-129 - the window runs through June 30, 2025.</w:t>
      </w:r>
    </w:p>
    <w:p>
      <w:pPr>
        <w:pStyle w:val="ListBullet"/>
      </w:pPr>
      <w:r>
        <w:rPr>
          <w:b w:val="0"/>
          <w:i w:val="0"/>
        </w:rPr>
        <w:t>Keep a signed posting certification (dates, locations, person who posted/removed) in the PAF.</w:t>
      </w:r>
    </w:p>
    <w:p>
      <w:pPr>
        <w:pStyle w:val="ListBullet"/>
      </w:pPr>
      <w:r>
        <w:rPr>
          <w:b w:val="0"/>
          <w:i w:val="0"/>
        </w:rPr>
        <w:t>Verify the current LCA's filing and certification dates on the FLAG system.</w:t>
      </w:r>
    </w:p>
    <w:p>
      <w:pPr>
        <w:pStyle w:val="ListBullet"/>
      </w:pPr>
      <w:r>
        <w:rPr>
          <w:b w:val="0"/>
          <w:i w:val="0"/>
        </w:rPr>
        <w:t>Calendar delivery of the certified LCA copy to the beneficiary on or before the first day of H-1B employment.</w:t>
      </w:r>
    </w:p>
    <w:p>
      <w:pPr>
        <w:pStyle w:val="Heading3"/>
      </w:pPr>
      <w:r>
        <w:t>Issue 12: Other LCA / wage-obligation points</w:t>
      </w:r>
    </w:p>
    <w:p>
      <w:r>
        <w:rPr>
          <w:b/>
          <w:i w:val="0"/>
        </w:rPr>
        <w:t>Severity:</w:t>
      </w:r>
      <w:r>
        <w:rPr>
          <w:b w:val="0"/>
          <w:i w:val="0"/>
        </w:rPr>
        <w:t xml:space="preserve"> LOW    </w:t>
      </w:r>
      <w:r>
        <w:rPr>
          <w:b/>
          <w:i w:val="0"/>
        </w:rPr>
        <w:t>Documents:</w:t>
      </w:r>
      <w:r>
        <w:rPr>
          <w:b w:val="0"/>
          <w:i w:val="0"/>
        </w:rPr>
        <w:t xml:space="preserve"> Support letter Sec. 5; LCA</w:t>
      </w:r>
    </w:p>
    <w:p>
      <w:r>
        <w:rPr>
          <w:b/>
          <w:i w:val="0"/>
        </w:rPr>
        <w:t>What the documents show.</w:t>
      </w:r>
    </w:p>
    <w:p>
      <w:pPr>
        <w:pStyle w:val="ListBullet"/>
      </w:pPr>
      <w:r>
        <w:rPr>
          <w:b w:val="0"/>
          <w:i w:val="0"/>
        </w:rPr>
        <w:t>The letter commits to pay the required wage "from the date of the beneficiary's entry into H-1B status." The regulatory obligation begins when the worker enters into employment, and in any event no later than 30 days after admission or 60 days after becoming eligible to work in H-1B status (20 C.F.R. § 655.731(c)(6)).</w:t>
      </w:r>
    </w:p>
    <w:p>
      <w:pPr>
        <w:pStyle w:val="ListBullet"/>
      </w:pPr>
      <w:r>
        <w:rPr>
          <w:b w:val="0"/>
          <w:i w:val="0"/>
        </w:rPr>
        <w:t>No evidence of the Public Access File contents (LCA, wage-rate documentation, actual-wage system explanation, PW documentation, notice documentation, benefits summary) (20 C.F.R. § 655.760).</w:t>
      </w:r>
    </w:p>
    <w:p>
      <w:pPr>
        <w:pStyle w:val="ListBullet"/>
      </w:pPr>
      <w:r>
        <w:rPr>
          <w:b w:val="0"/>
          <w:i w:val="0"/>
        </w:rPr>
        <w:t>Employer not H-1B dependent per LCA C.10; confirm the calculation (187 FTEs; H-1B headcount) since dependent status triggers additional attestations.</w:t>
      </w:r>
    </w:p>
    <w:p>
      <w:r>
        <w:rPr>
          <w:b/>
          <w:i w:val="0"/>
        </w:rPr>
        <w:t>Governing standard.</w:t>
      </w:r>
      <w:r>
        <w:rPr>
          <w:b w:val="0"/>
          <w:i w:val="0"/>
        </w:rPr>
        <w:t xml:space="preserve"> 20 C.F.R. §§ 655.731, 655.736, 655.760.</w:t>
      </w:r>
    </w:p>
    <w:p>
      <w:r>
        <w:rPr>
          <w:b/>
          <w:i w:val="0"/>
        </w:rPr>
        <w:t>Risk.</w:t>
      </w:r>
      <w:r>
        <w:rPr>
          <w:b w:val="0"/>
          <w:i w:val="0"/>
        </w:rPr>
        <w:t xml:space="preserve"> Low adjudication risk; compliance exposure on audit.</w:t>
      </w:r>
    </w:p>
    <w:p>
      <w:r>
        <w:rPr>
          <w:b/>
          <w:i w:val="0"/>
        </w:rPr>
        <w:t>Recommended action.</w:t>
      </w:r>
    </w:p>
    <w:p>
      <w:pPr>
        <w:pStyle w:val="ListBullet"/>
      </w:pPr>
      <w:r>
        <w:rPr>
          <w:b w:val="0"/>
          <w:i w:val="0"/>
        </w:rPr>
        <w:t>Revise the wage-obligation sentence to track § 655.731(c)(6).</w:t>
      </w:r>
    </w:p>
    <w:p>
      <w:pPr>
        <w:pStyle w:val="ListBullet"/>
      </w:pPr>
      <w:r>
        <w:rPr>
          <w:b w:val="0"/>
          <w:i w:val="0"/>
        </w:rPr>
        <w:t>Audit and complete the PAF within one working day of the new LCA filing.</w:t>
      </w:r>
    </w:p>
    <w:p>
      <w:pPr>
        <w:pStyle w:val="ListBullet"/>
      </w:pPr>
      <w:r>
        <w:rPr>
          <w:b w:val="0"/>
          <w:i w:val="0"/>
        </w:rPr>
        <w:t>Confirm H-1B dependency calculation.</w:t>
      </w:r>
    </w:p>
    <w:p>
      <w:pPr>
        <w:pStyle w:val="Heading2"/>
      </w:pPr>
      <w:r>
        <w:t>E. Documentary, Execution and Petition-Level Defects</w:t>
      </w:r>
    </w:p>
    <w:p>
      <w:pPr>
        <w:pStyle w:val="Heading3"/>
      </w:pPr>
      <w:r>
        <w:t>Issue 13: Unsigned documents, inconsistent contact data, stale financials and miscellaneous defects</w:t>
      </w:r>
    </w:p>
    <w:p>
      <w:r>
        <w:rPr>
          <w:b/>
          <w:i w:val="0"/>
        </w:rPr>
        <w:t>Severity:</w:t>
      </w:r>
      <w:r>
        <w:rPr>
          <w:b w:val="0"/>
          <w:i w:val="0"/>
        </w:rPr>
        <w:t xml:space="preserve"> MEDIUM    </w:t>
      </w:r>
      <w:r>
        <w:rPr>
          <w:b/>
          <w:i w:val="0"/>
        </w:rPr>
        <w:t>Documents:</w:t>
      </w:r>
      <w:r>
        <w:rPr>
          <w:b w:val="0"/>
          <w:i w:val="0"/>
        </w:rPr>
        <w:t xml:space="preserve"> All documents</w:t>
      </w:r>
    </w:p>
    <w:p>
      <w:r>
        <w:rPr>
          <w:b/>
          <w:i w:val="0"/>
        </w:rPr>
        <w:t>What the documents show.</w:t>
      </w:r>
    </w:p>
    <w:p>
      <w:pPr>
        <w:pStyle w:val="ListBullet"/>
      </w:pPr>
      <w:r>
        <w:rPr>
          <w:b w:val="0"/>
          <w:i w:val="0"/>
        </w:rPr>
        <w:t>Blank signature lines: support letter, LCA employer signature (Section L.2), credential evaluation, NovaStar letter. (The Kiran letter bears an "/s/" signature only.)</w:t>
      </w:r>
    </w:p>
    <w:p>
      <w:pPr>
        <w:pStyle w:val="ListBullet"/>
      </w:pPr>
      <w:r>
        <w:rPr>
          <w:b w:val="0"/>
          <w:i w:val="0"/>
        </w:rPr>
        <w:t>Four different employer phone numbers: (512) 555-0194 (letter), 555-0142 (LCA), 555-0187 (PWD), 555-0174 (notice; matches beneficiary).</w:t>
      </w:r>
    </w:p>
    <w:p>
      <w:pPr>
        <w:pStyle w:val="ListBullet"/>
      </w:pPr>
      <w:r>
        <w:rPr>
          <w:b w:val="0"/>
          <w:i w:val="0"/>
        </w:rPr>
        <w:t>Financial ability is supported only by FY2023 revenue ($41.2M) in an April 2025 letter; no financial documents are attached.</w:t>
      </w:r>
    </w:p>
    <w:p>
      <w:pPr>
        <w:pStyle w:val="ListBullet"/>
      </w:pPr>
      <w:r>
        <w:rPr>
          <w:b w:val="0"/>
          <w:i w:val="0"/>
        </w:rPr>
        <w:t>The support letter is signed by HR only; no technical officer attests to duties.</w:t>
      </w:r>
    </w:p>
    <w:p>
      <w:pPr>
        <w:pStyle w:val="ListBullet"/>
      </w:pPr>
      <w:r>
        <w:rPr>
          <w:b w:val="0"/>
          <w:i w:val="0"/>
        </w:rPr>
        <w:t>The letter does not reference the H-1B registration selection or cap-gap; the employment start date assumes approval by Oct. 1, 2025.</w:t>
      </w:r>
    </w:p>
    <w:p>
      <w:pPr>
        <w:pStyle w:val="ListBullet"/>
      </w:pPr>
      <w:r>
        <w:rPr>
          <w:b w:val="0"/>
          <w:i w:val="0"/>
        </w:rPr>
        <w:t>Kiran letter computes the tenure as "approximately two years and seven months" (actual ~2 years 6 months).</w:t>
      </w:r>
    </w:p>
    <w:p>
      <w:r>
        <w:rPr>
          <w:b/>
          <w:i w:val="0"/>
        </w:rPr>
        <w:t>Governing standard.</w:t>
      </w:r>
      <w:r>
        <w:rPr>
          <w:b w:val="0"/>
          <w:i w:val="0"/>
        </w:rPr>
        <w:t xml:space="preserve"> USCIS requires a signed copy of the certified LCA with the petition (8 C.F.R. § 214.2(h)(4)(i)(B)(1)); unsigned letters and evaluations are given little weight. Inconsistent identifying data are commonly flagged by FDNS (Administrative Site Visit and Verification Program).</w:t>
      </w:r>
    </w:p>
    <w:p>
      <w:r>
        <w:rPr>
          <w:b/>
          <w:i w:val="0"/>
        </w:rPr>
        <w:t>Risk.</w:t>
      </w:r>
      <w:r>
        <w:rPr>
          <w:b w:val="0"/>
          <w:i w:val="0"/>
        </w:rPr>
        <w:t xml:space="preserve"> Cumulative credibility damage; RFE for signed documents; potential verification-call failures.</w:t>
      </w:r>
    </w:p>
    <w:p>
      <w:r>
        <w:rPr>
          <w:b/>
          <w:i w:val="0"/>
        </w:rPr>
        <w:t>Recommended action.</w:t>
      </w:r>
    </w:p>
    <w:p>
      <w:pPr>
        <w:pStyle w:val="ListBullet"/>
      </w:pPr>
      <w:r>
        <w:rPr>
          <w:b w:val="0"/>
          <w:i w:val="0"/>
        </w:rPr>
        <w:t>Obtain wet or valid electronic signatures on all letters, the evaluation and the employer-signed LCA copy.</w:t>
      </w:r>
    </w:p>
    <w:p>
      <w:pPr>
        <w:pStyle w:val="ListBullet"/>
      </w:pPr>
      <w:r>
        <w:rPr>
          <w:b w:val="0"/>
          <w:i w:val="0"/>
        </w:rPr>
        <w:t>Designate one employer contact phone and correct all documents (and the new LCA); ensure the beneficiary's number appears only as his own.</w:t>
      </w:r>
    </w:p>
    <w:p>
      <w:pPr>
        <w:pStyle w:val="ListBullet"/>
      </w:pPr>
      <w:r>
        <w:rPr>
          <w:b w:val="0"/>
          <w:i w:val="0"/>
        </w:rPr>
        <w:t>Add FY2024 financial evidence (annual report, audited financials, or tax return) and a current headcount.</w:t>
      </w:r>
    </w:p>
    <w:p>
      <w:pPr>
        <w:pStyle w:val="ListBullet"/>
      </w:pPr>
      <w:r>
        <w:rPr>
          <w:b w:val="0"/>
          <w:i w:val="0"/>
        </w:rPr>
        <w:t>Add a CTO declaration on duties and supervision.</w:t>
      </w:r>
    </w:p>
    <w:p>
      <w:pPr>
        <w:pStyle w:val="ListBullet"/>
      </w:pPr>
      <w:r>
        <w:rPr>
          <w:b w:val="0"/>
          <w:i w:val="0"/>
        </w:rPr>
        <w:t>Include the registration selection notice and, if applicable, cap-gap request in the filing.</w:t>
      </w:r>
    </w:p>
    <w:p>
      <w:pPr>
        <w:pStyle w:val="Heading1"/>
      </w:pPr>
      <w:r>
        <w:t>VI. Recommended Filing Strategy</w:t>
      </w:r>
    </w:p>
    <w:p>
      <w:pPr>
        <w:pStyle w:val="ListNumber"/>
      </w:pPr>
      <w:r>
        <w:rPr>
          <w:b/>
          <w:i w:val="0"/>
        </w:rPr>
        <w:t>Status first.</w:t>
      </w:r>
      <w:r>
        <w:rPr>
          <w:b w:val="0"/>
          <w:i w:val="0"/>
        </w:rPr>
        <w:t xml:space="preserve"> Resolve Issue 1 before any further drafting; the answer determines whether we request change of status or consular notification, whether the beneficiary is cap-subject, and how much H-1B time is available.</w:t>
      </w:r>
    </w:p>
    <w:p>
      <w:pPr>
        <w:pStyle w:val="ListNumber"/>
      </w:pPr>
      <w:r>
        <w:rPr>
          <w:b/>
          <w:i w:val="0"/>
        </w:rPr>
        <w:t>One corrected LCA.</w:t>
      </w:r>
      <w:r>
        <w:rPr>
          <w:b w:val="0"/>
          <w:i w:val="0"/>
        </w:rPr>
        <w:t xml:space="preserve"> File a new LCA that (a) reflects the correctly leveled wage (Level III minimum on the current description), (b) uses a corrected notice posted for 10 business days in two documented locations with a correct employer phone, and (c) uses a duty summary and requirement statement conformed to the support letter. Raise the offered wage accordingly.</w:t>
      </w:r>
    </w:p>
    <w:p>
      <w:pPr>
        <w:pStyle w:val="ListNumber"/>
      </w:pPr>
      <w:r>
        <w:rPr>
          <w:b/>
          <w:i w:val="0"/>
        </w:rPr>
        <w:t>Clean requirement statement.</w:t>
      </w:r>
      <w:r>
        <w:rPr>
          <w:b w:val="0"/>
          <w:i w:val="0"/>
        </w:rPr>
        <w:t xml:space="preserve"> Remove the "any engineering discipline" alternative; state one set of directly related fields consistently across all documents.</w:t>
      </w:r>
    </w:p>
    <w:p>
      <w:pPr>
        <w:pStyle w:val="ListNumber"/>
      </w:pPr>
      <w:r>
        <w:rPr>
          <w:b/>
          <w:i w:val="0"/>
        </w:rPr>
        <w:t>Qualification via equivalency.</w:t>
      </w:r>
      <w:r>
        <w:rPr>
          <w:b w:val="0"/>
          <w:i w:val="0"/>
        </w:rPr>
        <w:t xml:space="preserve"> Lead with a professor evaluation combining the ECE degree's quantitative/computing coursework with documented ML experience to reach equivalence to a U.S. bachelor's in Computer Science; support with (D)(5) evidence and a directly-related argument as an alternative.</w:t>
      </w:r>
    </w:p>
    <w:p>
      <w:pPr>
        <w:pStyle w:val="ListNumber"/>
      </w:pPr>
      <w:r>
        <w:rPr>
          <w:b/>
          <w:i w:val="0"/>
        </w:rPr>
        <w:t>Evidence build-out.</w:t>
      </w:r>
      <w:r>
        <w:rPr>
          <w:b w:val="0"/>
          <w:i w:val="0"/>
        </w:rPr>
        <w:t xml:space="preserve"> Corrected Westbridge evaluation; supplemental NovaStar letter; consultancy documentation; Brightfield verification; reconciled resume; expanded org chart; CTO declaration; OOH/O*NET analysis and comparable postings; FY2024 financials.</w:t>
      </w:r>
    </w:p>
    <w:p>
      <w:pPr>
        <w:pStyle w:val="ListNumber"/>
      </w:pPr>
      <w:r>
        <w:rPr>
          <w:b/>
          <w:i w:val="0"/>
        </w:rPr>
        <w:t>Final consistency pass.</w:t>
      </w:r>
      <w:r>
        <w:rPr>
          <w:b w:val="0"/>
          <w:i w:val="0"/>
        </w:rPr>
        <w:t xml:space="preserve"> Before filing, re-run the Part III matrix against the final package.</w:t>
      </w:r>
    </w:p>
    <w:p>
      <w:pPr>
        <w:pStyle w:val="Heading1"/>
      </w:pPr>
      <w:r>
        <w:t>VII. Action Items and Document Requests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32"/>
            <w:shd w:val="clear" w:color="auto" w:fill="D9E2F3"/>
          </w:tcPr>
          <w:p>
            <w:r/>
            <w:r>
              <w:rPr>
                <w:b/>
                <w:sz w:val="16"/>
              </w:rPr>
              <w:t>#</w:t>
            </w:r>
          </w:p>
        </w:tc>
        <w:tc>
          <w:tcPr>
            <w:tcW w:type="dxa" w:w="4320"/>
            <w:shd w:val="clear" w:color="auto" w:fill="D9E2F3"/>
          </w:tcPr>
          <w:p>
            <w:r/>
            <w:r>
              <w:rPr>
                <w:b/>
                <w:sz w:val="16"/>
              </w:rPr>
              <w:t>Action</w:t>
            </w:r>
          </w:p>
        </w:tc>
        <w:tc>
          <w:tcPr>
            <w:tcW w:type="dxa" w:w="1872"/>
            <w:shd w:val="clear" w:color="auto" w:fill="D9E2F3"/>
          </w:tcPr>
          <w:p>
            <w:r/>
            <w:r>
              <w:rPr>
                <w:b/>
                <w:sz w:val="16"/>
              </w:rPr>
              <w:t>Owner</w:t>
            </w:r>
          </w:p>
        </w:tc>
        <w:tc>
          <w:tcPr>
            <w:tcW w:type="dxa" w:w="1152"/>
            <w:shd w:val="clear" w:color="auto" w:fill="D9E2F3"/>
          </w:tcPr>
          <w:p>
            <w:r/>
            <w:r>
              <w:rPr>
                <w:b/>
                <w:sz w:val="16"/>
              </w:rPr>
              <w:t>Priority</w:t>
            </w:r>
          </w:p>
        </w:tc>
        <w:tc>
          <w:tcPr>
            <w:tcW w:type="dxa" w:w="1296"/>
            <w:shd w:val="clear" w:color="auto" w:fill="D9E2F3"/>
          </w:tcPr>
          <w:p>
            <w:r/>
            <w:r>
              <w:rPr>
                <w:b/>
                <w:sz w:val="16"/>
              </w:rPr>
              <w:t>Related issue</w:t>
            </w:r>
          </w:p>
        </w:tc>
      </w:tr>
      <w:tr>
        <w:tc>
          <w:tcPr>
            <w:tcW w:type="dxa" w:w="432"/>
          </w:tcPr>
          <w:p>
            <w:r/>
            <w:r>
              <w:rPr>
                <w:b w:val="0"/>
                <w:i w:val="0"/>
                <w:sz w:val="16"/>
              </w:rPr>
              <w:t>1</w:t>
            </w:r>
          </w:p>
        </w:tc>
        <w:tc>
          <w:tcPr>
            <w:tcW w:type="dxa" w:w="4320"/>
          </w:tcPr>
          <w:p>
            <w:r/>
            <w:r>
              <w:rPr>
                <w:b w:val="0"/>
                <w:i w:val="0"/>
                <w:sz w:val="16"/>
              </w:rPr>
              <w:t>Full immigration history: passport, visas, all I-94s, I-20s/SEVIS, EADs, I-983, prior I-797s, registration selection notice</w:t>
            </w:r>
          </w:p>
        </w:tc>
        <w:tc>
          <w:tcPr>
            <w:tcW w:type="dxa" w:w="1872"/>
          </w:tcPr>
          <w:p>
            <w:r/>
            <w:r>
              <w:rPr>
                <w:b w:val="0"/>
                <w:i w:val="0"/>
                <w:sz w:val="16"/>
              </w:rPr>
              <w:t>Beneficiary / counsel</w:t>
            </w:r>
          </w:p>
        </w:tc>
        <w:tc>
          <w:tcPr>
            <w:tcW w:type="dxa" w:w="1152"/>
          </w:tcPr>
          <w:p>
            <w:r/>
            <w:r>
              <w:rPr>
                <w:b w:val="0"/>
                <w:i w:val="0"/>
                <w:sz w:val="16"/>
              </w:rPr>
              <w:t>Immediate</w:t>
            </w:r>
          </w:p>
        </w:tc>
        <w:tc>
          <w:tcPr>
            <w:tcW w:type="dxa" w:w="1296"/>
          </w:tcPr>
          <w:p>
            <w:r/>
            <w:r>
              <w:rPr>
                <w:b w:val="0"/>
                <w:i w:val="0"/>
                <w:sz w:val="16"/>
              </w:rPr>
              <w:t>1</w:t>
            </w:r>
          </w:p>
        </w:tc>
      </w:tr>
      <w:tr>
        <w:tc>
          <w:tcPr>
            <w:tcW w:type="dxa" w:w="432"/>
          </w:tcPr>
          <w:p>
            <w:r/>
            <w:r>
              <w:rPr>
                <w:b w:val="0"/>
                <w:i w:val="0"/>
                <w:sz w:val="16"/>
              </w:rPr>
              <w:t>2</w:t>
            </w:r>
          </w:p>
        </w:tc>
        <w:tc>
          <w:tcPr>
            <w:tcW w:type="dxa" w:w="4320"/>
          </w:tcPr>
          <w:p>
            <w:r/>
            <w:r>
              <w:rPr>
                <w:b w:val="0"/>
                <w:i w:val="0"/>
                <w:sz w:val="16"/>
              </w:rPr>
              <w:t>Determine status basis for NovaStar (2017-20), consultancy (2020-23) and Brightfield (2023-) employment; advise on COS vs. consular processing</w:t>
            </w:r>
          </w:p>
        </w:tc>
        <w:tc>
          <w:tcPr>
            <w:tcW w:type="dxa" w:w="1872"/>
          </w:tcPr>
          <w:p>
            <w:r/>
            <w:r>
              <w:rPr>
                <w:b w:val="0"/>
                <w:i w:val="0"/>
                <w:sz w:val="16"/>
              </w:rPr>
              <w:t>Counsel</w:t>
            </w:r>
          </w:p>
        </w:tc>
        <w:tc>
          <w:tcPr>
            <w:tcW w:type="dxa" w:w="1152"/>
          </w:tcPr>
          <w:p>
            <w:r/>
            <w:r>
              <w:rPr>
                <w:b w:val="0"/>
                <w:i w:val="0"/>
                <w:sz w:val="16"/>
              </w:rPr>
              <w:t>Immediate</w:t>
            </w:r>
          </w:p>
        </w:tc>
        <w:tc>
          <w:tcPr>
            <w:tcW w:type="dxa" w:w="1296"/>
          </w:tcPr>
          <w:p>
            <w:r/>
            <w:r>
              <w:rPr>
                <w:b w:val="0"/>
                <w:i w:val="0"/>
                <w:sz w:val="16"/>
              </w:rPr>
              <w:t>1</w:t>
            </w:r>
          </w:p>
        </w:tc>
      </w:tr>
      <w:tr>
        <w:tc>
          <w:tcPr>
            <w:tcW w:type="dxa" w:w="432"/>
          </w:tcPr>
          <w:p>
            <w:r/>
            <w:r>
              <w:rPr>
                <w:b w:val="0"/>
                <w:i w:val="0"/>
                <w:sz w:val="16"/>
              </w:rPr>
              <w:t>3</w:t>
            </w:r>
          </w:p>
        </w:tc>
        <w:tc>
          <w:tcPr>
            <w:tcW w:type="dxa" w:w="4320"/>
          </w:tcPr>
          <w:p>
            <w:r/>
            <w:r>
              <w:rPr>
                <w:b w:val="0"/>
                <w:i w:val="0"/>
                <w:sz w:val="16"/>
              </w:rPr>
              <w:t>Brightfield I-9 / E-Verify / I-983 review</w:t>
            </w:r>
          </w:p>
        </w:tc>
        <w:tc>
          <w:tcPr>
            <w:tcW w:type="dxa" w:w="1872"/>
          </w:tcPr>
          <w:p>
            <w:r/>
            <w:r>
              <w:rPr>
                <w:b w:val="0"/>
                <w:i w:val="0"/>
                <w:sz w:val="16"/>
              </w:rPr>
              <w:t>Brightfield HR / counsel</w:t>
            </w:r>
          </w:p>
        </w:tc>
        <w:tc>
          <w:tcPr>
            <w:tcW w:type="dxa" w:w="1152"/>
          </w:tcPr>
          <w:p>
            <w:r/>
            <w:r>
              <w:rPr>
                <w:b w:val="0"/>
                <w:i w:val="0"/>
                <w:sz w:val="16"/>
              </w:rPr>
              <w:t>Immediate</w:t>
            </w:r>
          </w:p>
        </w:tc>
        <w:tc>
          <w:tcPr>
            <w:tcW w:type="dxa" w:w="1296"/>
          </w:tcPr>
          <w:p>
            <w:r/>
            <w:r>
              <w:rPr>
                <w:b w:val="0"/>
                <w:i w:val="0"/>
                <w:sz w:val="16"/>
              </w:rPr>
              <w:t>1</w:t>
            </w:r>
          </w:p>
        </w:tc>
      </w:tr>
      <w:tr>
        <w:tc>
          <w:tcPr>
            <w:tcW w:type="dxa" w:w="432"/>
          </w:tcPr>
          <w:p>
            <w:r/>
            <w:r>
              <w:rPr>
                <w:b w:val="0"/>
                <w:i w:val="0"/>
                <w:sz w:val="16"/>
              </w:rPr>
              <w:t>4</w:t>
            </w:r>
          </w:p>
        </w:tc>
        <w:tc>
          <w:tcPr>
            <w:tcW w:type="dxa" w:w="4320"/>
          </w:tcPr>
          <w:p>
            <w:r/>
            <w:r>
              <w:rPr>
                <w:b w:val="0"/>
                <w:i w:val="0"/>
                <w:sz w:val="16"/>
              </w:rPr>
              <w:t>Decide wage level; approve salary increase to &gt;= $137,946 (L3) or $162,157 (L4), or re-scope role</w:t>
            </w:r>
          </w:p>
        </w:tc>
        <w:tc>
          <w:tcPr>
            <w:tcW w:type="dxa" w:w="1872"/>
          </w:tcPr>
          <w:p>
            <w:r/>
            <w:r>
              <w:rPr>
                <w:b w:val="0"/>
                <w:i w:val="0"/>
                <w:sz w:val="16"/>
              </w:rPr>
              <w:t>Brightfield (CTO/HR) / counsel</w:t>
            </w:r>
          </w:p>
        </w:tc>
        <w:tc>
          <w:tcPr>
            <w:tcW w:type="dxa" w:w="1152"/>
          </w:tcPr>
          <w:p>
            <w:r/>
            <w:r>
              <w:rPr>
                <w:b w:val="0"/>
                <w:i w:val="0"/>
                <w:sz w:val="16"/>
              </w:rPr>
              <w:t>Immediate</w:t>
            </w:r>
          </w:p>
        </w:tc>
        <w:tc>
          <w:tcPr>
            <w:tcW w:type="dxa" w:w="1296"/>
          </w:tcPr>
          <w:p>
            <w:r/>
            <w:r>
              <w:rPr>
                <w:b w:val="0"/>
                <w:i w:val="0"/>
                <w:sz w:val="16"/>
              </w:rPr>
              <w:t>10</w:t>
            </w:r>
          </w:p>
        </w:tc>
      </w:tr>
      <w:tr>
        <w:tc>
          <w:tcPr>
            <w:tcW w:type="dxa" w:w="432"/>
          </w:tcPr>
          <w:p>
            <w:r/>
            <w:r>
              <w:rPr>
                <w:b w:val="0"/>
                <w:i w:val="0"/>
                <w:sz w:val="16"/>
              </w:rPr>
              <w:t>5</w:t>
            </w:r>
          </w:p>
        </w:tc>
        <w:tc>
          <w:tcPr>
            <w:tcW w:type="dxa" w:w="4320"/>
          </w:tcPr>
          <w:p>
            <w:r/>
            <w:r>
              <w:rPr>
                <w:b w:val="0"/>
                <w:i w:val="0"/>
                <w:sz w:val="16"/>
              </w:rPr>
              <w:t>Re-post corrected LCA notice 10 business days, two locations, photos; file new LCA; verify current LCA in FLAG</w:t>
            </w:r>
          </w:p>
        </w:tc>
        <w:tc>
          <w:tcPr>
            <w:tcW w:type="dxa" w:w="1872"/>
          </w:tcPr>
          <w:p>
            <w:r/>
            <w:r>
              <w:rPr>
                <w:b w:val="0"/>
                <w:i w:val="0"/>
                <w:sz w:val="16"/>
              </w:rPr>
              <w:t>Brightfield HR / counsel</w:t>
            </w:r>
          </w:p>
        </w:tc>
        <w:tc>
          <w:tcPr>
            <w:tcW w:type="dxa" w:w="1152"/>
          </w:tcPr>
          <w:p>
            <w:r/>
            <w:r>
              <w:rPr>
                <w:b w:val="0"/>
                <w:i w:val="0"/>
                <w:sz w:val="16"/>
              </w:rPr>
              <w:t>Immediate</w:t>
            </w:r>
          </w:p>
        </w:tc>
        <w:tc>
          <w:tcPr>
            <w:tcW w:type="dxa" w:w="1296"/>
          </w:tcPr>
          <w:p>
            <w:r/>
            <w:r>
              <w:rPr>
                <w:b w:val="0"/>
                <w:i w:val="0"/>
                <w:sz w:val="16"/>
              </w:rPr>
              <w:t>10, 11</w:t>
            </w:r>
          </w:p>
        </w:tc>
      </w:tr>
      <w:tr>
        <w:tc>
          <w:tcPr>
            <w:tcW w:type="dxa" w:w="432"/>
          </w:tcPr>
          <w:p>
            <w:r/>
            <w:r>
              <w:rPr>
                <w:b w:val="0"/>
                <w:i w:val="0"/>
                <w:sz w:val="16"/>
              </w:rPr>
              <w:t>6</w:t>
            </w:r>
          </w:p>
        </w:tc>
        <w:tc>
          <w:tcPr>
            <w:tcW w:type="dxa" w:w="4320"/>
          </w:tcPr>
          <w:p>
            <w:r/>
            <w:r>
              <w:rPr>
                <w:b w:val="0"/>
                <w:i w:val="0"/>
                <w:sz w:val="16"/>
              </w:rPr>
              <w:t>Revise support letter: remove "any engineering" alternative; fix evaluation description; conform reports (2 vs 3), reporting line, current role, total experience; wage-obligation language; in-house worksite statement</w:t>
            </w:r>
          </w:p>
        </w:tc>
        <w:tc>
          <w:tcPr>
            <w:tcW w:type="dxa" w:w="1872"/>
          </w:tcPr>
          <w:p>
            <w:r/>
            <w:r>
              <w:rPr>
                <w:b w:val="0"/>
                <w:i w:val="0"/>
                <w:sz w:val="16"/>
              </w:rPr>
              <w:t>Counsel</w:t>
            </w:r>
          </w:p>
        </w:tc>
        <w:tc>
          <w:tcPr>
            <w:tcW w:type="dxa" w:w="1152"/>
          </w:tcPr>
          <w:p>
            <w:r/>
            <w:r>
              <w:rPr>
                <w:b w:val="0"/>
                <w:i w:val="0"/>
                <w:sz w:val="16"/>
              </w:rPr>
              <w:t>High</w:t>
            </w:r>
          </w:p>
        </w:tc>
        <w:tc>
          <w:tcPr>
            <w:tcW w:type="dxa" w:w="1296"/>
          </w:tcPr>
          <w:p>
            <w:r/>
            <w:r>
              <w:rPr>
                <w:b w:val="0"/>
                <w:i w:val="0"/>
                <w:sz w:val="16"/>
              </w:rPr>
              <w:t>2, 5, 6, 9, 12</w:t>
            </w:r>
          </w:p>
        </w:tc>
      </w:tr>
      <w:tr>
        <w:tc>
          <w:tcPr>
            <w:tcW w:type="dxa" w:w="432"/>
          </w:tcPr>
          <w:p>
            <w:r/>
            <w:r>
              <w:rPr>
                <w:b w:val="0"/>
                <w:i w:val="0"/>
                <w:sz w:val="16"/>
              </w:rPr>
              <w:t>7</w:t>
            </w:r>
          </w:p>
        </w:tc>
        <w:tc>
          <w:tcPr>
            <w:tcW w:type="dxa" w:w="4320"/>
          </w:tcPr>
          <w:p>
            <w:r/>
            <w:r>
              <w:rPr>
                <w:b w:val="0"/>
                <w:i w:val="0"/>
                <w:sz w:val="16"/>
              </w:rPr>
              <w:t>Professor education-plus-experience evaluation (CS equivalency) with authority to grant credit</w:t>
            </w:r>
          </w:p>
        </w:tc>
        <w:tc>
          <w:tcPr>
            <w:tcW w:type="dxa" w:w="1872"/>
          </w:tcPr>
          <w:p>
            <w:r/>
            <w:r>
              <w:rPr>
                <w:b w:val="0"/>
                <w:i w:val="0"/>
                <w:sz w:val="16"/>
              </w:rPr>
              <w:t>Counsel</w:t>
            </w:r>
          </w:p>
        </w:tc>
        <w:tc>
          <w:tcPr>
            <w:tcW w:type="dxa" w:w="1152"/>
          </w:tcPr>
          <w:p>
            <w:r/>
            <w:r>
              <w:rPr>
                <w:b w:val="0"/>
                <w:i w:val="0"/>
                <w:sz w:val="16"/>
              </w:rPr>
              <w:t>High</w:t>
            </w:r>
          </w:p>
        </w:tc>
        <w:tc>
          <w:tcPr>
            <w:tcW w:type="dxa" w:w="1296"/>
          </w:tcPr>
          <w:p>
            <w:r/>
            <w:r>
              <w:rPr>
                <w:b w:val="0"/>
                <w:i w:val="0"/>
                <w:sz w:val="16"/>
              </w:rPr>
              <w:t>2</w:t>
            </w:r>
          </w:p>
        </w:tc>
      </w:tr>
      <w:tr>
        <w:tc>
          <w:tcPr>
            <w:tcW w:type="dxa" w:w="432"/>
          </w:tcPr>
          <w:p>
            <w:r/>
            <w:r>
              <w:rPr>
                <w:b w:val="0"/>
                <w:i w:val="0"/>
                <w:sz w:val="16"/>
              </w:rPr>
              <w:t>8</w:t>
            </w:r>
          </w:p>
        </w:tc>
        <w:tc>
          <w:tcPr>
            <w:tcW w:type="dxa" w:w="4320"/>
          </w:tcPr>
          <w:p>
            <w:r/>
            <w:r>
              <w:rPr>
                <w:b w:val="0"/>
                <w:i w:val="0"/>
                <w:sz w:val="16"/>
              </w:rPr>
              <w:t>Corrected, signed Westbridge evaluation matching the transcript</w:t>
            </w:r>
          </w:p>
        </w:tc>
        <w:tc>
          <w:tcPr>
            <w:tcW w:type="dxa" w:w="1872"/>
          </w:tcPr>
          <w:p>
            <w:r/>
            <w:r>
              <w:rPr>
                <w:b w:val="0"/>
                <w:i w:val="0"/>
                <w:sz w:val="16"/>
              </w:rPr>
              <w:t>Westbridge / counsel</w:t>
            </w:r>
          </w:p>
        </w:tc>
        <w:tc>
          <w:tcPr>
            <w:tcW w:type="dxa" w:w="1152"/>
          </w:tcPr>
          <w:p>
            <w:r/>
            <w:r>
              <w:rPr>
                <w:b w:val="0"/>
                <w:i w:val="0"/>
                <w:sz w:val="16"/>
              </w:rPr>
              <w:t>High</w:t>
            </w:r>
          </w:p>
        </w:tc>
        <w:tc>
          <w:tcPr>
            <w:tcW w:type="dxa" w:w="1296"/>
          </w:tcPr>
          <w:p>
            <w:r/>
            <w:r>
              <w:rPr>
                <w:b w:val="0"/>
                <w:i w:val="0"/>
                <w:sz w:val="16"/>
              </w:rPr>
              <w:t>4</w:t>
            </w:r>
          </w:p>
        </w:tc>
      </w:tr>
      <w:tr>
        <w:tc>
          <w:tcPr>
            <w:tcW w:type="dxa" w:w="432"/>
          </w:tcPr>
          <w:p>
            <w:r/>
            <w:r>
              <w:rPr>
                <w:b w:val="0"/>
                <w:i w:val="0"/>
                <w:sz w:val="16"/>
              </w:rPr>
              <w:t>9</w:t>
            </w:r>
          </w:p>
        </w:tc>
        <w:tc>
          <w:tcPr>
            <w:tcW w:type="dxa" w:w="4320"/>
          </w:tcPr>
          <w:p>
            <w:r/>
            <w:r>
              <w:rPr>
                <w:b w:val="0"/>
                <w:i w:val="0"/>
                <w:sz w:val="16"/>
              </w:rPr>
              <w:t>Supplemental signed NovaStar letter with exact dates and full technical stack</w:t>
            </w:r>
          </w:p>
        </w:tc>
        <w:tc>
          <w:tcPr>
            <w:tcW w:type="dxa" w:w="1872"/>
          </w:tcPr>
          <w:p>
            <w:r/>
            <w:r>
              <w:rPr>
                <w:b w:val="0"/>
                <w:i w:val="0"/>
                <w:sz w:val="16"/>
              </w:rPr>
              <w:t>Beneficiary / NovaStar</w:t>
            </w:r>
          </w:p>
        </w:tc>
        <w:tc>
          <w:tcPr>
            <w:tcW w:type="dxa" w:w="1152"/>
          </w:tcPr>
          <w:p>
            <w:r/>
            <w:r>
              <w:rPr>
                <w:b w:val="0"/>
                <w:i w:val="0"/>
                <w:sz w:val="16"/>
              </w:rPr>
              <w:t>High</w:t>
            </w:r>
          </w:p>
        </w:tc>
        <w:tc>
          <w:tcPr>
            <w:tcW w:type="dxa" w:w="1296"/>
          </w:tcPr>
          <w:p>
            <w:r/>
            <w:r>
              <w:rPr>
                <w:b w:val="0"/>
                <w:i w:val="0"/>
                <w:sz w:val="16"/>
              </w:rPr>
              <w:t>3</w:t>
            </w:r>
          </w:p>
        </w:tc>
      </w:tr>
      <w:tr>
        <w:tc>
          <w:tcPr>
            <w:tcW w:type="dxa" w:w="432"/>
          </w:tcPr>
          <w:p>
            <w:r/>
            <w:r>
              <w:rPr>
                <w:b w:val="0"/>
                <w:i w:val="0"/>
                <w:sz w:val="16"/>
              </w:rPr>
              <w:t>10</w:t>
            </w:r>
          </w:p>
        </w:tc>
        <w:tc>
          <w:tcPr>
            <w:tcW w:type="dxa" w:w="4320"/>
          </w:tcPr>
          <w:p>
            <w:r/>
            <w:r>
              <w:rPr>
                <w:b w:val="0"/>
                <w:i w:val="0"/>
                <w:sz w:val="16"/>
              </w:rPr>
              <w:t>Consultancy evidence (client letters, contracts, invoices, 1099s, tax returns)</w:t>
            </w:r>
          </w:p>
        </w:tc>
        <w:tc>
          <w:tcPr>
            <w:tcW w:type="dxa" w:w="1872"/>
          </w:tcPr>
          <w:p>
            <w:r/>
            <w:r>
              <w:rPr>
                <w:b w:val="0"/>
                <w:i w:val="0"/>
                <w:sz w:val="16"/>
              </w:rPr>
              <w:t>Beneficiary</w:t>
            </w:r>
          </w:p>
        </w:tc>
        <w:tc>
          <w:tcPr>
            <w:tcW w:type="dxa" w:w="1152"/>
          </w:tcPr>
          <w:p>
            <w:r/>
            <w:r>
              <w:rPr>
                <w:b w:val="0"/>
                <w:i w:val="0"/>
                <w:sz w:val="16"/>
              </w:rPr>
              <w:t>High</w:t>
            </w:r>
          </w:p>
        </w:tc>
        <w:tc>
          <w:tcPr>
            <w:tcW w:type="dxa" w:w="1296"/>
          </w:tcPr>
          <w:p>
            <w:r/>
            <w:r>
              <w:rPr>
                <w:b w:val="0"/>
                <w:i w:val="0"/>
                <w:sz w:val="16"/>
              </w:rPr>
              <w:t>1, 3</w:t>
            </w:r>
          </w:p>
        </w:tc>
      </w:tr>
      <w:tr>
        <w:tc>
          <w:tcPr>
            <w:tcW w:type="dxa" w:w="432"/>
          </w:tcPr>
          <w:p>
            <w:r/>
            <w:r>
              <w:rPr>
                <w:b w:val="0"/>
                <w:i w:val="0"/>
                <w:sz w:val="16"/>
              </w:rPr>
              <w:t>11</w:t>
            </w:r>
          </w:p>
        </w:tc>
        <w:tc>
          <w:tcPr>
            <w:tcW w:type="dxa" w:w="4320"/>
          </w:tcPr>
          <w:p>
            <w:r/>
            <w:r>
              <w:rPr>
                <w:b w:val="0"/>
                <w:i w:val="0"/>
                <w:sz w:val="16"/>
              </w:rPr>
              <w:t>Brightfield employment verification letter + payroll</w:t>
            </w:r>
          </w:p>
        </w:tc>
        <w:tc>
          <w:tcPr>
            <w:tcW w:type="dxa" w:w="1872"/>
          </w:tcPr>
          <w:p>
            <w:r/>
            <w:r>
              <w:rPr>
                <w:b w:val="0"/>
                <w:i w:val="0"/>
                <w:sz w:val="16"/>
              </w:rPr>
              <w:t>Brightfield HR</w:t>
            </w:r>
          </w:p>
        </w:tc>
        <w:tc>
          <w:tcPr>
            <w:tcW w:type="dxa" w:w="1152"/>
          </w:tcPr>
          <w:p>
            <w:r/>
            <w:r>
              <w:rPr>
                <w:b w:val="0"/>
                <w:i w:val="0"/>
                <w:sz w:val="16"/>
              </w:rPr>
              <w:t>High</w:t>
            </w:r>
          </w:p>
        </w:tc>
        <w:tc>
          <w:tcPr>
            <w:tcW w:type="dxa" w:w="1296"/>
          </w:tcPr>
          <w:p>
            <w:r/>
            <w:r>
              <w:rPr>
                <w:b w:val="0"/>
                <w:i w:val="0"/>
                <w:sz w:val="16"/>
              </w:rPr>
              <w:t>3, 6</w:t>
            </w:r>
          </w:p>
        </w:tc>
      </w:tr>
      <w:tr>
        <w:tc>
          <w:tcPr>
            <w:tcW w:type="dxa" w:w="432"/>
          </w:tcPr>
          <w:p>
            <w:r/>
            <w:r>
              <w:rPr>
                <w:b w:val="0"/>
                <w:i w:val="0"/>
                <w:sz w:val="16"/>
              </w:rPr>
              <w:t>12</w:t>
            </w:r>
          </w:p>
        </w:tc>
        <w:tc>
          <w:tcPr>
            <w:tcW w:type="dxa" w:w="4320"/>
          </w:tcPr>
          <w:p>
            <w:r/>
            <w:r>
              <w:rPr>
                <w:b w:val="0"/>
                <w:i w:val="0"/>
                <w:sz w:val="16"/>
              </w:rPr>
              <w:t>Reconciled resume (Kiran end Dec. 2016; NovaStar end July 2020; explain Dec. 2016 - Apr. 2017 gap)</w:t>
            </w:r>
          </w:p>
        </w:tc>
        <w:tc>
          <w:tcPr>
            <w:tcW w:type="dxa" w:w="1872"/>
          </w:tcPr>
          <w:p>
            <w:r/>
            <w:r>
              <w:rPr>
                <w:b w:val="0"/>
                <w:i w:val="0"/>
                <w:sz w:val="16"/>
              </w:rPr>
              <w:t>Beneficiary / counsel</w:t>
            </w:r>
          </w:p>
        </w:tc>
        <w:tc>
          <w:tcPr>
            <w:tcW w:type="dxa" w:w="1152"/>
          </w:tcPr>
          <w:p>
            <w:r/>
            <w:r>
              <w:rPr>
                <w:b w:val="0"/>
                <w:i w:val="0"/>
                <w:sz w:val="16"/>
              </w:rPr>
              <w:t>High</w:t>
            </w:r>
          </w:p>
        </w:tc>
        <w:tc>
          <w:tcPr>
            <w:tcW w:type="dxa" w:w="1296"/>
          </w:tcPr>
          <w:p>
            <w:r/>
            <w:r>
              <w:rPr>
                <w:b w:val="0"/>
                <w:i w:val="0"/>
                <w:sz w:val="16"/>
              </w:rPr>
              <w:t>3</w:t>
            </w:r>
          </w:p>
        </w:tc>
      </w:tr>
      <w:tr>
        <w:tc>
          <w:tcPr>
            <w:tcW w:type="dxa" w:w="432"/>
          </w:tcPr>
          <w:p>
            <w:r/>
            <w:r>
              <w:rPr>
                <w:b w:val="0"/>
                <w:i w:val="0"/>
                <w:sz w:val="16"/>
              </w:rPr>
              <w:t>13</w:t>
            </w:r>
          </w:p>
        </w:tc>
        <w:tc>
          <w:tcPr>
            <w:tcW w:type="dxa" w:w="4320"/>
          </w:tcPr>
          <w:p>
            <w:r/>
            <w:r>
              <w:rPr>
                <w:b w:val="0"/>
                <w:i w:val="0"/>
                <w:sz w:val="16"/>
              </w:rPr>
              <w:t>Expanded, signed org chart naming CTO, full DS/ML group, beneficiary's current slot</w:t>
            </w:r>
          </w:p>
        </w:tc>
        <w:tc>
          <w:tcPr>
            <w:tcW w:type="dxa" w:w="1872"/>
          </w:tcPr>
          <w:p>
            <w:r/>
            <w:r>
              <w:rPr>
                <w:b w:val="0"/>
                <w:i w:val="0"/>
                <w:sz w:val="16"/>
              </w:rPr>
              <w:t>Brightfield HR / CTO</w:t>
            </w:r>
          </w:p>
        </w:tc>
        <w:tc>
          <w:tcPr>
            <w:tcW w:type="dxa" w:w="1152"/>
          </w:tcPr>
          <w:p>
            <w:r/>
            <w:r>
              <w:rPr>
                <w:b w:val="0"/>
                <w:i w:val="0"/>
                <w:sz w:val="16"/>
              </w:rPr>
              <w:t>High</w:t>
            </w:r>
          </w:p>
        </w:tc>
        <w:tc>
          <w:tcPr>
            <w:tcW w:type="dxa" w:w="1296"/>
          </w:tcPr>
          <w:p>
            <w:r/>
            <w:r>
              <w:rPr>
                <w:b w:val="0"/>
                <w:i w:val="0"/>
                <w:sz w:val="16"/>
              </w:rPr>
              <w:t>6</w:t>
            </w:r>
          </w:p>
        </w:tc>
      </w:tr>
      <w:tr>
        <w:tc>
          <w:tcPr>
            <w:tcW w:type="dxa" w:w="432"/>
          </w:tcPr>
          <w:p>
            <w:r/>
            <w:r>
              <w:rPr>
                <w:b w:val="0"/>
                <w:i w:val="0"/>
                <w:sz w:val="16"/>
              </w:rPr>
              <w:t>14</w:t>
            </w:r>
          </w:p>
        </w:tc>
        <w:tc>
          <w:tcPr>
            <w:tcW w:type="dxa" w:w="4320"/>
          </w:tcPr>
          <w:p>
            <w:r/>
            <w:r>
              <w:rPr>
                <w:b w:val="0"/>
                <w:i w:val="0"/>
                <w:sz w:val="16"/>
              </w:rPr>
              <w:t>CTO technical declaration; OOH/O*NET analysis; 5-10 comparable postings; hiring history; optional expert opinion</w:t>
            </w:r>
          </w:p>
        </w:tc>
        <w:tc>
          <w:tcPr>
            <w:tcW w:type="dxa" w:w="1872"/>
          </w:tcPr>
          <w:p>
            <w:r/>
            <w:r>
              <w:rPr>
                <w:b w:val="0"/>
                <w:i w:val="0"/>
                <w:sz w:val="16"/>
              </w:rPr>
              <w:t>Counsel / Brightfield</w:t>
            </w:r>
          </w:p>
        </w:tc>
        <w:tc>
          <w:tcPr>
            <w:tcW w:type="dxa" w:w="1152"/>
          </w:tcPr>
          <w:p>
            <w:r/>
            <w:r>
              <w:rPr>
                <w:b w:val="0"/>
                <w:i w:val="0"/>
                <w:sz w:val="16"/>
              </w:rPr>
              <w:t>Medium</w:t>
            </w:r>
          </w:p>
        </w:tc>
        <w:tc>
          <w:tcPr>
            <w:tcW w:type="dxa" w:w="1296"/>
          </w:tcPr>
          <w:p>
            <w:r/>
            <w:r>
              <w:rPr>
                <w:b w:val="0"/>
                <w:i w:val="0"/>
                <w:sz w:val="16"/>
              </w:rPr>
              <w:t>7, 8</w:t>
            </w:r>
          </w:p>
        </w:tc>
      </w:tr>
      <w:tr>
        <w:tc>
          <w:tcPr>
            <w:tcW w:type="dxa" w:w="432"/>
          </w:tcPr>
          <w:p>
            <w:r/>
            <w:r>
              <w:rPr>
                <w:b w:val="0"/>
                <w:i w:val="0"/>
                <w:sz w:val="16"/>
              </w:rPr>
              <w:t>15</w:t>
            </w:r>
          </w:p>
        </w:tc>
        <w:tc>
          <w:tcPr>
            <w:tcW w:type="dxa" w:w="4320"/>
          </w:tcPr>
          <w:p>
            <w:r/>
            <w:r>
              <w:rPr>
                <w:b w:val="0"/>
                <w:i w:val="0"/>
                <w:sz w:val="16"/>
              </w:rPr>
              <w:t>SOC code memo comparing 15-2051 with 15-1252/15-1221</w:t>
            </w:r>
          </w:p>
        </w:tc>
        <w:tc>
          <w:tcPr>
            <w:tcW w:type="dxa" w:w="1872"/>
          </w:tcPr>
          <w:p>
            <w:r/>
            <w:r>
              <w:rPr>
                <w:b w:val="0"/>
                <w:i w:val="0"/>
                <w:sz w:val="16"/>
              </w:rPr>
              <w:t>Counsel</w:t>
            </w:r>
          </w:p>
        </w:tc>
        <w:tc>
          <w:tcPr>
            <w:tcW w:type="dxa" w:w="1152"/>
          </w:tcPr>
          <w:p>
            <w:r/>
            <w:r>
              <w:rPr>
                <w:b w:val="0"/>
                <w:i w:val="0"/>
                <w:sz w:val="16"/>
              </w:rPr>
              <w:t>Medium</w:t>
            </w:r>
          </w:p>
        </w:tc>
        <w:tc>
          <w:tcPr>
            <w:tcW w:type="dxa" w:w="1296"/>
          </w:tcPr>
          <w:p>
            <w:r/>
            <w:r>
              <w:rPr>
                <w:b w:val="0"/>
                <w:i w:val="0"/>
                <w:sz w:val="16"/>
              </w:rPr>
              <w:t>8</w:t>
            </w:r>
          </w:p>
        </w:tc>
      </w:tr>
      <w:tr>
        <w:tc>
          <w:tcPr>
            <w:tcW w:type="dxa" w:w="432"/>
          </w:tcPr>
          <w:p>
            <w:r/>
            <w:r>
              <w:rPr>
                <w:b w:val="0"/>
                <w:i w:val="0"/>
                <w:sz w:val="16"/>
              </w:rPr>
              <w:t>16</w:t>
            </w:r>
          </w:p>
        </w:tc>
        <w:tc>
          <w:tcPr>
            <w:tcW w:type="dxa" w:w="4320"/>
          </w:tcPr>
          <w:p>
            <w:r/>
            <w:r>
              <w:rPr>
                <w:b w:val="0"/>
                <w:i w:val="0"/>
                <w:sz w:val="16"/>
              </w:rPr>
              <w:t>Conform employer phone number across all documents</w:t>
            </w:r>
          </w:p>
        </w:tc>
        <w:tc>
          <w:tcPr>
            <w:tcW w:type="dxa" w:w="1872"/>
          </w:tcPr>
          <w:p>
            <w:r/>
            <w:r>
              <w:rPr>
                <w:b w:val="0"/>
                <w:i w:val="0"/>
                <w:sz w:val="16"/>
              </w:rPr>
              <w:t>Brightfield HR</w:t>
            </w:r>
          </w:p>
        </w:tc>
        <w:tc>
          <w:tcPr>
            <w:tcW w:type="dxa" w:w="1152"/>
          </w:tcPr>
          <w:p>
            <w:r/>
            <w:r>
              <w:rPr>
                <w:b w:val="0"/>
                <w:i w:val="0"/>
                <w:sz w:val="16"/>
              </w:rPr>
              <w:t>Medium</w:t>
            </w:r>
          </w:p>
        </w:tc>
        <w:tc>
          <w:tcPr>
            <w:tcW w:type="dxa" w:w="1296"/>
          </w:tcPr>
          <w:p>
            <w:r/>
            <w:r>
              <w:rPr>
                <w:b w:val="0"/>
                <w:i w:val="0"/>
                <w:sz w:val="16"/>
              </w:rPr>
              <w:t>11, 13</w:t>
            </w:r>
          </w:p>
        </w:tc>
      </w:tr>
      <w:tr>
        <w:tc>
          <w:tcPr>
            <w:tcW w:type="dxa" w:w="432"/>
          </w:tcPr>
          <w:p>
            <w:r/>
            <w:r>
              <w:rPr>
                <w:b w:val="0"/>
                <w:i w:val="0"/>
                <w:sz w:val="16"/>
              </w:rPr>
              <w:t>17</w:t>
            </w:r>
          </w:p>
        </w:tc>
        <w:tc>
          <w:tcPr>
            <w:tcW w:type="dxa" w:w="4320"/>
          </w:tcPr>
          <w:p>
            <w:r/>
            <w:r>
              <w:rPr>
                <w:b w:val="0"/>
                <w:i w:val="0"/>
                <w:sz w:val="16"/>
              </w:rPr>
              <w:t>FY2024 financial evidence and current headcount</w:t>
            </w:r>
          </w:p>
        </w:tc>
        <w:tc>
          <w:tcPr>
            <w:tcW w:type="dxa" w:w="1872"/>
          </w:tcPr>
          <w:p>
            <w:r/>
            <w:r>
              <w:rPr>
                <w:b w:val="0"/>
                <w:i w:val="0"/>
                <w:sz w:val="16"/>
              </w:rPr>
              <w:t>Brightfield finance</w:t>
            </w:r>
          </w:p>
        </w:tc>
        <w:tc>
          <w:tcPr>
            <w:tcW w:type="dxa" w:w="1152"/>
          </w:tcPr>
          <w:p>
            <w:r/>
            <w:r>
              <w:rPr>
                <w:b w:val="0"/>
                <w:i w:val="0"/>
                <w:sz w:val="16"/>
              </w:rPr>
              <w:t>Medium</w:t>
            </w:r>
          </w:p>
        </w:tc>
        <w:tc>
          <w:tcPr>
            <w:tcW w:type="dxa" w:w="1296"/>
          </w:tcPr>
          <w:p>
            <w:r/>
            <w:r>
              <w:rPr>
                <w:b w:val="0"/>
                <w:i w:val="0"/>
                <w:sz w:val="16"/>
              </w:rPr>
              <w:t>13</w:t>
            </w:r>
          </w:p>
        </w:tc>
      </w:tr>
      <w:tr>
        <w:tc>
          <w:tcPr>
            <w:tcW w:type="dxa" w:w="432"/>
          </w:tcPr>
          <w:p>
            <w:r/>
            <w:r>
              <w:rPr>
                <w:b w:val="0"/>
                <w:i w:val="0"/>
                <w:sz w:val="16"/>
              </w:rPr>
              <w:t>18</w:t>
            </w:r>
          </w:p>
        </w:tc>
        <w:tc>
          <w:tcPr>
            <w:tcW w:type="dxa" w:w="4320"/>
          </w:tcPr>
          <w:p>
            <w:r/>
            <w:r>
              <w:rPr>
                <w:b w:val="0"/>
                <w:i w:val="0"/>
                <w:sz w:val="16"/>
              </w:rPr>
              <w:t>Execute all documents (support letter, LCA copy, evaluation, letters)</w:t>
            </w:r>
          </w:p>
        </w:tc>
        <w:tc>
          <w:tcPr>
            <w:tcW w:type="dxa" w:w="1872"/>
          </w:tcPr>
          <w:p>
            <w:r/>
            <w:r>
              <w:rPr>
                <w:b w:val="0"/>
                <w:i w:val="0"/>
                <w:sz w:val="16"/>
              </w:rPr>
              <w:t>All signatories</w:t>
            </w:r>
          </w:p>
        </w:tc>
        <w:tc>
          <w:tcPr>
            <w:tcW w:type="dxa" w:w="1152"/>
          </w:tcPr>
          <w:p>
            <w:r/>
            <w:r>
              <w:rPr>
                <w:b w:val="0"/>
                <w:i w:val="0"/>
                <w:sz w:val="16"/>
              </w:rPr>
              <w:t>Medium</w:t>
            </w:r>
          </w:p>
        </w:tc>
        <w:tc>
          <w:tcPr>
            <w:tcW w:type="dxa" w:w="1296"/>
          </w:tcPr>
          <w:p>
            <w:r/>
            <w:r>
              <w:rPr>
                <w:b w:val="0"/>
                <w:i w:val="0"/>
                <w:sz w:val="16"/>
              </w:rPr>
              <w:t>13</w:t>
            </w:r>
          </w:p>
        </w:tc>
      </w:tr>
      <w:tr>
        <w:tc>
          <w:tcPr>
            <w:tcW w:type="dxa" w:w="432"/>
          </w:tcPr>
          <w:p>
            <w:r/>
            <w:r>
              <w:rPr>
                <w:b w:val="0"/>
                <w:i w:val="0"/>
                <w:sz w:val="16"/>
              </w:rPr>
              <w:t>19</w:t>
            </w:r>
          </w:p>
        </w:tc>
        <w:tc>
          <w:tcPr>
            <w:tcW w:type="dxa" w:w="4320"/>
          </w:tcPr>
          <w:p>
            <w:r/>
            <w:r>
              <w:rPr>
                <w:b w:val="0"/>
                <w:i w:val="0"/>
                <w:sz w:val="16"/>
              </w:rPr>
              <w:t>PAF audit; H-1B dependency check; calendar LCA copy to worker on day one</w:t>
            </w:r>
          </w:p>
        </w:tc>
        <w:tc>
          <w:tcPr>
            <w:tcW w:type="dxa" w:w="1872"/>
          </w:tcPr>
          <w:p>
            <w:r/>
            <w:r>
              <w:rPr>
                <w:b w:val="0"/>
                <w:i w:val="0"/>
                <w:sz w:val="16"/>
              </w:rPr>
              <w:t>Brightfield HR / counsel</w:t>
            </w:r>
          </w:p>
        </w:tc>
        <w:tc>
          <w:tcPr>
            <w:tcW w:type="dxa" w:w="1152"/>
          </w:tcPr>
          <w:p>
            <w:r/>
            <w:r>
              <w:rPr>
                <w:b w:val="0"/>
                <w:i w:val="0"/>
                <w:sz w:val="16"/>
              </w:rPr>
              <w:t>Medium</w:t>
            </w:r>
          </w:p>
        </w:tc>
        <w:tc>
          <w:tcPr>
            <w:tcW w:type="dxa" w:w="1296"/>
          </w:tcPr>
          <w:p>
            <w:r/>
            <w:r>
              <w:rPr>
                <w:b w:val="0"/>
                <w:i w:val="0"/>
                <w:sz w:val="16"/>
              </w:rPr>
              <w:t>11, 12</w:t>
            </w:r>
          </w:p>
        </w:tc>
      </w:tr>
    </w:tbl>
    <w:p/>
    <w:p>
      <w:pPr>
        <w:pStyle w:val="Heading1"/>
      </w:pPr>
      <w:r>
        <w:t>VIII. Assumptions and Limitations</w:t>
      </w:r>
    </w:p>
    <w:p>
      <w:pPr>
        <w:pStyle w:val="ListBullet"/>
      </w:pPr>
      <w:r>
        <w:rPr>
          <w:b w:val="0"/>
          <w:i w:val="0"/>
        </w:rPr>
        <w:t>This review is limited to the ten documents in the package. Form I-129, the H Supplement and the beneficiary's immigration documents were not provided; conclusions on status (Issue 1) are therefore framed as unresolved discrepancies requiring verification, not findings of violation.</w:t>
      </w:r>
    </w:p>
    <w:p>
      <w:pPr>
        <w:pStyle w:val="ListBullet"/>
      </w:pPr>
      <w:r>
        <w:rPr>
          <w:b w:val="0"/>
          <w:i w:val="0"/>
        </w:rPr>
        <w:t>Dates are calculated from the documents; where only month/year is given, ranges are approximate.</w:t>
      </w:r>
    </w:p>
    <w:p>
      <w:pPr>
        <w:pStyle w:val="ListBullet"/>
      </w:pPr>
      <w:r>
        <w:rPr>
          <w:b w:val="0"/>
          <w:i w:val="0"/>
        </w:rPr>
        <w:t>Regulatory citations reflect the H-1B modernization final rule effective January 17, 2025, which applies to a petition filed in April 2025. Wage-level analysis follows DOL's November 2009 Prevailing Wage Determination Policy Guidance; the O*NET Job Zone for SOC 15-2051 should be confirmed when preparing the leveling worksheet.</w:t>
      </w:r>
    </w:p>
    <w:p>
      <w:pPr>
        <w:pStyle w:val="ListBullet"/>
      </w:pPr>
      <w:r>
        <w:rPr>
          <w:b w:val="0"/>
          <w:i w:val="0"/>
        </w:rPr>
        <w:t>Nothing in this memorandum should be shared with the beneficiary or the employer in its current form without partner review, given the potential status and misrepresentation issues.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