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18"/>
        </w:rPr>
        <w:t>PRIVILEGED &amp; CONFIDENTIAL — ATTORNEY-CLIENT COMMUNICATION / ATTORNEY WORK PRODUCT</w:t>
      </w:r>
    </w:p>
    <w:p>
      <w:pPr>
        <w:spacing w:after="120"/>
        <w:jc w:val="center"/>
      </w:pPr>
      <w:r>
        <w:rPr>
          <w:b/>
          <w:sz w:val="32"/>
        </w:rPr>
        <w:t>MEMORANDUM</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440"/>
            <w:shd w:val="clear" w:color="auto" w:fill="FFFFFF"/>
          </w:tcPr>
          <w:p>
            <w:r/>
            <w:r>
              <w:rPr>
                <w:b/>
                <w:color w:val="FFFFFF"/>
                <w:sz w:val="19"/>
              </w:rPr>
            </w:r>
          </w:p>
        </w:tc>
        <w:tc>
          <w:tcPr>
            <w:tcW w:type="dxa" w:w="8064"/>
            <w:shd w:val="clear" w:color="auto" w:fill="FFFFFF"/>
          </w:tcPr>
          <w:p>
            <w:r/>
            <w:r>
              <w:rPr>
                <w:b/>
                <w:color w:val="FFFFFF"/>
                <w:sz w:val="19"/>
              </w:rPr>
            </w:r>
          </w:p>
        </w:tc>
      </w:tr>
      <w:tr>
        <w:tc>
          <w:tcPr>
            <w:tcW w:type="dxa" w:w="1440"/>
          </w:tcPr>
          <w:p>
            <w:r/>
            <w:r>
              <w:rPr>
                <w:b/>
                <w:sz w:val="19"/>
              </w:rPr>
              <w:t>To:</w:t>
            </w:r>
          </w:p>
        </w:tc>
        <w:tc>
          <w:tcPr>
            <w:tcW w:type="dxa" w:w="8064"/>
          </w:tcPr>
          <w:p>
            <w:r/>
            <w:r>
              <w:rPr>
                <w:sz w:val="19"/>
              </w:rPr>
              <w:t>David Kim, General Counsel, Blackwater Mutual Insurance Company</w:t>
            </w:r>
          </w:p>
        </w:tc>
      </w:tr>
      <w:tr>
        <w:tc>
          <w:tcPr>
            <w:tcW w:type="dxa" w:w="1440"/>
          </w:tcPr>
          <w:p>
            <w:r/>
            <w:r>
              <w:rPr>
                <w:b/>
                <w:sz w:val="19"/>
              </w:rPr>
              <w:t>From:</w:t>
            </w:r>
          </w:p>
        </w:tc>
        <w:tc>
          <w:tcPr>
            <w:tcW w:type="dxa" w:w="8064"/>
          </w:tcPr>
          <w:p>
            <w:r/>
            <w:r>
              <w:rPr>
                <w:sz w:val="19"/>
              </w:rPr>
              <w:t>Reinsurance Coverage Counsel</w:t>
            </w:r>
          </w:p>
        </w:tc>
      </w:tr>
      <w:tr>
        <w:tc>
          <w:tcPr>
            <w:tcW w:type="dxa" w:w="1440"/>
          </w:tcPr>
          <w:p>
            <w:r/>
            <w:r>
              <w:rPr>
                <w:b/>
                <w:sz w:val="19"/>
              </w:rPr>
              <w:t>Date:</w:t>
            </w:r>
          </w:p>
        </w:tc>
        <w:tc>
          <w:tcPr>
            <w:tcW w:type="dxa" w:w="8064"/>
          </w:tcPr>
          <w:p>
            <w:r/>
            <w:r>
              <w:rPr>
                <w:sz w:val="19"/>
              </w:rPr>
              <w:t>[●] — analysis current through the record dated February 11, 2025</w:t>
            </w:r>
          </w:p>
        </w:tc>
      </w:tr>
      <w:tr>
        <w:tc>
          <w:tcPr>
            <w:tcW w:type="dxa" w:w="1440"/>
          </w:tcPr>
          <w:p>
            <w:r/>
            <w:r>
              <w:rPr>
                <w:b/>
                <w:sz w:val="19"/>
              </w:rPr>
              <w:t>Re:</w:t>
            </w:r>
          </w:p>
        </w:tc>
        <w:tc>
          <w:tcPr>
            <w:tcW w:type="dxa" w:w="8064"/>
          </w:tcPr>
          <w:p>
            <w:r/>
            <w:r>
              <w:rPr>
                <w:sz w:val="19"/>
              </w:rPr>
              <w:t>Gap Analysis — Quota Share Reinsurance Treaty PR-QS-2024-0041 (Pinnacle Re Ltd.) vs. Master Policy BM-CP-2024-07821 (Summit Ridge Warehousing LLC); Fire Loss of January 14, 2025 (Pinnacle Re claim file PRL-2025-00312)</w:t>
            </w:r>
          </w:p>
        </w:tc>
      </w:tr>
    </w:tbl>
    <w:p>
      <w:pPr>
        <w:spacing w:after="40"/>
      </w:pPr>
    </w:p>
    <w:p>
      <w:pPr>
        <w:pStyle w:val="Heading1"/>
      </w:pPr>
      <w:r>
        <w:t>1. Bottom Line</w:t>
      </w:r>
    </w:p>
    <w:p>
      <w:pPr>
        <w:spacing w:after="120"/>
      </w:pPr>
      <w:r>
        <w:t xml:space="preserve">The Treaty does not mirror the Master Policy. On the current Sentinel estimates, Blackwater should plan on recovering roughly </w:t>
      </w:r>
      <w:r>
        <w:rPr>
          <w:b/>
        </w:rPr>
        <w:t>$16.5–19.0 million</w:t>
      </w:r>
      <w:r>
        <w:t xml:space="preserve"> from Pinnacle Re — not the “in excess of $20 million” stated in Blackwater’s February 7, 2025 notice — and there are three arguments that, if Pinnacle runs them, could reduce the recovery to </w:t>
      </w:r>
      <w:r>
        <w:rPr>
          <w:b/>
        </w:rPr>
        <w:t>$4 million or zero</w:t>
      </w:r>
      <w:r>
        <w:t>. The key points:</w:t>
      </w:r>
    </w:p>
    <w:p>
      <w:pPr>
        <w:pStyle w:val="ListBullet"/>
        <w:spacing w:after="60"/>
      </w:pPr>
      <w:r>
        <w:rPr>
          <w:b/>
        </w:rPr>
        <w:t>Critical — Treaty eligibility.</w:t>
      </w:r>
      <w:r>
        <w:t xml:space="preserve"> The Master Policy carries a </w:t>
      </w:r>
      <w:r>
        <w:rPr>
          <w:b/>
        </w:rPr>
        <w:t>$98,000,000 Combined Policy Limit</w:t>
      </w:r>
      <w:r>
        <w:t xml:space="preserve"> (Declarations), plus additional coverages payable over and above the limits. The Treaty applies only to Underlying Policies with “per-occurrence limits not exceeding” </w:t>
      </w:r>
      <w:r>
        <w:rPr>
          <w:b/>
        </w:rPr>
        <w:t>$75,000,000</w:t>
      </w:r>
      <w:r>
        <w:t xml:space="preserve"> (Treaty §§2.17, 4.4; Slip §6). If Pinnacle treats $98M as the per-occurrence limit, it can argue the policy was never a Treaty-Eligible risk, which would mean no recovery on this loss at all. This is the most serious issue, and Pinnacle’s general reservation of “Treaty definitions and conditions” covers it.</w:t>
      </w:r>
    </w:p>
    <w:p>
      <w:pPr>
        <w:pStyle w:val="ListBullet"/>
        <w:spacing w:after="60"/>
      </w:pPr>
      <w:r>
        <w:rPr>
          <w:b/>
        </w:rPr>
        <w:t>High — known, quantifiable gaps of about $1.7–4.2 million ceded ($1.72M of it certain).</w:t>
      </w:r>
      <w:r>
        <w:t xml:space="preserve"> (i) The Treaty’s </w:t>
      </w:r>
      <w:r>
        <w:rPr>
          <w:b/>
        </w:rPr>
        <w:t>six-month BI indemnity limit</w:t>
      </w:r>
      <w:r>
        <w:t xml:space="preserve"> (§4.2) against the Policy’s 12 months plus 60 days of Extended Business Income: </w:t>
      </w:r>
      <w:r>
        <w:rPr>
          <w:b/>
        </w:rPr>
        <w:t>$4.3M of gross BI (months 7–10) is retained 100%</w:t>
      </w:r>
      <w:r>
        <w:t xml:space="preserve">, so $1.72M of ceded recovery is lost, and the figure grows if restoration slips. (ii) The </w:t>
      </w:r>
      <w:r>
        <w:rPr>
          <w:b/>
        </w:rPr>
        <w:t>Governmental Action exclusion</w:t>
      </w:r>
      <w:r>
        <w:t xml:space="preserve"> (§5.6) is broad enough to reach the </w:t>
      </w:r>
      <w:r>
        <w:rPr>
          <w:b/>
        </w:rPr>
        <w:t>$2.8M Ordinance or Law</w:t>
      </w:r>
      <w:r>
        <w:t xml:space="preserve"> claim ($1.12M ceded). (iii) </w:t>
      </w:r>
      <w:r>
        <w:rPr>
          <w:b/>
        </w:rPr>
        <w:t>Debris removal ($2.0M), sue and labor ($0.89M) and fire department service charges</w:t>
      </w:r>
      <w:r>
        <w:t xml:space="preserve"> are “additional to limits” coverages whose premium is carved out of Subject Premium (§§2.16, 6.1). That invites an argument that their losses were never ceded ($1.16M ceded).</w:t>
      </w:r>
    </w:p>
    <w:p>
      <w:pPr>
        <w:pStyle w:val="ListBullet"/>
        <w:spacing w:after="60"/>
      </w:pPr>
      <w:r>
        <w:rPr>
          <w:b/>
        </w:rPr>
        <w:t>High — cause-of-loss traps.</w:t>
      </w:r>
      <w:r>
        <w:t xml:space="preserve"> The fire is preliminarily attributed to an </w:t>
      </w:r>
      <w:r>
        <w:rPr>
          <w:b/>
        </w:rPr>
        <w:t>electrical fault / arc-flash in high-voltage switchgear</w:t>
      </w:r>
      <w:r>
        <w:t xml:space="preserve">. This exposes the claim to (i) the Treaty’s cyber/electronic exclusion, which reaches “failure of any … electronic device” with no ensuing-physical-loss carve-back (§5.2(d)), and (ii) an argument under §4.3 that the loss falls within the </w:t>
      </w:r>
      <w:r>
        <w:rPr>
          <w:b/>
        </w:rPr>
        <w:t>$10M Equipment Breakdown sublimit</w:t>
      </w:r>
      <w:r>
        <w:t xml:space="preserve">, which would cap Pinnacle at </w:t>
      </w:r>
      <w:r>
        <w:rPr>
          <w:b/>
        </w:rPr>
        <w:t>$4M</w:t>
      </w:r>
      <w:r>
        <w:t>.</w:t>
      </w:r>
    </w:p>
    <w:p>
      <w:pPr>
        <w:pStyle w:val="ListBullet"/>
        <w:spacing w:after="60"/>
      </w:pPr>
      <w:r>
        <w:rPr>
          <w:b/>
        </w:rPr>
        <w:t>Medium — late notice.</w:t>
      </w:r>
      <w:r>
        <w:t xml:space="preserve"> Pinnacle’s count is correct under the Treaty’s definition of Business Day: the February 7 notice was given on the </w:t>
      </w:r>
      <w:r>
        <w:rPr>
          <w:b/>
        </w:rPr>
        <w:t>17th Business Day</w:t>
      </w:r>
      <w:r>
        <w:t>, two days after the February 5 deadline. But §8.1 is not drafted as a condition precedent, Article XIV (Errors and Omissions) excuses inadvertent delay, and Pinnacle has suffered no identifiable prejudice. This is a weak defence for Pinnacle, but it should be closed off now.</w:t>
      </w:r>
    </w:p>
    <w:p>
      <w:pPr>
        <w:pStyle w:val="ListBullet"/>
        <w:spacing w:after="60"/>
      </w:pPr>
      <w:r>
        <w:rPr>
          <w:b/>
        </w:rPr>
        <w:t>High — claims-handling posture.</w:t>
      </w:r>
      <w:r>
        <w:t xml:space="preserve"> The Treaty’s follow-the-fortunes clause (§8.4) covers underwriting decisions and loss </w:t>
      </w:r>
      <w:r>
        <w:rPr>
          <w:i/>
        </w:rPr>
        <w:t>allocation</w:t>
      </w:r>
      <w:r>
        <w:t>, not settlements. Pinnacle has said in writing that it will challenge quantum. With Pinnacle’s share far above $5M, §8.3 requires prior notice to Pinnacle and an opportunity to comment before any settlement. Every component must be adjusted strictly to the Policy wording and documented.</w:t>
      </w:r>
    </w:p>
    <w:p>
      <w:pPr>
        <w:spacing w:after="120"/>
      </w:pPr>
      <w:r>
        <w:t>Our priority recommendations (detail in Section 8) are: (1) pull the 2024 bordereaux and underwriting file to pin down how this policy’s limit was reported to and accepted by Pinnacle, and build the eligibility response now; (2) re-serve formal notice in Article XIX form, through Ridgeline, with written selection of the 72-hour period under §2.13; (3) make sure the origin-and-cause work describes the ignition as an electrical/mechanical failure of power-distribution equipment, not a failure of a computer or electronic control system, and adjust the fire under Coverages A/B/C rather than the Equipment Breakdown coverage; (4) use the §8.4 allocation right deliberately in presenting the loss; (5) present an interim proof of loss for the undisputed components to trigger §8.5’s 30-day payment and undisputed-amount mechanics; (6) notify Blackwater’s per-risk excess of loss program of the retained gaps; and (7) correct reinsurance-recoverable estimates in reserving and statutory reporting.</w:t>
      </w:r>
    </w:p>
    <w:p>
      <w:pPr>
        <w:pStyle w:val="Heading1"/>
      </w:pPr>
      <w:r>
        <w:t>2. Documents Reviewed and Key Facts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2880"/>
            <w:shd w:val="clear" w:color="auto" w:fill="1F3A5F"/>
          </w:tcPr>
          <w:p>
            <w:r/>
            <w:r>
              <w:rPr>
                <w:b/>
                <w:color w:val="FFFFFF"/>
                <w:sz w:val="18"/>
              </w:rPr>
              <w:t>Document</w:t>
            </w:r>
          </w:p>
        </w:tc>
        <w:tc>
          <w:tcPr>
            <w:tcW w:type="dxa" w:w="6624"/>
            <w:shd w:val="clear" w:color="auto" w:fill="1F3A5F"/>
          </w:tcPr>
          <w:p>
            <w:r/>
            <w:r>
              <w:rPr>
                <w:b/>
                <w:color w:val="FFFFFF"/>
                <w:sz w:val="18"/>
              </w:rPr>
              <w:t>Key content</w:t>
            </w:r>
          </w:p>
        </w:tc>
      </w:tr>
      <w:tr>
        <w:tc>
          <w:tcPr>
            <w:tcW w:type="dxa" w:w="2880"/>
          </w:tcPr>
          <w:p>
            <w:r/>
            <w:r>
              <w:rPr>
                <w:sz w:val="18"/>
              </w:rPr>
              <w:t>Quota Share Reinsurance Treaty PR-QS-2024-0041 (eff. Jan. 1, 2024 – Dec. 31, 2025)</w:t>
            </w:r>
          </w:p>
        </w:tc>
        <w:tc>
          <w:tcPr>
            <w:tcW w:type="dxa" w:w="6624"/>
          </w:tcPr>
          <w:p>
            <w:r/>
            <w:r>
              <w:rPr>
                <w:sz w:val="18"/>
              </w:rPr>
              <w:t xml:space="preserve">40% quota share, risks-attaching, commercial property in OH/IN/KY/WV; $25M per-Occurrence cap; 72-hour clause; 6-month BI limit; sublimit cap (§4.3); $75M eligibility ceiling; broad exclusions (Art. V); Bermuda law and arbitration. </w:t>
            </w:r>
            <w:r>
              <w:rPr>
                <w:b/>
                <w:sz w:val="18"/>
              </w:rPr>
              <w:t>Signature blocks are blank and undated, and the wording still contains a “Right-click to update Table of Contents” artifact.</w:t>
            </w:r>
          </w:p>
        </w:tc>
      </w:tr>
      <w:tr>
        <w:tc>
          <w:tcPr>
            <w:tcW w:type="dxa" w:w="2880"/>
          </w:tcPr>
          <w:p>
            <w:r/>
            <w:r>
              <w:rPr>
                <w:sz w:val="18"/>
              </w:rPr>
              <w:t>Ridgeline Placement Slip RBL/QS/2024-0041 (“Firm Order — Bound,” Dec. 15/20, 2023)</w:t>
            </w:r>
          </w:p>
        </w:tc>
        <w:tc>
          <w:tcPr>
            <w:tcW w:type="dxa" w:w="6624"/>
          </w:tcPr>
          <w:p>
            <w:r/>
            <w:r>
              <w:rPr>
                <w:sz w:val="18"/>
              </w:rPr>
              <w:t>Summarises the terms; “all perils as per underlying policy”; follow the fortunes extends to “adjustment, settlement, and payment of claims”; expiry stated as 12:01 a.m.; notice “through the Intermediary.” States that the Treaty wording prevails over the slip.</w:t>
            </w:r>
          </w:p>
        </w:tc>
      </w:tr>
      <w:tr>
        <w:tc>
          <w:tcPr>
            <w:tcW w:type="dxa" w:w="2880"/>
          </w:tcPr>
          <w:p>
            <w:r/>
            <w:r>
              <w:rPr>
                <w:sz w:val="18"/>
              </w:rPr>
              <w:t>Master Policy BM-CP-2024-07821 (Mar. 1, 2024 – Feb. 28, 2025)</w:t>
            </w:r>
          </w:p>
        </w:tc>
        <w:tc>
          <w:tcPr>
            <w:tcW w:type="dxa" w:w="6624"/>
          </w:tcPr>
          <w:p>
            <w:r/>
            <w:r>
              <w:rPr>
                <w:sz w:val="18"/>
              </w:rPr>
              <w:t>Special Form. A $52M / B $28M / C $18M (12-month indemnity) = $98M Combined Policy Limit; $250K deductible; additional coverages (debris, O&amp;L $4M, EB $10M, flood $5M agg., EQ $3M agg., pollution $500K, FDSC $50K); sue and labor outside limits; terrorism covered (End. 3); waiver of subrogation (End. 4).</w:t>
            </w:r>
          </w:p>
        </w:tc>
      </w:tr>
      <w:tr>
        <w:tc>
          <w:tcPr>
            <w:tcW w:type="dxa" w:w="2880"/>
          </w:tcPr>
          <w:p>
            <w:r/>
            <w:r>
              <w:rPr>
                <w:sz w:val="18"/>
              </w:rPr>
              <w:t>Sentinel Preliminary Loss Report SLA-2025-0142 (Feb. 10, 2025)</w:t>
            </w:r>
          </w:p>
        </w:tc>
        <w:tc>
          <w:tcPr>
            <w:tcW w:type="dxa" w:w="6624"/>
          </w:tcPr>
          <w:p>
            <w:r/>
            <w:r>
              <w:rPr>
                <w:sz w:val="18"/>
              </w:rPr>
              <w:t>Fire Jan. 14, 2025, 2:17 a.m., contained Jan. 16, 4:30 p.m. (about 62 hours); probable cause electrical fault in HV switchgear; total estimated loss stated as $53.12M; restoration about 10 months; BI split $7.4M (months 1–6) / $4.3M (months 7–10).</w:t>
            </w:r>
          </w:p>
        </w:tc>
      </w:tr>
      <w:tr>
        <w:tc>
          <w:tcPr>
            <w:tcW w:type="dxa" w:w="2880"/>
          </w:tcPr>
          <w:p>
            <w:r/>
            <w:r>
              <w:rPr>
                <w:sz w:val="18"/>
              </w:rPr>
              <w:t>Loss notice e-mail chain (Jan. 15 – Feb. 11, 2025)</w:t>
            </w:r>
          </w:p>
        </w:tc>
        <w:tc>
          <w:tcPr>
            <w:tcW w:type="dxa" w:w="6624"/>
          </w:tcPr>
          <w:p>
            <w:r/>
            <w:r>
              <w:rPr>
                <w:sz w:val="18"/>
              </w:rPr>
              <w:t>Insured notice Jan. 15, 2025 (7:42 a.m.); Blackwater notice to Pinnacle Feb. 7, 2025 (by e-mail, cc Ridgeline claims); Pinnacle acknowledgment and reservation of rights Feb. 11, 2025, which raises late notice, exercises the association right, requests six categories of documents, and takes a narrow view of follow the fortunes.</w:t>
            </w:r>
          </w:p>
        </w:tc>
      </w:tr>
    </w:tbl>
    <w:p>
      <w:pPr>
        <w:spacing w:after="40"/>
      </w:pPr>
    </w:p>
    <w:p>
      <w:pPr>
        <w:pStyle w:val="Heading2"/>
      </w:pPr>
      <w:r>
        <w:t>Loss components as estimated by Sentinel</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304"/>
            <w:shd w:val="clear" w:color="auto" w:fill="1F3A5F"/>
          </w:tcPr>
          <w:p>
            <w:r/>
            <w:r>
              <w:rPr>
                <w:b/>
                <w:color w:val="FFFFFF"/>
                <w:sz w:val="18"/>
              </w:rPr>
              <w:t>Component</w:t>
            </w:r>
          </w:p>
        </w:tc>
        <w:tc>
          <w:tcPr>
            <w:tcW w:type="dxa" w:w="1584"/>
            <w:shd w:val="clear" w:color="auto" w:fill="1F3A5F"/>
          </w:tcPr>
          <w:p>
            <w:r/>
            <w:r>
              <w:rPr>
                <w:b/>
                <w:color w:val="FFFFFF"/>
                <w:sz w:val="18"/>
              </w:rPr>
              <w:t>Sentinel estimate</w:t>
            </w:r>
          </w:p>
        </w:tc>
        <w:tc>
          <w:tcPr>
            <w:tcW w:type="dxa" w:w="2592"/>
            <w:shd w:val="clear" w:color="auto" w:fill="1F3A5F"/>
          </w:tcPr>
          <w:p>
            <w:r/>
            <w:r>
              <w:rPr>
                <w:b/>
                <w:color w:val="FFFFFF"/>
                <w:sz w:val="18"/>
              </w:rPr>
              <w:t>Policy treatment</w:t>
            </w:r>
          </w:p>
        </w:tc>
        <w:tc>
          <w:tcPr>
            <w:tcW w:type="dxa" w:w="3024"/>
            <w:shd w:val="clear" w:color="auto" w:fill="1F3A5F"/>
          </w:tcPr>
          <w:p>
            <w:r/>
            <w:r>
              <w:rPr>
                <w:b/>
                <w:color w:val="FFFFFF"/>
                <w:sz w:val="18"/>
              </w:rPr>
              <w:t>Observations</w:t>
            </w:r>
          </w:p>
        </w:tc>
      </w:tr>
      <w:tr>
        <w:tc>
          <w:tcPr>
            <w:tcW w:type="dxa" w:w="2304"/>
          </w:tcPr>
          <w:p>
            <w:r/>
            <w:r>
              <w:rPr>
                <w:sz w:val="18"/>
              </w:rPr>
              <w:t>Building (Cov. A)</w:t>
            </w:r>
          </w:p>
        </w:tc>
        <w:tc>
          <w:tcPr>
            <w:tcW w:type="dxa" w:w="1584"/>
          </w:tcPr>
          <w:p>
            <w:r/>
            <w:r>
              <w:rPr>
                <w:sz w:val="18"/>
              </w:rPr>
              <w:t>$27,800,000</w:t>
            </w:r>
          </w:p>
        </w:tc>
        <w:tc>
          <w:tcPr>
            <w:tcW w:type="dxa" w:w="2592"/>
          </w:tcPr>
          <w:p>
            <w:r/>
            <w:r>
              <w:rPr>
                <w:sz w:val="18"/>
              </w:rPr>
              <w:t>Within $52M limit</w:t>
            </w:r>
          </w:p>
        </w:tc>
        <w:tc>
          <w:tcPr>
            <w:tcW w:type="dxa" w:w="3024"/>
          </w:tcPr>
          <w:p>
            <w:r/>
            <w:r>
              <w:rPr>
                <w:sz w:val="18"/>
              </w:rPr>
              <w:t>Replacement cost; ±10% range ($25.0–30.6M).</w:t>
            </w:r>
          </w:p>
        </w:tc>
      </w:tr>
      <w:tr>
        <w:tc>
          <w:tcPr>
            <w:tcW w:type="dxa" w:w="2304"/>
          </w:tcPr>
          <w:p>
            <w:r/>
            <w:r>
              <w:rPr>
                <w:sz w:val="18"/>
              </w:rPr>
              <w:t>Business personal property (Cov. B)</w:t>
            </w:r>
          </w:p>
        </w:tc>
        <w:tc>
          <w:tcPr>
            <w:tcW w:type="dxa" w:w="1584"/>
          </w:tcPr>
          <w:p>
            <w:r/>
            <w:r>
              <w:rPr>
                <w:sz w:val="18"/>
              </w:rPr>
              <w:t>$6,400,000</w:t>
            </w:r>
          </w:p>
        </w:tc>
        <w:tc>
          <w:tcPr>
            <w:tcW w:type="dxa" w:w="2592"/>
          </w:tcPr>
          <w:p>
            <w:r/>
            <w:r>
              <w:rPr>
                <w:sz w:val="18"/>
              </w:rPr>
              <w:t>Within $28M limit</w:t>
            </w:r>
          </w:p>
        </w:tc>
        <w:tc>
          <w:tcPr>
            <w:tcW w:type="dxa" w:w="3024"/>
          </w:tcPr>
          <w:p>
            <w:r/>
            <w:r>
              <w:rPr>
                <w:sz w:val="18"/>
              </w:rPr>
              <w:t>Includes $3.8M cold-storage stock (own and customer goods); stock is valued at selling price under VII.C, and customer goods only to the extent of legal liability.</w:t>
            </w:r>
          </w:p>
        </w:tc>
      </w:tr>
      <w:tr>
        <w:tc>
          <w:tcPr>
            <w:tcW w:type="dxa" w:w="2304"/>
          </w:tcPr>
          <w:p>
            <w:r/>
            <w:r>
              <w:rPr>
                <w:sz w:val="18"/>
              </w:rPr>
              <w:t>BI months 1–6</w:t>
            </w:r>
          </w:p>
        </w:tc>
        <w:tc>
          <w:tcPr>
            <w:tcW w:type="dxa" w:w="1584"/>
          </w:tcPr>
          <w:p>
            <w:r/>
            <w:r>
              <w:rPr>
                <w:sz w:val="18"/>
              </w:rPr>
              <w:t>$7,400,000</w:t>
            </w:r>
          </w:p>
        </w:tc>
        <w:tc>
          <w:tcPr>
            <w:tcW w:type="dxa" w:w="2592"/>
          </w:tcPr>
          <w:p>
            <w:r/>
            <w:r>
              <w:rPr>
                <w:sz w:val="18"/>
              </w:rPr>
              <w:t>Within $18M / 12 months</w:t>
            </w:r>
          </w:p>
        </w:tc>
        <w:tc>
          <w:tcPr>
            <w:tcW w:type="dxa" w:w="3024"/>
          </w:tcPr>
          <w:p>
            <w:r/>
            <w:r>
              <w:rPr>
                <w:sz w:val="18"/>
              </w:rPr>
              <w:t>Recoverable under Treaty §4.2.</w:t>
            </w:r>
          </w:p>
        </w:tc>
      </w:tr>
      <w:tr>
        <w:tc>
          <w:tcPr>
            <w:tcW w:type="dxa" w:w="2304"/>
          </w:tcPr>
          <w:p>
            <w:r/>
            <w:r>
              <w:rPr>
                <w:sz w:val="18"/>
              </w:rPr>
              <w:t>BI months 7–10</w:t>
            </w:r>
          </w:p>
        </w:tc>
        <w:tc>
          <w:tcPr>
            <w:tcW w:type="dxa" w:w="1584"/>
          </w:tcPr>
          <w:p>
            <w:r/>
            <w:r>
              <w:rPr>
                <w:sz w:val="18"/>
              </w:rPr>
              <w:t>$4,300,000</w:t>
            </w:r>
          </w:p>
        </w:tc>
        <w:tc>
          <w:tcPr>
            <w:tcW w:type="dxa" w:w="2592"/>
          </w:tcPr>
          <w:p>
            <w:r/>
            <w:r>
              <w:rPr>
                <w:sz w:val="18"/>
              </w:rPr>
              <w:t>Within $18M / 12 months</w:t>
            </w:r>
          </w:p>
        </w:tc>
        <w:tc>
          <w:tcPr>
            <w:tcW w:type="dxa" w:w="3024"/>
          </w:tcPr>
          <w:p>
            <w:r/>
            <w:r>
              <w:rPr>
                <w:b/>
                <w:sz w:val="18"/>
              </w:rPr>
              <w:t>Not recoverable under Treaty §4.2.</w:t>
            </w:r>
          </w:p>
        </w:tc>
      </w:tr>
      <w:tr>
        <w:tc>
          <w:tcPr>
            <w:tcW w:type="dxa" w:w="2304"/>
          </w:tcPr>
          <w:p>
            <w:r/>
            <w:r>
              <w:rPr>
                <w:sz w:val="18"/>
              </w:rPr>
              <w:t>Debris removal</w:t>
            </w:r>
          </w:p>
        </w:tc>
        <w:tc>
          <w:tcPr>
            <w:tcW w:type="dxa" w:w="1584"/>
          </w:tcPr>
          <w:p>
            <w:r/>
            <w:r>
              <w:rPr>
                <w:sz w:val="18"/>
              </w:rPr>
              <w:t>$3,100,000</w:t>
            </w:r>
          </w:p>
        </w:tc>
        <w:tc>
          <w:tcPr>
            <w:tcW w:type="dxa" w:w="2592"/>
          </w:tcPr>
          <w:p>
            <w:r/>
            <w:r>
              <w:rPr>
                <w:sz w:val="18"/>
              </w:rPr>
              <w:t>Capped at $2,000,000; additional to A/B limits</w:t>
            </w:r>
          </w:p>
        </w:tc>
        <w:tc>
          <w:tcPr>
            <w:tcW w:type="dxa" w:w="3024"/>
          </w:tcPr>
          <w:p>
            <w:r/>
            <w:r>
              <w:rPr>
                <w:sz w:val="18"/>
              </w:rPr>
              <w:t>$1.1M excess uncovered; includes $500K of hazmat/asbestos costs that the Policy routes to Pollution Cleanup.</w:t>
            </w:r>
          </w:p>
        </w:tc>
      </w:tr>
      <w:tr>
        <w:tc>
          <w:tcPr>
            <w:tcW w:type="dxa" w:w="2304"/>
          </w:tcPr>
          <w:p>
            <w:r/>
            <w:r>
              <w:rPr>
                <w:sz w:val="18"/>
              </w:rPr>
              <w:t>Ordinance or law</w:t>
            </w:r>
          </w:p>
        </w:tc>
        <w:tc>
          <w:tcPr>
            <w:tcW w:type="dxa" w:w="1584"/>
          </w:tcPr>
          <w:p>
            <w:r/>
            <w:r>
              <w:rPr>
                <w:sz w:val="18"/>
              </w:rPr>
              <w:t>$2,800,000</w:t>
            </w:r>
          </w:p>
        </w:tc>
        <w:tc>
          <w:tcPr>
            <w:tcW w:type="dxa" w:w="2592"/>
          </w:tcPr>
          <w:p>
            <w:r/>
            <w:r>
              <w:rPr>
                <w:sz w:val="18"/>
              </w:rPr>
              <w:t>$4M sublimit; additional to Cov. A, within the $98M combined limit</w:t>
            </w:r>
          </w:p>
        </w:tc>
        <w:tc>
          <w:tcPr>
            <w:tcW w:type="dxa" w:w="3024"/>
          </w:tcPr>
          <w:p>
            <w:r/>
            <w:r>
              <w:rPr>
                <w:sz w:val="18"/>
              </w:rPr>
              <w:t>Code-upgrade costs required for a permit; exposed to Treaty §5.6.</w:t>
            </w:r>
          </w:p>
        </w:tc>
      </w:tr>
      <w:tr>
        <w:tc>
          <w:tcPr>
            <w:tcW w:type="dxa" w:w="2304"/>
          </w:tcPr>
          <w:p>
            <w:r/>
            <w:r>
              <w:rPr>
                <w:sz w:val="18"/>
              </w:rPr>
              <w:t>Pollution cleanup</w:t>
            </w:r>
          </w:p>
        </w:tc>
        <w:tc>
          <w:tcPr>
            <w:tcW w:type="dxa" w:w="1584"/>
          </w:tcPr>
          <w:p>
            <w:r/>
            <w:r>
              <w:rPr>
                <w:sz w:val="18"/>
              </w:rPr>
              <w:t>$410,000</w:t>
            </w:r>
          </w:p>
        </w:tc>
        <w:tc>
          <w:tcPr>
            <w:tcW w:type="dxa" w:w="2592"/>
          </w:tcPr>
          <w:p>
            <w:r/>
            <w:r>
              <w:rPr>
                <w:sz w:val="18"/>
              </w:rPr>
              <w:t>$500K sublimit; strict three-part “Sudden and Accidental Discharge” test</w:t>
            </w:r>
          </w:p>
        </w:tc>
        <w:tc>
          <w:tcPr>
            <w:tcW w:type="dxa" w:w="3024"/>
          </w:tcPr>
          <w:p>
            <w:r/>
            <w:r>
              <w:rPr>
                <w:sz w:val="18"/>
              </w:rPr>
              <w:t>Ohio EPA directive still pending; may exceed the sublimit.</w:t>
            </w:r>
          </w:p>
        </w:tc>
      </w:tr>
      <w:tr>
        <w:tc>
          <w:tcPr>
            <w:tcW w:type="dxa" w:w="2304"/>
          </w:tcPr>
          <w:p>
            <w:r/>
            <w:r>
              <w:rPr>
                <w:sz w:val="18"/>
              </w:rPr>
              <w:t>Sue and labor</w:t>
            </w:r>
          </w:p>
        </w:tc>
        <w:tc>
          <w:tcPr>
            <w:tcW w:type="dxa" w:w="1584"/>
          </w:tcPr>
          <w:p>
            <w:r/>
            <w:r>
              <w:rPr>
                <w:sz w:val="18"/>
              </w:rPr>
              <w:t>$890,000</w:t>
            </w:r>
          </w:p>
        </w:tc>
        <w:tc>
          <w:tcPr>
            <w:tcW w:type="dxa" w:w="2592"/>
          </w:tcPr>
          <w:p>
            <w:r/>
            <w:r>
              <w:rPr>
                <w:sz w:val="18"/>
              </w:rPr>
              <w:t>Payable in addition to all limits</w:t>
            </w:r>
          </w:p>
        </w:tc>
        <w:tc>
          <w:tcPr>
            <w:tcW w:type="dxa" w:w="3024"/>
          </w:tcPr>
          <w:p>
            <w:r/>
            <w:r>
              <w:rPr>
                <w:sz w:val="18"/>
              </w:rPr>
              <w:t>Includes $100K of environmental containment and $185K of off-site relocation.</w:t>
            </w:r>
          </w:p>
        </w:tc>
      </w:tr>
      <w:tr>
        <w:tc>
          <w:tcPr>
            <w:tcW w:type="dxa" w:w="2304"/>
          </w:tcPr>
          <w:p>
            <w:r/>
            <w:r>
              <w:rPr>
                <w:b/>
                <w:sz w:val="18"/>
              </w:rPr>
              <w:t>Stated total</w:t>
            </w:r>
          </w:p>
        </w:tc>
        <w:tc>
          <w:tcPr>
            <w:tcW w:type="dxa" w:w="1584"/>
          </w:tcPr>
          <w:p>
            <w:r/>
            <w:r>
              <w:rPr>
                <w:b/>
                <w:sz w:val="18"/>
              </w:rPr>
              <w:t>$53,120,000</w:t>
            </w:r>
          </w:p>
        </w:tc>
        <w:tc>
          <w:tcPr>
            <w:tcW w:type="dxa" w:w="2592"/>
          </w:tcPr>
          <w:p>
            <w:r/>
          </w:p>
        </w:tc>
        <w:tc>
          <w:tcPr>
            <w:tcW w:type="dxa" w:w="3024"/>
          </w:tcPr>
          <w:p>
            <w:r/>
            <w:r>
              <w:rPr>
                <w:b/>
                <w:sz w:val="18"/>
              </w:rPr>
              <w:t>Arithmetic error:</w:t>
            </w:r>
            <w:r>
              <w:rPr>
                <w:sz w:val="18"/>
              </w:rPr>
              <w:t xml:space="preserve"> the components sum to </w:t>
            </w:r>
            <w:r>
              <w:rPr>
                <w:b/>
                <w:sz w:val="18"/>
              </w:rPr>
              <w:t>$53,100,000</w:t>
            </w:r>
            <w:r>
              <w:rPr>
                <w:sz w:val="18"/>
              </w:rPr>
              <w:t>.</w:t>
            </w:r>
          </w:p>
        </w:tc>
      </w:tr>
      <w:tr>
        <w:tc>
          <w:tcPr>
            <w:tcW w:type="dxa" w:w="2304"/>
          </w:tcPr>
          <w:p>
            <w:r/>
            <w:r>
              <w:rPr>
                <w:sz w:val="18"/>
              </w:rPr>
              <w:t>Less deductible</w:t>
            </w:r>
          </w:p>
        </w:tc>
        <w:tc>
          <w:tcPr>
            <w:tcW w:type="dxa" w:w="1584"/>
          </w:tcPr>
          <w:p>
            <w:r/>
            <w:r>
              <w:rPr>
                <w:sz w:val="18"/>
              </w:rPr>
              <w:t>($250,000)</w:t>
            </w:r>
          </w:p>
        </w:tc>
        <w:tc>
          <w:tcPr>
            <w:tcW w:type="dxa" w:w="2592"/>
          </w:tcPr>
          <w:p>
            <w:r/>
          </w:p>
        </w:tc>
        <w:tc>
          <w:tcPr>
            <w:tcW w:type="dxa" w:w="3024"/>
          </w:tcPr>
          <w:p>
            <w:r/>
          </w:p>
        </w:tc>
      </w:tr>
      <w:tr>
        <w:tc>
          <w:tcPr>
            <w:tcW w:type="dxa" w:w="2304"/>
          </w:tcPr>
          <w:p>
            <w:r/>
            <w:r>
              <w:rPr>
                <w:b/>
                <w:sz w:val="18"/>
              </w:rPr>
              <w:t>Policy-correct net (excl. $1.1M debris excess)</w:t>
            </w:r>
          </w:p>
        </w:tc>
        <w:tc>
          <w:tcPr>
            <w:tcW w:type="dxa" w:w="1584"/>
          </w:tcPr>
          <w:p>
            <w:r/>
            <w:r>
              <w:rPr>
                <w:b/>
                <w:sz w:val="18"/>
              </w:rPr>
              <w:t>$51,750,000</w:t>
            </w:r>
          </w:p>
        </w:tc>
        <w:tc>
          <w:tcPr>
            <w:tcW w:type="dxa" w:w="2592"/>
          </w:tcPr>
          <w:p>
            <w:r/>
          </w:p>
        </w:tc>
        <w:tc>
          <w:tcPr>
            <w:tcW w:type="dxa" w:w="3024"/>
          </w:tcPr>
          <w:p>
            <w:r/>
            <w:r>
              <w:rPr>
                <w:sz w:val="18"/>
              </w:rPr>
              <w:t>Sentinel shows $51.77M, which carries its $20K addition error forward.</w:t>
            </w:r>
          </w:p>
        </w:tc>
      </w:tr>
    </w:tbl>
    <w:p>
      <w:pPr>
        <w:spacing w:after="40"/>
      </w:pPr>
    </w:p>
    <w:p>
      <w:pPr>
        <w:pStyle w:val="Heading1"/>
      </w:pPr>
      <w:r>
        <w:t>3. Severity Scale</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1440"/>
            <w:shd w:val="clear" w:color="auto" w:fill="1F3A5F"/>
          </w:tcPr>
          <w:p>
            <w:r/>
            <w:r>
              <w:rPr>
                <w:b/>
                <w:color w:val="FFFFFF"/>
                <w:sz w:val="18"/>
              </w:rPr>
              <w:t>Rating</w:t>
            </w:r>
          </w:p>
        </w:tc>
        <w:tc>
          <w:tcPr>
            <w:tcW w:type="dxa" w:w="8064"/>
            <w:shd w:val="clear" w:color="auto" w:fill="1F3A5F"/>
          </w:tcPr>
          <w:p>
            <w:r/>
            <w:r>
              <w:rPr>
                <w:b/>
                <w:color w:val="FFFFFF"/>
                <w:sz w:val="18"/>
              </w:rPr>
              <w:t>Meaning</w:t>
            </w:r>
          </w:p>
        </w:tc>
      </w:tr>
      <w:tr>
        <w:tc>
          <w:tcPr>
            <w:tcW w:type="dxa" w:w="1440"/>
            <w:shd w:val="clear" w:color="auto" w:fill="C00000"/>
          </w:tcPr>
          <w:p>
            <w:r>
              <w:rPr>
                <w:b/>
                <w:color w:val="FFFFFF"/>
              </w:rPr>
            </w:r>
            <w:r>
              <w:rPr>
                <w:b/>
                <w:color w:val="FFFFFF"/>
                <w:sz w:val="18"/>
              </w:rPr>
              <w:t>Critical</w:t>
            </w:r>
          </w:p>
        </w:tc>
        <w:tc>
          <w:tcPr>
            <w:tcW w:type="dxa" w:w="8064"/>
          </w:tcPr>
          <w:p>
            <w:r/>
            <w:r>
              <w:rPr>
                <w:sz w:val="18"/>
              </w:rPr>
              <w:t>Could defeat or substantially defeat recovery on the Summit Ridge loss (more than $10M ceded at stake), or a defect affecting the whole Treaty.</w:t>
            </w:r>
          </w:p>
        </w:tc>
      </w:tr>
      <w:tr>
        <w:tc>
          <w:tcPr>
            <w:tcW w:type="dxa" w:w="1440"/>
            <w:shd w:val="clear" w:color="auto" w:fill="E46C0A"/>
          </w:tcPr>
          <w:p>
            <w:r>
              <w:rPr>
                <w:b/>
                <w:color w:val="FFFFFF"/>
              </w:rPr>
            </w:r>
            <w:r>
              <w:rPr>
                <w:b/>
                <w:color w:val="FFFFFF"/>
                <w:sz w:val="18"/>
              </w:rPr>
              <w:t>High</w:t>
            </w:r>
          </w:p>
        </w:tc>
        <w:tc>
          <w:tcPr>
            <w:tcW w:type="dxa" w:w="8064"/>
          </w:tcPr>
          <w:p>
            <w:r/>
            <w:r>
              <w:rPr>
                <w:sz w:val="18"/>
              </w:rPr>
              <w:t>Material, identifiable exposure (about $1M or more ceded), or a dispute that is likely and that Pinnacle has already signalled.</w:t>
            </w:r>
          </w:p>
        </w:tc>
      </w:tr>
      <w:tr>
        <w:tc>
          <w:tcPr>
            <w:tcW w:type="dxa" w:w="1440"/>
            <w:shd w:val="clear" w:color="auto" w:fill="BF9000"/>
          </w:tcPr>
          <w:p>
            <w:r>
              <w:rPr>
                <w:b/>
                <w:color w:val="FFFFFF"/>
              </w:rPr>
            </w:r>
            <w:r>
              <w:rPr>
                <w:b/>
                <w:color w:val="FFFFFF"/>
                <w:sz w:val="18"/>
              </w:rPr>
              <w:t>Medium</w:t>
            </w:r>
          </w:p>
        </w:tc>
        <w:tc>
          <w:tcPr>
            <w:tcW w:type="dxa" w:w="8064"/>
          </w:tcPr>
          <w:p>
            <w:r/>
            <w:r>
              <w:rPr>
                <w:sz w:val="18"/>
              </w:rPr>
              <w:t>Contingent or moderate exposure (under $1M ceded), or a procedural risk that prompt action can cure.</w:t>
            </w:r>
          </w:p>
        </w:tc>
      </w:tr>
      <w:tr>
        <w:tc>
          <w:tcPr>
            <w:tcW w:type="dxa" w:w="1440"/>
            <w:shd w:val="clear" w:color="auto" w:fill="548235"/>
          </w:tcPr>
          <w:p>
            <w:r>
              <w:rPr>
                <w:b/>
                <w:color w:val="FFFFFF"/>
              </w:rPr>
            </w:r>
            <w:r>
              <w:rPr>
                <w:b/>
                <w:color w:val="FFFFFF"/>
                <w:sz w:val="18"/>
              </w:rPr>
              <w:t>Low</w:t>
            </w:r>
          </w:p>
        </w:tc>
        <w:tc>
          <w:tcPr>
            <w:tcW w:type="dxa" w:w="8064"/>
          </w:tcPr>
          <w:p>
            <w:r/>
            <w:r>
              <w:rPr>
                <w:sz w:val="18"/>
              </w:rPr>
              <w:t>Drafting or housekeeping issue, or a portfolio item with a remote impact on the current loss.</w:t>
            </w:r>
          </w:p>
        </w:tc>
      </w:tr>
    </w:tbl>
    <w:p>
      <w:pPr>
        <w:spacing w:after="40"/>
      </w:pPr>
    </w:p>
    <w:p>
      <w:pPr>
        <w:pStyle w:val="Heading1"/>
      </w:pPr>
      <w:r>
        <w:t>4. Gap Register — Summit Ridge Loss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rPr>
          <w:tblHeader w:val="true"/>
        </w:trPr>
        <w:tc>
          <w:tcPr>
            <w:tcW w:type="dxa" w:w="432"/>
            <w:shd w:val="clear" w:color="auto" w:fill="1F3A5F"/>
          </w:tcPr>
          <w:p>
            <w:r/>
            <w:r>
              <w:rPr>
                <w:b/>
                <w:color w:val="FFFFFF"/>
                <w:sz w:val="16"/>
              </w:rPr>
              <w:t>#</w:t>
            </w:r>
          </w:p>
        </w:tc>
        <w:tc>
          <w:tcPr>
            <w:tcW w:type="dxa" w:w="2304"/>
            <w:shd w:val="clear" w:color="auto" w:fill="1F3A5F"/>
          </w:tcPr>
          <w:p>
            <w:r/>
            <w:r>
              <w:rPr>
                <w:b/>
                <w:color w:val="FFFFFF"/>
                <w:sz w:val="16"/>
              </w:rPr>
              <w:t>Gap / risk</w:t>
            </w:r>
          </w:p>
        </w:tc>
        <w:tc>
          <w:tcPr>
            <w:tcW w:type="dxa" w:w="2016"/>
            <w:shd w:val="clear" w:color="auto" w:fill="1F3A5F"/>
          </w:tcPr>
          <w:p>
            <w:r/>
            <w:r>
              <w:rPr>
                <w:b/>
                <w:color w:val="FFFFFF"/>
                <w:sz w:val="16"/>
              </w:rPr>
              <w:t>Policy</w:t>
            </w:r>
          </w:p>
        </w:tc>
        <w:tc>
          <w:tcPr>
            <w:tcW w:type="dxa" w:w="2160"/>
            <w:shd w:val="clear" w:color="auto" w:fill="1F3A5F"/>
          </w:tcPr>
          <w:p>
            <w:r/>
            <w:r>
              <w:rPr>
                <w:b/>
                <w:color w:val="FFFFFF"/>
                <w:sz w:val="16"/>
              </w:rPr>
              <w:t>Treaty / Slip</w:t>
            </w:r>
          </w:p>
        </w:tc>
        <w:tc>
          <w:tcPr>
            <w:tcW w:type="dxa" w:w="1440"/>
            <w:shd w:val="clear" w:color="auto" w:fill="1F3A5F"/>
          </w:tcPr>
          <w:p>
            <w:r/>
            <w:r>
              <w:rPr>
                <w:b/>
                <w:color w:val="FFFFFF"/>
                <w:sz w:val="16"/>
              </w:rPr>
              <w:t>Ceded $ at risk</w:t>
            </w:r>
          </w:p>
        </w:tc>
        <w:tc>
          <w:tcPr>
            <w:tcW w:type="dxa" w:w="1152"/>
            <w:shd w:val="clear" w:color="auto" w:fill="1F3A5F"/>
          </w:tcPr>
          <w:p>
            <w:r/>
            <w:r>
              <w:rPr>
                <w:b/>
                <w:color w:val="FFFFFF"/>
                <w:sz w:val="16"/>
              </w:rPr>
              <w:t>Severity</w:t>
            </w:r>
          </w:p>
        </w:tc>
      </w:tr>
      <w:tr>
        <w:tc>
          <w:tcPr>
            <w:tcW w:type="dxa" w:w="432"/>
          </w:tcPr>
          <w:p>
            <w:r/>
            <w:r>
              <w:rPr>
                <w:sz w:val="16"/>
              </w:rPr>
              <w:t>1</w:t>
            </w:r>
          </w:p>
        </w:tc>
        <w:tc>
          <w:tcPr>
            <w:tcW w:type="dxa" w:w="2304"/>
          </w:tcPr>
          <w:p>
            <w:r/>
            <w:r>
              <w:rPr>
                <w:sz w:val="16"/>
              </w:rPr>
              <w:t>Policy may fall outside Treaty-Eligible Lines ($98M combined limit vs. $75M ceiling)</w:t>
            </w:r>
          </w:p>
        </w:tc>
        <w:tc>
          <w:tcPr>
            <w:tcW w:type="dxa" w:w="2016"/>
          </w:tcPr>
          <w:p>
            <w:r/>
            <w:r>
              <w:rPr>
                <w:sz w:val="16"/>
              </w:rPr>
              <w:t>Decl.: $98M Combined Policy Limit; additional coverages payable above it</w:t>
            </w:r>
          </w:p>
        </w:tc>
        <w:tc>
          <w:tcPr>
            <w:tcW w:type="dxa" w:w="2160"/>
          </w:tcPr>
          <w:p>
            <w:r/>
            <w:r>
              <w:rPr>
                <w:sz w:val="16"/>
              </w:rPr>
              <w:t>§§2.17, 2.20, 4.4; Slip §§4, 6</w:t>
            </w:r>
          </w:p>
        </w:tc>
        <w:tc>
          <w:tcPr>
            <w:tcW w:type="dxa" w:w="1440"/>
          </w:tcPr>
          <w:p>
            <w:r/>
            <w:r>
              <w:rPr>
                <w:sz w:val="16"/>
              </w:rPr>
              <w:t>Entire recovery (~$16.5–19.0M)</w:t>
            </w:r>
          </w:p>
        </w:tc>
        <w:tc>
          <w:tcPr>
            <w:tcW w:type="dxa" w:w="1152"/>
            <w:shd w:val="clear" w:color="auto" w:fill="C00000"/>
          </w:tcPr>
          <w:p>
            <w:r>
              <w:rPr>
                <w:b/>
                <w:color w:val="FFFFFF"/>
              </w:rPr>
            </w:r>
            <w:r>
              <w:rPr>
                <w:b/>
                <w:color w:val="FFFFFF"/>
                <w:sz w:val="16"/>
              </w:rPr>
              <w:t>Critical</w:t>
            </w:r>
          </w:p>
        </w:tc>
      </w:tr>
      <w:tr>
        <w:tc>
          <w:tcPr>
            <w:tcW w:type="dxa" w:w="432"/>
          </w:tcPr>
          <w:p>
            <w:r/>
            <w:r>
              <w:rPr>
                <w:sz w:val="16"/>
              </w:rPr>
              <w:t>2</w:t>
            </w:r>
          </w:p>
        </w:tc>
        <w:tc>
          <w:tcPr>
            <w:tcW w:type="dxa" w:w="2304"/>
          </w:tcPr>
          <w:p>
            <w:r/>
            <w:r>
              <w:rPr>
                <w:sz w:val="16"/>
              </w:rPr>
              <w:t>Cyber/electronic exclusion triggered by electrical/switchgear origin</w:t>
            </w:r>
          </w:p>
        </w:tc>
        <w:tc>
          <w:tcPr>
            <w:tcW w:type="dxa" w:w="2016"/>
          </w:tcPr>
          <w:p>
            <w:r/>
            <w:r>
              <w:rPr>
                <w:sz w:val="16"/>
              </w:rPr>
              <w:t>V.A.6 carves back ensuing physical damage</w:t>
            </w:r>
          </w:p>
        </w:tc>
        <w:tc>
          <w:tcPr>
            <w:tcW w:type="dxa" w:w="2160"/>
          </w:tcPr>
          <w:p>
            <w:r/>
            <w:r>
              <w:rPr>
                <w:sz w:val="16"/>
              </w:rPr>
              <w:t>§5.2(d): “failure of any … electronic device,” anti-concurrent wording, no carve-back</w:t>
            </w:r>
          </w:p>
        </w:tc>
        <w:tc>
          <w:tcPr>
            <w:tcW w:type="dxa" w:w="1440"/>
          </w:tcPr>
          <w:p>
            <w:r/>
            <w:r>
              <w:rPr>
                <w:sz w:val="16"/>
              </w:rPr>
              <w:t>Entire recovery (contingent on final cause)</w:t>
            </w:r>
          </w:p>
        </w:tc>
        <w:tc>
          <w:tcPr>
            <w:tcW w:type="dxa" w:w="1152"/>
            <w:shd w:val="clear" w:color="auto" w:fill="E46C0A"/>
          </w:tcPr>
          <w:p>
            <w:r>
              <w:rPr>
                <w:b/>
                <w:color w:val="FFFFFF"/>
              </w:rPr>
            </w:r>
            <w:r>
              <w:rPr>
                <w:b/>
                <w:color w:val="FFFFFF"/>
                <w:sz w:val="16"/>
              </w:rPr>
              <w:t>High</w:t>
            </w:r>
          </w:p>
        </w:tc>
      </w:tr>
      <w:tr>
        <w:tc>
          <w:tcPr>
            <w:tcW w:type="dxa" w:w="432"/>
          </w:tcPr>
          <w:p>
            <w:r/>
            <w:r>
              <w:rPr>
                <w:sz w:val="16"/>
              </w:rPr>
              <w:t>3</w:t>
            </w:r>
          </w:p>
        </w:tc>
        <w:tc>
          <w:tcPr>
            <w:tcW w:type="dxa" w:w="2304"/>
          </w:tcPr>
          <w:p>
            <w:r/>
            <w:r>
              <w:rPr>
                <w:sz w:val="16"/>
              </w:rPr>
              <w:t>Loss recast as Equipment Breakdown, triggering the sublimit cap</w:t>
            </w:r>
          </w:p>
        </w:tc>
        <w:tc>
          <w:tcPr>
            <w:tcW w:type="dxa" w:w="2016"/>
          </w:tcPr>
          <w:p>
            <w:r/>
            <w:r>
              <w:rPr>
                <w:sz w:val="16"/>
              </w:rPr>
              <w:t>II.D / End. 1: EB $10M sublimit, “in addition to” Cov. A; ensuing fire covered under A/B</w:t>
            </w:r>
          </w:p>
        </w:tc>
        <w:tc>
          <w:tcPr>
            <w:tcW w:type="dxa" w:w="2160"/>
          </w:tcPr>
          <w:p>
            <w:r/>
            <w:r>
              <w:rPr>
                <w:sz w:val="16"/>
              </w:rPr>
              <w:t>§4.3: liability ≤ 40% of applicable sublimit</w:t>
            </w:r>
          </w:p>
        </w:tc>
        <w:tc>
          <w:tcPr>
            <w:tcW w:type="dxa" w:w="1440"/>
          </w:tcPr>
          <w:p>
            <w:r/>
            <w:r>
              <w:rPr>
                <w:sz w:val="16"/>
              </w:rPr>
              <w:t>Cap at $4.0M (≈$15M reduction)</w:t>
            </w:r>
          </w:p>
        </w:tc>
        <w:tc>
          <w:tcPr>
            <w:tcW w:type="dxa" w:w="1152"/>
            <w:shd w:val="clear" w:color="auto" w:fill="E46C0A"/>
          </w:tcPr>
          <w:p>
            <w:r>
              <w:rPr>
                <w:b/>
                <w:color w:val="FFFFFF"/>
              </w:rPr>
            </w:r>
            <w:r>
              <w:rPr>
                <w:b/>
                <w:color w:val="FFFFFF"/>
                <w:sz w:val="16"/>
              </w:rPr>
              <w:t>High</w:t>
            </w:r>
          </w:p>
        </w:tc>
      </w:tr>
      <w:tr>
        <w:tc>
          <w:tcPr>
            <w:tcW w:type="dxa" w:w="432"/>
          </w:tcPr>
          <w:p>
            <w:r/>
            <w:r>
              <w:rPr>
                <w:sz w:val="16"/>
              </w:rPr>
              <w:t>4</w:t>
            </w:r>
          </w:p>
        </w:tc>
        <w:tc>
          <w:tcPr>
            <w:tcW w:type="dxa" w:w="2304"/>
          </w:tcPr>
          <w:p>
            <w:r/>
            <w:r>
              <w:rPr>
                <w:sz w:val="16"/>
              </w:rPr>
              <w:t>BI indemnity period mismatch</w:t>
            </w:r>
          </w:p>
        </w:tc>
        <w:tc>
          <w:tcPr>
            <w:tcW w:type="dxa" w:w="2016"/>
          </w:tcPr>
          <w:p>
            <w:r/>
            <w:r>
              <w:rPr>
                <w:sz w:val="16"/>
              </w:rPr>
              <w:t>12 months + 60-day Extended BI</w:t>
            </w:r>
          </w:p>
        </w:tc>
        <w:tc>
          <w:tcPr>
            <w:tcW w:type="dxa" w:w="2160"/>
          </w:tcPr>
          <w:p>
            <w:r/>
            <w:r>
              <w:rPr>
                <w:sz w:val="16"/>
              </w:rPr>
              <w:t>§4.2: 6 months from date of Occurrence</w:t>
            </w:r>
          </w:p>
        </w:tc>
        <w:tc>
          <w:tcPr>
            <w:tcW w:type="dxa" w:w="1440"/>
          </w:tcPr>
          <w:p>
            <w:r/>
            <w:r>
              <w:rPr>
                <w:sz w:val="16"/>
              </w:rPr>
              <w:t>$1.72M certain; more if delay</w:t>
            </w:r>
          </w:p>
        </w:tc>
        <w:tc>
          <w:tcPr>
            <w:tcW w:type="dxa" w:w="1152"/>
            <w:shd w:val="clear" w:color="auto" w:fill="E46C0A"/>
          </w:tcPr>
          <w:p>
            <w:r>
              <w:rPr>
                <w:b/>
                <w:color w:val="FFFFFF"/>
              </w:rPr>
            </w:r>
            <w:r>
              <w:rPr>
                <w:b/>
                <w:color w:val="FFFFFF"/>
                <w:sz w:val="16"/>
              </w:rPr>
              <w:t>High</w:t>
            </w:r>
          </w:p>
        </w:tc>
      </w:tr>
      <w:tr>
        <w:tc>
          <w:tcPr>
            <w:tcW w:type="dxa" w:w="432"/>
          </w:tcPr>
          <w:p>
            <w:r/>
            <w:r>
              <w:rPr>
                <w:sz w:val="16"/>
              </w:rPr>
              <w:t>5</w:t>
            </w:r>
          </w:p>
        </w:tc>
        <w:tc>
          <w:tcPr>
            <w:tcW w:type="dxa" w:w="2304"/>
          </w:tcPr>
          <w:p>
            <w:r/>
            <w:r>
              <w:rPr>
                <w:sz w:val="16"/>
              </w:rPr>
              <w:t>Ordinance or Law vs. Governmental Action exclusion</w:t>
            </w:r>
          </w:p>
        </w:tc>
        <w:tc>
          <w:tcPr>
            <w:tcW w:type="dxa" w:w="2016"/>
          </w:tcPr>
          <w:p>
            <w:r/>
            <w:r>
              <w:rPr>
                <w:sz w:val="16"/>
              </w:rPr>
              <w:t>II.B, End. 2 ($4M); V.A.3 expressly preserves building-code losses</w:t>
            </w:r>
          </w:p>
        </w:tc>
        <w:tc>
          <w:tcPr>
            <w:tcW w:type="dxa" w:w="2160"/>
          </w:tcPr>
          <w:p>
            <w:r/>
            <w:r>
              <w:rPr>
                <w:sz w:val="16"/>
              </w:rPr>
              <w:t>§5.6: any “regulation … or mandate” of any authority, “regardless of” policy coverage</w:t>
            </w:r>
          </w:p>
        </w:tc>
        <w:tc>
          <w:tcPr>
            <w:tcW w:type="dxa" w:w="1440"/>
          </w:tcPr>
          <w:p>
            <w:r/>
            <w:r>
              <w:rPr>
                <w:sz w:val="16"/>
              </w:rPr>
              <w:t>$1.12M (up to $1.6M)</w:t>
            </w:r>
          </w:p>
        </w:tc>
        <w:tc>
          <w:tcPr>
            <w:tcW w:type="dxa" w:w="1152"/>
            <w:shd w:val="clear" w:color="auto" w:fill="E46C0A"/>
          </w:tcPr>
          <w:p>
            <w:r>
              <w:rPr>
                <w:b/>
                <w:color w:val="FFFFFF"/>
              </w:rPr>
            </w:r>
            <w:r>
              <w:rPr>
                <w:b/>
                <w:color w:val="FFFFFF"/>
                <w:sz w:val="16"/>
              </w:rPr>
              <w:t>High</w:t>
            </w:r>
          </w:p>
        </w:tc>
      </w:tr>
      <w:tr>
        <w:tc>
          <w:tcPr>
            <w:tcW w:type="dxa" w:w="432"/>
          </w:tcPr>
          <w:p>
            <w:r/>
            <w:r>
              <w:rPr>
                <w:sz w:val="16"/>
              </w:rPr>
              <w:t>6</w:t>
            </w:r>
          </w:p>
        </w:tc>
        <w:tc>
          <w:tcPr>
            <w:tcW w:type="dxa" w:w="2304"/>
          </w:tcPr>
          <w:p>
            <w:r/>
            <w:r>
              <w:rPr>
                <w:sz w:val="16"/>
              </w:rPr>
              <w:t>“Additional to limits” coverages not in Subject Premium</w:t>
            </w:r>
          </w:p>
        </w:tc>
        <w:tc>
          <w:tcPr>
            <w:tcW w:type="dxa" w:w="2016"/>
          </w:tcPr>
          <w:p>
            <w:r/>
            <w:r>
              <w:rPr>
                <w:sz w:val="16"/>
              </w:rPr>
              <w:t>Debris (II.A), S&amp;L (III), FDSC (II.E) payable over limits</w:t>
            </w:r>
          </w:p>
        </w:tc>
        <w:tc>
          <w:tcPr>
            <w:tcW w:type="dxa" w:w="2160"/>
          </w:tcPr>
          <w:p>
            <w:r/>
            <w:r>
              <w:rPr>
                <w:sz w:val="16"/>
              </w:rPr>
              <w:t>§§2.16, 6.1; Sched. A note; silent on loss cession</w:t>
            </w:r>
          </w:p>
        </w:tc>
        <w:tc>
          <w:tcPr>
            <w:tcW w:type="dxa" w:w="1440"/>
          </w:tcPr>
          <w:p>
            <w:r/>
            <w:r>
              <w:rPr>
                <w:sz w:val="16"/>
              </w:rPr>
              <w:t>$1.16M (+$20K if FDSC claimed)</w:t>
            </w:r>
          </w:p>
        </w:tc>
        <w:tc>
          <w:tcPr>
            <w:tcW w:type="dxa" w:w="1152"/>
            <w:shd w:val="clear" w:color="auto" w:fill="E46C0A"/>
          </w:tcPr>
          <w:p>
            <w:r>
              <w:rPr>
                <w:b/>
                <w:color w:val="FFFFFF"/>
              </w:rPr>
            </w:r>
            <w:r>
              <w:rPr>
                <w:b/>
                <w:color w:val="FFFFFF"/>
                <w:sz w:val="16"/>
              </w:rPr>
              <w:t>High</w:t>
            </w:r>
          </w:p>
        </w:tc>
      </w:tr>
      <w:tr>
        <w:tc>
          <w:tcPr>
            <w:tcW w:type="dxa" w:w="432"/>
          </w:tcPr>
          <w:p>
            <w:r/>
            <w:r>
              <w:rPr>
                <w:sz w:val="16"/>
              </w:rPr>
              <w:t>7</w:t>
            </w:r>
          </w:p>
        </w:tc>
        <w:tc>
          <w:tcPr>
            <w:tcW w:type="dxa" w:w="2304"/>
          </w:tcPr>
          <w:p>
            <w:r/>
            <w:r>
              <w:rPr>
                <w:sz w:val="16"/>
              </w:rPr>
              <w:t>Narrow follow the fortunes; settlement consultation; quantum challenge</w:t>
            </w:r>
          </w:p>
        </w:tc>
        <w:tc>
          <w:tcPr>
            <w:tcW w:type="dxa" w:w="2016"/>
          </w:tcPr>
          <w:p>
            <w:r/>
            <w:r>
              <w:rPr>
                <w:sz w:val="16"/>
              </w:rPr>
              <w:t>—</w:t>
            </w:r>
          </w:p>
        </w:tc>
        <w:tc>
          <w:tcPr>
            <w:tcW w:type="dxa" w:w="2160"/>
          </w:tcPr>
          <w:p>
            <w:r/>
            <w:r>
              <w:rPr>
                <w:sz w:val="16"/>
              </w:rPr>
              <w:t>§8.4 (no follow-the-settlements); §8.3 (&gt;$5M share); Slip §11 broader</w:t>
            </w:r>
          </w:p>
        </w:tc>
        <w:tc>
          <w:tcPr>
            <w:tcW w:type="dxa" w:w="1440"/>
          </w:tcPr>
          <w:p>
            <w:r/>
            <w:r>
              <w:rPr>
                <w:sz w:val="16"/>
              </w:rPr>
              <w:t>All components</w:t>
            </w:r>
          </w:p>
        </w:tc>
        <w:tc>
          <w:tcPr>
            <w:tcW w:type="dxa" w:w="1152"/>
            <w:shd w:val="clear" w:color="auto" w:fill="E46C0A"/>
          </w:tcPr>
          <w:p>
            <w:r>
              <w:rPr>
                <w:b/>
                <w:color w:val="FFFFFF"/>
              </w:rPr>
            </w:r>
            <w:r>
              <w:rPr>
                <w:b/>
                <w:color w:val="FFFFFF"/>
                <w:sz w:val="16"/>
              </w:rPr>
              <w:t>High</w:t>
            </w:r>
          </w:p>
        </w:tc>
      </w:tr>
      <w:tr>
        <w:tc>
          <w:tcPr>
            <w:tcW w:type="dxa" w:w="432"/>
          </w:tcPr>
          <w:p>
            <w:r/>
            <w:r>
              <w:rPr>
                <w:sz w:val="16"/>
              </w:rPr>
              <w:t>8</w:t>
            </w:r>
          </w:p>
        </w:tc>
        <w:tc>
          <w:tcPr>
            <w:tcW w:type="dxa" w:w="2304"/>
          </w:tcPr>
          <w:p>
            <w:r/>
            <w:r>
              <w:rPr>
                <w:sz w:val="16"/>
              </w:rPr>
              <w:t>Late notice under §8.1</w:t>
            </w:r>
          </w:p>
        </w:tc>
        <w:tc>
          <w:tcPr>
            <w:tcW w:type="dxa" w:w="2016"/>
          </w:tcPr>
          <w:p>
            <w:r/>
            <w:r>
              <w:rPr>
                <w:sz w:val="16"/>
              </w:rPr>
              <w:t>Insured notice Jan. 15, 2025</w:t>
            </w:r>
          </w:p>
        </w:tc>
        <w:tc>
          <w:tcPr>
            <w:tcW w:type="dxa" w:w="2160"/>
          </w:tcPr>
          <w:p>
            <w:r/>
            <w:r>
              <w:rPr>
                <w:sz w:val="16"/>
              </w:rPr>
              <w:t>15 Business Days; notice Feb. 7 = BD 17</w:t>
            </w:r>
          </w:p>
        </w:tc>
        <w:tc>
          <w:tcPr>
            <w:tcW w:type="dxa" w:w="1440"/>
          </w:tcPr>
          <w:p>
            <w:r/>
            <w:r>
              <w:rPr>
                <w:sz w:val="16"/>
              </w:rPr>
              <w:t>Low if prejudice is required; reservation outstanding</w:t>
            </w:r>
          </w:p>
        </w:tc>
        <w:tc>
          <w:tcPr>
            <w:tcW w:type="dxa" w:w="1152"/>
            <w:shd w:val="clear" w:color="auto" w:fill="BF9000"/>
          </w:tcPr>
          <w:p>
            <w:r>
              <w:rPr>
                <w:b/>
                <w:color w:val="FFFFFF"/>
              </w:rPr>
            </w:r>
            <w:r>
              <w:rPr>
                <w:b/>
                <w:color w:val="FFFFFF"/>
                <w:sz w:val="16"/>
              </w:rPr>
              <w:t>Medium</w:t>
            </w:r>
          </w:p>
        </w:tc>
      </w:tr>
      <w:tr>
        <w:tc>
          <w:tcPr>
            <w:tcW w:type="dxa" w:w="432"/>
          </w:tcPr>
          <w:p>
            <w:r/>
            <w:r>
              <w:rPr>
                <w:sz w:val="16"/>
              </w:rPr>
              <w:t>9</w:t>
            </w:r>
          </w:p>
        </w:tc>
        <w:tc>
          <w:tcPr>
            <w:tcW w:type="dxa" w:w="2304"/>
          </w:tcPr>
          <w:p>
            <w:r/>
            <w:r>
              <w:rPr>
                <w:sz w:val="16"/>
              </w:rPr>
              <w:t>Notice form and channel; mis-cited articles; unexecuted wording</w:t>
            </w:r>
          </w:p>
        </w:tc>
        <w:tc>
          <w:tcPr>
            <w:tcW w:type="dxa" w:w="2016"/>
          </w:tcPr>
          <w:p>
            <w:r/>
            <w:r>
              <w:rPr>
                <w:sz w:val="16"/>
              </w:rPr>
              <w:t>—</w:t>
            </w:r>
          </w:p>
        </w:tc>
        <w:tc>
          <w:tcPr>
            <w:tcW w:type="dxa" w:w="2160"/>
          </w:tcPr>
          <w:p>
            <w:r/>
            <w:r>
              <w:rPr>
                <w:sz w:val="16"/>
              </w:rPr>
              <w:t>Art. XIX (no e-mail); Slip §§11, 17 (through the Intermediary); signature blocks blank</w:t>
            </w:r>
          </w:p>
        </w:tc>
        <w:tc>
          <w:tcPr>
            <w:tcW w:type="dxa" w:w="1440"/>
          </w:tcPr>
          <w:p>
            <w:r/>
            <w:r>
              <w:rPr>
                <w:sz w:val="16"/>
              </w:rPr>
              <w:t>Procedural</w:t>
            </w:r>
          </w:p>
        </w:tc>
        <w:tc>
          <w:tcPr>
            <w:tcW w:type="dxa" w:w="1152"/>
            <w:shd w:val="clear" w:color="auto" w:fill="BF9000"/>
          </w:tcPr>
          <w:p>
            <w:r>
              <w:rPr>
                <w:b/>
                <w:color w:val="FFFFFF"/>
              </w:rPr>
            </w:r>
            <w:r>
              <w:rPr>
                <w:b/>
                <w:color w:val="FFFFFF"/>
                <w:sz w:val="16"/>
              </w:rPr>
              <w:t>Medium</w:t>
            </w:r>
          </w:p>
        </w:tc>
      </w:tr>
      <w:tr>
        <w:tc>
          <w:tcPr>
            <w:tcW w:type="dxa" w:w="432"/>
          </w:tcPr>
          <w:p>
            <w:r/>
            <w:r>
              <w:rPr>
                <w:sz w:val="16"/>
              </w:rPr>
              <w:t>10</w:t>
            </w:r>
          </w:p>
        </w:tc>
        <w:tc>
          <w:tcPr>
            <w:tcW w:type="dxa" w:w="2304"/>
          </w:tcPr>
          <w:p>
            <w:r/>
            <w:r>
              <w:rPr>
                <w:sz w:val="16"/>
              </w:rPr>
              <w:t>Pollution cleanup: S&amp;A test, Ohio EPA directive, sublimit cap</w:t>
            </w:r>
          </w:p>
        </w:tc>
        <w:tc>
          <w:tcPr>
            <w:tcW w:type="dxa" w:w="2016"/>
          </w:tcPr>
          <w:p>
            <w:r/>
            <w:r>
              <w:rPr>
                <w:sz w:val="16"/>
              </w:rPr>
              <w:t>II.C, V.B, VI.7 (strict three-part test); $500K</w:t>
            </w:r>
          </w:p>
        </w:tc>
        <w:tc>
          <w:tcPr>
            <w:tcW w:type="dxa" w:w="2160"/>
          </w:tcPr>
          <w:p>
            <w:r/>
            <w:r>
              <w:rPr>
                <w:sz w:val="16"/>
              </w:rPr>
              <w:t>§5.4(b) S&amp;A exception “on the facts,” no broader than the policy; §§4.3, 5.6</w:t>
            </w:r>
          </w:p>
        </w:tc>
        <w:tc>
          <w:tcPr>
            <w:tcW w:type="dxa" w:w="1440"/>
          </w:tcPr>
          <w:p>
            <w:r/>
            <w:r>
              <w:rPr>
                <w:sz w:val="16"/>
              </w:rPr>
              <w:t>$164K now; capped at $200K</w:t>
            </w:r>
          </w:p>
        </w:tc>
        <w:tc>
          <w:tcPr>
            <w:tcW w:type="dxa" w:w="1152"/>
            <w:shd w:val="clear" w:color="auto" w:fill="BF9000"/>
          </w:tcPr>
          <w:p>
            <w:r>
              <w:rPr>
                <w:b/>
                <w:color w:val="FFFFFF"/>
              </w:rPr>
            </w:r>
            <w:r>
              <w:rPr>
                <w:b/>
                <w:color w:val="FFFFFF"/>
                <w:sz w:val="16"/>
              </w:rPr>
              <w:t>Medium</w:t>
            </w:r>
          </w:p>
        </w:tc>
      </w:tr>
      <w:tr>
        <w:tc>
          <w:tcPr>
            <w:tcW w:type="dxa" w:w="432"/>
          </w:tcPr>
          <w:p>
            <w:r/>
            <w:r>
              <w:rPr>
                <w:sz w:val="16"/>
              </w:rPr>
              <w:t>11</w:t>
            </w:r>
          </w:p>
        </w:tc>
        <w:tc>
          <w:tcPr>
            <w:tcW w:type="dxa" w:w="2304"/>
          </w:tcPr>
          <w:p>
            <w:r/>
            <w:r>
              <w:rPr>
                <w:sz w:val="16"/>
              </w:rPr>
              <w:t>Asbestos in debris; misallocation of hazmat costs</w:t>
            </w:r>
          </w:p>
        </w:tc>
        <w:tc>
          <w:tcPr>
            <w:tcW w:type="dxa" w:w="2016"/>
          </w:tcPr>
          <w:p>
            <w:r/>
            <w:r>
              <w:rPr>
                <w:sz w:val="16"/>
              </w:rPr>
              <w:t>II.A excludes hazmat/asbestos from debris and routes it to II.C</w:t>
            </w:r>
          </w:p>
        </w:tc>
        <w:tc>
          <w:tcPr>
            <w:tcW w:type="dxa" w:w="2160"/>
          </w:tcPr>
          <w:p>
            <w:r/>
            <w:r>
              <w:rPr>
                <w:sz w:val="16"/>
              </w:rPr>
              <w:t>§5.4(a) asbestos exclusion; sudden-and-accidental proviso arguably limited to (b)</w:t>
            </w:r>
          </w:p>
        </w:tc>
        <w:tc>
          <w:tcPr>
            <w:tcW w:type="dxa" w:w="1440"/>
          </w:tcPr>
          <w:p>
            <w:r/>
            <w:r>
              <w:rPr>
                <w:sz w:val="16"/>
              </w:rPr>
              <w:t>$200K (40% × $500K)</w:t>
            </w:r>
          </w:p>
        </w:tc>
        <w:tc>
          <w:tcPr>
            <w:tcW w:type="dxa" w:w="1152"/>
            <w:shd w:val="clear" w:color="auto" w:fill="BF9000"/>
          </w:tcPr>
          <w:p>
            <w:r>
              <w:rPr>
                <w:b/>
                <w:color w:val="FFFFFF"/>
              </w:rPr>
            </w:r>
            <w:r>
              <w:rPr>
                <w:b/>
                <w:color w:val="FFFFFF"/>
                <w:sz w:val="16"/>
              </w:rPr>
              <w:t>Medium</w:t>
            </w:r>
          </w:p>
        </w:tc>
      </w:tr>
      <w:tr>
        <w:tc>
          <w:tcPr>
            <w:tcW w:type="dxa" w:w="432"/>
          </w:tcPr>
          <w:p>
            <w:r/>
            <w:r>
              <w:rPr>
                <w:sz w:val="16"/>
              </w:rPr>
              <w:t>12</w:t>
            </w:r>
          </w:p>
        </w:tc>
        <w:tc>
          <w:tcPr>
            <w:tcW w:type="dxa" w:w="2304"/>
          </w:tcPr>
          <w:p>
            <w:r/>
            <w:r>
              <w:rPr>
                <w:sz w:val="16"/>
              </w:rPr>
              <w:t>Hours clause: post-72-hour losses; written selection not yet made</w:t>
            </w:r>
          </w:p>
        </w:tc>
        <w:tc>
          <w:tcPr>
            <w:tcW w:type="dxa" w:w="2016"/>
          </w:tcPr>
          <w:p>
            <w:r/>
            <w:r>
              <w:rPr>
                <w:sz w:val="16"/>
              </w:rPr>
              <w:t>Cause-based Occurrence (VI.4)</w:t>
            </w:r>
          </w:p>
        </w:tc>
        <w:tc>
          <w:tcPr>
            <w:tcW w:type="dxa" w:w="2160"/>
          </w:tcPr>
          <w:p>
            <w:r/>
            <w:r>
              <w:rPr>
                <w:sz w:val="16"/>
              </w:rPr>
              <w:t>§§2.12–2.13: losses within the selected 72 hours; written notice of selection</w:t>
            </w:r>
          </w:p>
        </w:tc>
        <w:tc>
          <w:tcPr>
            <w:tcW w:type="dxa" w:w="1440"/>
          </w:tcPr>
          <w:p>
            <w:r/>
            <w:r>
              <w:rPr>
                <w:sz w:val="16"/>
              </w:rPr>
              <w:t>Spoilage, BI, later S&amp;L</w:t>
            </w:r>
          </w:p>
        </w:tc>
        <w:tc>
          <w:tcPr>
            <w:tcW w:type="dxa" w:w="1152"/>
            <w:shd w:val="clear" w:color="auto" w:fill="BF9000"/>
          </w:tcPr>
          <w:p>
            <w:r>
              <w:rPr>
                <w:b/>
                <w:color w:val="FFFFFF"/>
              </w:rPr>
            </w:r>
            <w:r>
              <w:rPr>
                <w:b/>
                <w:color w:val="FFFFFF"/>
                <w:sz w:val="16"/>
              </w:rPr>
              <w:t>Medium</w:t>
            </w:r>
          </w:p>
        </w:tc>
      </w:tr>
      <w:tr>
        <w:tc>
          <w:tcPr>
            <w:tcW w:type="dxa" w:w="432"/>
          </w:tcPr>
          <w:p>
            <w:r/>
            <w:r>
              <w:rPr>
                <w:sz w:val="16"/>
              </w:rPr>
              <w:t>13</w:t>
            </w:r>
          </w:p>
        </w:tc>
        <w:tc>
          <w:tcPr>
            <w:tcW w:type="dxa" w:w="2304"/>
          </w:tcPr>
          <w:p>
            <w:r/>
            <w:r>
              <w:rPr>
                <w:sz w:val="16"/>
              </w:rPr>
              <w:t>Quality of the loss report (arithmetic, deductible, BI waiting period, coinsurance, signatory)</w:t>
            </w:r>
          </w:p>
        </w:tc>
        <w:tc>
          <w:tcPr>
            <w:tcW w:type="dxa" w:w="2016"/>
          </w:tcPr>
          <w:p>
            <w:r/>
            <w:r>
              <w:rPr>
                <w:sz w:val="16"/>
              </w:rPr>
              <w:t>VII.C, VII.D; C waiting period</w:t>
            </w:r>
          </w:p>
        </w:tc>
        <w:tc>
          <w:tcPr>
            <w:tcW w:type="dxa" w:w="2160"/>
          </w:tcPr>
          <w:p>
            <w:r/>
            <w:r>
              <w:rPr>
                <w:sz w:val="16"/>
              </w:rPr>
              <w:t>§8.5 “satisfactory proof of loss”</w:t>
            </w:r>
          </w:p>
        </w:tc>
        <w:tc>
          <w:tcPr>
            <w:tcW w:type="dxa" w:w="1440"/>
          </w:tcPr>
          <w:p>
            <w:r/>
            <w:r>
              <w:rPr>
                <w:sz w:val="16"/>
              </w:rPr>
              <w:t>Credibility / quantum</w:t>
            </w:r>
          </w:p>
        </w:tc>
        <w:tc>
          <w:tcPr>
            <w:tcW w:type="dxa" w:w="1152"/>
            <w:shd w:val="clear" w:color="auto" w:fill="BF9000"/>
          </w:tcPr>
          <w:p>
            <w:r>
              <w:rPr>
                <w:b/>
                <w:color w:val="FFFFFF"/>
              </w:rPr>
            </w:r>
            <w:r>
              <w:rPr>
                <w:b/>
                <w:color w:val="FFFFFF"/>
                <w:sz w:val="16"/>
              </w:rPr>
              <w:t>Medium</w:t>
            </w:r>
          </w:p>
        </w:tc>
      </w:tr>
      <w:tr>
        <w:tc>
          <w:tcPr>
            <w:tcW w:type="dxa" w:w="432"/>
          </w:tcPr>
          <w:p>
            <w:r/>
            <w:r>
              <w:rPr>
                <w:sz w:val="16"/>
              </w:rPr>
              <w:t>14</w:t>
            </w:r>
          </w:p>
        </w:tc>
        <w:tc>
          <w:tcPr>
            <w:tcW w:type="dxa" w:w="2304"/>
          </w:tcPr>
          <w:p>
            <w:r/>
            <w:r>
              <w:rPr>
                <w:sz w:val="16"/>
              </w:rPr>
              <w:t>Overstated recoverable in notice and reserves</w:t>
            </w:r>
          </w:p>
        </w:tc>
        <w:tc>
          <w:tcPr>
            <w:tcW w:type="dxa" w:w="2016"/>
          </w:tcPr>
          <w:p>
            <w:r/>
            <w:r>
              <w:rPr>
                <w:sz w:val="16"/>
              </w:rPr>
              <w:t>—</w:t>
            </w:r>
          </w:p>
        </w:tc>
        <w:tc>
          <w:tcPr>
            <w:tcW w:type="dxa" w:w="2160"/>
          </w:tcPr>
          <w:p>
            <w:r/>
            <w:r>
              <w:rPr>
                <w:sz w:val="16"/>
              </w:rPr>
              <w:t>§3.5 cap not binding; gaps above</w:t>
            </w:r>
          </w:p>
        </w:tc>
        <w:tc>
          <w:tcPr>
            <w:tcW w:type="dxa" w:w="1440"/>
          </w:tcPr>
          <w:p>
            <w:r/>
            <w:r>
              <w:rPr>
                <w:sz w:val="16"/>
              </w:rPr>
              <w:t>≈$1–4M over-statement</w:t>
            </w:r>
          </w:p>
        </w:tc>
        <w:tc>
          <w:tcPr>
            <w:tcW w:type="dxa" w:w="1152"/>
            <w:shd w:val="clear" w:color="auto" w:fill="BF9000"/>
          </w:tcPr>
          <w:p>
            <w:r>
              <w:rPr>
                <w:b/>
                <w:color w:val="FFFFFF"/>
              </w:rPr>
            </w:r>
            <w:r>
              <w:rPr>
                <w:b/>
                <w:color w:val="FFFFFF"/>
                <w:sz w:val="16"/>
              </w:rPr>
              <w:t>Medium</w:t>
            </w:r>
          </w:p>
        </w:tc>
      </w:tr>
      <w:tr>
        <w:tc>
          <w:tcPr>
            <w:tcW w:type="dxa" w:w="432"/>
          </w:tcPr>
          <w:p>
            <w:r/>
            <w:r>
              <w:rPr>
                <w:sz w:val="16"/>
              </w:rPr>
              <w:t>15</w:t>
            </w:r>
          </w:p>
        </w:tc>
        <w:tc>
          <w:tcPr>
            <w:tcW w:type="dxa" w:w="2304"/>
          </w:tcPr>
          <w:p>
            <w:r/>
            <w:r>
              <w:rPr>
                <w:sz w:val="16"/>
              </w:rPr>
              <w:t>Subrogation (2016 retrofit; switchgear OEM) and waiver of subrogation</w:t>
            </w:r>
          </w:p>
        </w:tc>
        <w:tc>
          <w:tcPr>
            <w:tcW w:type="dxa" w:w="2016"/>
          </w:tcPr>
          <w:p>
            <w:r/>
            <w:r>
              <w:rPr>
                <w:sz w:val="16"/>
              </w:rPr>
              <w:t>VII.E; End. 4 waiver</w:t>
            </w:r>
          </w:p>
        </w:tc>
        <w:tc>
          <w:tcPr>
            <w:tcW w:type="dxa" w:w="2160"/>
          </w:tcPr>
          <w:p>
            <w:r/>
            <w:r>
              <w:rPr>
                <w:sz w:val="16"/>
              </w:rPr>
              <w:t>§8.6: no waiver without Pinnacle’s consent except as the policy requires</w:t>
            </w:r>
          </w:p>
        </w:tc>
        <w:tc>
          <w:tcPr>
            <w:tcW w:type="dxa" w:w="1440"/>
          </w:tcPr>
          <w:p>
            <w:r/>
            <w:r>
              <w:rPr>
                <w:sz w:val="16"/>
              </w:rPr>
              <w:t>Recovery upside / dispute</w:t>
            </w:r>
          </w:p>
        </w:tc>
        <w:tc>
          <w:tcPr>
            <w:tcW w:type="dxa" w:w="1152"/>
            <w:shd w:val="clear" w:color="auto" w:fill="BF9000"/>
          </w:tcPr>
          <w:p>
            <w:r>
              <w:rPr>
                <w:b/>
                <w:color w:val="FFFFFF"/>
              </w:rPr>
            </w:r>
            <w:r>
              <w:rPr>
                <w:b/>
                <w:color w:val="FFFFFF"/>
                <w:sz w:val="16"/>
              </w:rPr>
              <w:t>Medium</w:t>
            </w:r>
          </w:p>
        </w:tc>
      </w:tr>
      <w:tr>
        <w:tc>
          <w:tcPr>
            <w:tcW w:type="dxa" w:w="432"/>
          </w:tcPr>
          <w:p>
            <w:r/>
            <w:r>
              <w:rPr>
                <w:sz w:val="16"/>
              </w:rPr>
              <w:t>16</w:t>
            </w:r>
          </w:p>
        </w:tc>
        <w:tc>
          <w:tcPr>
            <w:tcW w:type="dxa" w:w="2304"/>
          </w:tcPr>
          <w:p>
            <w:r/>
            <w:r>
              <w:rPr>
                <w:sz w:val="16"/>
              </w:rPr>
              <w:t>ECO/XPL exposure from handling of the debris excess and disputed items</w:t>
            </w:r>
          </w:p>
        </w:tc>
        <w:tc>
          <w:tcPr>
            <w:tcW w:type="dxa" w:w="2016"/>
          </w:tcPr>
          <w:p>
            <w:r/>
            <w:r>
              <w:rPr>
                <w:sz w:val="16"/>
              </w:rPr>
              <w:t>—</w:t>
            </w:r>
          </w:p>
        </w:tc>
        <w:tc>
          <w:tcPr>
            <w:tcW w:type="dxa" w:w="2160"/>
          </w:tcPr>
          <w:p>
            <w:r/>
            <w:r>
              <w:rPr>
                <w:sz w:val="16"/>
              </w:rPr>
              <w:t>Art. IX; §9.4 notice within 15 BDs of awareness</w:t>
            </w:r>
          </w:p>
        </w:tc>
        <w:tc>
          <w:tcPr>
            <w:tcW w:type="dxa" w:w="1440"/>
          </w:tcPr>
          <w:p>
            <w:r/>
            <w:r>
              <w:rPr>
                <w:sz w:val="16"/>
              </w:rPr>
              <w:t>Capped at $10M ECO/XPL</w:t>
            </w:r>
          </w:p>
        </w:tc>
        <w:tc>
          <w:tcPr>
            <w:tcW w:type="dxa" w:w="1152"/>
            <w:shd w:val="clear" w:color="auto" w:fill="548235"/>
          </w:tcPr>
          <w:p>
            <w:r>
              <w:rPr>
                <w:b/>
                <w:color w:val="FFFFFF"/>
              </w:rPr>
            </w:r>
            <w:r>
              <w:rPr>
                <w:b/>
                <w:color w:val="FFFFFF"/>
                <w:sz w:val="16"/>
              </w:rPr>
              <w:t>Low</w:t>
            </w:r>
          </w:p>
        </w:tc>
      </w:tr>
      <w:tr>
        <w:tc>
          <w:tcPr>
            <w:tcW w:type="dxa" w:w="432"/>
          </w:tcPr>
          <w:p>
            <w:r/>
            <w:r>
              <w:rPr>
                <w:sz w:val="16"/>
              </w:rPr>
              <w:t>17</w:t>
            </w:r>
          </w:p>
        </w:tc>
        <w:tc>
          <w:tcPr>
            <w:tcW w:type="dxa" w:w="2304"/>
          </w:tcPr>
          <w:p>
            <w:r/>
            <w:r>
              <w:rPr>
                <w:sz w:val="16"/>
              </w:rPr>
              <w:t>Privilege when sharing the Sentinel report and coverage analysis</w:t>
            </w:r>
          </w:p>
        </w:tc>
        <w:tc>
          <w:tcPr>
            <w:tcW w:type="dxa" w:w="2016"/>
          </w:tcPr>
          <w:p>
            <w:r/>
            <w:r>
              <w:rPr>
                <w:sz w:val="16"/>
              </w:rPr>
              <w:t>—</w:t>
            </w:r>
          </w:p>
        </w:tc>
        <w:tc>
          <w:tcPr>
            <w:tcW w:type="dxa" w:w="2160"/>
          </w:tcPr>
          <w:p>
            <w:r/>
            <w:r>
              <w:rPr>
                <w:sz w:val="16"/>
              </w:rPr>
              <w:t>§8.2 full cooperation; Art. XVII confidentiality</w:t>
            </w:r>
          </w:p>
        </w:tc>
        <w:tc>
          <w:tcPr>
            <w:tcW w:type="dxa" w:w="1440"/>
          </w:tcPr>
          <w:p>
            <w:r/>
            <w:r>
              <w:rPr>
                <w:sz w:val="16"/>
              </w:rPr>
              <w:t>Litigation risk</w:t>
            </w:r>
          </w:p>
        </w:tc>
        <w:tc>
          <w:tcPr>
            <w:tcW w:type="dxa" w:w="1152"/>
            <w:shd w:val="clear" w:color="auto" w:fill="548235"/>
          </w:tcPr>
          <w:p>
            <w:r>
              <w:rPr>
                <w:b/>
                <w:color w:val="FFFFFF"/>
              </w:rPr>
            </w:r>
            <w:r>
              <w:rPr>
                <w:b/>
                <w:color w:val="FFFFFF"/>
                <w:sz w:val="16"/>
              </w:rPr>
              <w:t>Low</w:t>
            </w:r>
          </w:p>
        </w:tc>
      </w:tr>
    </w:tbl>
    <w:p>
      <w:pPr>
        <w:spacing w:after="40"/>
      </w:pPr>
    </w:p>
    <w:p>
      <w:pPr>
        <w:pStyle w:val="Heading1"/>
      </w:pPr>
      <w:r>
        <w:t>5. Detailed Analysis</w:t>
      </w:r>
    </w:p>
    <w:p>
      <w:pPr>
        <w:pStyle w:val="Heading2"/>
      </w:pPr>
      <w:r>
        <w:t>5.1 Treaty eligibility — $98M Combined Policy Limit vs. $75M ceiling (Gap 1)</w:t>
      </w:r>
    </w:p>
    <w:p>
      <w:pPr>
        <w:spacing w:after="60"/>
      </w:pPr>
      <w:r>
        <w:rPr>
          <w:b/>
        </w:rPr>
        <w:t>Severity: CRITICAL</w:t>
      </w:r>
    </w:p>
    <w:p>
      <w:pPr>
        <w:spacing w:after="120"/>
      </w:pPr>
      <w:r>
        <w:rPr>
          <w:b/>
        </w:rPr>
        <w:t>Treaty.</w:t>
      </w:r>
      <w:r>
        <w:t xml:space="preserve"> “Treaty-Eligible Lines” are commercial property risks “on Underlying Policies with per-occurrence limits not exceeding” $75,000,000 (§2.17). §4.4 adds that the Company “shall not cede … any Underlying Policy, or any portion of any Underlying Policy, with a per-occurrence limit in excess of” $75M, and that such a policy “shall not be within the Treaty-Eligible Lines.” The Slip repeats this as a “Maximum Eligible Policy Limit — $75,000,000 per occurrence (underlying policy limit).”</w:t>
      </w:r>
    </w:p>
    <w:p>
      <w:pPr>
        <w:spacing w:after="120"/>
      </w:pPr>
      <w:r>
        <w:rPr>
          <w:b/>
        </w:rPr>
        <w:t>Policy.</w:t>
      </w:r>
      <w:r>
        <w:t xml:space="preserve"> The Declarations show Coverage A $52M, B $28M and C $18M, and a “</w:t>
      </w:r>
      <w:r>
        <w:rPr>
          <w:b/>
        </w:rPr>
        <w:t>Combined Policy Limit — All Coverages Combined — $98,000,000</w:t>
      </w:r>
      <w:r>
        <w:t>.” Coverage C is described as the “maximum amount payable … for any single occurrence.” Debris removal, Equipment Breakdown (“in addition to any amounts payable under Coverage A”), FDSC and sue and labor are all payable above the stated limits. On the Policy’s own terms, the most Blackwater can pay for one occurrence is therefore more than $98M.</w:t>
      </w:r>
    </w:p>
    <w:p>
      <w:pPr>
        <w:spacing w:after="120"/>
      </w:pPr>
      <w:r>
        <w:rPr>
          <w:b/>
        </w:rPr>
        <w:t>Pinnacle’s likely argument.</w:t>
      </w:r>
      <w:r>
        <w:t xml:space="preserve"> The “per-occurrence limit” of the policy is the $98M combined figure. On that reading the policy is outside the Treaty, cession was improper under §4.4, and Pinnacle’s only obligation is to return the premium ceded on this policy. Pinnacle’s February 11 letter already reserves “(c) Treaty definitions and conditions.”</w:t>
      </w:r>
    </w:p>
    <w:p>
      <w:pPr>
        <w:spacing w:after="120"/>
      </w:pPr>
      <w:r>
        <w:rPr>
          <w:b/>
        </w:rPr>
        <w:t>Blackwater’s responses.</w:t>
      </w:r>
      <w:r>
        <w:t xml:space="preserve"> (i) “Per-occurrence limit” is not defined in the Treaty. The Policy has no single “per-occurrence limit”; it has separate per-coverage limits, the largest of which is $52M. The Treaty itself separates “per-occurrence or aggregate limit(s)” (§§2.9, 2.16) and refers to coverage-specific sublimits (§4.3). (ii) Any ambiguity in a reinsurer-drafted or jointly negotiated term, read with the honorable engagement clause (§10.5), favours the commercial purpose of automatic, obligatory cession (§3.3). (iii) The policy was presumably reported on the quarterly bordereaux, which must show the “per-occurrence limit” and “applicable sublimits” (§7.1(e)–(f)), and Pinnacle accepted the premium without objection. This supports waiver, estoppel and follow-the-fortunes arguments on underwriting decisions (§8.4). Note, however, the anti-waiver clause (§20.4) and Pinnacle’s express reservations. (iv) Pinnacle acknowledged the loss as a Treaty claim and opened file PRL-2025-00312.</w:t>
      </w:r>
    </w:p>
    <w:p>
      <w:pPr>
        <w:spacing w:after="120"/>
      </w:pPr>
      <w:r>
        <w:rPr>
          <w:b/>
        </w:rPr>
        <w:t>Assessment.</w:t>
      </w:r>
      <w:r>
        <w:t xml:space="preserve"> This is a genuine textual risk with an all-or-nothing result: Blackwater would retain about $51.75M rather than about $32.8M. The outcome depends largely on facts not yet in the file: how the policy was reported on the 2024 bordereaux, how it was rated, and whether Blackwater has written other policies with combined limits above $75M that it ceded. Pinnacle has not yet raised the point. Blackwater should build its record before Pinnacle does, but should </w:t>
      </w:r>
      <w:r>
        <w:rPr>
          <w:b/>
        </w:rPr>
        <w:t>not</w:t>
      </w:r>
      <w:r>
        <w:t xml:space="preserve"> volunteer the point in correspondence.</w:t>
      </w:r>
    </w:p>
    <w:p>
      <w:pPr>
        <w:pStyle w:val="Heading2"/>
      </w:pPr>
      <w:r>
        <w:t>5.2 Cyber / electronic exclusion and the electrical-fault origin (Gap 2)</w:t>
      </w:r>
    </w:p>
    <w:p>
      <w:pPr>
        <w:spacing w:after="60"/>
      </w:pPr>
      <w:r>
        <w:rPr>
          <w:b/>
        </w:rPr>
        <w:t>Severity: HIGH (contingent on the final origin-and-cause finding)</w:t>
      </w:r>
    </w:p>
    <w:p>
      <w:pPr>
        <w:spacing w:after="120"/>
      </w:pPr>
      <w:r>
        <w:rPr>
          <w:b/>
        </w:rPr>
        <w:t>Treaty.</w:t>
      </w:r>
      <w:r>
        <w:t xml:space="preserve"> §5.2(d) excludes loss “in any way connected with … any failure of any computer system, software, program, process, </w:t>
      </w:r>
      <w:r>
        <w:rPr>
          <w:b/>
        </w:rPr>
        <w:t>or electronic device</w:t>
      </w:r>
      <w:r>
        <w:t>, whether or not caused by” a cyber act, “regardless of any other cause or event contributing concurrently or in any other sequence,” and “regardless of whether the loss manifests as physical damage to tangible property.”</w:t>
      </w:r>
    </w:p>
    <w:p>
      <w:pPr>
        <w:spacing w:after="120"/>
      </w:pPr>
      <w:r>
        <w:rPr>
          <w:b/>
        </w:rPr>
        <w:t>Policy.</w:t>
      </w:r>
      <w:r>
        <w:t xml:space="preserve"> V.A.6 is a conventional cyber exclusion with an express carve-back for “ensuing physical damage to Covered Property.” The Policy therefore covers a fire that results from a device failure; on a literal reading the Treaty does not.</w:t>
      </w:r>
    </w:p>
    <w:p>
      <w:pPr>
        <w:spacing w:after="120"/>
      </w:pPr>
      <w:r>
        <w:rPr>
          <w:b/>
        </w:rPr>
        <w:t>Facts.</w:t>
      </w:r>
      <w:r>
        <w:t xml:space="preserve"> Sentinel/McAlister’s preliminary view is an “electrical fault in the high-voltage switchgear … consistent with an arc-flash event or similar electrical failure.” Modern switchgear includes electronic protective relays and control logic. If the Fire Marshal’s final report (expected in 30–45 days) attributes the event to a relay, controller or monitoring-system malfunction, Pinnacle will have an argument under §5.2(d) that defeats the whole recovery.</w:t>
      </w:r>
    </w:p>
    <w:p>
      <w:pPr>
        <w:spacing w:after="120"/>
      </w:pPr>
      <w:r>
        <w:rPr>
          <w:b/>
        </w:rPr>
        <w:t>Blackwater’s responses.</w:t>
      </w:r>
      <w:r>
        <w:t xml:space="preserve"> (i) The exclusion is headed “Cyber and Electronic Risks,” and §5.2(a)–(c) and (e) concern data and malicious code. Under the ejusdem generis rule, “electronic device” should be read in that context, not as covering power-distribution equipment. (ii) The Slip’s version (§9(b)) refers only to “failure of, computer systems, networks, or data,” with no “electronic device” language. (iii) An arc-flash in a busbar or breaker is an electrical/mechanical failure, not an electronic one. Note the related risk in Gap 3.</w:t>
      </w:r>
    </w:p>
    <w:p>
      <w:pPr>
        <w:spacing w:after="120"/>
      </w:pPr>
      <w:r>
        <w:rPr>
          <w:b/>
        </w:rPr>
        <w:t>Action.</w:t>
      </w:r>
      <w:r>
        <w:t xml:space="preserve"> Instruct McAlister to identify the exact failed component and failure mode, and to preserve all switchgear remnants under chain of custody. Offer Pinnacle a joint evidence examination. Make sure Blackwater’s own documents do not loosely describe the event as a “control system” or “electronic” failure.</w:t>
      </w:r>
    </w:p>
    <w:p>
      <w:pPr>
        <w:pStyle w:val="Heading2"/>
      </w:pPr>
      <w:r>
        <w:t>5.3 Equipment Breakdown sublimit used to cap Pinnacle at $4M (Gap 3)</w:t>
      </w:r>
    </w:p>
    <w:p>
      <w:pPr>
        <w:spacing w:after="60"/>
      </w:pPr>
      <w:r>
        <w:rPr>
          <w:b/>
        </w:rPr>
        <w:t>Severity: HIGH</w:t>
      </w:r>
    </w:p>
    <w:p>
      <w:pPr>
        <w:spacing w:after="120"/>
      </w:pPr>
      <w:r>
        <w:rPr>
          <w:b/>
        </w:rPr>
        <w:t>Treaty.</w:t>
      </w:r>
      <w:r>
        <w:t xml:space="preserve"> §4.3 caps Pinnacle at the Ceded Percentage of “the applicable sublimit for such coverage,” and says that liability is “determined by reference to the sublimit applicable to such category … not by reference to the overall per-occurrence limit.”</w:t>
      </w:r>
    </w:p>
    <w:p>
      <w:pPr>
        <w:spacing w:after="120"/>
      </w:pPr>
      <w:r>
        <w:rPr>
          <w:b/>
        </w:rPr>
        <w:t>Policy.</w:t>
      </w:r>
      <w:r>
        <w:t xml:space="preserve"> Equipment breakdown is a Covered Cause of Loss (End. 1) with a $10M per-occurrence sublimit. It expressly includes “electrical arcing” and “compressor failure” (II.D). But End. 1 excludes “any cause of loss that would be covered under Coverage A or Coverage B independent of this Endorsement (in which case, the standard Policy provisions apply).” Exclusion V.A.5 also preserves coverage for an ensuing Covered Cause of Loss (fire).</w:t>
      </w:r>
    </w:p>
    <w:p>
      <w:pPr>
        <w:spacing w:after="120"/>
      </w:pPr>
      <w:r>
        <w:rPr>
          <w:b/>
        </w:rPr>
        <w:t>Risk.</w:t>
      </w:r>
      <w:r>
        <w:t xml:space="preserve"> If the claim is presented or adjusted as an “equipment breakdown occurrence” (for example, by applying the $50K EB deductible), Pinnacle will argue the applicable sublimit is $10M and its liability is capped at </w:t>
      </w:r>
      <w:r>
        <w:rPr>
          <w:b/>
        </w:rPr>
        <w:t>$4M</w:t>
      </w:r>
      <w:r>
        <w:t>. This also feeds Gap 1, because EB is payable “in addition to” Coverage A.</w:t>
      </w:r>
    </w:p>
    <w:p>
      <w:pPr>
        <w:spacing w:after="120"/>
      </w:pPr>
      <w:r>
        <w:rPr>
          <w:b/>
        </w:rPr>
        <w:t>Action.</w:t>
      </w:r>
      <w:r>
        <w:t xml:space="preserve"> Adjust the fire damage under Coverages A, B and C as an ensuing fire loss, applying the standard $250K deductible. Confine any EB treatment to the failed switchgear itself, if anywhere. Record the allocation expressly and invoke §8.4, under which Pinnacle follows the Company’s “allocation of losses among policy coverages.”</w:t>
      </w:r>
    </w:p>
    <w:p>
      <w:pPr>
        <w:pStyle w:val="Heading2"/>
      </w:pPr>
      <w:r>
        <w:t>5.4 Business interruption — six-month Treaty limit vs. 12-month Policy period (Gap 4)</w:t>
      </w:r>
    </w:p>
    <w:p>
      <w:pPr>
        <w:spacing w:after="60"/>
      </w:pPr>
      <w:r>
        <w:rPr>
          <w:b/>
        </w:rPr>
        <w:t>Severity: HIGH</w:t>
      </w:r>
    </w:p>
    <w:p>
      <w:pPr>
        <w:spacing w:after="120"/>
      </w:pPr>
      <w:r>
        <w:rPr>
          <w:b/>
        </w:rPr>
        <w:t>Mismatch.</w:t>
      </w:r>
      <w:r>
        <w:t xml:space="preserve"> The Policy pays BI for a Period of Restoration of up to 12 months, plus Extended Business Income for up to 60 days, within the $18M limit (I.C). Treaty §4.2 limits recoverable BI to “an indemnity period not exceeding six (6) months from the date of the Occurrence,” and anything beyond is “retained in full by the Company.” Blackwater acknowledged in §4.2 that this was priced into the 32% ceding commission. The term is clear and enforceable.</w:t>
      </w:r>
    </w:p>
    <w:p>
      <w:pPr>
        <w:spacing w:after="120"/>
      </w:pPr>
      <w:r>
        <w:rPr>
          <w:b/>
        </w:rPr>
        <w:t>Quantum.</w:t>
      </w:r>
      <w:r>
        <w:t xml:space="preserve"> On Sentinel’s phasing, $7.4M (Jan. 14 – Jul. 13, 2025) is recoverable at 40% ($2.96M), and </w:t>
      </w:r>
      <w:r>
        <w:rPr>
          <w:b/>
        </w:rPr>
        <w:t>$4.3M (months 7–10) is not</w:t>
      </w:r>
      <w:r>
        <w:t xml:space="preserve"> ($1.72M of recovery lost). Every month of delay beyond mid-November 2025 adds BI that is 100% retained (up to Jan. 13, 2026), and Extended BI (up to 60 days after restoration) is also outside the Treaty. The Policy’s 72-hour waiting period means covered BI starts on Jan. 17, but the Treaty’s six months still run from the Occurrence date, so Blackwater should select a 72-hour window starting at 2:17 a.m. on Jan. 14 (see 5.12).</w:t>
      </w:r>
    </w:p>
    <w:p>
      <w:pPr>
        <w:spacing w:after="120"/>
      </w:pPr>
      <w:r>
        <w:rPr>
          <w:b/>
        </w:rPr>
        <w:t>Allocation risk.</w:t>
      </w:r>
      <w:r>
        <w:t xml:space="preserve"> Pinnacle has asked for a “period-by-period breakdown” of BI. Placing 63% of the BI in the first six months is plausible given the total shutdown, but Pinnacle will test it. The phasing should rest on monthly actual-loss-sustained calculations. Sentinel’s figures should be reconciled to Caldwell’s supplemental analysis and to the 72-hour waiting period, since Sentinel measures BI “from the date of loss.”</w:t>
      </w:r>
    </w:p>
    <w:p>
      <w:pPr>
        <w:pStyle w:val="Heading2"/>
      </w:pPr>
      <w:r>
        <w:t>5.5 Ordinance or Law vs. the Governmental Action exclusion (Gap 5)</w:t>
      </w:r>
    </w:p>
    <w:p>
      <w:pPr>
        <w:spacing w:after="60"/>
      </w:pPr>
      <w:r>
        <w:rPr>
          <w:b/>
        </w:rPr>
        <w:t>Severity: HIGH</w:t>
      </w:r>
    </w:p>
    <w:p>
      <w:pPr>
        <w:spacing w:after="120"/>
      </w:pPr>
      <w:r>
        <w:rPr>
          <w:b/>
        </w:rPr>
        <w:t>Treaty.</w:t>
      </w:r>
      <w:r>
        <w:t xml:space="preserve"> §5.6 excludes loss “in any way connected with any action, order, directive, </w:t>
      </w:r>
      <w:r>
        <w:rPr>
          <w:b/>
        </w:rPr>
        <w:t>regulation</w:t>
      </w:r>
      <w:r>
        <w:t>, decree, or mandate of any governmental, public, municipal, regulatory, or other authority … regardless of whether the applicable Underlying Policy provides coverage for losses arising from compliance with governmental directives.”</w:t>
      </w:r>
    </w:p>
    <w:p>
      <w:pPr>
        <w:spacing w:after="120"/>
      </w:pPr>
      <w:r>
        <w:rPr>
          <w:b/>
        </w:rPr>
        <w:t>Policy.</w:t>
      </w:r>
      <w:r>
        <w:t xml:space="preserve"> The Policy’s governmental-action exclusion (V.A.3) is limited to seizure and confiscation, and expressly “shall not be construed to exclude” losses from enforcement of building codes. These are affirmatively covered under II.B and End. 2 ($4M).</w:t>
      </w:r>
    </w:p>
    <w:p>
      <w:pPr>
        <w:spacing w:after="120"/>
      </w:pPr>
      <w:r>
        <w:rPr>
          <w:b/>
        </w:rPr>
        <w:t>Facts.</w:t>
      </w:r>
      <w:r>
        <w:t xml:space="preserve"> Sentinel states that the $2.8M of code upgrades (fire barriers $1.1M, sprinklers $0.8M, roof $0.6M, electrical $0.3M) “arise from the requirement under Ohio law and local building code … as a condition of the issuance of a reconstruction permit by the local building authority.” That description fits squarely within the language of §5.6.</w:t>
      </w:r>
    </w:p>
    <w:p>
      <w:pPr>
        <w:spacing w:after="120"/>
      </w:pPr>
      <w:r>
        <w:rPr>
          <w:b/>
        </w:rPr>
        <w:t>Blackwater’s responses.</w:t>
      </w:r>
      <w:r>
        <w:t xml:space="preserve"> (i) Slip §9(f) describes the exclusion as “governmental action or order, including … confiscation, nationalization, seizure, or destruction.” That is the sovereign-act concept, and the Slip also says “all perils as per underlying policy.” (ii) The proximate cause of the loss is fire. Code compliance is a measure of indemnity, not a cause of loss. (iii) Read literally, §5.6 would exclude almost every rebuild, which would be commercially absurd for a commercial property quota share (honorable engagement, §10.5). The Treaty wording, however, prevails over the Slip (Slip §19), and the “regardless of” sentence is drafted to defeat argument (ii).</w:t>
      </w:r>
    </w:p>
    <w:p>
      <w:pPr>
        <w:spacing w:after="120"/>
      </w:pPr>
      <w:r>
        <w:rPr>
          <w:b/>
        </w:rPr>
        <w:t>Exposure.</w:t>
      </w:r>
      <w:r>
        <w:t xml:space="preserve"> $1.12M ceded on current estimates; up to $1.6M if O&amp;L reaches the $4M sublimit (§4.3). The same exclusion could be raised against costs driven by the Ohio EPA remediation directive (5.10) and against Civil Authority BI (portfolio, 6.1).</w:t>
      </w:r>
    </w:p>
    <w:p>
      <w:pPr>
        <w:pStyle w:val="Heading2"/>
      </w:pPr>
      <w:r>
        <w:t>5.6 “Additional to limits” coverages and Subject Premium (Gap 6)</w:t>
      </w:r>
    </w:p>
    <w:p>
      <w:pPr>
        <w:spacing w:after="60"/>
      </w:pPr>
      <w:r>
        <w:rPr>
          <w:b/>
        </w:rPr>
        <w:t>Severity: HIGH</w:t>
      </w:r>
    </w:p>
    <w:p>
      <w:pPr>
        <w:spacing w:after="120"/>
      </w:pPr>
      <w:r>
        <w:rPr>
          <w:b/>
        </w:rPr>
        <w:t>Treaty.</w:t>
      </w:r>
      <w:r>
        <w:t xml:space="preserve"> Subject Premium excludes “premium attributable to supplementary or additional coverage amounts that are payable in addition to the per-occurrence or aggregate limits of an Underlying Policy” (§2.16; §6.1; Sched. A note; Slip §8). The Treaty does </w:t>
      </w:r>
      <w:r>
        <w:rPr>
          <w:b/>
        </w:rPr>
        <w:t>not</w:t>
      </w:r>
      <w:r>
        <w:t xml:space="preserve"> say whether the corresponding </w:t>
      </w:r>
      <w:r>
        <w:rPr>
          <w:i/>
        </w:rPr>
        <w:t>losses</w:t>
      </w:r>
      <w:r>
        <w:t xml:space="preserve"> are ceded.</w:t>
      </w:r>
    </w:p>
    <w:p>
      <w:pPr>
        <w:spacing w:after="120"/>
      </w:pPr>
      <w:r>
        <w:rPr>
          <w:b/>
        </w:rPr>
        <w:t>Policy.</w:t>
      </w:r>
      <w:r>
        <w:t xml:space="preserve"> Debris removal is “an additional coverage amount over and above the Coverage A and Coverage B limits” (II.A). Sue and labor is “payable in addition to the applicable Limits of Insurance” (III). FDSC is “payable in addition to the applicable limits” (II.E).</w:t>
      </w:r>
    </w:p>
    <w:p>
      <w:pPr>
        <w:spacing w:after="120"/>
      </w:pPr>
      <w:r>
        <w:rPr>
          <w:b/>
        </w:rPr>
        <w:t>Pinnacle’s likely argument.</w:t>
      </w:r>
      <w:r>
        <w:t xml:space="preserve"> No premium was ceded for these amounts, so they fall outside the ceded business. Proportional reinsurance shares premium and loss on the same base (§3.2: the Reinsurer “shall share proportionally in the premiums, losses …”). Sentinel has flagged this issue twice in a report Pinnacle has requested.</w:t>
      </w:r>
    </w:p>
    <w:p>
      <w:pPr>
        <w:spacing w:after="120"/>
      </w:pPr>
      <w:r>
        <w:rPr>
          <w:b/>
        </w:rPr>
        <w:t>Blackwater’s responses.</w:t>
      </w:r>
      <w:r>
        <w:t xml:space="preserve"> §3.2 cedes 40% of “the Company’s liability on each and every risk,” and §8.5 covers “each loss, loss adjustment expense, and related cost.” No exclusion in Article V covers these items. §4.1 includes “such other coverages as are customarily included”. The premium carve-out is a pricing mechanism, not a coverage exclusion. Sue-and-labor costs also reduce the covered loss, and Pinnacle benefits from that mitigation.</w:t>
      </w:r>
    </w:p>
    <w:p>
      <w:pPr>
        <w:spacing w:after="120"/>
      </w:pPr>
      <w:r>
        <w:rPr>
          <w:b/>
        </w:rPr>
        <w:t>Exposure.</w:t>
      </w:r>
      <w:r>
        <w:t xml:space="preserve"> Debris $2.0M + S&amp;L $0.89M = $2.89M gross, or </w:t>
      </w:r>
      <w:r>
        <w:rPr>
          <w:b/>
        </w:rPr>
        <w:t>$1.156M ceded</w:t>
      </w:r>
      <w:r>
        <w:t xml:space="preserve"> (plus $20K if FDSC is claimed; Sentinel has not estimated FDSC despite twelve engine companies attending under mutual aid). Blackwater should also confirm how it actually segregated this premium under §6.1. If it ceded premium on these coverages, its position improves; if it carved the premium out, Pinnacle’s position improves.</w:t>
      </w:r>
    </w:p>
    <w:p>
      <w:pPr>
        <w:pStyle w:val="Heading2"/>
      </w:pPr>
      <w:r>
        <w:t>5.7 Follow the fortunes, settlement consultation and quantum control (Gap 7)</w:t>
      </w:r>
    </w:p>
    <w:p>
      <w:pPr>
        <w:spacing w:after="60"/>
      </w:pPr>
      <w:r>
        <w:rPr>
          <w:b/>
        </w:rPr>
        <w:t>Severity: HIGH</w:t>
      </w:r>
    </w:p>
    <w:p>
      <w:pPr>
        <w:spacing w:after="120"/>
      </w:pPr>
      <w:r>
        <w:rPr>
          <w:b/>
        </w:rPr>
        <w:t>Treaty vs. Slip.</w:t>
      </w:r>
      <w:r>
        <w:t xml:space="preserve"> Treaty §8.4 covers underwriting and business decisions and “the allocation of losses among policy coverages.” It has no follow-the-settlements language. Slip §11 is broader (“all matters relating to the adjustment, settlement, and payment of claims”), but the Treaty wording prevails. Pinnacle’s February 11 letter states that it may “challenge the quantum of any claim payment.”</w:t>
      </w:r>
    </w:p>
    <w:p>
      <w:pPr>
        <w:spacing w:after="120"/>
      </w:pPr>
      <w:r>
        <w:rPr>
          <w:b/>
        </w:rPr>
        <w:t>Consequences.</w:t>
      </w:r>
      <w:r>
        <w:t xml:space="preserve"> (i) Under §8.3, no settlement where Pinnacle’s share exceeds $5M may be made without prior notice and a reasonable opportunity to comment. Pinnacle’s share here is about $16.5–19.0M, so this applies to the global settlement and, prudently, to any partial or advance payment or appraisal award. (ii) Ex gratia payments (for example, of the $1.1M debris excess) are not recoverable. (iii) §8.2 association is at Pinnacle’s own expense but carries full file access. (iv) Article X arbitration requires 60 days of negotiation first. The honorable engagement clause gives the panel flexibility that can cut either way.</w:t>
      </w:r>
    </w:p>
    <w:p>
      <w:pPr>
        <w:spacing w:after="120"/>
      </w:pPr>
      <w:r>
        <w:rPr>
          <w:b/>
        </w:rPr>
        <w:t>Use the allocation right.</w:t>
      </w:r>
      <w:r>
        <w:t xml:space="preserve"> Because §8.4 makes Blackwater’s allocation among coverages binding (if made in good faith), Blackwater should allocate deliberately and record its reasons. For example: allocate the $2.0M debris sublimit to the $2.6M of non-hazardous debris (structural demolition $1.4M + damaged materials $0.9M + site work $0.3M), not to asbestos; and classify environmental containment as sue and labor or pollution cleanup on documented grounds.</w:t>
      </w:r>
    </w:p>
    <w:p>
      <w:pPr>
        <w:pStyle w:val="Heading2"/>
      </w:pPr>
      <w:r>
        <w:t>5.8 Timeliness of notice (Gap 8)</w:t>
      </w:r>
    </w:p>
    <w:p>
      <w:pPr>
        <w:spacing w:after="60"/>
      </w:pPr>
      <w:r>
        <w:rPr>
          <w:b/>
        </w:rPr>
        <w:t>Severity: MEDIUM</w:t>
      </w:r>
    </w:p>
    <w:p>
      <w:pPr>
        <w:spacing w:after="120"/>
      </w:pPr>
      <w:r>
        <w:rPr>
          <w:b/>
        </w:rPr>
        <w:t>Requirement.</w:t>
      </w:r>
      <w:r>
        <w:t xml:space="preserve"> §8.1: notice within 15 Business Days of Blackwater’s receipt of notice from the insured </w:t>
      </w:r>
      <w:r>
        <w:rPr>
          <w:i/>
        </w:rPr>
        <w:t>or</w:t>
      </w:r>
      <w:r>
        <w:t xml:space="preserve"> of Blackwater otherwise becoming aware, whichever is earlier. “Business Day” excludes Saturdays, Sundays and days that are a public holiday “in </w:t>
      </w:r>
      <w:r>
        <w:rPr>
          <w:b/>
        </w:rPr>
        <w:t>both</w:t>
      </w:r>
      <w:r>
        <w:t xml:space="preserve"> Columbus, Ohio and Hamilton, Bermuda” (§2.1). Martin Luther King Jr. Day (Jan. 20, 2025) is not a Bermuda holiday, so it counts as a Business Day.</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2880"/>
            <w:shd w:val="clear" w:color="auto" w:fill="1F3A5F"/>
          </w:tcPr>
          <w:p>
            <w:r/>
            <w:r>
              <w:rPr>
                <w:b/>
                <w:color w:val="FFFFFF"/>
                <w:sz w:val="18"/>
              </w:rPr>
              <w:t>Start date</w:t>
            </w:r>
          </w:p>
        </w:tc>
        <w:tc>
          <w:tcPr>
            <w:tcW w:type="dxa" w:w="2160"/>
            <w:shd w:val="clear" w:color="auto" w:fill="1F3A5F"/>
          </w:tcPr>
          <w:p>
            <w:r/>
            <w:r>
              <w:rPr>
                <w:b/>
                <w:color w:val="FFFFFF"/>
                <w:sz w:val="18"/>
              </w:rPr>
              <w:t>15th Business Day (deadline)</w:t>
            </w:r>
          </w:p>
        </w:tc>
        <w:tc>
          <w:tcPr>
            <w:tcW w:type="dxa" w:w="2016"/>
            <w:shd w:val="clear" w:color="auto" w:fill="1F3A5F"/>
          </w:tcPr>
          <w:p>
            <w:r/>
            <w:r>
              <w:rPr>
                <w:b/>
                <w:color w:val="FFFFFF"/>
                <w:sz w:val="18"/>
              </w:rPr>
              <w:t>Feb. 7 notice is</w:t>
            </w:r>
          </w:p>
        </w:tc>
        <w:tc>
          <w:tcPr>
            <w:tcW w:type="dxa" w:w="2448"/>
            <w:shd w:val="clear" w:color="auto" w:fill="1F3A5F"/>
          </w:tcPr>
          <w:p>
            <w:r/>
            <w:r>
              <w:rPr>
                <w:b/>
                <w:color w:val="FFFFFF"/>
                <w:sz w:val="18"/>
              </w:rPr>
              <w:t>Comment</w:t>
            </w:r>
          </w:p>
        </w:tc>
      </w:tr>
      <w:tr>
        <w:tc>
          <w:tcPr>
            <w:tcW w:type="dxa" w:w="2880"/>
          </w:tcPr>
          <w:p>
            <w:r/>
            <w:r>
              <w:rPr>
                <w:sz w:val="18"/>
              </w:rPr>
              <w:t>Insured e-mail, Wed. Jan. 15, 2025</w:t>
            </w:r>
          </w:p>
        </w:tc>
        <w:tc>
          <w:tcPr>
            <w:tcW w:type="dxa" w:w="2160"/>
          </w:tcPr>
          <w:p>
            <w:r/>
            <w:r>
              <w:rPr>
                <w:sz w:val="18"/>
              </w:rPr>
              <w:t xml:space="preserve">Wed. </w:t>
            </w:r>
            <w:r>
              <w:rPr>
                <w:b/>
                <w:sz w:val="18"/>
              </w:rPr>
              <w:t>Feb. 5, 2025</w:t>
            </w:r>
          </w:p>
        </w:tc>
        <w:tc>
          <w:tcPr>
            <w:tcW w:type="dxa" w:w="2016"/>
          </w:tcPr>
          <w:p>
            <w:r/>
            <w:r>
              <w:rPr>
                <w:b/>
                <w:sz w:val="18"/>
              </w:rPr>
              <w:t>BD 17 — 2 days late</w:t>
            </w:r>
          </w:p>
        </w:tc>
        <w:tc>
          <w:tcPr>
            <w:tcW w:type="dxa" w:w="2448"/>
          </w:tcPr>
          <w:p>
            <w:r/>
            <w:r>
              <w:rPr>
                <w:sz w:val="18"/>
              </w:rPr>
              <w:t>Matches Pinnacle’s count.</w:t>
            </w:r>
          </w:p>
        </w:tc>
      </w:tr>
      <w:tr>
        <w:tc>
          <w:tcPr>
            <w:tcW w:type="dxa" w:w="2880"/>
          </w:tcPr>
          <w:p>
            <w:r/>
            <w:r>
              <w:rPr>
                <w:sz w:val="18"/>
              </w:rPr>
              <w:t>Same, if Jan. 20 is excluded (holiday in either place)</w:t>
            </w:r>
          </w:p>
        </w:tc>
        <w:tc>
          <w:tcPr>
            <w:tcW w:type="dxa" w:w="2160"/>
          </w:tcPr>
          <w:p>
            <w:r/>
            <w:r>
              <w:rPr>
                <w:sz w:val="18"/>
              </w:rPr>
              <w:t>Thu. Feb. 6, 2025</w:t>
            </w:r>
          </w:p>
        </w:tc>
        <w:tc>
          <w:tcPr>
            <w:tcW w:type="dxa" w:w="2016"/>
          </w:tcPr>
          <w:p>
            <w:r/>
            <w:r>
              <w:rPr>
                <w:sz w:val="18"/>
              </w:rPr>
              <w:t>BD 16 — 1 day late</w:t>
            </w:r>
          </w:p>
        </w:tc>
        <w:tc>
          <w:tcPr>
            <w:tcW w:type="dxa" w:w="2448"/>
          </w:tcPr>
          <w:p>
            <w:r/>
            <w:r>
              <w:rPr>
                <w:sz w:val="18"/>
              </w:rPr>
              <w:t>Fallback reading; still late.</w:t>
            </w:r>
          </w:p>
        </w:tc>
      </w:tr>
      <w:tr>
        <w:tc>
          <w:tcPr>
            <w:tcW w:type="dxa" w:w="2880"/>
          </w:tcPr>
          <w:p>
            <w:r/>
            <w:r>
              <w:rPr>
                <w:sz w:val="18"/>
              </w:rPr>
              <w:t>Earlier awareness, Jan. 14 (fire at 2:17 a.m.; Ohio EPA report the same day)</w:t>
            </w:r>
          </w:p>
        </w:tc>
        <w:tc>
          <w:tcPr>
            <w:tcW w:type="dxa" w:w="2160"/>
          </w:tcPr>
          <w:p>
            <w:r/>
            <w:r>
              <w:rPr>
                <w:sz w:val="18"/>
              </w:rPr>
              <w:t>Tue. Feb. 4, 2025</w:t>
            </w:r>
          </w:p>
        </w:tc>
        <w:tc>
          <w:tcPr>
            <w:tcW w:type="dxa" w:w="2016"/>
          </w:tcPr>
          <w:p>
            <w:r/>
            <w:r>
              <w:rPr>
                <w:sz w:val="18"/>
              </w:rPr>
              <w:t>BD 18 — 3 days late</w:t>
            </w:r>
          </w:p>
        </w:tc>
        <w:tc>
          <w:tcPr>
            <w:tcW w:type="dxa" w:w="2448"/>
          </w:tcPr>
          <w:p>
            <w:r/>
            <w:r>
              <w:rPr>
                <w:sz w:val="18"/>
              </w:rPr>
              <w:t>Pinnacle may probe for internal awareness on Jan. 14.</w:t>
            </w:r>
          </w:p>
        </w:tc>
      </w:tr>
    </w:tbl>
    <w:p>
      <w:pPr>
        <w:spacing w:after="40"/>
      </w:pPr>
    </w:p>
    <w:p>
      <w:pPr>
        <w:spacing w:after="120"/>
      </w:pPr>
      <w:r>
        <w:rPr>
          <w:b/>
        </w:rPr>
        <w:t>Assessment.</w:t>
      </w:r>
      <w:r>
        <w:t xml:space="preserve"> Notice was late, but §8.1 is not expressed as a condition precedent and contains no forfeiture language. Under the English common-law principles that Bermuda courts generally follow, breach of an innominate notice clause ordinarily sounds in damages and requires proof of prejudice, rather than discharging liability. </w:t>
      </w:r>
      <w:r>
        <w:rPr>
          <w:i/>
        </w:rPr>
        <w:t>(Counsel to confirm current Bermuda authority.)</w:t>
      </w:r>
      <w:r>
        <w:t xml:space="preserve"> Article XIV excuses “inadvertent delays” that are “rectified as soon as practicable after discovery,” except where the failure was “willful or grossly negligent.” Pinnacle cannot show prejudice: the notice preceded the Sentinel report, the fire was contained, and Pinnacle has exercised its §8.2 association rights. The risk is therefore low in dollars but real as a lever. </w:t>
      </w:r>
      <w:r>
        <w:rPr>
          <w:b/>
        </w:rPr>
        <w:t>Recommendation:</w:t>
      </w:r>
      <w:r>
        <w:t xml:space="preserve"> respond to the reservation by invoking Article XIV and noting the absence of prejudice, without conceding breach. Document internally why notice took until February 7. Calendar every future 15-Business-Day deadline (including ECO/XPL notice under §9.4) using the “both jurisdictions” holiday rule.</w:t>
      </w:r>
    </w:p>
    <w:p>
      <w:pPr>
        <w:pStyle w:val="Heading2"/>
      </w:pPr>
      <w:r>
        <w:t>5.9 Form and channel of notice; mis-citations; unexecuted wording (Gap 9)</w:t>
      </w:r>
    </w:p>
    <w:p>
      <w:pPr>
        <w:spacing w:after="60"/>
      </w:pPr>
      <w:r>
        <w:rPr>
          <w:b/>
        </w:rPr>
        <w:t>Severity: MEDIUM</w:t>
      </w:r>
    </w:p>
    <w:p>
      <w:pPr>
        <w:spacing w:after="120"/>
      </w:pPr>
      <w:r>
        <w:rPr>
          <w:b/>
        </w:rPr>
        <w:t>Form.</w:t>
      </w:r>
      <w:r>
        <w:t xml:space="preserve"> Article XIX deems notices given only by personal delivery, registered or certified mail, or overnight courier, addressed to Pinnacle’s Lead Underwriter </w:t>
      </w:r>
      <w:r>
        <w:rPr>
          <w:b/>
        </w:rPr>
        <w:t>with a copy to Ridgeline’s Treaty Department</w:t>
      </w:r>
      <w:r>
        <w:t>. Slip §§11 and 17 require notices to “flow through” the Intermediary. Blackwater’s notice was an e-mail sent directly to Mr. Hale, copying Ridgeline’s claims inbox. (The Sentinel report says the notice went “via Ridgeline,” which is not accurate.) Pinnacle’s written acknowledgment proves actual receipt, but formal re-service closes the point.</w:t>
      </w:r>
    </w:p>
    <w:p>
      <w:pPr>
        <w:spacing w:after="120"/>
      </w:pPr>
      <w:r>
        <w:rPr>
          <w:b/>
        </w:rPr>
        <w:t>Mis-citations.</w:t>
      </w:r>
      <w:r>
        <w:t xml:space="preserve"> Both Blackwater’s notice (“Article 9 (Claims Notification)”) and Pinnacle’s letter (“Article 9,” follow the fortunes in “Article 12”) cite article numbers that do not match the wording in our file. In that wording, notice is §8.1 (Article VIII), follow the fortunes is §8.4, Article IX is ECO/XPL and Article XII is audit. This suggests another draft may be in circulation.</w:t>
      </w:r>
    </w:p>
    <w:p>
      <w:pPr>
        <w:spacing w:after="120"/>
      </w:pPr>
      <w:r>
        <w:rPr>
          <w:b/>
        </w:rPr>
        <w:t>Execution.</w:t>
      </w:r>
      <w:r>
        <w:t xml:space="preserve"> The Treaty wording in our file is unsigned and undated, and has an unresolved Table of Contents field. Only the Slip is marked “Signed and Bound” (Dec. 20, 2023). If no executed wording exists, the Slip terms may govern, and several are more favourable to Blackwater (all perils as per the underlying policy; narrower governmental-action and cyber exclusions; broader follow the fortunes). Locate the executed counterparts before taking positions that depend on the wording.</w:t>
      </w:r>
    </w:p>
    <w:p>
      <w:pPr>
        <w:pStyle w:val="Heading2"/>
      </w:pPr>
      <w:r>
        <w:t>5.10 Pollution cleanup (Gap 10)</w:t>
      </w:r>
    </w:p>
    <w:p>
      <w:pPr>
        <w:spacing w:after="60"/>
      </w:pPr>
      <w:r>
        <w:rPr>
          <w:b/>
        </w:rPr>
        <w:t>Severity: MEDIUM</w:t>
      </w:r>
    </w:p>
    <w:p>
      <w:pPr>
        <w:spacing w:after="120"/>
      </w:pPr>
      <w:r>
        <w:rPr>
          <w:b/>
        </w:rPr>
        <w:t>Analysis.</w:t>
      </w:r>
      <w:r>
        <w:t xml:space="preserve"> Treaty §5.4(b) excludes pollution “provided … this exclusion shall not apply to … pollution that is sudden and accidental,” determined “on the facts and circumstances,” and not “broader than … the applicable Underlying Policy.” The Policy’s three-part test (VI.7) requires the release to take place “in its entirety at a specific time and place” and to result from a single identifiable event. Sentinel reports “multiple compressor lines” rupturing from about 6:00 a.m. onward, a separate release of lubricating oils and “other chemical substances,” and a plume needing community monitoring. Pinnacle could argue that a staged, multi-source release fails limb (b). The better view is that all of it flows from one fire on one date at one location.</w:t>
      </w:r>
    </w:p>
    <w:p>
      <w:pPr>
        <w:spacing w:after="120"/>
      </w:pPr>
      <w:r>
        <w:rPr>
          <w:b/>
        </w:rPr>
        <w:t>Additional risks.</w:t>
      </w:r>
      <w:r>
        <w:t xml:space="preserve"> (i) The Ohio EPA final directive will be a governmental “directive” (§5.6). (ii) §4.3 caps Pinnacle at 40% × $500K = $200K. If hazmat debris ($500K) or environmental containment ($100K) is reclassified into Pollution Cleanup, the sublimit is exhausted. (iii) The Policy requires cleanup to begin within 180 days (by about </w:t>
      </w:r>
      <w:r>
        <w:rPr>
          <w:b/>
        </w:rPr>
        <w:t>July 13, 2025</w:t>
      </w:r>
      <w:r>
        <w:t>).</w:t>
      </w:r>
    </w:p>
    <w:p>
      <w:pPr>
        <w:pStyle w:val="Heading2"/>
      </w:pPr>
      <w:r>
        <w:t>5.11 Asbestos in debris (Gap 11)</w:t>
      </w:r>
    </w:p>
    <w:p>
      <w:pPr>
        <w:spacing w:after="60"/>
      </w:pPr>
      <w:r>
        <w:rPr>
          <w:b/>
        </w:rPr>
        <w:t>Severity: MEDIUM</w:t>
      </w:r>
    </w:p>
    <w:p>
      <w:pPr>
        <w:spacing w:after="120"/>
      </w:pPr>
      <w:r>
        <w:rPr>
          <w:b/>
        </w:rPr>
        <w:t>Analysis.</w:t>
      </w:r>
      <w:r>
        <w:t xml:space="preserve"> Sentinel’s debris estimate includes $500K for hazardous materials, including asbestos-containing pipe insulation and joint compound in Building C. (It is unusual to find ACM in 1998 construction; the finding should be verified by lab results.) The Policy excludes hazmat and asbestos abatement from debris removal and routes it to Pollution Cleanup (II.A(c)). Treaty §5.4(a) excludes asbestos “of any kind or nature,” and the sudden-and-accidental proviso is best read as attaching only to pollution under (b). Because covered debris is capped at $2.0M and non-hazardous debris alone is $2.6M, the right allocation (5.7) keeps asbestos outside the ceded debris figure entirely. Blackwater should separately decide its </w:t>
      </w:r>
      <w:r>
        <w:rPr>
          <w:i/>
        </w:rPr>
        <w:t>policy</w:t>
      </w:r>
      <w:r>
        <w:t xml:space="preserve"> position on whether the ACM abatement is covered at all.</w:t>
      </w:r>
    </w:p>
    <w:p>
      <w:pPr>
        <w:pStyle w:val="Heading2"/>
      </w:pPr>
      <w:r>
        <w:t>5.12 Occurrence definition and the 72-hour clause (Gap 12)</w:t>
      </w:r>
    </w:p>
    <w:p>
      <w:pPr>
        <w:spacing w:after="60"/>
      </w:pPr>
      <w:r>
        <w:rPr>
          <w:b/>
        </w:rPr>
        <w:t>Severity: MEDIUM</w:t>
      </w:r>
    </w:p>
    <w:p>
      <w:pPr>
        <w:spacing w:after="120"/>
      </w:pPr>
      <w:r>
        <w:rPr>
          <w:b/>
        </w:rPr>
        <w:t>Analysis.</w:t>
      </w:r>
      <w:r>
        <w:t xml:space="preserve"> The Policy’s Occurrence is cause-based with no time limit (VI.4). The Treaty’s Occurrence is the 72-hour period selected by the Company, and “only those individual losses falling within the selected 72-hour period” are included (§2.13). The fire ran from 2:17 a.m. Jan. 14 to 4:30 p.m. Jan. 16 (about 62 hours), so the physical damage fits within one window. Pinnacle could, however, argue that later physical losses fall outside it: deterioration of perishables after the fire, smoke and moisture damage during overhaul, and weather damage before tarping. A split would create a second Occurrence, which matters little here because the $25M cap is not engaged, but it would complicate the analysis. BI and sue and labor are consequences of the selected-window damage and should follow it.</w:t>
      </w:r>
    </w:p>
    <w:p>
      <w:pPr>
        <w:spacing w:after="120"/>
      </w:pPr>
      <w:r>
        <w:rPr>
          <w:b/>
        </w:rPr>
        <w:t>Action.</w:t>
      </w:r>
      <w:r>
        <w:t xml:space="preserve"> §2.13 requires Blackwater to notify Pinnacle in writing of the selected period. This has not been done. Select </w:t>
      </w:r>
      <w:r>
        <w:rPr>
          <w:b/>
        </w:rPr>
        <w:t>2:17 a.m. EST, Jan. 14, 2025 to 2:17 a.m. EST, Jan. 17, 2025</w:t>
      </w:r>
      <w:r>
        <w:t>, which captures the whole fire and starts the §4.2 six-month clock at the earliest point.</w:t>
      </w:r>
    </w:p>
    <w:p>
      <w:pPr>
        <w:pStyle w:val="Heading2"/>
      </w:pPr>
      <w:r>
        <w:t>5.13 Loss report quality issues Pinnacle will exploit (Gap 13)</w:t>
      </w:r>
    </w:p>
    <w:p>
      <w:pPr>
        <w:spacing w:after="60"/>
      </w:pPr>
      <w:r>
        <w:rPr>
          <w:b/>
        </w:rPr>
        <w:t>Severity: MEDIUM</w:t>
      </w:r>
    </w:p>
    <w:p>
      <w:pPr>
        <w:spacing w:after="120"/>
      </w:pPr>
      <w:r>
        <w:rPr>
          <w:b/>
        </w:rPr>
        <w:t>Points.</w:t>
      </w:r>
      <w:r>
        <w:t xml:space="preserve"> (i) </w:t>
      </w:r>
      <w:r>
        <w:rPr>
          <w:b/>
        </w:rPr>
        <w:t>Arithmetic:</w:t>
      </w:r>
      <w:r>
        <w:t xml:space="preserve"> the components total $53.10M, not $53.12M. Net figures of $52.87M and $51.77M should read $52.85M and $51.75M. (ii) </w:t>
      </w:r>
      <w:r>
        <w:rPr>
          <w:b/>
        </w:rPr>
        <w:t>Sue and labor and the deductible:</w:t>
      </w:r>
      <w:r>
        <w:t xml:space="preserve"> Sentinel says sue and labor is “not subject to the per-occurrence deductible.” The Policy applies the deductible “to all coverages unless otherwise stated” and is silent on sue and labor. (iii) </w:t>
      </w:r>
      <w:r>
        <w:rPr>
          <w:b/>
        </w:rPr>
        <w:t>BI waiting period:</w:t>
      </w:r>
      <w:r>
        <w:t xml:space="preserve"> the Period of Restoration starts 72 hours after the loss, but Sentinel measures BI “from the date of loss.” (iv) </w:t>
      </w:r>
      <w:r>
        <w:rPr>
          <w:b/>
        </w:rPr>
        <w:t>Coinsurance (90%)</w:t>
      </w:r>
      <w:r>
        <w:t xml:space="preserve"> has not been tested. If the building is underinsured, Blackwater’s loss and the ceded loss both fall. (v) </w:t>
      </w:r>
      <w:r>
        <w:rPr>
          <w:b/>
        </w:rPr>
        <w:t>Stock</w:t>
      </w:r>
      <w:r>
        <w:t xml:space="preserve"> must be valued at selling price less discounts (VII.C). Customer goods are covered only to the extent of legal liability, unless the warehousing contracts provide otherwise. (vi) </w:t>
      </w:r>
      <w:r>
        <w:rPr>
          <w:b/>
        </w:rPr>
        <w:t>Signature block</w:t>
      </w:r>
      <w:r>
        <w:t xml:space="preserve"> reads “Thomas R. Cromdale Consulting,” with an e-mail address for “t.mercer,” and the report is unsigned. Obtain a signed, corrected version. (vii) The report contains reinsurance commentary that is outside Sentinel’s scope (Section 15). Factual adjusting should be kept separate from coverage commentary in future reports.</w:t>
      </w:r>
    </w:p>
    <w:p>
      <w:pPr>
        <w:pStyle w:val="Heading2"/>
      </w:pPr>
      <w:r>
        <w:t>5.14 Overstated recoverable (Gap 14)</w:t>
      </w:r>
    </w:p>
    <w:p>
      <w:pPr>
        <w:spacing w:after="60"/>
      </w:pPr>
      <w:r>
        <w:rPr>
          <w:b/>
        </w:rPr>
        <w:t>Severity: MEDIUM</w:t>
      </w:r>
    </w:p>
    <w:p>
      <w:pPr>
        <w:spacing w:after="120"/>
      </w:pPr>
      <w:r>
        <w:rPr>
          <w:b/>
        </w:rPr>
        <w:t>Analysis.</w:t>
      </w:r>
      <w:r>
        <w:t xml:space="preserve"> The February 7 notice tells Pinnacle its share will “exceed $20 million.” On a policy-correct basis, 40% of $51.75M is $20.70M before any Treaty limitation, and $18.98M after removing only the months 7–10 BI. Reserves, reinsurance recoverables and any statutory reporting (including Schedule F) should reflect the Treaty-limited figures in Section 7, with disputed items reserved net. The $25M cap would engage only if gross loss exceeded $62.5M (§3.5), which is not projected even at the top of Sentinel’s ranges.</w:t>
      </w:r>
    </w:p>
    <w:p>
      <w:pPr>
        <w:pStyle w:val="Heading2"/>
      </w:pPr>
      <w:r>
        <w:t>5.15 Subrogation and salvage (Gap 15)</w:t>
      </w:r>
    </w:p>
    <w:p>
      <w:pPr>
        <w:spacing w:after="60"/>
      </w:pPr>
      <w:r>
        <w:rPr>
          <w:b/>
        </w:rPr>
        <w:t>Severity: MEDIUM</w:t>
      </w:r>
    </w:p>
    <w:p>
      <w:pPr>
        <w:spacing w:after="120"/>
      </w:pPr>
      <w:r>
        <w:rPr>
          <w:b/>
        </w:rPr>
        <w:t>Analysis.</w:t>
      </w:r>
      <w:r>
        <w:t xml:space="preserve"> Two potential targets emerge: (i) the contractor on the </w:t>
      </w:r>
      <w:r>
        <w:rPr>
          <w:b/>
        </w:rPr>
        <w:t>2016 mechanical retrofit</w:t>
      </w:r>
      <w:r>
        <w:t>, whose penetrations through the rated wall “may not have been properly fire-stopped”; and (ii) the switchgear manufacturer or servicer. Pinnacle shares 40% of net recoveries (§8.6). Blackwater may not waive subrogation without Pinnacle’s consent, except as the Policy requires. Endorsement No. 4 preserves pre-loss contractual waivers by the insured, so Summit Ridge’s contracts with these parties must be reviewed. Note Ohio’s statute of repose for improvements to real property, which runs from substantial completion (R.C. 2305.131; to be confirmed). Claims arising from the 2016 work may be time-sensitive.</w:t>
      </w:r>
    </w:p>
    <w:p>
      <w:pPr>
        <w:pStyle w:val="Heading2"/>
      </w:pPr>
      <w:r>
        <w:t>5.16 ECO/XPL and 5.17 Privilege (Gaps 16–17)</w:t>
      </w:r>
    </w:p>
    <w:p>
      <w:pPr>
        <w:spacing w:after="60"/>
      </w:pPr>
      <w:r>
        <w:rPr>
          <w:b/>
        </w:rPr>
        <w:t>Severity: LOW</w:t>
      </w:r>
    </w:p>
    <w:p>
      <w:pPr>
        <w:spacing w:after="120"/>
      </w:pPr>
      <w:r>
        <w:rPr>
          <w:b/>
        </w:rPr>
        <w:t>ECO/XPL.</w:t>
      </w:r>
      <w:r>
        <w:t xml:space="preserve"> If Summit Ridge disputes the debris cap, the sue-and-labor deductible or the BI quantum and alleges bad faith, ECO/XPL is ceded at 40%, subject to a separate $10M cap and a good-faith condition (Art. IX). Notice is due within </w:t>
      </w:r>
      <w:r>
        <w:rPr>
          <w:b/>
        </w:rPr>
        <w:t>15 Business Days</w:t>
      </w:r>
      <w:r>
        <w:t xml:space="preserve"> of awareness of a potential ECO/XPL claim (§9.4).</w:t>
      </w:r>
    </w:p>
    <w:p>
      <w:pPr>
        <w:spacing w:after="120"/>
      </w:pPr>
      <w:r>
        <w:rPr>
          <w:b/>
        </w:rPr>
        <w:t>Privilege.</w:t>
      </w:r>
      <w:r>
        <w:t xml:space="preserve"> The Sentinel report is marked privileged. Pinnacle is entitled to claim files under §§8.2 and 12.1. Before producing coverage counsel’s analysis or anything beyond factual material, enter into a common-interest and confidentiality agreement. Do not produce this memorandum.</w:t>
      </w:r>
    </w:p>
    <w:p>
      <w:pPr>
        <w:pStyle w:val="Heading1"/>
      </w:pPr>
      <w:r>
        <w:t>6. Structural (Portfolio) Gaps Between the Policy Form and the Treaty</w:t>
      </w:r>
    </w:p>
    <w:p>
      <w:pPr>
        <w:spacing w:after="120"/>
      </w:pPr>
      <w:r>
        <w:t>The Master Policy appears to be Blackwater’s standard form (BM-CP-100, Ed. 01/2024). The following mismatches therefore affect the whole ceded book, not just Summit Ridge. In each case Blackwater pays under the policy but retains 100% of the loss.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576"/>
            <w:shd w:val="clear" w:color="auto" w:fill="1F3A5F"/>
          </w:tcPr>
          <w:p>
            <w:r/>
            <w:r>
              <w:rPr>
                <w:b/>
                <w:color w:val="FFFFFF"/>
                <w:sz w:val="16"/>
              </w:rPr>
              <w:t>#</w:t>
            </w:r>
          </w:p>
        </w:tc>
        <w:tc>
          <w:tcPr>
            <w:tcW w:type="dxa" w:w="2736"/>
            <w:shd w:val="clear" w:color="auto" w:fill="1F3A5F"/>
          </w:tcPr>
          <w:p>
            <w:r/>
            <w:r>
              <w:rPr>
                <w:b/>
                <w:color w:val="FFFFFF"/>
                <w:sz w:val="16"/>
              </w:rPr>
              <w:t>Coverage granted by Policy</w:t>
            </w:r>
          </w:p>
        </w:tc>
        <w:tc>
          <w:tcPr>
            <w:tcW w:type="dxa" w:w="2736"/>
            <w:shd w:val="clear" w:color="auto" w:fill="1F3A5F"/>
          </w:tcPr>
          <w:p>
            <w:r/>
            <w:r>
              <w:rPr>
                <w:b/>
                <w:color w:val="FFFFFF"/>
                <w:sz w:val="16"/>
              </w:rPr>
              <w:t>Treaty treatment</w:t>
            </w:r>
          </w:p>
        </w:tc>
        <w:tc>
          <w:tcPr>
            <w:tcW w:type="dxa" w:w="2448"/>
            <w:shd w:val="clear" w:color="auto" w:fill="1F3A5F"/>
          </w:tcPr>
          <w:p>
            <w:r/>
            <w:r>
              <w:rPr>
                <w:b/>
                <w:color w:val="FFFFFF"/>
                <w:sz w:val="16"/>
              </w:rPr>
              <w:t>Effect</w:t>
            </w:r>
          </w:p>
        </w:tc>
        <w:tc>
          <w:tcPr>
            <w:tcW w:type="dxa" w:w="1008"/>
            <w:shd w:val="clear" w:color="auto" w:fill="1F3A5F"/>
          </w:tcPr>
          <w:p>
            <w:r/>
            <w:r>
              <w:rPr>
                <w:b/>
                <w:color w:val="FFFFFF"/>
                <w:sz w:val="16"/>
              </w:rPr>
              <w:t>Severity</w:t>
            </w:r>
          </w:p>
        </w:tc>
      </w:tr>
      <w:tr>
        <w:tc>
          <w:tcPr>
            <w:tcW w:type="dxa" w:w="576"/>
          </w:tcPr>
          <w:p>
            <w:r/>
            <w:r>
              <w:rPr>
                <w:sz w:val="16"/>
              </w:rPr>
              <w:t>P1</w:t>
            </w:r>
          </w:p>
        </w:tc>
        <w:tc>
          <w:tcPr>
            <w:tcW w:type="dxa" w:w="2736"/>
          </w:tcPr>
          <w:p>
            <w:r/>
            <w:r>
              <w:rPr>
                <w:sz w:val="16"/>
              </w:rPr>
              <w:t>Terrorism — certified TRIA acts covered (V.A; End. 3, citing the 2019 reauthorization)</w:t>
            </w:r>
          </w:p>
        </w:tc>
        <w:tc>
          <w:tcPr>
            <w:tcW w:type="dxa" w:w="2736"/>
          </w:tcPr>
          <w:p>
            <w:r/>
            <w:r>
              <w:rPr>
                <w:sz w:val="16"/>
              </w:rPr>
              <w:t>Excluded, certified or not (§5.1, citing the 2002/2007/2015 Acts “or successor”)</w:t>
            </w:r>
          </w:p>
        </w:tc>
        <w:tc>
          <w:tcPr>
            <w:tcW w:type="dxa" w:w="2448"/>
          </w:tcPr>
          <w:p>
            <w:r/>
            <w:r>
              <w:rPr>
                <w:sz w:val="16"/>
              </w:rPr>
              <w:t>Blackwater retains 100% of its TRIA deductible and co-share on every policy.</w:t>
            </w:r>
          </w:p>
        </w:tc>
        <w:tc>
          <w:tcPr>
            <w:tcW w:type="dxa" w:w="1008"/>
            <w:shd w:val="clear" w:color="auto" w:fill="E46C0A"/>
          </w:tcPr>
          <w:p>
            <w:r>
              <w:rPr>
                <w:b/>
                <w:color w:val="FFFFFF"/>
              </w:rPr>
            </w:r>
            <w:r>
              <w:rPr>
                <w:b/>
                <w:color w:val="FFFFFF"/>
                <w:sz w:val="16"/>
              </w:rPr>
              <w:t>High</w:t>
            </w:r>
          </w:p>
        </w:tc>
      </w:tr>
      <w:tr>
        <w:tc>
          <w:tcPr>
            <w:tcW w:type="dxa" w:w="576"/>
          </w:tcPr>
          <w:p>
            <w:r/>
            <w:r>
              <w:rPr>
                <w:sz w:val="16"/>
              </w:rPr>
              <w:t>P2</w:t>
            </w:r>
          </w:p>
        </w:tc>
        <w:tc>
          <w:tcPr>
            <w:tcW w:type="dxa" w:w="2736"/>
          </w:tcPr>
          <w:p>
            <w:r/>
            <w:r>
              <w:rPr>
                <w:sz w:val="16"/>
              </w:rPr>
              <w:t>Flood $5M and earthquake $3M annual aggregates; volcanic action and sinkhole collapse listed as covered perils</w:t>
            </w:r>
          </w:p>
        </w:tc>
        <w:tc>
          <w:tcPr>
            <w:tcW w:type="dxa" w:w="2736"/>
          </w:tcPr>
          <w:p>
            <w:r/>
            <w:r>
              <w:rPr>
                <w:sz w:val="16"/>
              </w:rPr>
              <w:t>Excluded “regardless of” sublimit or endorsement (§5.5; Sched. A); also excludes sinkhole, subsidence, volcanic eruption, mudflow</w:t>
            </w:r>
          </w:p>
        </w:tc>
        <w:tc>
          <w:tcPr>
            <w:tcW w:type="dxa" w:w="2448"/>
          </w:tcPr>
          <w:p>
            <w:r/>
            <w:r>
              <w:rPr>
                <w:sz w:val="16"/>
              </w:rPr>
              <w:t>Up to $8M per policy per year retained; Slip “all perils as per underlying policy” conflicts.</w:t>
            </w:r>
          </w:p>
        </w:tc>
        <w:tc>
          <w:tcPr>
            <w:tcW w:type="dxa" w:w="1008"/>
            <w:shd w:val="clear" w:color="auto" w:fill="E46C0A"/>
          </w:tcPr>
          <w:p>
            <w:r>
              <w:rPr>
                <w:b/>
                <w:color w:val="FFFFFF"/>
              </w:rPr>
            </w:r>
            <w:r>
              <w:rPr>
                <w:b/>
                <w:color w:val="FFFFFF"/>
                <w:sz w:val="16"/>
              </w:rPr>
              <w:t>High</w:t>
            </w:r>
          </w:p>
        </w:tc>
      </w:tr>
      <w:tr>
        <w:tc>
          <w:tcPr>
            <w:tcW w:type="dxa" w:w="576"/>
          </w:tcPr>
          <w:p>
            <w:r/>
            <w:r>
              <w:rPr>
                <w:sz w:val="16"/>
              </w:rPr>
              <w:t>P3</w:t>
            </w:r>
          </w:p>
        </w:tc>
        <w:tc>
          <w:tcPr>
            <w:tcW w:type="dxa" w:w="2736"/>
          </w:tcPr>
          <w:p>
            <w:r/>
            <w:r>
              <w:rPr>
                <w:sz w:val="16"/>
              </w:rPr>
              <w:t>BI 12 months + 60-day Extended BI</w:t>
            </w:r>
          </w:p>
        </w:tc>
        <w:tc>
          <w:tcPr>
            <w:tcW w:type="dxa" w:w="2736"/>
          </w:tcPr>
          <w:p>
            <w:r/>
            <w:r>
              <w:rPr>
                <w:sz w:val="16"/>
              </w:rPr>
              <w:t>6 months (§4.2)</w:t>
            </w:r>
          </w:p>
        </w:tc>
        <w:tc>
          <w:tcPr>
            <w:tcW w:type="dxa" w:w="2448"/>
          </w:tcPr>
          <w:p>
            <w:r/>
            <w:r>
              <w:rPr>
                <w:sz w:val="16"/>
              </w:rPr>
              <w:t>All long-tail BI retained.</w:t>
            </w:r>
          </w:p>
        </w:tc>
        <w:tc>
          <w:tcPr>
            <w:tcW w:type="dxa" w:w="1008"/>
            <w:shd w:val="clear" w:color="auto" w:fill="E46C0A"/>
          </w:tcPr>
          <w:p>
            <w:r>
              <w:rPr>
                <w:b/>
                <w:color w:val="FFFFFF"/>
              </w:rPr>
            </w:r>
            <w:r>
              <w:rPr>
                <w:b/>
                <w:color w:val="FFFFFF"/>
                <w:sz w:val="16"/>
              </w:rPr>
              <w:t>High</w:t>
            </w:r>
          </w:p>
        </w:tc>
      </w:tr>
      <w:tr>
        <w:tc>
          <w:tcPr>
            <w:tcW w:type="dxa" w:w="576"/>
          </w:tcPr>
          <w:p>
            <w:r/>
            <w:r>
              <w:rPr>
                <w:sz w:val="16"/>
              </w:rPr>
              <w:t>P4</w:t>
            </w:r>
          </w:p>
        </w:tc>
        <w:tc>
          <w:tcPr>
            <w:tcW w:type="dxa" w:w="2736"/>
          </w:tcPr>
          <w:p>
            <w:r/>
            <w:r>
              <w:rPr>
                <w:sz w:val="16"/>
              </w:rPr>
              <w:t>Ordinance or Law; Civil Authority BI; fire-line demolition carve-back (V.A.3)</w:t>
            </w:r>
          </w:p>
        </w:tc>
        <w:tc>
          <w:tcPr>
            <w:tcW w:type="dxa" w:w="2736"/>
          </w:tcPr>
          <w:p>
            <w:r/>
            <w:r>
              <w:rPr>
                <w:sz w:val="16"/>
              </w:rPr>
              <w:t>Broad governmental action exclusion (§5.6)</w:t>
            </w:r>
          </w:p>
        </w:tc>
        <w:tc>
          <w:tcPr>
            <w:tcW w:type="dxa" w:w="2448"/>
          </w:tcPr>
          <w:p>
            <w:r/>
            <w:r>
              <w:rPr>
                <w:sz w:val="16"/>
              </w:rPr>
              <w:t>Code-upgrade, civil-authority and fire-line losses at risk.</w:t>
            </w:r>
          </w:p>
        </w:tc>
        <w:tc>
          <w:tcPr>
            <w:tcW w:type="dxa" w:w="1008"/>
            <w:shd w:val="clear" w:color="auto" w:fill="E46C0A"/>
          </w:tcPr>
          <w:p>
            <w:r>
              <w:rPr>
                <w:b/>
                <w:color w:val="FFFFFF"/>
              </w:rPr>
            </w:r>
            <w:r>
              <w:rPr>
                <w:b/>
                <w:color w:val="FFFFFF"/>
                <w:sz w:val="16"/>
              </w:rPr>
              <w:t>High</w:t>
            </w:r>
          </w:p>
        </w:tc>
      </w:tr>
      <w:tr>
        <w:tc>
          <w:tcPr>
            <w:tcW w:type="dxa" w:w="576"/>
          </w:tcPr>
          <w:p>
            <w:r/>
            <w:r>
              <w:rPr>
                <w:sz w:val="16"/>
              </w:rPr>
              <w:t>P5</w:t>
            </w:r>
          </w:p>
        </w:tc>
        <w:tc>
          <w:tcPr>
            <w:tcW w:type="dxa" w:w="2736"/>
          </w:tcPr>
          <w:p>
            <w:r/>
            <w:r>
              <w:rPr>
                <w:sz w:val="16"/>
              </w:rPr>
              <w:t>Additional-to-limit coverages (debris, S&amp;L, FDSC, EB)</w:t>
            </w:r>
          </w:p>
        </w:tc>
        <w:tc>
          <w:tcPr>
            <w:tcW w:type="dxa" w:w="2736"/>
          </w:tcPr>
          <w:p>
            <w:r/>
            <w:r>
              <w:rPr>
                <w:sz w:val="16"/>
              </w:rPr>
              <w:t>Premium excluded; loss cession unclear (§2.16)</w:t>
            </w:r>
          </w:p>
        </w:tc>
        <w:tc>
          <w:tcPr>
            <w:tcW w:type="dxa" w:w="2448"/>
          </w:tcPr>
          <w:p>
            <w:r/>
            <w:r>
              <w:rPr>
                <w:sz w:val="16"/>
              </w:rPr>
              <w:t>Recurring dispute on every large loss; aggravates the $75M eligibility test.</w:t>
            </w:r>
          </w:p>
        </w:tc>
        <w:tc>
          <w:tcPr>
            <w:tcW w:type="dxa" w:w="1008"/>
            <w:shd w:val="clear" w:color="auto" w:fill="E46C0A"/>
          </w:tcPr>
          <w:p>
            <w:r>
              <w:rPr>
                <w:b/>
                <w:color w:val="FFFFFF"/>
              </w:rPr>
            </w:r>
            <w:r>
              <w:rPr>
                <w:b/>
                <w:color w:val="FFFFFF"/>
                <w:sz w:val="16"/>
              </w:rPr>
              <w:t>High</w:t>
            </w:r>
          </w:p>
        </w:tc>
      </w:tr>
      <w:tr>
        <w:tc>
          <w:tcPr>
            <w:tcW w:type="dxa" w:w="576"/>
          </w:tcPr>
          <w:p>
            <w:r/>
            <w:r>
              <w:rPr>
                <w:sz w:val="16"/>
              </w:rPr>
              <w:t>P6</w:t>
            </w:r>
          </w:p>
        </w:tc>
        <w:tc>
          <w:tcPr>
            <w:tcW w:type="dxa" w:w="2736"/>
          </w:tcPr>
          <w:p>
            <w:r/>
            <w:r>
              <w:rPr>
                <w:sz w:val="16"/>
              </w:rPr>
              <w:t>Combined limits stacked above $75M</w:t>
            </w:r>
          </w:p>
        </w:tc>
        <w:tc>
          <w:tcPr>
            <w:tcW w:type="dxa" w:w="2736"/>
          </w:tcPr>
          <w:p>
            <w:r/>
            <w:r>
              <w:rPr>
                <w:sz w:val="16"/>
              </w:rPr>
              <w:t>Ineligible (§§2.17, 4.4)</w:t>
            </w:r>
          </w:p>
        </w:tc>
        <w:tc>
          <w:tcPr>
            <w:tcW w:type="dxa" w:w="2448"/>
          </w:tcPr>
          <w:p>
            <w:r/>
            <w:r>
              <w:rPr>
                <w:sz w:val="16"/>
              </w:rPr>
              <w:t>Risk that larger accounts are not reinsured at all.</w:t>
            </w:r>
          </w:p>
        </w:tc>
        <w:tc>
          <w:tcPr>
            <w:tcW w:type="dxa" w:w="1008"/>
            <w:shd w:val="clear" w:color="auto" w:fill="C00000"/>
          </w:tcPr>
          <w:p>
            <w:r>
              <w:rPr>
                <w:b/>
                <w:color w:val="FFFFFF"/>
              </w:rPr>
            </w:r>
            <w:r>
              <w:rPr>
                <w:b/>
                <w:color w:val="FFFFFF"/>
                <w:sz w:val="16"/>
              </w:rPr>
              <w:t>Critical</w:t>
            </w:r>
          </w:p>
        </w:tc>
      </w:tr>
      <w:tr>
        <w:tc>
          <w:tcPr>
            <w:tcW w:type="dxa" w:w="576"/>
          </w:tcPr>
          <w:p>
            <w:r/>
            <w:r>
              <w:rPr>
                <w:sz w:val="16"/>
              </w:rPr>
              <w:t>P7</w:t>
            </w:r>
          </w:p>
        </w:tc>
        <w:tc>
          <w:tcPr>
            <w:tcW w:type="dxa" w:w="2736"/>
          </w:tcPr>
          <w:p>
            <w:r/>
            <w:r>
              <w:rPr>
                <w:sz w:val="16"/>
              </w:rPr>
              <w:t>Cyber exclusion with ensuing-physical-damage carve-back</w:t>
            </w:r>
          </w:p>
        </w:tc>
        <w:tc>
          <w:tcPr>
            <w:tcW w:type="dxa" w:w="2736"/>
          </w:tcPr>
          <w:p>
            <w:r/>
            <w:r>
              <w:rPr>
                <w:sz w:val="16"/>
              </w:rPr>
              <w:t>No carve-back; covers any “electronic device” failure (§5.2(d))</w:t>
            </w:r>
          </w:p>
        </w:tc>
        <w:tc>
          <w:tcPr>
            <w:tcW w:type="dxa" w:w="2448"/>
          </w:tcPr>
          <w:p>
            <w:r/>
            <w:r>
              <w:rPr>
                <w:sz w:val="16"/>
              </w:rPr>
              <w:t>Fires and explosions caused by electrical or electronic equipment at risk.</w:t>
            </w:r>
          </w:p>
        </w:tc>
        <w:tc>
          <w:tcPr>
            <w:tcW w:type="dxa" w:w="1008"/>
            <w:shd w:val="clear" w:color="auto" w:fill="E46C0A"/>
          </w:tcPr>
          <w:p>
            <w:r>
              <w:rPr>
                <w:b/>
                <w:color w:val="FFFFFF"/>
              </w:rPr>
            </w:r>
            <w:r>
              <w:rPr>
                <w:b/>
                <w:color w:val="FFFFFF"/>
                <w:sz w:val="16"/>
              </w:rPr>
              <w:t>High</w:t>
            </w:r>
          </w:p>
        </w:tc>
      </w:tr>
      <w:tr>
        <w:tc>
          <w:tcPr>
            <w:tcW w:type="dxa" w:w="576"/>
          </w:tcPr>
          <w:p>
            <w:r/>
            <w:r>
              <w:rPr>
                <w:sz w:val="16"/>
              </w:rPr>
              <w:t>P8</w:t>
            </w:r>
          </w:p>
        </w:tc>
        <w:tc>
          <w:tcPr>
            <w:tcW w:type="dxa" w:w="2736"/>
          </w:tcPr>
          <w:p>
            <w:r/>
            <w:r>
              <w:rPr>
                <w:sz w:val="16"/>
              </w:rPr>
              <w:t>Off-premises BPP and transit anywhere in the continental U.S. ($5M per location)</w:t>
            </w:r>
          </w:p>
        </w:tc>
        <w:tc>
          <w:tcPr>
            <w:tcW w:type="dxa" w:w="2736"/>
          </w:tcPr>
          <w:p>
            <w:r/>
            <w:r>
              <w:rPr>
                <w:sz w:val="16"/>
              </w:rPr>
              <w:t>Treaty Territory is OH/IN/KY/WV only (§§2.19, 3.6); allocation required</w:t>
            </w:r>
          </w:p>
        </w:tc>
        <w:tc>
          <w:tcPr>
            <w:tcW w:type="dxa" w:w="2448"/>
          </w:tcPr>
          <w:p>
            <w:r/>
            <w:r>
              <w:rPr>
                <w:sz w:val="16"/>
              </w:rPr>
              <w:t>Off-territory BPP and transit retained; needs an allocation methodology.</w:t>
            </w:r>
          </w:p>
        </w:tc>
        <w:tc>
          <w:tcPr>
            <w:tcW w:type="dxa" w:w="1008"/>
            <w:shd w:val="clear" w:color="auto" w:fill="BF9000"/>
          </w:tcPr>
          <w:p>
            <w:r>
              <w:rPr>
                <w:b/>
                <w:color w:val="FFFFFF"/>
              </w:rPr>
            </w:r>
            <w:r>
              <w:rPr>
                <w:b/>
                <w:color w:val="FFFFFF"/>
                <w:sz w:val="16"/>
              </w:rPr>
              <w:t>Medium</w:t>
            </w:r>
          </w:p>
        </w:tc>
      </w:tr>
      <w:tr>
        <w:tc>
          <w:tcPr>
            <w:tcW w:type="dxa" w:w="576"/>
          </w:tcPr>
          <w:p>
            <w:r/>
            <w:r>
              <w:rPr>
                <w:sz w:val="16"/>
              </w:rPr>
              <w:t>P9</w:t>
            </w:r>
          </w:p>
        </w:tc>
        <w:tc>
          <w:tcPr>
            <w:tcW w:type="dxa" w:w="2736"/>
          </w:tcPr>
          <w:p>
            <w:r/>
            <w:r>
              <w:rPr>
                <w:sz w:val="16"/>
              </w:rPr>
              <w:t>Pollution: S&amp;A carve-back with smoke/soot hostile-fire carve-out (V.B)</w:t>
            </w:r>
          </w:p>
        </w:tc>
        <w:tc>
          <w:tcPr>
            <w:tcW w:type="dxa" w:w="2736"/>
          </w:tcPr>
          <w:p>
            <w:r/>
            <w:r>
              <w:rPr>
                <w:sz w:val="16"/>
              </w:rPr>
              <w:t>S&amp;A exception only; no hostile-fire smoke carve-out; no definition of “pollutants”</w:t>
            </w:r>
          </w:p>
        </w:tc>
        <w:tc>
          <w:tcPr>
            <w:tcW w:type="dxa" w:w="2448"/>
          </w:tcPr>
          <w:p>
            <w:r/>
            <w:r>
              <w:rPr>
                <w:sz w:val="16"/>
              </w:rPr>
              <w:t>Arguments over smoke damage; asbestos absolutely excluded.</w:t>
            </w:r>
          </w:p>
        </w:tc>
        <w:tc>
          <w:tcPr>
            <w:tcW w:type="dxa" w:w="1008"/>
            <w:shd w:val="clear" w:color="auto" w:fill="BF9000"/>
          </w:tcPr>
          <w:p>
            <w:r>
              <w:rPr>
                <w:b/>
                <w:color w:val="FFFFFF"/>
              </w:rPr>
            </w:r>
            <w:r>
              <w:rPr>
                <w:b/>
                <w:color w:val="FFFFFF"/>
                <w:sz w:val="16"/>
              </w:rPr>
              <w:t>Medium</w:t>
            </w:r>
          </w:p>
        </w:tc>
      </w:tr>
      <w:tr>
        <w:tc>
          <w:tcPr>
            <w:tcW w:type="dxa" w:w="576"/>
          </w:tcPr>
          <w:p>
            <w:r/>
            <w:r>
              <w:rPr>
                <w:sz w:val="16"/>
              </w:rPr>
              <w:t>P10</w:t>
            </w:r>
          </w:p>
        </w:tc>
        <w:tc>
          <w:tcPr>
            <w:tcW w:type="dxa" w:w="2736"/>
          </w:tcPr>
          <w:p>
            <w:r/>
            <w:r>
              <w:rPr>
                <w:sz w:val="16"/>
              </w:rPr>
              <w:t>Occurrence: cause-based; 168-hour flood/EQ clauses</w:t>
            </w:r>
          </w:p>
        </w:tc>
        <w:tc>
          <w:tcPr>
            <w:tcW w:type="dxa" w:w="2736"/>
          </w:tcPr>
          <w:p>
            <w:r/>
            <w:r>
              <w:rPr>
                <w:sz w:val="16"/>
              </w:rPr>
              <w:t>72-hour clause for all perils</w:t>
            </w:r>
          </w:p>
        </w:tc>
        <w:tc>
          <w:tcPr>
            <w:tcW w:type="dxa" w:w="2448"/>
          </w:tcPr>
          <w:p>
            <w:r/>
            <w:r>
              <w:rPr>
                <w:sz w:val="16"/>
              </w:rPr>
              <w:t>Differences in aggregation on prolonged events.</w:t>
            </w:r>
          </w:p>
        </w:tc>
        <w:tc>
          <w:tcPr>
            <w:tcW w:type="dxa" w:w="1008"/>
            <w:shd w:val="clear" w:color="auto" w:fill="BF9000"/>
          </w:tcPr>
          <w:p>
            <w:r>
              <w:rPr>
                <w:b/>
                <w:color w:val="FFFFFF"/>
              </w:rPr>
            </w:r>
            <w:r>
              <w:rPr>
                <w:b/>
                <w:color w:val="FFFFFF"/>
                <w:sz w:val="16"/>
              </w:rPr>
              <w:t>Medium</w:t>
            </w:r>
          </w:p>
        </w:tc>
      </w:tr>
      <w:tr>
        <w:tc>
          <w:tcPr>
            <w:tcW w:type="dxa" w:w="576"/>
          </w:tcPr>
          <w:p>
            <w:r/>
            <w:r>
              <w:rPr>
                <w:sz w:val="16"/>
              </w:rPr>
              <w:t>P11</w:t>
            </w:r>
          </w:p>
        </w:tc>
        <w:tc>
          <w:tcPr>
            <w:tcW w:type="dxa" w:w="2736"/>
          </w:tcPr>
          <w:p>
            <w:r/>
            <w:r>
              <w:rPr>
                <w:sz w:val="16"/>
              </w:rPr>
              <w:t>Liberalization (VII.H): automatic broadening without premium; automatic renewal if non-renewal notice is late (VII.J)</w:t>
            </w:r>
          </w:p>
        </w:tc>
        <w:tc>
          <w:tcPr>
            <w:tcW w:type="dxa" w:w="2736"/>
          </w:tcPr>
          <w:p>
            <w:r/>
            <w:r>
              <w:rPr>
                <w:sz w:val="16"/>
              </w:rPr>
              <w:t>Follows “modifications” subject to Treaty terms (§8.4); risks attaching only to policies incepting by Dec. 31, 2025</w:t>
            </w:r>
          </w:p>
        </w:tc>
        <w:tc>
          <w:tcPr>
            <w:tcW w:type="dxa" w:w="2448"/>
          </w:tcPr>
          <w:p>
            <w:r/>
            <w:r>
              <w:rPr>
                <w:sz w:val="16"/>
              </w:rPr>
              <w:t>Uncontrolled broadening; renewals after the Treaty expiry are uncovered.</w:t>
            </w:r>
          </w:p>
        </w:tc>
        <w:tc>
          <w:tcPr>
            <w:tcW w:type="dxa" w:w="1008"/>
            <w:shd w:val="clear" w:color="auto" w:fill="548235"/>
          </w:tcPr>
          <w:p>
            <w:r>
              <w:rPr>
                <w:b/>
                <w:color w:val="FFFFFF"/>
              </w:rPr>
            </w:r>
            <w:r>
              <w:rPr>
                <w:b/>
                <w:color w:val="FFFFFF"/>
                <w:sz w:val="16"/>
              </w:rPr>
              <w:t>Low</w:t>
            </w:r>
          </w:p>
        </w:tc>
      </w:tr>
      <w:tr>
        <w:tc>
          <w:tcPr>
            <w:tcW w:type="dxa" w:w="576"/>
          </w:tcPr>
          <w:p>
            <w:r/>
            <w:r>
              <w:rPr>
                <w:sz w:val="16"/>
              </w:rPr>
              <w:t>P12</w:t>
            </w:r>
          </w:p>
        </w:tc>
        <w:tc>
          <w:tcPr>
            <w:tcW w:type="dxa" w:w="2736"/>
          </w:tcPr>
          <w:p>
            <w:r/>
            <w:r>
              <w:rPr>
                <w:sz w:val="16"/>
              </w:rPr>
              <w:t>Waiver of subrogation (End. 4)</w:t>
            </w:r>
          </w:p>
        </w:tc>
        <w:tc>
          <w:tcPr>
            <w:tcW w:type="dxa" w:w="2736"/>
          </w:tcPr>
          <w:p>
            <w:r/>
            <w:r>
              <w:rPr>
                <w:sz w:val="16"/>
              </w:rPr>
              <w:t>No waiver without consent, except as the policy requires (§8.6)</w:t>
            </w:r>
          </w:p>
        </w:tc>
        <w:tc>
          <w:tcPr>
            <w:tcW w:type="dxa" w:w="2448"/>
          </w:tcPr>
          <w:p>
            <w:r/>
            <w:r>
              <w:rPr>
                <w:sz w:val="16"/>
              </w:rPr>
              <w:t>Acceptable, because the waiver is in the policy; confirm the endorsement is standard across the book.</w:t>
            </w:r>
          </w:p>
        </w:tc>
        <w:tc>
          <w:tcPr>
            <w:tcW w:type="dxa" w:w="1008"/>
            <w:shd w:val="clear" w:color="auto" w:fill="548235"/>
          </w:tcPr>
          <w:p>
            <w:r>
              <w:rPr>
                <w:b/>
                <w:color w:val="FFFFFF"/>
              </w:rPr>
            </w:r>
            <w:r>
              <w:rPr>
                <w:b/>
                <w:color w:val="FFFFFF"/>
                <w:sz w:val="16"/>
              </w:rPr>
              <w:t>Low</w:t>
            </w:r>
          </w:p>
        </w:tc>
      </w:tr>
    </w:tbl>
    <w:p>
      <w:pPr>
        <w:spacing w:after="40"/>
      </w:pPr>
    </w:p>
    <w:p>
      <w:pPr>
        <w:pStyle w:val="Heading2"/>
      </w:pPr>
      <w:r>
        <w:t>Slip vs. Treaty wording discrepancies</w:t>
      </w:r>
    </w:p>
    <w:tbl>
      <w:tblPr>
        <w:tblStyle w:val="TableGrid"/>
        <w:tblW w:type="auto" w:w="0"/>
        <w:jc w:val="center"/>
        <w:tblLook w:firstColumn="1" w:firstRow="1" w:lastColumn="0" w:lastRow="0" w:noHBand="0" w:noVBand="1" w:val="04A0"/>
      </w:tblPr>
      <w:tblGrid>
        <w:gridCol w:w="2412"/>
        <w:gridCol w:w="2412"/>
        <w:gridCol w:w="2412"/>
        <w:gridCol w:w="2412"/>
      </w:tblGrid>
      <w:tr>
        <w:trPr>
          <w:tblHeader w:val="true"/>
        </w:trPr>
        <w:tc>
          <w:tcPr>
            <w:tcW w:type="dxa" w:w="1584"/>
            <w:shd w:val="clear" w:color="auto" w:fill="1F3A5F"/>
          </w:tcPr>
          <w:p>
            <w:r/>
            <w:r>
              <w:rPr>
                <w:b/>
                <w:color w:val="FFFFFF"/>
                <w:sz w:val="16"/>
              </w:rPr>
              <w:t>Term</w:t>
            </w:r>
          </w:p>
        </w:tc>
        <w:tc>
          <w:tcPr>
            <w:tcW w:type="dxa" w:w="2736"/>
            <w:shd w:val="clear" w:color="auto" w:fill="1F3A5F"/>
          </w:tcPr>
          <w:p>
            <w:r/>
            <w:r>
              <w:rPr>
                <w:b/>
                <w:color w:val="FFFFFF"/>
                <w:sz w:val="16"/>
              </w:rPr>
              <w:t>Placement Slip</w:t>
            </w:r>
          </w:p>
        </w:tc>
        <w:tc>
          <w:tcPr>
            <w:tcW w:type="dxa" w:w="2736"/>
            <w:shd w:val="clear" w:color="auto" w:fill="1F3A5F"/>
          </w:tcPr>
          <w:p>
            <w:r/>
            <w:r>
              <w:rPr>
                <w:b/>
                <w:color w:val="FFFFFF"/>
                <w:sz w:val="16"/>
              </w:rPr>
              <w:t>Treaty wording</w:t>
            </w:r>
          </w:p>
        </w:tc>
        <w:tc>
          <w:tcPr>
            <w:tcW w:type="dxa" w:w="2448"/>
            <w:shd w:val="clear" w:color="auto" w:fill="1F3A5F"/>
          </w:tcPr>
          <w:p>
            <w:r/>
            <w:r>
              <w:rPr>
                <w:b/>
                <w:color w:val="FFFFFF"/>
                <w:sz w:val="16"/>
              </w:rPr>
              <w:t>Significance</w:t>
            </w:r>
          </w:p>
        </w:tc>
      </w:tr>
      <w:tr>
        <w:tc>
          <w:tcPr>
            <w:tcW w:type="dxa" w:w="1584"/>
          </w:tcPr>
          <w:p>
            <w:r/>
            <w:r>
              <w:rPr>
                <w:sz w:val="16"/>
              </w:rPr>
              <w:t>Perils</w:t>
            </w:r>
          </w:p>
        </w:tc>
        <w:tc>
          <w:tcPr>
            <w:tcW w:type="dxa" w:w="2736"/>
          </w:tcPr>
          <w:p>
            <w:r/>
            <w:r>
              <w:rPr>
                <w:sz w:val="16"/>
              </w:rPr>
              <w:t>“All perils as per underlying policy” (§4)</w:t>
            </w:r>
          </w:p>
        </w:tc>
        <w:tc>
          <w:tcPr>
            <w:tcW w:type="dxa" w:w="2736"/>
          </w:tcPr>
          <w:p>
            <w:r/>
            <w:r>
              <w:rPr>
                <w:sz w:val="16"/>
              </w:rPr>
              <w:t>Seven broad exclusions (Art. V)</w:t>
            </w:r>
          </w:p>
        </w:tc>
        <w:tc>
          <w:tcPr>
            <w:tcW w:type="dxa" w:w="2448"/>
          </w:tcPr>
          <w:p>
            <w:r/>
            <w:r>
              <w:rPr>
                <w:sz w:val="16"/>
              </w:rPr>
              <w:t>Supports a mutual-intent argument; the Treaty prevails (Slip §19).</w:t>
            </w:r>
          </w:p>
        </w:tc>
      </w:tr>
      <w:tr>
        <w:tc>
          <w:tcPr>
            <w:tcW w:type="dxa" w:w="1584"/>
          </w:tcPr>
          <w:p>
            <w:r/>
            <w:r>
              <w:rPr>
                <w:sz w:val="16"/>
              </w:rPr>
              <w:t>Follow the fortunes</w:t>
            </w:r>
          </w:p>
        </w:tc>
        <w:tc>
          <w:tcPr>
            <w:tcW w:type="dxa" w:w="2736"/>
          </w:tcPr>
          <w:p>
            <w:r/>
            <w:r>
              <w:rPr>
                <w:sz w:val="16"/>
              </w:rPr>
              <w:t>Extends to adjustment, settlement and payment of claims (§11)</w:t>
            </w:r>
          </w:p>
        </w:tc>
        <w:tc>
          <w:tcPr>
            <w:tcW w:type="dxa" w:w="2736"/>
          </w:tcPr>
          <w:p>
            <w:r/>
            <w:r>
              <w:rPr>
                <w:sz w:val="16"/>
              </w:rPr>
              <w:t>Underwriting decisions and allocation only (§8.4)</w:t>
            </w:r>
          </w:p>
        </w:tc>
        <w:tc>
          <w:tcPr>
            <w:tcW w:type="dxa" w:w="2448"/>
          </w:tcPr>
          <w:p>
            <w:r/>
            <w:r>
              <w:rPr>
                <w:sz w:val="16"/>
              </w:rPr>
              <w:t>Pinnacle relies on the narrower version.</w:t>
            </w:r>
          </w:p>
        </w:tc>
      </w:tr>
      <w:tr>
        <w:tc>
          <w:tcPr>
            <w:tcW w:type="dxa" w:w="1584"/>
          </w:tcPr>
          <w:p>
            <w:r/>
            <w:r>
              <w:rPr>
                <w:sz w:val="16"/>
              </w:rPr>
              <w:t>Governmental action</w:t>
            </w:r>
          </w:p>
        </w:tc>
        <w:tc>
          <w:tcPr>
            <w:tcW w:type="dxa" w:w="2736"/>
          </w:tcPr>
          <w:p>
            <w:r/>
            <w:r>
              <w:rPr>
                <w:sz w:val="16"/>
              </w:rPr>
              <w:t>Confiscation, nationalization, seizure, destruction (§9(f))</w:t>
            </w:r>
          </w:p>
        </w:tc>
        <w:tc>
          <w:tcPr>
            <w:tcW w:type="dxa" w:w="2736"/>
          </w:tcPr>
          <w:p>
            <w:r/>
            <w:r>
              <w:rPr>
                <w:sz w:val="16"/>
              </w:rPr>
              <w:t>Any regulation, directive or mandate (§5.6)</w:t>
            </w:r>
          </w:p>
        </w:tc>
        <w:tc>
          <w:tcPr>
            <w:tcW w:type="dxa" w:w="2448"/>
          </w:tcPr>
          <w:p>
            <w:r/>
            <w:r>
              <w:rPr>
                <w:sz w:val="16"/>
              </w:rPr>
              <w:t>Key to the O&amp;L dispute.</w:t>
            </w:r>
          </w:p>
        </w:tc>
      </w:tr>
      <w:tr>
        <w:tc>
          <w:tcPr>
            <w:tcW w:type="dxa" w:w="1584"/>
          </w:tcPr>
          <w:p>
            <w:r/>
            <w:r>
              <w:rPr>
                <w:sz w:val="16"/>
              </w:rPr>
              <w:t>Cyber</w:t>
            </w:r>
          </w:p>
        </w:tc>
        <w:tc>
          <w:tcPr>
            <w:tcW w:type="dxa" w:w="2736"/>
          </w:tcPr>
          <w:p>
            <w:r/>
            <w:r>
              <w:rPr>
                <w:sz w:val="16"/>
              </w:rPr>
              <w:t>Computer systems, networks, data (§9(b))</w:t>
            </w:r>
          </w:p>
        </w:tc>
        <w:tc>
          <w:tcPr>
            <w:tcW w:type="dxa" w:w="2736"/>
          </w:tcPr>
          <w:p>
            <w:r/>
            <w:r>
              <w:rPr>
                <w:sz w:val="16"/>
              </w:rPr>
              <w:t>Adds “electronic device” failure, regardless of physical damage (§5.2)</w:t>
            </w:r>
          </w:p>
        </w:tc>
        <w:tc>
          <w:tcPr>
            <w:tcW w:type="dxa" w:w="2448"/>
          </w:tcPr>
          <w:p>
            <w:r/>
            <w:r>
              <w:rPr>
                <w:sz w:val="16"/>
              </w:rPr>
              <w:t>Key to the cause-of-loss risk.</w:t>
            </w:r>
          </w:p>
        </w:tc>
      </w:tr>
      <w:tr>
        <w:tc>
          <w:tcPr>
            <w:tcW w:type="dxa" w:w="1584"/>
          </w:tcPr>
          <w:p>
            <w:r/>
            <w:r>
              <w:rPr>
                <w:sz w:val="16"/>
              </w:rPr>
              <w:t>Expiry</w:t>
            </w:r>
          </w:p>
        </w:tc>
        <w:tc>
          <w:tcPr>
            <w:tcW w:type="dxa" w:w="2736"/>
          </w:tcPr>
          <w:p>
            <w:r/>
            <w:r>
              <w:rPr>
                <w:sz w:val="16"/>
              </w:rPr>
              <w:t>Dec. 31, 2025, 12:01 a.m. EST</w:t>
            </w:r>
          </w:p>
        </w:tc>
        <w:tc>
          <w:tcPr>
            <w:tcW w:type="dxa" w:w="2736"/>
          </w:tcPr>
          <w:p>
            <w:r/>
            <w:r>
              <w:rPr>
                <w:sz w:val="16"/>
              </w:rPr>
              <w:t>Dec. 31, 2025, 11:59 p.m. EST</w:t>
            </w:r>
          </w:p>
        </w:tc>
        <w:tc>
          <w:tcPr>
            <w:tcW w:type="dxa" w:w="2448"/>
          </w:tcPr>
          <w:p>
            <w:r/>
            <w:r>
              <w:rPr>
                <w:sz w:val="16"/>
              </w:rPr>
              <w:t>Policies incepting on Dec. 31, 2025.</w:t>
            </w:r>
          </w:p>
        </w:tc>
      </w:tr>
      <w:tr>
        <w:tc>
          <w:tcPr>
            <w:tcW w:type="dxa" w:w="1584"/>
          </w:tcPr>
          <w:p>
            <w:r/>
            <w:r>
              <w:rPr>
                <w:sz w:val="16"/>
              </w:rPr>
              <w:t>Notice channel</w:t>
            </w:r>
          </w:p>
        </w:tc>
        <w:tc>
          <w:tcPr>
            <w:tcW w:type="dxa" w:w="2736"/>
          </w:tcPr>
          <w:p>
            <w:r/>
            <w:r>
              <w:rPr>
                <w:sz w:val="16"/>
              </w:rPr>
              <w:t>Through the Intermediary (§§11, 17)</w:t>
            </w:r>
          </w:p>
        </w:tc>
        <w:tc>
          <w:tcPr>
            <w:tcW w:type="dxa" w:w="2736"/>
          </w:tcPr>
          <w:p>
            <w:r/>
            <w:r>
              <w:rPr>
                <w:sz w:val="16"/>
              </w:rPr>
              <w:t>“May” be transmitted through the Intermediary (§15.2); Art. XIX formalities</w:t>
            </w:r>
          </w:p>
        </w:tc>
        <w:tc>
          <w:tcPr>
            <w:tcW w:type="dxa" w:w="2448"/>
          </w:tcPr>
          <w:p>
            <w:r/>
            <w:r>
              <w:rPr>
                <w:sz w:val="16"/>
              </w:rPr>
              <w:t>Re-serve notice.</w:t>
            </w:r>
          </w:p>
        </w:tc>
      </w:tr>
      <w:tr>
        <w:tc>
          <w:tcPr>
            <w:tcW w:type="dxa" w:w="1584"/>
          </w:tcPr>
          <w:p>
            <w:r/>
            <w:r>
              <w:rPr>
                <w:sz w:val="16"/>
              </w:rPr>
              <w:t>Premium</w:t>
            </w:r>
          </w:p>
        </w:tc>
        <w:tc>
          <w:tcPr>
            <w:tcW w:type="dxa" w:w="2736"/>
          </w:tcPr>
          <w:p>
            <w:r/>
            <w:r>
              <w:rPr>
                <w:sz w:val="16"/>
              </w:rPr>
              <w:t>“Minimum and deposit premium provisions apply as set forth in the Treaty wording”</w:t>
            </w:r>
          </w:p>
        </w:tc>
        <w:tc>
          <w:tcPr>
            <w:tcW w:type="dxa" w:w="2736"/>
          </w:tcPr>
          <w:p>
            <w:r/>
            <w:r>
              <w:rPr>
                <w:sz w:val="16"/>
              </w:rPr>
              <w:t>No M&amp;D provision</w:t>
            </w:r>
          </w:p>
        </w:tc>
        <w:tc>
          <w:tcPr>
            <w:tcW w:type="dxa" w:w="2448"/>
          </w:tcPr>
          <w:p>
            <w:r/>
            <w:r>
              <w:rPr>
                <w:sz w:val="16"/>
              </w:rPr>
              <w:t>Drafting gap; check the premium accounts.</w:t>
            </w:r>
          </w:p>
        </w:tc>
      </w:tr>
      <w:tr>
        <w:tc>
          <w:tcPr>
            <w:tcW w:type="dxa" w:w="1584"/>
          </w:tcPr>
          <w:p>
            <w:r/>
            <w:r>
              <w:rPr>
                <w:sz w:val="16"/>
              </w:rPr>
              <w:t>Arbitrators</w:t>
            </w:r>
          </w:p>
        </w:tc>
        <w:tc>
          <w:tcPr>
            <w:tcW w:type="dxa" w:w="2736"/>
          </w:tcPr>
          <w:p>
            <w:r/>
            <w:r>
              <w:rPr>
                <w:sz w:val="16"/>
              </w:rPr>
              <w:t>Officers of insurers or reinsurers</w:t>
            </w:r>
          </w:p>
        </w:tc>
        <w:tc>
          <w:tcPr>
            <w:tcW w:type="dxa" w:w="2736"/>
          </w:tcPr>
          <w:p>
            <w:r/>
            <w:r>
              <w:rPr>
                <w:sz w:val="16"/>
              </w:rPr>
              <w:t>Adds attorneys, actuaries and other professionals with 10 years’ experience</w:t>
            </w:r>
          </w:p>
        </w:tc>
        <w:tc>
          <w:tcPr>
            <w:tcW w:type="dxa" w:w="2448"/>
          </w:tcPr>
          <w:p>
            <w:r/>
            <w:r>
              <w:rPr>
                <w:sz w:val="16"/>
              </w:rPr>
              <w:t>Panel composition.</w:t>
            </w:r>
          </w:p>
        </w:tc>
      </w:tr>
      <w:tr>
        <w:tc>
          <w:tcPr>
            <w:tcW w:type="dxa" w:w="1584"/>
          </w:tcPr>
          <w:p>
            <w:r/>
            <w:r>
              <w:rPr>
                <w:sz w:val="16"/>
              </w:rPr>
              <w:t>Insolvency</w:t>
            </w:r>
          </w:p>
        </w:tc>
        <w:tc>
          <w:tcPr>
            <w:tcW w:type="dxa" w:w="2736"/>
          </w:tcPr>
          <w:p>
            <w:r/>
            <w:r>
              <w:rPr>
                <w:sz w:val="16"/>
              </w:rPr>
              <w:t>Ohio R.C. 3903 “and applicable Bermuda law”</w:t>
            </w:r>
          </w:p>
        </w:tc>
        <w:tc>
          <w:tcPr>
            <w:tcW w:type="dxa" w:w="2736"/>
          </w:tcPr>
          <w:p>
            <w:r/>
            <w:r>
              <w:rPr>
                <w:sz w:val="16"/>
              </w:rPr>
              <w:t>Ohio law governs insolvency (§§11.3, 18.1)</w:t>
            </w:r>
          </w:p>
        </w:tc>
        <w:tc>
          <w:tcPr>
            <w:tcW w:type="dxa" w:w="2448"/>
          </w:tcPr>
          <w:p>
            <w:r/>
            <w:r>
              <w:rPr>
                <w:sz w:val="16"/>
              </w:rPr>
              <w:t>Minor.</w:t>
            </w:r>
          </w:p>
        </w:tc>
      </w:tr>
    </w:tbl>
    <w:p>
      <w:pPr>
        <w:spacing w:after="40"/>
      </w:pPr>
    </w:p>
    <w:p>
      <w:pPr>
        <w:pStyle w:val="Heading1"/>
      </w:pPr>
      <w:r>
        <w:t>7. Quantification — Expected Pinnacle Recovery Under Alternative Outcomes</w:t>
      </w:r>
    </w:p>
    <w:p>
      <w:pPr>
        <w:spacing w:after="120"/>
      </w:pPr>
      <w:r>
        <w:t>All figures use Sentinel’s preliminary estimates, corrected for the $20K addition error. They exclude allocated loss adjustment expense, which is ceded at 40% and should be added (§§3.2, 8.5), and potential subrogation. The $250K deductible is applied once, against the building loss.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blHeader w:val="true"/>
        </w:trPr>
        <w:tc>
          <w:tcPr>
            <w:tcW w:type="dxa" w:w="3024"/>
            <w:shd w:val="clear" w:color="auto" w:fill="1F3A5F"/>
          </w:tcPr>
          <w:p>
            <w:r/>
            <w:r>
              <w:rPr>
                <w:b/>
                <w:color w:val="FFFFFF"/>
                <w:sz w:val="17"/>
              </w:rPr>
              <w:t>Scenario</w:t>
            </w:r>
          </w:p>
        </w:tc>
        <w:tc>
          <w:tcPr>
            <w:tcW w:type="dxa" w:w="1584"/>
            <w:shd w:val="clear" w:color="auto" w:fill="1F3A5F"/>
          </w:tcPr>
          <w:p>
            <w:r/>
            <w:r>
              <w:rPr>
                <w:b/>
                <w:color w:val="FFFFFF"/>
                <w:sz w:val="17"/>
              </w:rPr>
              <w:t>Gross base ceded at 40%</w:t>
            </w:r>
          </w:p>
        </w:tc>
        <w:tc>
          <w:tcPr>
            <w:tcW w:type="dxa" w:w="1584"/>
            <w:shd w:val="clear" w:color="auto" w:fill="1F3A5F"/>
          </w:tcPr>
          <w:p>
            <w:r/>
            <w:r>
              <w:rPr>
                <w:b/>
                <w:color w:val="FFFFFF"/>
                <w:sz w:val="17"/>
              </w:rPr>
              <w:t>Pinnacle recovery</w:t>
            </w:r>
          </w:p>
        </w:tc>
        <w:tc>
          <w:tcPr>
            <w:tcW w:type="dxa" w:w="1584"/>
            <w:shd w:val="clear" w:color="auto" w:fill="1F3A5F"/>
          </w:tcPr>
          <w:p>
            <w:r/>
            <w:r>
              <w:rPr>
                <w:b/>
                <w:color w:val="FFFFFF"/>
                <w:sz w:val="17"/>
              </w:rPr>
              <w:t>Blackwater net retained</w:t>
            </w:r>
          </w:p>
        </w:tc>
        <w:tc>
          <w:tcPr>
            <w:tcW w:type="dxa" w:w="1728"/>
            <w:shd w:val="clear" w:color="auto" w:fill="1F3A5F"/>
          </w:tcPr>
          <w:p>
            <w:r/>
            <w:r>
              <w:rPr>
                <w:b/>
                <w:color w:val="FFFFFF"/>
                <w:sz w:val="17"/>
              </w:rPr>
              <w:t>Drivers</w:t>
            </w:r>
          </w:p>
        </w:tc>
      </w:tr>
      <w:tr>
        <w:tc>
          <w:tcPr>
            <w:tcW w:type="dxa" w:w="3024"/>
          </w:tcPr>
          <w:p>
            <w:r/>
            <w:r>
              <w:rPr>
                <w:sz w:val="17"/>
              </w:rPr>
              <w:t>A. Hypothetical full mirror (no Treaty gaps)</w:t>
            </w:r>
          </w:p>
        </w:tc>
        <w:tc>
          <w:tcPr>
            <w:tcW w:type="dxa" w:w="1584"/>
          </w:tcPr>
          <w:p>
            <w:r/>
            <w:r>
              <w:rPr>
                <w:sz w:val="17"/>
              </w:rPr>
              <w:t>$51,750,000</w:t>
            </w:r>
          </w:p>
        </w:tc>
        <w:tc>
          <w:tcPr>
            <w:tcW w:type="dxa" w:w="1584"/>
          </w:tcPr>
          <w:p>
            <w:r/>
            <w:r>
              <w:rPr>
                <w:sz w:val="17"/>
              </w:rPr>
              <w:t>$20,700,000</w:t>
            </w:r>
          </w:p>
        </w:tc>
        <w:tc>
          <w:tcPr>
            <w:tcW w:type="dxa" w:w="1584"/>
          </w:tcPr>
          <w:p>
            <w:r/>
            <w:r>
              <w:rPr>
                <w:sz w:val="17"/>
              </w:rPr>
              <w:t>$31,050,000</w:t>
            </w:r>
          </w:p>
        </w:tc>
        <w:tc>
          <w:tcPr>
            <w:tcW w:type="dxa" w:w="1728"/>
          </w:tcPr>
          <w:p>
            <w:r/>
            <w:r>
              <w:rPr>
                <w:sz w:val="17"/>
              </w:rPr>
              <w:t>Reference point only.</w:t>
            </w:r>
          </w:p>
        </w:tc>
      </w:tr>
      <w:tr>
        <w:tc>
          <w:tcPr>
            <w:tcW w:type="dxa" w:w="3024"/>
          </w:tcPr>
          <w:p>
            <w:r/>
            <w:r>
              <w:rPr>
                <w:sz w:val="17"/>
              </w:rPr>
              <w:t>B. Blackwater’s best case (only BI months 7–10 removed)</w:t>
            </w:r>
          </w:p>
        </w:tc>
        <w:tc>
          <w:tcPr>
            <w:tcW w:type="dxa" w:w="1584"/>
          </w:tcPr>
          <w:p>
            <w:r/>
            <w:r>
              <w:rPr>
                <w:sz w:val="17"/>
              </w:rPr>
              <w:t>$47,450,000</w:t>
            </w:r>
          </w:p>
        </w:tc>
        <w:tc>
          <w:tcPr>
            <w:tcW w:type="dxa" w:w="1584"/>
          </w:tcPr>
          <w:p>
            <w:r/>
            <w:r>
              <w:rPr>
                <w:b/>
                <w:sz w:val="17"/>
              </w:rPr>
              <w:t>$18,980,000</w:t>
            </w:r>
          </w:p>
        </w:tc>
        <w:tc>
          <w:tcPr>
            <w:tcW w:type="dxa" w:w="1584"/>
          </w:tcPr>
          <w:p>
            <w:r/>
            <w:r>
              <w:rPr>
                <w:sz w:val="17"/>
              </w:rPr>
              <w:t>$32,770,000</w:t>
            </w:r>
          </w:p>
        </w:tc>
        <w:tc>
          <w:tcPr>
            <w:tcW w:type="dxa" w:w="1728"/>
          </w:tcPr>
          <w:p>
            <w:r/>
            <w:r>
              <w:rPr>
                <w:sz w:val="17"/>
              </w:rPr>
              <w:t>§4.2 is clear; all other items ceded.</w:t>
            </w:r>
          </w:p>
        </w:tc>
      </w:tr>
      <w:tr>
        <w:tc>
          <w:tcPr>
            <w:tcW w:type="dxa" w:w="3024"/>
          </w:tcPr>
          <w:p>
            <w:r/>
            <w:r>
              <w:rPr>
                <w:sz w:val="17"/>
              </w:rPr>
              <w:t>C. Pinnacle’s foreseeable position (also removes O&amp;L, debris, S&amp;L, pollution)</w:t>
            </w:r>
          </w:p>
        </w:tc>
        <w:tc>
          <w:tcPr>
            <w:tcW w:type="dxa" w:w="1584"/>
          </w:tcPr>
          <w:p>
            <w:r/>
            <w:r>
              <w:rPr>
                <w:sz w:val="17"/>
              </w:rPr>
              <w:t>$41,350,000</w:t>
            </w:r>
          </w:p>
        </w:tc>
        <w:tc>
          <w:tcPr>
            <w:tcW w:type="dxa" w:w="1584"/>
          </w:tcPr>
          <w:p>
            <w:r/>
            <w:r>
              <w:rPr>
                <w:b/>
                <w:sz w:val="17"/>
              </w:rPr>
              <w:t>$16,540,000</w:t>
            </w:r>
          </w:p>
        </w:tc>
        <w:tc>
          <w:tcPr>
            <w:tcW w:type="dxa" w:w="1584"/>
          </w:tcPr>
          <w:p>
            <w:r/>
            <w:r>
              <w:rPr>
                <w:sz w:val="17"/>
              </w:rPr>
              <w:t>$35,210,000</w:t>
            </w:r>
          </w:p>
        </w:tc>
        <w:tc>
          <w:tcPr>
            <w:tcW w:type="dxa" w:w="1728"/>
          </w:tcPr>
          <w:p>
            <w:r/>
            <w:r>
              <w:rPr>
                <w:sz w:val="17"/>
              </w:rPr>
              <w:t>§§5.6, 2.16, 5.4.</w:t>
            </w:r>
          </w:p>
        </w:tc>
      </w:tr>
      <w:tr>
        <w:tc>
          <w:tcPr>
            <w:tcW w:type="dxa" w:w="3024"/>
          </w:tcPr>
          <w:p>
            <w:r/>
            <w:r>
              <w:rPr>
                <w:sz w:val="17"/>
              </w:rPr>
              <w:t>D. Equipment Breakdown sublimit applied (§4.3)</w:t>
            </w:r>
          </w:p>
        </w:tc>
        <w:tc>
          <w:tcPr>
            <w:tcW w:type="dxa" w:w="1584"/>
          </w:tcPr>
          <w:p>
            <w:r/>
            <w:r>
              <w:rPr>
                <w:sz w:val="17"/>
              </w:rPr>
              <w:t>—</w:t>
            </w:r>
          </w:p>
        </w:tc>
        <w:tc>
          <w:tcPr>
            <w:tcW w:type="dxa" w:w="1584"/>
          </w:tcPr>
          <w:p>
            <w:r/>
            <w:r>
              <w:rPr>
                <w:sz w:val="17"/>
              </w:rPr>
              <w:t>$4,000,000</w:t>
            </w:r>
          </w:p>
        </w:tc>
        <w:tc>
          <w:tcPr>
            <w:tcW w:type="dxa" w:w="1584"/>
          </w:tcPr>
          <w:p>
            <w:r/>
            <w:r>
              <w:rPr>
                <w:sz w:val="17"/>
              </w:rPr>
              <w:t>$47,750,000</w:t>
            </w:r>
          </w:p>
        </w:tc>
        <w:tc>
          <w:tcPr>
            <w:tcW w:type="dxa" w:w="1728"/>
          </w:tcPr>
          <w:p>
            <w:r/>
            <w:r>
              <w:rPr>
                <w:sz w:val="17"/>
              </w:rPr>
              <w:t>Loss recharacterized as EB.</w:t>
            </w:r>
          </w:p>
        </w:tc>
      </w:tr>
      <w:tr>
        <w:tc>
          <w:tcPr>
            <w:tcW w:type="dxa" w:w="3024"/>
          </w:tcPr>
          <w:p>
            <w:r/>
            <w:r>
              <w:rPr>
                <w:sz w:val="17"/>
              </w:rPr>
              <w:t>E. Policy ineligible ($75M) or cyber exclusion upheld</w:t>
            </w:r>
          </w:p>
        </w:tc>
        <w:tc>
          <w:tcPr>
            <w:tcW w:type="dxa" w:w="1584"/>
          </w:tcPr>
          <w:p>
            <w:r/>
            <w:r>
              <w:rPr>
                <w:sz w:val="17"/>
              </w:rPr>
              <w:t>—</w:t>
            </w:r>
          </w:p>
        </w:tc>
        <w:tc>
          <w:tcPr>
            <w:tcW w:type="dxa" w:w="1584"/>
          </w:tcPr>
          <w:p>
            <w:r/>
            <w:r>
              <w:rPr>
                <w:sz w:val="17"/>
              </w:rPr>
              <w:t>$0 (premium return)</w:t>
            </w:r>
          </w:p>
        </w:tc>
        <w:tc>
          <w:tcPr>
            <w:tcW w:type="dxa" w:w="1584"/>
          </w:tcPr>
          <w:p>
            <w:r/>
            <w:r>
              <w:rPr>
                <w:sz w:val="17"/>
              </w:rPr>
              <w:t>$51,750,000</w:t>
            </w:r>
          </w:p>
        </w:tc>
        <w:tc>
          <w:tcPr>
            <w:tcW w:type="dxa" w:w="1728"/>
          </w:tcPr>
          <w:p>
            <w:r/>
            <w:r>
              <w:rPr>
                <w:sz w:val="17"/>
              </w:rPr>
              <w:t>§§2.17, 4.4 / §5.2(d).</w:t>
            </w:r>
          </w:p>
        </w:tc>
      </w:tr>
    </w:tbl>
    <w:p>
      <w:pPr>
        <w:spacing w:after="40"/>
      </w:pPr>
    </w:p>
    <w:p>
      <w:pPr>
        <w:spacing w:after="120"/>
      </w:pPr>
      <w:r>
        <w:rPr>
          <w:b/>
        </w:rPr>
        <w:t>Contested band between B and C: $2.44M</w:t>
      </w:r>
      <w:r>
        <w:t xml:space="preserve"> = 40% × (O&amp;L $2.80M + debris $2.00M + S&amp;L $0.89M + pollution $0.41M). </w:t>
      </w:r>
      <w:r>
        <w:rPr>
          <w:b/>
        </w:rPr>
        <w:t>Adverse development:</w:t>
      </w:r>
      <w:r>
        <w:t xml:space="preserve"> at Sentinel’s upper reserve range ($55M), the Treaty cap is still not reached. Each additional month of restoration beyond 10 months adds BI that is 100% retained.</w:t>
      </w:r>
    </w:p>
    <w:p>
      <w:pPr>
        <w:pStyle w:val="Heading1"/>
      </w:pPr>
      <w:r>
        <w:t>8. Recommendations</w:t>
      </w:r>
    </w:p>
    <w:p>
      <w:pPr>
        <w:pStyle w:val="Heading2"/>
      </w:pPr>
      <w:r>
        <w:t>Immediate (next 10 Business Days)</w:t>
      </w:r>
    </w:p>
    <w:p>
      <w:pPr>
        <w:pStyle w:val="ListNumber"/>
        <w:spacing w:after="60"/>
      </w:pPr>
      <w:r>
        <w:rPr>
          <w:b/>
        </w:rPr>
        <w:t>Eligibility file (Gap 1).</w:t>
      </w:r>
      <w:r>
        <w:t xml:space="preserve"> Pull the underwriting file, rating worksheet and 2024 quarterly bordereaux for BM-CP-2024-07821, and confirm the limits and sublimits reported under §7.1(e)–(f) and the premium ceded. Identify every ceded policy with combined limits above $75M. Prepare the “per-coverage limit” construction and the waiver/estoppel record. Do not raise the issue with Pinnacle.</w:t>
      </w:r>
    </w:p>
    <w:p>
      <w:pPr>
        <w:pStyle w:val="ListNumber"/>
        <w:spacing w:after="60"/>
      </w:pPr>
      <w:r>
        <w:rPr>
          <w:b/>
        </w:rPr>
        <w:t>Locate the executed Treaty wording</w:t>
      </w:r>
      <w:r>
        <w:t xml:space="preserve"> and confirm it matches our version, including article numbering. If none was executed, take advice on whether the bound Slip governs.</w:t>
      </w:r>
    </w:p>
    <w:p>
      <w:pPr>
        <w:pStyle w:val="ListNumber"/>
        <w:spacing w:after="60"/>
      </w:pPr>
      <w:r>
        <w:rPr>
          <w:b/>
        </w:rPr>
        <w:t>Re-serve notice</w:t>
      </w:r>
      <w:r>
        <w:t xml:space="preserve"> in Article XIX form (courier to Hamilton, attention Lead Underwriter, copy to Ridgeline Treaty Department, transmitted through Ridgeline), citing §8.1 correctly. Include (a) written selection of the 72-hour period (2:17 a.m. Jan. 14 – 2:17 a.m. Jan. 17, 2025) under §2.13, and (b) updated estimates under §8.1. Reply to the reservation of rights by invoking Article XIV and the absence of prejudice, reserving Blackwater’s rights, and without conceding breach.</w:t>
      </w:r>
    </w:p>
    <w:p>
      <w:pPr>
        <w:pStyle w:val="ListNumber"/>
        <w:spacing w:after="60"/>
      </w:pPr>
      <w:r>
        <w:rPr>
          <w:b/>
        </w:rPr>
        <w:t>Origin and cause (Gaps 2–3).</w:t>
      </w:r>
      <w:r>
        <w:t xml:space="preserve"> Instruct McAlister to identify the failed switchgear component and failure mode in precise electrical/mechanical terms. Preserve evidence under chain of custody and offer Pinnacle a joint examination. Adjust the fire under Coverages A/B/C (ensuing fire, $250K deductible), not under Equipment Breakdown.</w:t>
      </w:r>
    </w:p>
    <w:p>
      <w:pPr>
        <w:pStyle w:val="ListNumber"/>
        <w:spacing w:after="60"/>
      </w:pPr>
      <w:r>
        <w:rPr>
          <w:b/>
        </w:rPr>
        <w:t>Respond to Pinnacle’s six document requests</w:t>
      </w:r>
      <w:r>
        <w:t xml:space="preserve"> through Ridgeline, under a common-interest/confidentiality agreement. Produce factual material only. Have Sentinel issue a signed, arithmetically corrected report.</w:t>
      </w:r>
    </w:p>
    <w:p>
      <w:pPr>
        <w:pStyle w:val="ListNumber"/>
        <w:spacing w:after="60"/>
      </w:pPr>
      <w:r>
        <w:rPr>
          <w:b/>
        </w:rPr>
        <w:t>Notify Blackwater’s per-risk excess of loss reinsurers</w:t>
      </w:r>
      <w:r>
        <w:t xml:space="preserve"> (the program referred to in §3.4) of the loss and of the retained gaps (BI months 7–10, O&amp;L, supplementary coverages), and check their notice provisions.</w:t>
      </w:r>
    </w:p>
    <w:p>
      <w:pPr>
        <w:pStyle w:val="ListNumber"/>
        <w:spacing w:after="60"/>
      </w:pPr>
      <w:r>
        <w:rPr>
          <w:b/>
        </w:rPr>
        <w:t>Calendar deadlines:</w:t>
      </w:r>
      <w:r>
        <w:t xml:space="preserve"> §9.4 ECO/XPL notice (15 BDs from awareness); sue-and-labor documentation from the insured within 90 days of incurral (rolling, from about Apr. 14, 2025); pollution cleanup start by about July 13, 2025; Q1 2025 loss bordereaux by May 15, 2025 (§7.2); Policy expiry and renewal on Feb. 28, 2025.</w:t>
      </w:r>
    </w:p>
    <w:p>
      <w:pPr>
        <w:pStyle w:val="Heading2"/>
      </w:pPr>
      <w:r>
        <w:t>Near term (30–90 days)</w:t>
      </w:r>
    </w:p>
    <w:p>
      <w:pPr>
        <w:pStyle w:val="ListNumber"/>
        <w:spacing w:after="60"/>
      </w:pPr>
      <w:r>
        <w:rPr>
          <w:b/>
        </w:rPr>
        <w:t>Allocate deliberately under §8.4</w:t>
      </w:r>
      <w:r>
        <w:t xml:space="preserve"> and document the reasons. Allocate the $2.0M debris sublimit to non-hazardous debris. Classify hazmat and asbestos costs under the Policy’s Pollution Cleanup structure, where Pinnacle’s exposure is already capped. Classify the $100K environmental containment and $185K relocation costs on documented grounds, and confirm the relocation sites are inside the Treaty Territory.</w:t>
      </w:r>
    </w:p>
    <w:p>
      <w:pPr>
        <w:pStyle w:val="ListNumber"/>
        <w:spacing w:after="60"/>
      </w:pPr>
      <w:r>
        <w:rPr>
          <w:b/>
        </w:rPr>
        <w:t>Tighten quantum:</w:t>
      </w:r>
      <w:r>
        <w:t xml:space="preserve"> monthly actual-loss-sustained BI calculations reconciled to Caldwell, with the 72-hour waiting period applied; a coinsurance test; stock at selling price; review of customer warehousing contracts for legal-liability scope; resolution of whether the deductible applies to sue and labor; quantification of any FDSC.</w:t>
      </w:r>
    </w:p>
    <w:p>
      <w:pPr>
        <w:pStyle w:val="ListNumber"/>
        <w:spacing w:after="60"/>
      </w:pPr>
      <w:r>
        <w:rPr>
          <w:b/>
        </w:rPr>
        <w:t>Present an interim proof of loss</w:t>
      </w:r>
      <w:r>
        <w:t xml:space="preserve"> for the undisputed components (building, BPP, BI months 1–6; about $16.54M ceded on current numbers, i.e. 40% × $41.35M) so that §8.5’s 30-day payment and pay-undisputed-amounts mechanics start running. Consider the Company-only offset right under §6.6 against premium due, with a written statement within 15 Business Days.</w:t>
      </w:r>
    </w:p>
    <w:p>
      <w:pPr>
        <w:pStyle w:val="ListNumber"/>
        <w:spacing w:after="60"/>
      </w:pPr>
      <w:r>
        <w:rPr>
          <w:b/>
        </w:rPr>
        <w:t>Settlement protocol (§8.3):</w:t>
      </w:r>
      <w:r>
        <w:t xml:space="preserve"> give Pinnacle prior written notice and a reasonable period to comment before any settlement, partial payment above interim advances, or appraisal agreement. Make no ex gratia payment on the $1.1M debris excess without Pinnacle’s written agreement.</w:t>
      </w:r>
    </w:p>
    <w:p>
      <w:pPr>
        <w:pStyle w:val="ListNumber"/>
        <w:spacing w:after="60"/>
      </w:pPr>
      <w:r>
        <w:rPr>
          <w:b/>
        </w:rPr>
        <w:t>Prepare position papers</w:t>
      </w:r>
      <w:r>
        <w:t xml:space="preserve"> on O&amp;L/§5.6 and supplementary coverages/§2.16 (Slip language, causation, commercial purpose, honorable engagement), ready for the 60-day negotiation period under Article X.</w:t>
      </w:r>
    </w:p>
    <w:p>
      <w:pPr>
        <w:pStyle w:val="ListNumber"/>
        <w:spacing w:after="60"/>
      </w:pPr>
      <w:r>
        <w:rPr>
          <w:b/>
        </w:rPr>
        <w:t>Subrogation:</w:t>
      </w:r>
      <w:r>
        <w:t xml:space="preserve"> obtain the 2016 retrofit contracts and switchgear service records, check for pre-loss waivers (End. 4), send preservation and notice letters, and assess the statute of repose. Obtain Pinnacle’s consent before any compromise (§8.6).</w:t>
      </w:r>
    </w:p>
    <w:p>
      <w:pPr>
        <w:pStyle w:val="ListNumber"/>
        <w:spacing w:after="60"/>
      </w:pPr>
      <w:r>
        <w:rPr>
          <w:b/>
        </w:rPr>
        <w:t>Correct reserves and recoverables</w:t>
      </w:r>
      <w:r>
        <w:t xml:space="preserve"> to the Treaty-limited figures (Section 7) and brief management and auditors on the contested band.</w:t>
      </w:r>
    </w:p>
    <w:p>
      <w:pPr>
        <w:pStyle w:val="Heading2"/>
      </w:pPr>
      <w:r>
        <w:t>Renewal and form changes (non-renewal notice deadline: October 2, 2025, i.e. 90 days before expiry, §13.3)</w:t>
      </w:r>
    </w:p>
    <w:p>
      <w:pPr>
        <w:pStyle w:val="ListBullet"/>
        <w:spacing w:after="60"/>
      </w:pPr>
      <w:r>
        <w:t>Negotiate a defined “per-occurrence limit” (for example, the largest single coverage limit, or an express treatment of combined limits), or raise the eligibility ceiling to cover stacked limits.</w:t>
      </w:r>
    </w:p>
    <w:p>
      <w:pPr>
        <w:pStyle w:val="ListBullet"/>
        <w:spacing w:after="60"/>
      </w:pPr>
      <w:r>
        <w:t>Make express that losses under additional-to-limit coverages (debris, sue and labor, FDSC, EB) are ceded, and cede the corresponding premium.</w:t>
      </w:r>
    </w:p>
    <w:p>
      <w:pPr>
        <w:pStyle w:val="ListBullet"/>
        <w:spacing w:after="60"/>
      </w:pPr>
      <w:r>
        <w:t>Narrow §5.6 to sovereign acts with express carve-backs for building-code (O&amp;L), civil authority and fire-line losses. Add an ensuing-physical-loss carve-back to §5.2 and delete “electronic device.”</w:t>
      </w:r>
    </w:p>
    <w:p>
      <w:pPr>
        <w:pStyle w:val="ListBullet"/>
        <w:spacing w:after="60"/>
      </w:pPr>
      <w:r>
        <w:t>Align the BI indemnity period with the policy form (12 months + Extended BI), or buy separate cover for the gap. Address terrorism (TRIA-certified acts), flood and earthquake through the treaty, a catastrophe layer or policy-form changes.</w:t>
      </w:r>
    </w:p>
    <w:p>
      <w:pPr>
        <w:pStyle w:val="ListBullet"/>
        <w:spacing w:after="60"/>
      </w:pPr>
      <w:r>
        <w:t>Add a follow-the-settlements clause; conform the Slip and the wording (expiry time, notice channel, M&amp;D premium); fix “public holiday in both” to read “either”; and ensure full execution of the wording before inception.</w:t>
      </w:r>
    </w:p>
    <w:p>
      <w:pPr>
        <w:pStyle w:val="ListBullet"/>
        <w:spacing w:after="60"/>
      </w:pPr>
      <w:r>
        <w:t>Conversely, consider aligning the policy form with the reinsurance (BI period, combined limits, sublimits) where a treaty fix is not achievable, and audit liberalization and auto-renewal clauses.</w:t>
      </w:r>
    </w:p>
    <w:p>
      <w:pPr>
        <w:pStyle w:val="Heading1"/>
      </w:pPr>
      <w:r>
        <w:t>9. Assumptions and Open Items</w:t>
      </w:r>
    </w:p>
    <w:p>
      <w:pPr>
        <w:pStyle w:val="ListBullet"/>
        <w:spacing w:after="60"/>
      </w:pPr>
      <w:r>
        <w:t>All loss figures are Sentinel’s preliminary estimates (Feb. 10, 2025) and will change. A supplemental report is expected in late March 2025, together with the Fire Marshal’s final determination and the Ohio EPA directive.</w:t>
      </w:r>
    </w:p>
    <w:p>
      <w:pPr>
        <w:pStyle w:val="ListBullet"/>
        <w:spacing w:after="60"/>
      </w:pPr>
      <w:r>
        <w:t>We have not seen the 2024 bordereaux, the premium schedule, the per-risk XOL program, the executed Treaty counterparts, or Summit Ridge’s customer and contractor agreements. Several conclusions (Gaps 1, 6, 9, 15) depend on them.</w:t>
      </w:r>
    </w:p>
    <w:p>
      <w:pPr>
        <w:pStyle w:val="ListBullet"/>
        <w:spacing w:after="60"/>
      </w:pPr>
      <w:r>
        <w:t>Bermuda law governs the Treaty (§18.1) and Ohio law governs the Policy (VII.L). Statements on the Bermuda treatment of notice provisions and on Ohio’s statute of repose are general and should be confirmed by local counsel before they are relied on in correspondence or arbitration.</w:t>
      </w:r>
    </w:p>
    <w:p>
      <w:pPr>
        <w:pStyle w:val="ListBullet"/>
        <w:spacing w:after="60"/>
      </w:pPr>
      <w:r>
        <w:t>The Business Day analysis assumes Jan. 20, 2025 (Martin Luther King Jr. Day) was not a public holiday in Hamilton, Bermuda, and that no other Bermuda or Ohio public holiday fell between Jan. 15 and Feb. 7, 2025.</w:t>
      </w:r>
    </w:p>
    <w:p>
      <w:pPr>
        <w:spacing w:after="120"/>
      </w:pPr>
      <w:r>
        <w:rPr>
          <w:i/>
          <w:sz w:val="18"/>
        </w:rPr>
        <w:t>This memorandum is prepared for Blackwater Mutual Insurance Company in anticipation of a potential reinsurance dispute and should not be shared with Pinnacle Re, Ridgeline Broking or Sentinel.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