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tbl>
      <w:tblPr>
        <w:tblStyle w:val="TableGrid"/>
        <w:tblW w:type="auto" w:w="0"/>
        <w:jc w:val="center"/>
        <w:tblLayout w:type="fixed"/>
        <w:tblLook w:firstColumn="1" w:firstRow="1" w:lastColumn="0" w:lastRow="0" w:noHBand="0" w:noVBand="1" w:val="04A0"/>
      </w:tblPr>
      <w:tblGrid>
        <w:gridCol w:w="4680"/>
        <w:gridCol w:w="4680"/>
      </w:tblGrid>
      <w:tr>
        <w:tc>
          <w:tcPr>
            <w:tcW w:type="dxa" w:w="1440"/>
          </w:tcPr>
          <w:p>
            <w:pPr>
              <w:spacing w:after="0"/>
            </w:pPr>
            <w:r>
              <w:rPr>
                <w:sz w:val="20"/>
              </w:rPr>
            </w:r>
            <w:r>
              <w:rPr>
                <w:b/>
                <w:sz w:val="20"/>
              </w:rPr>
              <w:t>TO:</w:t>
            </w:r>
          </w:p>
        </w:tc>
        <w:tc>
          <w:tcPr>
            <w:tcW w:type="dxa" w:w="7920"/>
          </w:tcPr>
          <w:p>
            <w:pPr>
              <w:spacing w:after="0"/>
            </w:pPr>
            <w:r>
              <w:rPr>
                <w:sz w:val="20"/>
              </w:rPr>
            </w:r>
            <w:r>
              <w:rPr>
                <w:sz w:val="20"/>
              </w:rPr>
              <w:t>Supervising Partner, Insurance Recovery Group (Greenfield Specialty Chemicals, Inc. coverage matter)</w:t>
            </w:r>
          </w:p>
        </w:tc>
      </w:tr>
      <w:tr>
        <w:tc>
          <w:tcPr>
            <w:tcW w:type="dxa" w:w="1440"/>
          </w:tcPr>
          <w:p>
            <w:pPr>
              <w:spacing w:after="0"/>
            </w:pPr>
            <w:r>
              <w:rPr>
                <w:sz w:val="20"/>
              </w:rPr>
            </w:r>
            <w:r>
              <w:rPr>
                <w:b/>
                <w:sz w:val="20"/>
              </w:rPr>
              <w:t>FROM:</w:t>
            </w:r>
          </w:p>
        </w:tc>
        <w:tc>
          <w:tcPr>
            <w:tcW w:type="dxa" w:w="7920"/>
          </w:tcPr>
          <w:p>
            <w:pPr>
              <w:spacing w:after="0"/>
            </w:pPr>
            <w:r>
              <w:rPr>
                <w:sz w:val="20"/>
              </w:rPr>
            </w:r>
            <w:r>
              <w:rPr>
                <w:sz w:val="20"/>
              </w:rPr>
              <w:t>Coverage Associate</w:t>
            </w:r>
          </w:p>
        </w:tc>
      </w:tr>
      <w:tr>
        <w:tc>
          <w:tcPr>
            <w:tcW w:type="dxa" w:w="1440"/>
          </w:tcPr>
          <w:p>
            <w:pPr>
              <w:spacing w:after="0"/>
            </w:pPr>
            <w:r>
              <w:rPr>
                <w:sz w:val="20"/>
              </w:rPr>
            </w:r>
            <w:r>
              <w:rPr>
                <w:b/>
                <w:sz w:val="20"/>
              </w:rPr>
              <w:t>DATE:</w:t>
            </w:r>
          </w:p>
        </w:tc>
        <w:tc>
          <w:tcPr>
            <w:tcW w:type="dxa" w:w="7920"/>
          </w:tcPr>
          <w:p>
            <w:pPr>
              <w:spacing w:after="0"/>
            </w:pPr>
            <w:r>
              <w:rPr>
                <w:sz w:val="20"/>
              </w:rPr>
            </w:r>
            <w:r>
              <w:rPr>
                <w:sz w:val="20"/>
              </w:rPr>
              <w:t>October 15, 2026</w:t>
            </w:r>
          </w:p>
        </w:tc>
      </w:tr>
      <w:tr>
        <w:tc>
          <w:tcPr>
            <w:tcW w:type="dxa" w:w="1440"/>
          </w:tcPr>
          <w:p>
            <w:pPr>
              <w:spacing w:after="0"/>
            </w:pPr>
            <w:r>
              <w:rPr>
                <w:sz w:val="20"/>
              </w:rPr>
            </w:r>
            <w:r>
              <w:rPr>
                <w:b/>
                <w:sz w:val="20"/>
              </w:rPr>
              <w:t>CLIENT:</w:t>
            </w:r>
          </w:p>
        </w:tc>
        <w:tc>
          <w:tcPr>
            <w:tcW w:type="dxa" w:w="7920"/>
          </w:tcPr>
          <w:p>
            <w:pPr>
              <w:spacing w:after="0"/>
            </w:pPr>
            <w:r>
              <w:rPr>
                <w:sz w:val="20"/>
              </w:rPr>
            </w:r>
            <w:r>
              <w:rPr>
                <w:sz w:val="20"/>
              </w:rPr>
              <w:t>Greenfield Specialty Chemicals, Inc. (“Greenfield”)</w:t>
            </w:r>
          </w:p>
        </w:tc>
      </w:tr>
      <w:tr>
        <w:tc>
          <w:tcPr>
            <w:tcW w:type="dxa" w:w="1440"/>
          </w:tcPr>
          <w:p>
            <w:pPr>
              <w:spacing w:after="0"/>
            </w:pPr>
            <w:r>
              <w:rPr>
                <w:sz w:val="20"/>
              </w:rPr>
            </w:r>
            <w:r>
              <w:rPr>
                <w:b/>
                <w:sz w:val="20"/>
              </w:rPr>
              <w:t>RE:</w:t>
            </w:r>
          </w:p>
        </w:tc>
        <w:tc>
          <w:tcPr>
            <w:tcW w:type="dxa" w:w="7920"/>
          </w:tcPr>
          <w:p>
            <w:pPr>
              <w:spacing w:after="0"/>
            </w:pPr>
            <w:r>
              <w:rPr>
                <w:sz w:val="20"/>
              </w:rPr>
            </w:r>
            <w:r>
              <w:rPr>
                <w:sz w:val="20"/>
              </w:rPr>
              <w:t>Coverage analysis of Pinnacle Assurance Corporation’s May 9, 2025 denial letter — Claim File No. CLM-2025-07744; Commercial Property &amp; Business Interruption Policy No. PNN-CP-2025-04891 (“CP Policy”); Pollution Legal Liability Policy No. PNN-PLL-2025-06237 (“PLL Policy”); March 14, 2025 Tank 7 failure, fire, and release at 2750 Industrial Canal Road, Belle Chasse, Louisiana</w:t>
            </w:r>
          </w:p>
        </w:tc>
      </w:tr>
    </w:tbl>
    <w:p>
      <w:pPr>
        <w:spacing w:after="40"/>
      </w:pPr>
    </w:p>
    <w:p>
      <w:pPr>
        <w:pStyle w:val="Heading1"/>
      </w:pPr>
      <w:r>
        <w:t>I. Executive Summary and Bottom Line</w:t>
      </w:r>
    </w:p>
    <w:p>
      <w:pPr>
        <w:jc w:val="both"/>
      </w:pPr>
      <w:r>
        <w:t>Pinnacle Assurance Corporation (“Pinnacle”) denied, “in its entirety,” Greenfield’s $29,700,000 in claims arising from the March 14, 2025 catastrophic failure of Tank 7: $18,700,000 in property damage and $6,800,000 in business interruption (“BI”) under the CP Policy, and $4,200,000 in remediation and regulatory response costs under the PLL Policy. The letter asserts ten independent grounds. Having compared each ground against the policy excerpts, Pinnacle’s own forensic engineering report (Vector Engineering Solutions, April 28, 2025), the 2023 Coastal Tank inspection report, Greenfield’s CMMS maintenance records, the notice correspondence, the BI calculation, and LDEQ Compliance Order No. CO-2025-0341, our conclusions are:</w:t>
      </w:r>
    </w:p>
    <w:p>
      <w:pPr>
        <w:pStyle w:val="ListBullet"/>
        <w:spacing w:after="60"/>
      </w:pPr>
      <w:r>
        <w:rPr>
          <w:b/>
        </w:rPr>
        <w:t>The denial is defective on nearly every ground.</w:t>
      </w:r>
      <w:r>
        <w:t xml:space="preserve"> Most grounds are contradicted by the actual policy language (which the letter repeatedly misquotes or truncates), by the findings of Pinnacle’s own retained engineer, or both. Three PLL grounds and the late-notice ground have no reasonable basis at all.</w:t>
      </w:r>
    </w:p>
    <w:p>
      <w:pPr>
        <w:pStyle w:val="ListBullet"/>
        <w:spacing w:after="60"/>
      </w:pPr>
      <w:r>
        <w:rPr>
          <w:b/>
        </w:rPr>
        <w:t>The letter never mentions the CP Policy’s Ensuing Loss Provision</w:t>
      </w:r>
      <w:r>
        <w:t xml:space="preserve"> (final paragraph of Section IV), which expressly restores coverage for fire and other Covered Causes of Loss set in motion by an excluded cause, “regardless of the sequence of events or the number of intervening causes.” Vector found that fire — not the chemical release or corrosion — caused the majority of the damage to everything other than Tank 7. That provision alone defeats the “but-for” theory underlying the pollution, corrosion, and maintenance exclusions and the BI denial (see CP Policy §§ VI.A and VI.G).</w:t>
      </w:r>
    </w:p>
    <w:p>
      <w:pPr>
        <w:pStyle w:val="ListBullet"/>
        <w:spacing w:after="60"/>
      </w:pPr>
      <w:r>
        <w:rPr>
          <w:b/>
        </w:rPr>
        <w:t>Pinnacle’s legitimate positions are narrow.</w:t>
      </w:r>
      <w:r>
        <w:t xml:space="preserve"> (a) The Wear and Tear / Corrosion Exclusion (§ IV.D) likely bars the cost of repairing or replacing Tank 7 itself (but, by its express terms, nothing else); (b) the “gradual deterioration” prong of the Sudden and Accidental definition presents a genuine interpretive risk, but only for the limited category of damage caused directly by contact with released MDEA (containment area, JB-14), because fire damage is independently restored by the Ensuing Loss Provision; and (c) an unasserted electrical-arcing exclusion (§ IV.H) may reach the arc-flash damage to Junction Box JB-14 itself.</w:t>
      </w:r>
    </w:p>
    <w:p>
      <w:pPr>
        <w:pStyle w:val="ListBullet"/>
        <w:spacing w:after="60"/>
      </w:pPr>
      <w:r>
        <w:rPr>
          <w:b/>
        </w:rPr>
        <w:t>Pinnacle took irreconcilable positions across the two policies.</w:t>
      </w:r>
      <w:r>
        <w:t xml:space="preserve"> It denied the CP claim because MDEA/MEA are “pollutants,” and denied the PLL claim because MDEA/MEA are not “Pollutants.” Both cannot be true; the PLL definition expressly forecloses the argument Pinnacle made, and LDEQ has formally found both chemicals to be hazardous substances.</w:t>
      </w:r>
    </w:p>
    <w:p>
      <w:pPr>
        <w:pStyle w:val="ListBullet"/>
        <w:spacing w:after="60"/>
      </w:pPr>
      <w:r>
        <w:rPr>
          <w:b/>
        </w:rPr>
        <w:t>Greenfield’s own BI submission has material internal inconsistencies</w:t>
      </w:r>
      <w:r>
        <w:t xml:space="preserve"> (inclusion of the 72-hour waiting period, date misalignments, a reconciliation “plug,” and figures not derivable from the supporting tabs). These do not support denial, but they must be corrected by a forensic accountant before the claim is re-presented or litigated.</w:t>
      </w:r>
    </w:p>
    <w:p>
      <w:pPr>
        <w:pStyle w:val="ListBullet"/>
        <w:spacing w:after="60"/>
      </w:pPr>
      <w:r>
        <w:rPr>
          <w:b/>
        </w:rPr>
        <w:t>Extra-contractual exposure.</w:t>
      </w:r>
      <w:r>
        <w:t xml:space="preserve"> The misquotation of policy provisions, mischaracterization of Pinnacle’s own expert, a late-notice ground refuted by Pinnacle’s own acknowledgment email, and the issuance of a “final” denial on a report expressly labeled preliminary support claims under La. R.S. 22:1892 and 22:1973 (subject to confirmation of the current statutory text).</w:t>
      </w:r>
    </w:p>
    <w:p>
      <w:pPr>
        <w:pStyle w:val="ListBullet"/>
        <w:spacing w:after="60"/>
      </w:pPr>
      <w:r>
        <w:rPr>
          <w:b/>
        </w:rPr>
        <w:t>Time-critical item.</w:t>
      </w:r>
      <w:r>
        <w:t xml:space="preserve"> The CP Policy’s suit-limitation clause (§ V.E) requires suit within two years of the date of loss — i.e., by </w:t>
      </w:r>
      <w:r>
        <w:rPr>
          <w:b/>
        </w:rPr>
        <w:t>March 14, 2027</w:t>
      </w:r>
      <w:r>
        <w:t xml:space="preserve"> (a Sunday; we recommend treating </w:t>
      </w:r>
      <w:r>
        <w:rPr>
          <w:b/>
        </w:rPr>
        <w:t>Friday, March 12, 2027</w:t>
      </w:r>
      <w:r>
        <w:t xml:space="preserve"> as the operative deadline absent a tolling agreement or confirmation that the Louisiana Amendatory Endorsement or Louisiana law extends it). LDEQ’s 18-month remediation completion deadline (October 3, 2026) has already passed and its status must be confirmed immediately.</w:t>
      </w:r>
    </w:p>
    <w:p>
      <w:pPr>
        <w:spacing w:after="60"/>
      </w:pPr>
      <w:r>
        <w:rPr>
          <w:b/>
        </w:rPr>
        <w:t>Summary assessment of each denial ground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432"/>
            <w:shd w:val="clear" w:color="auto" w:fill="D9E2F3"/>
          </w:tcPr>
          <w:p>
            <w:r/>
            <w:r>
              <w:rPr>
                <w:b/>
                <w:sz w:val="18"/>
              </w:rPr>
              <w:t>#</w:t>
            </w:r>
          </w:p>
        </w:tc>
        <w:tc>
          <w:tcPr>
            <w:tcW w:type="dxa" w:w="2304"/>
            <w:shd w:val="clear" w:color="auto" w:fill="D9E2F3"/>
          </w:tcPr>
          <w:p>
            <w:r/>
            <w:r>
              <w:rPr>
                <w:b/>
                <w:sz w:val="18"/>
              </w:rPr>
              <w:t>Denial ground (letter §)</w:t>
            </w:r>
          </w:p>
        </w:tc>
        <w:tc>
          <w:tcPr>
            <w:tcW w:type="dxa" w:w="4320"/>
            <w:shd w:val="clear" w:color="auto" w:fill="D9E2F3"/>
          </w:tcPr>
          <w:p>
            <w:r/>
            <w:r>
              <w:rPr>
                <w:b/>
                <w:sz w:val="18"/>
              </w:rPr>
              <w:t>Principal defects</w:t>
            </w:r>
          </w:p>
        </w:tc>
        <w:tc>
          <w:tcPr>
            <w:tcW w:type="dxa" w:w="2304"/>
            <w:shd w:val="clear" w:color="auto" w:fill="D9E2F3"/>
          </w:tcPr>
          <w:p>
            <w:r/>
            <w:r>
              <w:rPr>
                <w:b/>
                <w:sz w:val="18"/>
              </w:rPr>
              <w:t>Assessment of Pinnacle’s position</w:t>
            </w:r>
          </w:p>
        </w:tc>
      </w:tr>
      <w:tr>
        <w:tc>
          <w:tcPr>
            <w:tcW w:type="dxa" w:w="432"/>
          </w:tcPr>
          <w:p>
            <w:pPr>
              <w:spacing w:after="0"/>
            </w:pPr>
            <w:r>
              <w:rPr>
                <w:sz w:val="18"/>
              </w:rPr>
            </w:r>
            <w:r>
              <w:rPr>
                <w:sz w:val="18"/>
              </w:rPr>
              <w:t>1</w:t>
            </w:r>
          </w:p>
        </w:tc>
        <w:tc>
          <w:tcPr>
            <w:tcW w:type="dxa" w:w="2304"/>
          </w:tcPr>
          <w:p>
            <w:pPr>
              <w:spacing w:after="0"/>
            </w:pPr>
            <w:r>
              <w:rPr>
                <w:sz w:val="18"/>
              </w:rPr>
            </w:r>
            <w:r>
              <w:rPr>
                <w:sz w:val="18"/>
              </w:rPr>
              <w:t>CP Pollution Exclusion § IV.J bars all PD (§ IV.A)</w:t>
            </w:r>
          </w:p>
        </w:tc>
        <w:tc>
          <w:tcPr>
            <w:tcW w:type="dxa" w:w="4320"/>
          </w:tcPr>
          <w:p>
            <w:pPr>
              <w:spacing w:after="0"/>
            </w:pPr>
            <w:r>
              <w:rPr>
                <w:sz w:val="18"/>
              </w:rPr>
            </w:r>
            <w:r>
              <w:rPr>
                <w:sz w:val="18"/>
              </w:rPr>
              <w:t>Ignores Ensuing Loss Provision; fire caused most non-Tank 7 damage (Vector § 5, Concl. 9); Sudden &amp; Accidental exception; contradicts Pinnacle’s PLL position</w:t>
            </w:r>
          </w:p>
        </w:tc>
        <w:tc>
          <w:tcPr>
            <w:tcW w:type="dxa" w:w="2304"/>
          </w:tcPr>
          <w:p>
            <w:pPr>
              <w:spacing w:after="0"/>
            </w:pPr>
            <w:r>
              <w:rPr>
                <w:sz w:val="18"/>
              </w:rPr>
            </w:r>
            <w:r>
              <w:rPr>
                <w:b/>
                <w:sz w:val="18"/>
              </w:rPr>
              <w:t>Weak</w:t>
            </w:r>
            <w:r>
              <w:rPr>
                <w:sz w:val="18"/>
              </w:rPr>
              <w:t xml:space="preserve"> — at most reaches direct MDEA-contact damage if S&amp;A exception fails</w:t>
            </w:r>
          </w:p>
        </w:tc>
      </w:tr>
      <w:tr>
        <w:tc>
          <w:tcPr>
            <w:tcW w:type="dxa" w:w="432"/>
          </w:tcPr>
          <w:p>
            <w:pPr>
              <w:spacing w:after="0"/>
            </w:pPr>
            <w:r>
              <w:rPr>
                <w:sz w:val="18"/>
              </w:rPr>
            </w:r>
            <w:r>
              <w:rPr>
                <w:sz w:val="18"/>
              </w:rPr>
              <w:t>2</w:t>
            </w:r>
          </w:p>
        </w:tc>
        <w:tc>
          <w:tcPr>
            <w:tcW w:type="dxa" w:w="2304"/>
          </w:tcPr>
          <w:p>
            <w:pPr>
              <w:spacing w:after="0"/>
            </w:pPr>
            <w:r>
              <w:rPr>
                <w:sz w:val="18"/>
              </w:rPr>
            </w:r>
            <w:r>
              <w:rPr>
                <w:sz w:val="18"/>
              </w:rPr>
              <w:t>Sudden &amp; Accidental exception inapplicable (§ IV.B)</w:t>
            </w:r>
          </w:p>
        </w:tc>
        <w:tc>
          <w:tcPr>
            <w:tcW w:type="dxa" w:w="4320"/>
          </w:tcPr>
          <w:p>
            <w:pPr>
              <w:spacing w:after="0"/>
            </w:pPr>
            <w:r>
              <w:rPr>
                <w:sz w:val="18"/>
              </w:rPr>
            </w:r>
            <w:r>
              <w:rPr>
                <w:sz w:val="18"/>
              </w:rPr>
              <w:t>Misquotes § II.L (omits “without advance warning,” the “event” clarification, and the actual-knowledge definition); Vector: failure “abrupt,” “without prior warning”; 2023 external corrosion is a “separate and distinct condition”</w:t>
            </w:r>
          </w:p>
        </w:tc>
        <w:tc>
          <w:tcPr>
            <w:tcW w:type="dxa" w:w="2304"/>
          </w:tcPr>
          <w:p>
            <w:pPr>
              <w:spacing w:after="0"/>
            </w:pPr>
            <w:r>
              <w:rPr>
                <w:sz w:val="18"/>
              </w:rPr>
            </w:r>
            <w:r>
              <w:rPr>
                <w:b/>
                <w:sz w:val="18"/>
              </w:rPr>
              <w:t>Weak</w:t>
            </w:r>
            <w:r>
              <w:rPr>
                <w:sz w:val="18"/>
              </w:rPr>
              <w:t xml:space="preserve"> on known-condition prong; </w:t>
            </w:r>
            <w:r>
              <w:rPr>
                <w:b/>
                <w:sz w:val="18"/>
              </w:rPr>
              <w:t>moderate risk</w:t>
            </w:r>
            <w:r>
              <w:rPr>
                <w:sz w:val="18"/>
              </w:rPr>
              <w:t xml:space="preserve"> on “gradual deterioration” prong, but of limited consequence</w:t>
            </w:r>
          </w:p>
        </w:tc>
      </w:tr>
      <w:tr>
        <w:tc>
          <w:tcPr>
            <w:tcW w:type="dxa" w:w="432"/>
          </w:tcPr>
          <w:p>
            <w:pPr>
              <w:spacing w:after="0"/>
            </w:pPr>
            <w:r>
              <w:rPr>
                <w:sz w:val="18"/>
              </w:rPr>
            </w:r>
            <w:r>
              <w:rPr>
                <w:sz w:val="18"/>
              </w:rPr>
              <w:t>3</w:t>
            </w:r>
          </w:p>
        </w:tc>
        <w:tc>
          <w:tcPr>
            <w:tcW w:type="dxa" w:w="2304"/>
          </w:tcPr>
          <w:p>
            <w:pPr>
              <w:spacing w:after="0"/>
            </w:pPr>
            <w:r>
              <w:rPr>
                <w:sz w:val="18"/>
              </w:rPr>
            </w:r>
            <w:r>
              <w:rPr>
                <w:sz w:val="18"/>
              </w:rPr>
              <w:t>Corrosion Exclusion § IV.D bars all PD (§ IV.C)</w:t>
            </w:r>
          </w:p>
        </w:tc>
        <w:tc>
          <w:tcPr>
            <w:tcW w:type="dxa" w:w="4320"/>
          </w:tcPr>
          <w:p>
            <w:pPr>
              <w:spacing w:after="0"/>
            </w:pPr>
            <w:r>
              <w:rPr>
                <w:sz w:val="18"/>
              </w:rPr>
            </w:r>
            <w:r>
              <w:rPr>
                <w:sz w:val="18"/>
              </w:rPr>
              <w:t>Letter paraphrases the clause and omits its operative limitation: exclusion applies only to the item that corroded and “shall not be construed to exclude” damage to other items</w:t>
            </w:r>
          </w:p>
        </w:tc>
        <w:tc>
          <w:tcPr>
            <w:tcW w:type="dxa" w:w="2304"/>
          </w:tcPr>
          <w:p>
            <w:pPr>
              <w:spacing w:after="0"/>
            </w:pPr>
            <w:r>
              <w:rPr>
                <w:sz w:val="18"/>
              </w:rPr>
            </w:r>
            <w:r>
              <w:rPr>
                <w:b/>
                <w:sz w:val="18"/>
              </w:rPr>
              <w:t>Strong only as to Tank 7 itself</w:t>
            </w:r>
            <w:r>
              <w:rPr>
                <w:sz w:val="18"/>
              </w:rPr>
              <w:t>; otherwise without basis</w:t>
            </w:r>
          </w:p>
        </w:tc>
      </w:tr>
      <w:tr>
        <w:tc>
          <w:tcPr>
            <w:tcW w:type="dxa" w:w="432"/>
          </w:tcPr>
          <w:p>
            <w:pPr>
              <w:spacing w:after="0"/>
            </w:pPr>
            <w:r>
              <w:rPr>
                <w:sz w:val="18"/>
              </w:rPr>
            </w:r>
            <w:r>
              <w:rPr>
                <w:sz w:val="18"/>
              </w:rPr>
              <w:t>4</w:t>
            </w:r>
          </w:p>
        </w:tc>
        <w:tc>
          <w:tcPr>
            <w:tcW w:type="dxa" w:w="2304"/>
          </w:tcPr>
          <w:p>
            <w:pPr>
              <w:spacing w:after="0"/>
            </w:pPr>
            <w:r>
              <w:rPr>
                <w:sz w:val="18"/>
              </w:rPr>
            </w:r>
            <w:r>
              <w:rPr>
                <w:sz w:val="18"/>
              </w:rPr>
              <w:t>Faulty Maintenance § IV.E (§ IV.D)</w:t>
            </w:r>
          </w:p>
        </w:tc>
        <w:tc>
          <w:tcPr>
            <w:tcW w:type="dxa" w:w="4320"/>
          </w:tcPr>
          <w:p>
            <w:pPr>
              <w:spacing w:after="0"/>
            </w:pPr>
            <w:r>
              <w:rPr>
                <w:sz w:val="18"/>
              </w:rPr>
            </w:r>
            <w:r>
              <w:rPr>
                <w:sz w:val="18"/>
              </w:rPr>
              <w:t>Omits definition and safe harbor; Vector found no deviation from API 653; recoat performed within CTIS 90-day window</w:t>
            </w:r>
          </w:p>
        </w:tc>
        <w:tc>
          <w:tcPr>
            <w:tcW w:type="dxa" w:w="2304"/>
          </w:tcPr>
          <w:p>
            <w:pPr>
              <w:spacing w:after="0"/>
            </w:pPr>
            <w:r>
              <w:rPr>
                <w:sz w:val="18"/>
              </w:rPr>
            </w:r>
            <w:r>
              <w:rPr>
                <w:b/>
                <w:sz w:val="18"/>
              </w:rPr>
              <w:t>Weak</w:t>
            </w:r>
          </w:p>
        </w:tc>
      </w:tr>
      <w:tr>
        <w:tc>
          <w:tcPr>
            <w:tcW w:type="dxa" w:w="432"/>
          </w:tcPr>
          <w:p>
            <w:pPr>
              <w:spacing w:after="0"/>
            </w:pPr>
            <w:r>
              <w:rPr>
                <w:sz w:val="18"/>
              </w:rPr>
            </w:r>
            <w:r>
              <w:rPr>
                <w:sz w:val="18"/>
              </w:rPr>
              <w:t>5</w:t>
            </w:r>
          </w:p>
        </w:tc>
        <w:tc>
          <w:tcPr>
            <w:tcW w:type="dxa" w:w="2304"/>
          </w:tcPr>
          <w:p>
            <w:pPr>
              <w:spacing w:after="0"/>
            </w:pPr>
            <w:r>
              <w:rPr>
                <w:sz w:val="18"/>
              </w:rPr>
            </w:r>
            <w:r>
              <w:rPr>
                <w:sz w:val="18"/>
              </w:rPr>
              <w:t>Late notice (§ IV.E)</w:t>
            </w:r>
          </w:p>
        </w:tc>
        <w:tc>
          <w:tcPr>
            <w:tcW w:type="dxa" w:w="4320"/>
          </w:tcPr>
          <w:p>
            <w:pPr>
              <w:spacing w:after="0"/>
            </w:pPr>
            <w:r>
              <w:rPr>
                <w:sz w:val="18"/>
              </w:rPr>
            </w:r>
            <w:r>
              <w:rPr>
                <w:sz w:val="18"/>
              </w:rPr>
              <w:t>Notice given ~9 hours after loss and acknowledged by Pinnacle on March 15, 2025; letter conflates notice with proof of loss (90-day deadline; submitted day 27); policy requires insurer to prove material prejudice</w:t>
            </w:r>
          </w:p>
        </w:tc>
        <w:tc>
          <w:tcPr>
            <w:tcW w:type="dxa" w:w="2304"/>
          </w:tcPr>
          <w:p>
            <w:pPr>
              <w:spacing w:after="0"/>
            </w:pPr>
            <w:r>
              <w:rPr>
                <w:sz w:val="18"/>
              </w:rPr>
            </w:r>
            <w:r>
              <w:rPr>
                <w:b/>
                <w:sz w:val="18"/>
              </w:rPr>
              <w:t>No reasonable basis</w:t>
            </w:r>
          </w:p>
        </w:tc>
      </w:tr>
      <w:tr>
        <w:tc>
          <w:tcPr>
            <w:tcW w:type="dxa" w:w="432"/>
          </w:tcPr>
          <w:p>
            <w:pPr>
              <w:spacing w:after="0"/>
            </w:pPr>
            <w:r>
              <w:rPr>
                <w:sz w:val="18"/>
              </w:rPr>
            </w:r>
            <w:r>
              <w:rPr>
                <w:sz w:val="18"/>
              </w:rPr>
              <w:t>6</w:t>
            </w:r>
          </w:p>
        </w:tc>
        <w:tc>
          <w:tcPr>
            <w:tcW w:type="dxa" w:w="2304"/>
          </w:tcPr>
          <w:p>
            <w:pPr>
              <w:spacing w:after="0"/>
            </w:pPr>
            <w:r>
              <w:rPr>
                <w:sz w:val="18"/>
              </w:rPr>
            </w:r>
            <w:r>
              <w:rPr>
                <w:sz w:val="18"/>
              </w:rPr>
              <w:t>BI excluded by Pollution Exclusion (§ IV.F First)</w:t>
            </w:r>
          </w:p>
        </w:tc>
        <w:tc>
          <w:tcPr>
            <w:tcW w:type="dxa" w:w="4320"/>
          </w:tcPr>
          <w:p>
            <w:pPr>
              <w:spacing w:after="0"/>
            </w:pPr>
            <w:r>
              <w:rPr>
                <w:sz w:val="18"/>
              </w:rPr>
            </w:r>
            <w:r>
              <w:rPr>
                <w:sz w:val="18"/>
              </w:rPr>
              <w:t>Derivative of #1; §§ VI.A and VI.G expressly apply the Ensuing Loss Provision to BI</w:t>
            </w:r>
          </w:p>
        </w:tc>
        <w:tc>
          <w:tcPr>
            <w:tcW w:type="dxa" w:w="2304"/>
          </w:tcPr>
          <w:p>
            <w:pPr>
              <w:spacing w:after="0"/>
            </w:pPr>
            <w:r>
              <w:rPr>
                <w:sz w:val="18"/>
              </w:rPr>
            </w:r>
            <w:r>
              <w:rPr>
                <w:b/>
                <w:sz w:val="18"/>
              </w:rPr>
              <w:t>Weak</w:t>
            </w:r>
          </w:p>
        </w:tc>
      </w:tr>
      <w:tr>
        <w:tc>
          <w:tcPr>
            <w:tcW w:type="dxa" w:w="432"/>
          </w:tcPr>
          <w:p>
            <w:pPr>
              <w:spacing w:after="0"/>
            </w:pPr>
            <w:r>
              <w:rPr>
                <w:sz w:val="18"/>
              </w:rPr>
            </w:r>
            <w:r>
              <w:rPr>
                <w:sz w:val="18"/>
              </w:rPr>
              <w:t>7</w:t>
            </w:r>
          </w:p>
        </w:tc>
        <w:tc>
          <w:tcPr>
            <w:tcW w:type="dxa" w:w="2304"/>
          </w:tcPr>
          <w:p>
            <w:pPr>
              <w:spacing w:after="0"/>
            </w:pPr>
            <w:r>
              <w:rPr>
                <w:sz w:val="18"/>
              </w:rPr>
            </w:r>
            <w:r>
              <w:rPr>
                <w:sz w:val="18"/>
              </w:rPr>
              <w:t>BI failure to mitigate (§ IV.F Second)</w:t>
            </w:r>
          </w:p>
        </w:tc>
        <w:tc>
          <w:tcPr>
            <w:tcW w:type="dxa" w:w="4320"/>
          </w:tcPr>
          <w:p>
            <w:pPr>
              <w:spacing w:after="0"/>
            </w:pPr>
            <w:r>
              <w:rPr>
                <w:sz w:val="18"/>
              </w:rPr>
            </w:r>
            <w:r>
              <w:rPr>
                <w:sz w:val="18"/>
              </w:rPr>
              <w:t>§ VI.F is a quantum adjustment, not a forfeiture; LDEQ Order barred all work in the Affected Area; partial restart May 2, 2025; Pinnacle never requested mitigation information</w:t>
            </w:r>
          </w:p>
        </w:tc>
        <w:tc>
          <w:tcPr>
            <w:tcW w:type="dxa" w:w="2304"/>
          </w:tcPr>
          <w:p>
            <w:pPr>
              <w:spacing w:after="0"/>
            </w:pPr>
            <w:r>
              <w:rPr>
                <w:sz w:val="18"/>
              </w:rPr>
            </w:r>
            <w:r>
              <w:rPr>
                <w:b/>
                <w:sz w:val="18"/>
              </w:rPr>
              <w:t>Weak as a bar</w:t>
            </w:r>
            <w:r>
              <w:rPr>
                <w:sz w:val="18"/>
              </w:rPr>
              <w:t>; quantum issues remain</w:t>
            </w:r>
          </w:p>
        </w:tc>
      </w:tr>
      <w:tr>
        <w:tc>
          <w:tcPr>
            <w:tcW w:type="dxa" w:w="432"/>
          </w:tcPr>
          <w:p>
            <w:pPr>
              <w:spacing w:after="0"/>
            </w:pPr>
            <w:r>
              <w:rPr>
                <w:sz w:val="18"/>
              </w:rPr>
            </w:r>
            <w:r>
              <w:rPr>
                <w:sz w:val="18"/>
              </w:rPr>
              <w:t>8</w:t>
            </w:r>
          </w:p>
        </w:tc>
        <w:tc>
          <w:tcPr>
            <w:tcW w:type="dxa" w:w="2304"/>
          </w:tcPr>
          <w:p>
            <w:pPr>
              <w:spacing w:after="0"/>
            </w:pPr>
            <w:r>
              <w:rPr>
                <w:sz w:val="18"/>
              </w:rPr>
            </w:r>
            <w:r>
              <w:rPr>
                <w:sz w:val="18"/>
              </w:rPr>
              <w:t>PLL Known Conditions § V.C (§ V.A)</w:t>
            </w:r>
          </w:p>
        </w:tc>
        <w:tc>
          <w:tcPr>
            <w:tcW w:type="dxa" w:w="4320"/>
          </w:tcPr>
          <w:p>
            <w:pPr>
              <w:spacing w:after="0"/>
            </w:pPr>
            <w:r>
              <w:rPr>
                <w:sz w:val="18"/>
              </w:rPr>
            </w:r>
            <w:r>
              <w:rPr>
                <w:sz w:val="18"/>
              </w:rPr>
              <w:t>No pre-inception “Pollution Condition” (an actual release) existed; §§ II.N and V.C expressly provide that knowledge of corrosion is not knowledge of a Pollution Condition; LDEQ found no pre-existing contamination</w:t>
            </w:r>
          </w:p>
        </w:tc>
        <w:tc>
          <w:tcPr>
            <w:tcW w:type="dxa" w:w="2304"/>
          </w:tcPr>
          <w:p>
            <w:pPr>
              <w:spacing w:after="0"/>
            </w:pPr>
            <w:r>
              <w:rPr>
                <w:sz w:val="18"/>
              </w:rPr>
            </w:r>
            <w:r>
              <w:rPr>
                <w:b/>
                <w:sz w:val="18"/>
              </w:rPr>
              <w:t>No reasonable basis</w:t>
            </w:r>
          </w:p>
        </w:tc>
      </w:tr>
      <w:tr>
        <w:tc>
          <w:tcPr>
            <w:tcW w:type="dxa" w:w="432"/>
          </w:tcPr>
          <w:p>
            <w:pPr>
              <w:spacing w:after="0"/>
            </w:pPr>
            <w:r>
              <w:rPr>
                <w:sz w:val="18"/>
              </w:rPr>
            </w:r>
            <w:r>
              <w:rPr>
                <w:sz w:val="18"/>
              </w:rPr>
              <w:t>9</w:t>
            </w:r>
          </w:p>
        </w:tc>
        <w:tc>
          <w:tcPr>
            <w:tcW w:type="dxa" w:w="2304"/>
          </w:tcPr>
          <w:p>
            <w:pPr>
              <w:spacing w:after="0"/>
            </w:pPr>
            <w:r>
              <w:rPr>
                <w:sz w:val="18"/>
              </w:rPr>
            </w:r>
            <w:r>
              <w:rPr>
                <w:sz w:val="18"/>
              </w:rPr>
              <w:t>PLL Intentional Non-Compliance § V.F (§ V.B)</w:t>
            </w:r>
          </w:p>
        </w:tc>
        <w:tc>
          <w:tcPr>
            <w:tcW w:type="dxa" w:w="4320"/>
          </w:tcPr>
          <w:p>
            <w:pPr>
              <w:spacing w:after="0"/>
            </w:pPr>
            <w:r>
              <w:rPr>
                <w:sz w:val="18"/>
              </w:rPr>
            </w:r>
            <w:r>
              <w:rPr>
                <w:sz w:val="18"/>
              </w:rPr>
              <w:t>API 653 is an industry standard expressly carved out of § V.F; no “knowing and willful” violation; API 653 did not require an internal inspection</w:t>
            </w:r>
          </w:p>
        </w:tc>
        <w:tc>
          <w:tcPr>
            <w:tcW w:type="dxa" w:w="2304"/>
          </w:tcPr>
          <w:p>
            <w:pPr>
              <w:spacing w:after="0"/>
            </w:pPr>
            <w:r>
              <w:rPr>
                <w:sz w:val="18"/>
              </w:rPr>
            </w:r>
            <w:r>
              <w:rPr>
                <w:b/>
                <w:sz w:val="18"/>
              </w:rPr>
              <w:t>No reasonable basis</w:t>
            </w:r>
          </w:p>
        </w:tc>
      </w:tr>
      <w:tr>
        <w:tc>
          <w:tcPr>
            <w:tcW w:type="dxa" w:w="432"/>
          </w:tcPr>
          <w:p>
            <w:pPr>
              <w:spacing w:after="0"/>
            </w:pPr>
            <w:r>
              <w:rPr>
                <w:sz w:val="18"/>
              </w:rPr>
            </w:r>
            <w:r>
              <w:rPr>
                <w:sz w:val="18"/>
              </w:rPr>
              <w:t>10</w:t>
            </w:r>
          </w:p>
        </w:tc>
        <w:tc>
          <w:tcPr>
            <w:tcW w:type="dxa" w:w="2304"/>
          </w:tcPr>
          <w:p>
            <w:pPr>
              <w:spacing w:after="0"/>
            </w:pPr>
            <w:r>
              <w:rPr>
                <w:sz w:val="18"/>
              </w:rPr>
            </w:r>
            <w:r>
              <w:rPr>
                <w:sz w:val="18"/>
              </w:rPr>
              <w:t>MDEA/MEA not “Pollutants” under PLL (§ V.C)</w:t>
            </w:r>
          </w:p>
        </w:tc>
        <w:tc>
          <w:tcPr>
            <w:tcW w:type="dxa" w:w="4320"/>
          </w:tcPr>
          <w:p>
            <w:pPr>
              <w:spacing w:after="0"/>
            </w:pPr>
            <w:r>
              <w:rPr>
                <w:sz w:val="18"/>
              </w:rPr>
            </w:r>
            <w:r>
              <w:rPr>
                <w:sz w:val="18"/>
              </w:rPr>
              <w:t>Letter omits three of the four sentences of § II.O, including the sentence that a “standard,” “common,” or “industrial” characterization does not preclude Pollutant status; contrary to LDEQ Finding 4 and to Pinnacle’s CP position</w:t>
            </w:r>
          </w:p>
        </w:tc>
        <w:tc>
          <w:tcPr>
            <w:tcW w:type="dxa" w:w="2304"/>
          </w:tcPr>
          <w:p>
            <w:pPr>
              <w:spacing w:after="0"/>
            </w:pPr>
            <w:r>
              <w:rPr>
                <w:sz w:val="18"/>
              </w:rPr>
            </w:r>
            <w:r>
              <w:rPr>
                <w:b/>
                <w:sz w:val="18"/>
              </w:rPr>
              <w:t>No reasonable basis</w:t>
            </w:r>
          </w:p>
        </w:tc>
      </w:tr>
    </w:tbl>
    <w:p>
      <w:pPr>
        <w:spacing w:after="40"/>
      </w:pPr>
    </w:p>
    <w:p>
      <w:pPr>
        <w:pStyle w:val="Heading1"/>
      </w:pPr>
      <w:r>
        <w:t>II. Scope, Documents Reviewed, and Assumptions</w:t>
      </w:r>
    </w:p>
    <w:p>
      <w:pPr>
        <w:jc w:val="both"/>
      </w:pPr>
      <w:r>
        <w:t>We reviewed the following documents in full: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888"/>
            <w:shd w:val="clear" w:color="auto" w:fill="D9E2F3"/>
          </w:tcPr>
          <w:p>
            <w:r/>
            <w:r>
              <w:rPr>
                <w:b/>
                <w:sz w:val="18"/>
              </w:rPr>
              <w:t>Document</w:t>
            </w:r>
          </w:p>
        </w:tc>
        <w:tc>
          <w:tcPr>
            <w:tcW w:type="dxa" w:w="2016"/>
            <w:shd w:val="clear" w:color="auto" w:fill="D9E2F3"/>
          </w:tcPr>
          <w:p>
            <w:r/>
            <w:r>
              <w:rPr>
                <w:b/>
                <w:sz w:val="18"/>
              </w:rPr>
              <w:t>Date</w:t>
            </w:r>
          </w:p>
        </w:tc>
        <w:tc>
          <w:tcPr>
            <w:tcW w:type="dxa" w:w="3456"/>
            <w:shd w:val="clear" w:color="auto" w:fill="D9E2F3"/>
          </w:tcPr>
          <w:p>
            <w:r/>
            <w:r>
              <w:rPr>
                <w:b/>
                <w:sz w:val="18"/>
              </w:rPr>
              <w:t>Use in this memorandum</w:t>
            </w:r>
          </w:p>
        </w:tc>
      </w:tr>
      <w:tr>
        <w:tc>
          <w:tcPr>
            <w:tcW w:type="dxa" w:w="3888"/>
          </w:tcPr>
          <w:p>
            <w:pPr>
              <w:spacing w:after="0"/>
            </w:pPr>
            <w:r>
              <w:rPr>
                <w:sz w:val="18"/>
              </w:rPr>
            </w:r>
            <w:r>
              <w:rPr>
                <w:sz w:val="18"/>
              </w:rPr>
              <w:t>Pinnacle denial letter (A. Kwan, Senior Claims Examiner)</w:t>
            </w:r>
          </w:p>
        </w:tc>
        <w:tc>
          <w:tcPr>
            <w:tcW w:type="dxa" w:w="2016"/>
          </w:tcPr>
          <w:p>
            <w:pPr>
              <w:spacing w:after="0"/>
            </w:pPr>
            <w:r>
              <w:rPr>
                <w:sz w:val="18"/>
              </w:rPr>
            </w:r>
            <w:r>
              <w:rPr>
                <w:sz w:val="18"/>
              </w:rPr>
              <w:t>May 9, 2025</w:t>
            </w:r>
          </w:p>
        </w:tc>
        <w:tc>
          <w:tcPr>
            <w:tcW w:type="dxa" w:w="3456"/>
          </w:tcPr>
          <w:p>
            <w:pPr>
              <w:spacing w:after="0"/>
            </w:pPr>
            <w:r>
              <w:rPr>
                <w:sz w:val="18"/>
              </w:rPr>
            </w:r>
            <w:r>
              <w:rPr>
                <w:sz w:val="18"/>
              </w:rPr>
              <w:t>Subject of analysis (“Letter”)</w:t>
            </w:r>
          </w:p>
        </w:tc>
      </w:tr>
      <w:tr>
        <w:tc>
          <w:tcPr>
            <w:tcW w:type="dxa" w:w="3888"/>
          </w:tcPr>
          <w:p>
            <w:pPr>
              <w:spacing w:after="0"/>
            </w:pPr>
            <w:r>
              <w:rPr>
                <w:sz w:val="18"/>
              </w:rPr>
            </w:r>
            <w:r>
              <w:rPr>
                <w:sz w:val="18"/>
              </w:rPr>
              <w:t>CP Policy excerpts, PNN-CP-2025-04891 (incl. Declarations and Schedule A)</w:t>
            </w:r>
          </w:p>
        </w:tc>
        <w:tc>
          <w:tcPr>
            <w:tcW w:type="dxa" w:w="2016"/>
          </w:tcPr>
          <w:p>
            <w:pPr>
              <w:spacing w:after="0"/>
            </w:pPr>
            <w:r>
              <w:rPr>
                <w:sz w:val="18"/>
              </w:rPr>
            </w:r>
            <w:r>
              <w:rPr>
                <w:sz w:val="18"/>
              </w:rPr>
              <w:t>Policy period 1/1/2025–1/1/2026</w:t>
            </w:r>
          </w:p>
        </w:tc>
        <w:tc>
          <w:tcPr>
            <w:tcW w:type="dxa" w:w="3456"/>
          </w:tcPr>
          <w:p>
            <w:pPr>
              <w:spacing w:after="0"/>
            </w:pPr>
            <w:r>
              <w:rPr>
                <w:sz w:val="18"/>
              </w:rPr>
            </w:r>
            <w:r>
              <w:rPr>
                <w:sz w:val="18"/>
              </w:rPr>
              <w:t>Insuring agreement, definitions, exclusions, Ensuing Loss Provision, conditions, BI coverage</w:t>
            </w:r>
          </w:p>
        </w:tc>
      </w:tr>
      <w:tr>
        <w:tc>
          <w:tcPr>
            <w:tcW w:type="dxa" w:w="3888"/>
          </w:tcPr>
          <w:p>
            <w:pPr>
              <w:spacing w:after="0"/>
            </w:pPr>
            <w:r>
              <w:rPr>
                <w:sz w:val="18"/>
              </w:rPr>
            </w:r>
            <w:r>
              <w:rPr>
                <w:sz w:val="18"/>
              </w:rPr>
              <w:t>PLL Policy excerpts, PNN-PLL-2025-06237 (incl. Declarations, Schedule A, ERP and AI endorsements)</w:t>
            </w:r>
          </w:p>
        </w:tc>
        <w:tc>
          <w:tcPr>
            <w:tcW w:type="dxa" w:w="2016"/>
          </w:tcPr>
          <w:p>
            <w:pPr>
              <w:spacing w:after="0"/>
            </w:pPr>
            <w:r>
              <w:rPr>
                <w:sz w:val="18"/>
              </w:rPr>
            </w:r>
            <w:r>
              <w:rPr>
                <w:sz w:val="18"/>
              </w:rPr>
              <w:t>Policy period 1/1/2025–1/1/2026; Retro Date 1/1/2017</w:t>
            </w:r>
          </w:p>
        </w:tc>
        <w:tc>
          <w:tcPr>
            <w:tcW w:type="dxa" w:w="3456"/>
          </w:tcPr>
          <w:p>
            <w:pPr>
              <w:spacing w:after="0"/>
            </w:pPr>
            <w:r>
              <w:rPr>
                <w:sz w:val="18"/>
              </w:rPr>
            </w:r>
            <w:r>
              <w:rPr>
                <w:sz w:val="18"/>
              </w:rPr>
              <w:t>Coverage grant, definitions, conditions, exclusions, limits/SIR</w:t>
            </w:r>
          </w:p>
        </w:tc>
      </w:tr>
      <w:tr>
        <w:tc>
          <w:tcPr>
            <w:tcW w:type="dxa" w:w="3888"/>
          </w:tcPr>
          <w:p>
            <w:pPr>
              <w:spacing w:after="0"/>
            </w:pPr>
            <w:r>
              <w:rPr>
                <w:sz w:val="18"/>
              </w:rPr>
            </w:r>
            <w:r>
              <w:rPr>
                <w:sz w:val="18"/>
              </w:rPr>
              <w:t>Vector Engineering Solutions preliminary forensic report (M. Calloway, PE; peer review S. Nguyen, PE), prepared for Pinnacle</w:t>
            </w:r>
          </w:p>
        </w:tc>
        <w:tc>
          <w:tcPr>
            <w:tcW w:type="dxa" w:w="2016"/>
          </w:tcPr>
          <w:p>
            <w:pPr>
              <w:spacing w:after="0"/>
            </w:pPr>
            <w:r>
              <w:rPr>
                <w:sz w:val="18"/>
              </w:rPr>
            </w:r>
            <w:r>
              <w:rPr>
                <w:sz w:val="18"/>
              </w:rPr>
              <w:t>April 28, 2025</w:t>
            </w:r>
          </w:p>
        </w:tc>
        <w:tc>
          <w:tcPr>
            <w:tcW w:type="dxa" w:w="3456"/>
          </w:tcPr>
          <w:p>
            <w:pPr>
              <w:spacing w:after="0"/>
            </w:pPr>
            <w:r>
              <w:rPr>
                <w:sz w:val="18"/>
              </w:rPr>
            </w:r>
            <w:r>
              <w:rPr>
                <w:sz w:val="18"/>
              </w:rPr>
              <w:t>Cause and sequence of loss; comparison with 2023 inspection; maintenance assessment; damage causation (“Vector”)</w:t>
            </w:r>
          </w:p>
        </w:tc>
      </w:tr>
      <w:tr>
        <w:tc>
          <w:tcPr>
            <w:tcW w:type="dxa" w:w="3888"/>
          </w:tcPr>
          <w:p>
            <w:pPr>
              <w:spacing w:after="0"/>
            </w:pPr>
            <w:r>
              <w:rPr>
                <w:sz w:val="18"/>
              </w:rPr>
            </w:r>
            <w:r>
              <w:rPr>
                <w:sz w:val="18"/>
              </w:rPr>
              <w:t>Coastal Tank Inspection Services API 653 external inspection report, Tank 7, Report No. CTIS-2023-0612-GF07</w:t>
            </w:r>
          </w:p>
        </w:tc>
        <w:tc>
          <w:tcPr>
            <w:tcW w:type="dxa" w:w="2016"/>
          </w:tcPr>
          <w:p>
            <w:pPr>
              <w:spacing w:after="0"/>
            </w:pPr>
            <w:r>
              <w:rPr>
                <w:sz w:val="18"/>
              </w:rPr>
            </w:r>
            <w:r>
              <w:rPr>
                <w:sz w:val="18"/>
              </w:rPr>
              <w:t>Inspected June 12, 2023; issued June 19, 2023</w:t>
            </w:r>
          </w:p>
        </w:tc>
        <w:tc>
          <w:tcPr>
            <w:tcW w:type="dxa" w:w="3456"/>
          </w:tcPr>
          <w:p>
            <w:pPr>
              <w:spacing w:after="0"/>
            </w:pPr>
            <w:r>
              <w:rPr>
                <w:sz w:val="18"/>
              </w:rPr>
            </w:r>
            <w:r>
              <w:rPr>
                <w:sz w:val="18"/>
              </w:rPr>
              <w:t>Nature of 2023 finding; inspection intervals; CP data (“CTIS 2023”)</w:t>
            </w:r>
          </w:p>
        </w:tc>
      </w:tr>
      <w:tr>
        <w:tc>
          <w:tcPr>
            <w:tcW w:type="dxa" w:w="3888"/>
          </w:tcPr>
          <w:p>
            <w:pPr>
              <w:spacing w:after="0"/>
            </w:pPr>
            <w:r>
              <w:rPr>
                <w:sz w:val="18"/>
              </w:rPr>
            </w:r>
            <w:r>
              <w:rPr>
                <w:sz w:val="18"/>
              </w:rPr>
              <w:t>Greenfield CMMS maintenance log excerpts, Tank 7 (AST-007), certified by R. Fontenot and P. Roane</w:t>
            </w:r>
          </w:p>
        </w:tc>
        <w:tc>
          <w:tcPr>
            <w:tcW w:type="dxa" w:w="2016"/>
          </w:tcPr>
          <w:p>
            <w:pPr>
              <w:spacing w:after="0"/>
            </w:pPr>
            <w:r>
              <w:rPr>
                <w:sz w:val="18"/>
              </w:rPr>
            </w:r>
            <w:r>
              <w:rPr>
                <w:sz w:val="18"/>
              </w:rPr>
              <w:t>Entries July 2021–Feb. 2025; certified April 25, 2025</w:t>
            </w:r>
          </w:p>
        </w:tc>
        <w:tc>
          <w:tcPr>
            <w:tcW w:type="dxa" w:w="3456"/>
          </w:tcPr>
          <w:p>
            <w:pPr>
              <w:spacing w:after="0"/>
            </w:pPr>
            <w:r>
              <w:rPr>
                <w:sz w:val="18"/>
              </w:rPr>
            </w:r>
            <w:r>
              <w:rPr>
                <w:sz w:val="18"/>
              </w:rPr>
              <w:t>Maintenance history and inspection schedule (“CMMS”)</w:t>
            </w:r>
          </w:p>
        </w:tc>
      </w:tr>
      <w:tr>
        <w:tc>
          <w:tcPr>
            <w:tcW w:type="dxa" w:w="3888"/>
          </w:tcPr>
          <w:p>
            <w:pPr>
              <w:spacing w:after="0"/>
            </w:pPr>
            <w:r>
              <w:rPr>
                <w:sz w:val="18"/>
              </w:rPr>
            </w:r>
            <w:r>
              <w:rPr>
                <w:sz w:val="18"/>
              </w:rPr>
              <w:t>Notice correspondence chain (Roane → Prejean → Pinnacle; Pinnacle acknowledgment)</w:t>
            </w:r>
          </w:p>
        </w:tc>
        <w:tc>
          <w:tcPr>
            <w:tcW w:type="dxa" w:w="2016"/>
          </w:tcPr>
          <w:p>
            <w:pPr>
              <w:spacing w:after="0"/>
            </w:pPr>
            <w:r>
              <w:rPr>
                <w:sz w:val="18"/>
              </w:rPr>
            </w:r>
            <w:r>
              <w:rPr>
                <w:sz w:val="18"/>
              </w:rPr>
              <w:t>March 14–15, 2025</w:t>
            </w:r>
          </w:p>
        </w:tc>
        <w:tc>
          <w:tcPr>
            <w:tcW w:type="dxa" w:w="3456"/>
          </w:tcPr>
          <w:p>
            <w:pPr>
              <w:spacing w:after="0"/>
            </w:pPr>
            <w:r>
              <w:rPr>
                <w:sz w:val="18"/>
              </w:rPr>
            </w:r>
            <w:r>
              <w:rPr>
                <w:sz w:val="18"/>
              </w:rPr>
              <w:t>Timing and content of notice</w:t>
            </w:r>
          </w:p>
        </w:tc>
      </w:tr>
      <w:tr>
        <w:tc>
          <w:tcPr>
            <w:tcW w:type="dxa" w:w="3888"/>
          </w:tcPr>
          <w:p>
            <w:pPr>
              <w:spacing w:after="0"/>
            </w:pPr>
            <w:r>
              <w:rPr>
                <w:sz w:val="18"/>
              </w:rPr>
            </w:r>
            <w:r>
              <w:rPr>
                <w:sz w:val="18"/>
              </w:rPr>
              <w:t>Greenfield BI loss calculation workbook (Summary, Daily Revenue-Costs, Mitigation tabs)</w:t>
            </w:r>
          </w:p>
        </w:tc>
        <w:tc>
          <w:tcPr>
            <w:tcW w:type="dxa" w:w="2016"/>
          </w:tcPr>
          <w:p>
            <w:pPr>
              <w:spacing w:after="0"/>
            </w:pPr>
            <w:r>
              <w:rPr>
                <w:sz w:val="18"/>
              </w:rPr>
            </w:r>
            <w:r>
              <w:rPr>
                <w:sz w:val="18"/>
              </w:rPr>
              <w:t>Prepared by Controller’s Office</w:t>
            </w:r>
          </w:p>
        </w:tc>
        <w:tc>
          <w:tcPr>
            <w:tcW w:type="dxa" w:w="3456"/>
          </w:tcPr>
          <w:p>
            <w:pPr>
              <w:spacing w:after="0"/>
            </w:pPr>
            <w:r>
              <w:rPr>
                <w:sz w:val="18"/>
              </w:rPr>
            </w:r>
            <w:r>
              <w:rPr>
                <w:sz w:val="18"/>
              </w:rPr>
              <w:t>BI quantum and mitigation</w:t>
            </w:r>
          </w:p>
        </w:tc>
      </w:tr>
      <w:tr>
        <w:tc>
          <w:tcPr>
            <w:tcW w:type="dxa" w:w="3888"/>
          </w:tcPr>
          <w:p>
            <w:pPr>
              <w:spacing w:after="0"/>
            </w:pPr>
            <w:r>
              <w:rPr>
                <w:sz w:val="18"/>
              </w:rPr>
            </w:r>
            <w:r>
              <w:rPr>
                <w:sz w:val="18"/>
              </w:rPr>
              <w:t>LDEQ Compliance Order No. CO-2025-0341</w:t>
            </w:r>
          </w:p>
        </w:tc>
        <w:tc>
          <w:tcPr>
            <w:tcW w:type="dxa" w:w="2016"/>
          </w:tcPr>
          <w:p>
            <w:pPr>
              <w:spacing w:after="0"/>
            </w:pPr>
            <w:r>
              <w:rPr>
                <w:sz w:val="18"/>
              </w:rPr>
            </w:r>
            <w:r>
              <w:rPr>
                <w:sz w:val="18"/>
              </w:rPr>
              <w:t>April 3, 2025</w:t>
            </w:r>
          </w:p>
        </w:tc>
        <w:tc>
          <w:tcPr>
            <w:tcW w:type="dxa" w:w="3456"/>
          </w:tcPr>
          <w:p>
            <w:pPr>
              <w:spacing w:after="0"/>
            </w:pPr>
            <w:r>
              <w:rPr>
                <w:sz w:val="18"/>
              </w:rPr>
            </w:r>
            <w:r>
              <w:rPr>
                <w:sz w:val="18"/>
              </w:rPr>
              <w:t>Pollution Condition; hazardous-substance findings; site restrictions; remediation obligations (“LDEQ Order”)</w:t>
            </w:r>
          </w:p>
        </w:tc>
      </w:tr>
    </w:tbl>
    <w:p>
      <w:pPr>
        <w:spacing w:after="40"/>
      </w:pPr>
    </w:p>
    <w:p>
      <w:pPr>
        <w:jc w:val="both"/>
      </w:pPr>
      <w:r>
        <w:rPr>
          <w:b/>
        </w:rPr>
        <w:t>Assumptions and limitations.</w:t>
      </w:r>
      <w:r>
        <w:t xml:space="preserve"> (1) We have only policy excerpts; both excerpts state that the complete policy controls, and several potentially significant endorsements (CP: Louisiana Amendatory Endorsement PNN-CP-END-005, Equipment Breakdown Enhancement PNN-CP-END-006, Ordinance or Law PNN-CP-END-007, Debris Removal PNN-CP-END-008, Extra Expense PNN-CP-END-009; PLL: omitted Sections I.D–I.F, II.C–II.F, II.H–II.L, II.Q–II.T, IV.C–IV.H, V.B, V.D–V.E, V.I–V.K, VII.E–VII.J) have not been reviewed. (2) The file reflects events through May 2025; we have no information about subsequent developments (Vector’s final report and metallurgical results, any reconsideration request, LDEQ progress, actual BI results). (3) Louisiana law is assumed to govern both policies (the PLL Policy so provides at § VII.B; the CP Policy carries a Louisiana Amendatory Endorsement and insures Louisiana risks). Legal authorities cited below are identified from general knowledge and must be cite-checked and confirmed against current statutory text before use in any external communication.</w:t>
      </w:r>
    </w:p>
    <w:p>
      <w:pPr>
        <w:pStyle w:val="Heading1"/>
      </w:pPr>
      <w:r>
        <w:t>III. Factual Background</w:t>
      </w:r>
    </w:p>
    <w:p>
      <w:pPr>
        <w:pStyle w:val="Heading2"/>
      </w:pPr>
      <w:r>
        <w:t>A. The Loss</w:t>
      </w:r>
    </w:p>
    <w:p>
      <w:pPr>
        <w:jc w:val="both"/>
      </w:pPr>
      <w:r>
        <w:t>At approximately 2:17 a.m. CST on March 14, 2025, Tank 7 — a 50,000-gallon carbon steel above-ground storage tank built in 2011 to API 650 and holding approximately 38,000 gallons of methyldiethanolamine (“MDEA”) — failed at the circumferential weld joining the lowest shell course to the annular (base) ring. The fracture propagated roughly 270 degrees around the circumference (Vector § 4.2). Vector found the failure “abrupt and occurred without prior warning,” with “no alarms,” “no visible precursors such as weeping, seepage, or bulging,” and “no gradual loss of tank contents,” and on-site personnel reported “a single loud percussive event” (Vector § 4.1; Concl. 4). LDEQ likewise found “a sudden and complete rupture of the tank shell” (LDEQ Order ¶ III.1).</w:t>
      </w:r>
    </w:p>
    <w:p>
      <w:pPr>
        <w:jc w:val="both"/>
      </w:pPr>
      <w:r>
        <w:t>The released MDEA flowed across the secondary containment area and contacted energized Junction Box JB-14, causing an arc flash that ignited MDEA vapors and liquid. The fire engulfed Tank 6 (approximately 25,000 gallons of monoethanolamine, “MEA”), the pipe rack to the main processing building, approximately 1,200 linear feet of electrical conduit and cabling, and the north wall and roof of the processing building (Vector §§ 4.1, 5). Vector concluded that “the majority of the physical damage to structures and equipment other than Tank 7 itself was caused by the fire and thermal exposure,” and that direct damage from MDEA contact “was limited to the tank farm secondary containment berm area, the soil beneath and surrounding Tank 7, and Junction Box JB-14 itself” (Vector § 5, “Damage Causation”; Concl. 9). Firewater runoff carried MDEA-contaminated water beyond the berm through a drain valve compromised during the event (Vector § 4.1).</w:t>
      </w:r>
    </w:p>
    <w:p>
      <w:pPr>
        <w:pStyle w:val="Heading2"/>
      </w:pPr>
      <w:r>
        <w:t>B. Cause: Internal Corrosion Undetectable by External Inspection</w:t>
      </w:r>
    </w:p>
    <w:p>
      <w:pPr>
        <w:jc w:val="both"/>
      </w:pPr>
      <w:r>
        <w:t>Vector attributes the failure to internal (product-side) corrosion at the shell-to-annular-ring weld and heat-affected zone, with morphology consistent with microbiologically influenced corrosion (“MIC”) and/or amine stress corrosion cracking (“SCC”), reducing wall thickness from 0.375 in. to as little as 0.087 in. (a 77% loss) in a localized area, while remote readings were 0.310–0.355 in. (Vector § 4.2; Concls. 1–3). Vector estimates — expressly “preliminary,” pending metallurgical analysis expected in 4–6 weeks — that the corrosion developed over approximately 3–5 years (Vector §§ 1, 4.2, 7). Vector found the corrosion “was not visible or detectable through routine external inspection methods” (Concl. 5).</w:t>
      </w:r>
    </w:p>
    <w:p>
      <w:pPr>
        <w:jc w:val="both"/>
      </w:pPr>
      <w:r>
        <w:t>Critically, Vector determined that the “minor surface corrosion” noted in the June 2023 CTIS external inspection “is a separate and distinct condition” from the internal weld-seam corrosion, differing “in their location, their corrosion mechanism, and their severity,” and that “they are not related as a matter of engineering analysis” (Vector § 4.3; Concl. 6). Vector also found Greenfield’s inspection program “structured in accordance with API 653,” that external inspections were at proper intervals, that the August 3, 2023 recoat was “appropriate, timely, and consistent with the recommendation,” and that Vector “did not identify any specific deficiency in Greenfield’s inspection or maintenance practices” (Vector § 4.4; Concls. 7–8). Notably, the Vector report contains no finding regarding “inadequate cathodic protection,” which the Letter attributes to it.</w:t>
      </w:r>
    </w:p>
    <w:p>
      <w:pPr>
        <w:pStyle w:val="Heading2"/>
      </w:pPr>
      <w:r>
        <w:t>C. Inspection and Maintenance History</w:t>
      </w:r>
    </w:p>
    <w:p>
      <w:pPr>
        <w:jc w:val="both"/>
      </w:pPr>
      <w:r>
        <w:t>CTIS performed an internal API 653 inspection in March 2019 (Report CTIS-2019-0314-GF07), from which the next internal inspection was calculated to fall due in approximately 2028–2029 (CTIS 2023 §§ 1, 5 n. 10; CMMS § 1 lists March 2029). The June 12, 2023 external inspection was “external visual inspection only,” rated the shell “Satisfactory,” found “minor surface corrosion” on the base ring exterior (about 3 feet of arc in the south-southeast quadrant) with “[n]o weeping, seepage, product staining, measurable wall loss, or evidence of through-wall corrosion,” recommended recoating within 90 days and monitoring at the next external inspection (June 2025), and expressly made “[n]o recommendation … for internal inspection” or for advancing the next internal inspection (CTIS 2023 §§ 1, 4.2, 6). Greenfield opened WO-2023-0471 on June 30, 2023 (approved by Plant Manager K. Tran) and completed a two-coat epoxy recoat on August 3, 2023 — well inside the 90-day window that ran to September 10, 2023 (CMMS Entries 2.6–2.7). Monthly operator rounds from January 2022 to February 2025 found no anomalies; the last, on February 15, 2025, found the base-ring coating intact (CMMS Entries 2.9, 2.11). Annual cathodic protection (“CP”) surveys in 2022, 2023, and 2024 were within NACE SP0169 criteria, though the October 2024 southeast-quadrant reading (−0.85 V CSE) was at the threshold and flagged for monitoring (CMMS Entries 2.4, 2.8, 2.10). CTIS notes that CP protects only the external soil-side surface of the tank bottom and does not address internal surfaces (CTIS 2023 § 4.7).</w:t>
      </w:r>
    </w:p>
    <w:p>
      <w:pPr>
        <w:pStyle w:val="Heading2"/>
      </w:pPr>
      <w:r>
        <w:t>D. Notice, Claims, and Regulatory Response</w:t>
      </w:r>
    </w:p>
    <w:p>
      <w:pPr>
        <w:jc w:val="both"/>
      </w:pPr>
      <w:r>
        <w:t>Greenfield’s General Counsel instructed the broker at 8:45 a.m. on March 14, 2025 to give notice under both policies; Tidewater Risk Advisors gave written notice to claims@pinnacleassurance.com at 11:00 a.m. the same day, identifying both policies, the date, time, location, description of the incident, and preliminary damage, environmental, and BI information. On March 15, 2025, Pinnacle acknowledged “receipt of the notice of loss,” opened Claim File CLM-2025-07744, “recorded [it] against both” policies, assigned Ms. Kwan, and requested evidence preservation. Pinnacle retained Crossfield and Vector on March 20; Vector inspected the site March 22–24 and April 8–9, 2025, collected specimens under chain-of-custody protocols, took 143 photographs, and interviewed personnel (Vector §§ 1, 3).</w:t>
      </w:r>
    </w:p>
    <w:p>
      <w:pPr>
        <w:jc w:val="both"/>
      </w:pPr>
      <w:r>
        <w:t>LDEQ conducted an emergency assessment March 15–17, 2025 and on April 3, 2025 issued Compliance Order CO-2025-0341, finding MDEA and MEA to be “hazardous chemical substances,” documenting soil and groundwater contamination exceeding RECAP standards across approximately 2.8 acres, finding “no evidence of any pre-existing contamination by MDEA or MEA,” prohibiting all industrial operations, repair, and reconstruction in the “Affected Area” (tank farm, drainage swale, pipe rack corridor, and access road) pending approval of a Remedial Action Plan, and requiring a Remedial Investigation Work Plan (by May 3, 2025), a RAP (by July 2, 2025), financial assurance (within 45 days), and completion of remediation by October 3, 2026 (LDEQ Order ¶¶ III.4–III.6, IV.2, V.2–V.7). Greenfield submitted a sworn CP proof of loss on April 10, 2025 ($25.5 million) and a PLL claim on April 18, 2025 ($4.2 million). The facility was fully shut down through May 1, 2025 and resumed operations at 40% capacity on May 2, 2025. Pinnacle issued its “final” denial on May 9, 2025 — eleven days after receiving Vector’s preliminary report and before the metallurgical results.</w:t>
      </w:r>
    </w:p>
    <w:p>
      <w:pPr>
        <w:pStyle w:val="Heading2"/>
      </w:pPr>
      <w:r>
        <w:t>E. Chronology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val="clear" w:color="auto" w:fill="D9E2F3"/>
          </w:tcPr>
          <w:p>
            <w:r/>
            <w:r>
              <w:rPr>
                <w:b/>
                <w:sz w:val="18"/>
              </w:rPr>
              <w:t>Date</w:t>
            </w:r>
          </w:p>
        </w:tc>
        <w:tc>
          <w:tcPr>
            <w:tcW w:type="dxa" w:w="5616"/>
            <w:shd w:val="clear" w:color="auto" w:fill="D9E2F3"/>
          </w:tcPr>
          <w:p>
            <w:r/>
            <w:r>
              <w:rPr>
                <w:b/>
                <w:sz w:val="18"/>
              </w:rPr>
              <w:t>Event</w:t>
            </w:r>
          </w:p>
        </w:tc>
        <w:tc>
          <w:tcPr>
            <w:tcW w:type="dxa" w:w="1872"/>
            <w:shd w:val="clear" w:color="auto" w:fill="D9E2F3"/>
          </w:tcPr>
          <w:p>
            <w:r/>
            <w:r>
              <w:rPr>
                <w:b/>
                <w:sz w:val="18"/>
              </w:rPr>
              <w:t>Source</w:t>
            </w:r>
          </w:p>
        </w:tc>
      </w:tr>
      <w:tr>
        <w:tc>
          <w:tcPr>
            <w:tcW w:type="dxa" w:w="1872"/>
          </w:tcPr>
          <w:p>
            <w:pPr>
              <w:spacing w:after="0"/>
            </w:pPr>
            <w:r>
              <w:rPr>
                <w:sz w:val="18"/>
              </w:rPr>
            </w:r>
            <w:r>
              <w:rPr>
                <w:sz w:val="18"/>
              </w:rPr>
              <w:t>2011</w:t>
            </w:r>
          </w:p>
        </w:tc>
        <w:tc>
          <w:tcPr>
            <w:tcW w:type="dxa" w:w="5616"/>
          </w:tcPr>
          <w:p>
            <w:pPr>
              <w:spacing w:after="0"/>
            </w:pPr>
            <w:r>
              <w:rPr>
                <w:sz w:val="18"/>
              </w:rPr>
            </w:r>
            <w:r>
              <w:rPr>
                <w:sz w:val="18"/>
              </w:rPr>
              <w:t>Tank 7 constructed (API 650; carbon steel)</w:t>
            </w:r>
          </w:p>
        </w:tc>
        <w:tc>
          <w:tcPr>
            <w:tcW w:type="dxa" w:w="1872"/>
          </w:tcPr>
          <w:p>
            <w:pPr>
              <w:spacing w:after="0"/>
            </w:pPr>
            <w:r>
              <w:rPr>
                <w:sz w:val="18"/>
              </w:rPr>
            </w:r>
            <w:r>
              <w:rPr>
                <w:sz w:val="18"/>
              </w:rPr>
              <w:t>CTIS 2023 § 2</w:t>
            </w:r>
          </w:p>
        </w:tc>
      </w:tr>
      <w:tr>
        <w:tc>
          <w:tcPr>
            <w:tcW w:type="dxa" w:w="1872"/>
          </w:tcPr>
          <w:p>
            <w:pPr>
              <w:spacing w:after="0"/>
            </w:pPr>
            <w:r>
              <w:rPr>
                <w:sz w:val="18"/>
              </w:rPr>
            </w:r>
            <w:r>
              <w:rPr>
                <w:sz w:val="18"/>
              </w:rPr>
              <w:t>Mar. 2019</w:t>
            </w:r>
          </w:p>
        </w:tc>
        <w:tc>
          <w:tcPr>
            <w:tcW w:type="dxa" w:w="5616"/>
          </w:tcPr>
          <w:p>
            <w:pPr>
              <w:spacing w:after="0"/>
            </w:pPr>
            <w:r>
              <w:rPr>
                <w:sz w:val="18"/>
              </w:rPr>
            </w:r>
            <w:r>
              <w:rPr>
                <w:sz w:val="18"/>
              </w:rPr>
              <w:t>CTIS internal inspection; next internal calculated for ~2028–2029 (CMMS: Mar. 2029)</w:t>
            </w:r>
          </w:p>
        </w:tc>
        <w:tc>
          <w:tcPr>
            <w:tcW w:type="dxa" w:w="1872"/>
          </w:tcPr>
          <w:p>
            <w:pPr>
              <w:spacing w:after="0"/>
            </w:pPr>
            <w:r>
              <w:rPr>
                <w:sz w:val="18"/>
              </w:rPr>
            </w:r>
            <w:r>
              <w:rPr>
                <w:sz w:val="18"/>
              </w:rPr>
              <w:t>CTIS 2023 §§ 1, 5; CMMS § 1</w:t>
            </w:r>
          </w:p>
        </w:tc>
      </w:tr>
      <w:tr>
        <w:tc>
          <w:tcPr>
            <w:tcW w:type="dxa" w:w="1872"/>
          </w:tcPr>
          <w:p>
            <w:pPr>
              <w:spacing w:after="0"/>
            </w:pPr>
            <w:r>
              <w:rPr>
                <w:sz w:val="18"/>
              </w:rPr>
            </w:r>
            <w:r>
              <w:rPr>
                <w:sz w:val="18"/>
              </w:rPr>
              <w:t>June/July 2021</w:t>
            </w:r>
          </w:p>
        </w:tc>
        <w:tc>
          <w:tcPr>
            <w:tcW w:type="dxa" w:w="5616"/>
          </w:tcPr>
          <w:p>
            <w:pPr>
              <w:spacing w:after="0"/>
            </w:pPr>
            <w:r>
              <w:rPr>
                <w:sz w:val="18"/>
              </w:rPr>
            </w:r>
            <w:r>
              <w:rPr>
                <w:sz w:val="18"/>
              </w:rPr>
              <w:t>External inspection; no action items (CTIS: June 2021; CMMS: July 14, 2021)</w:t>
            </w:r>
          </w:p>
        </w:tc>
        <w:tc>
          <w:tcPr>
            <w:tcW w:type="dxa" w:w="1872"/>
          </w:tcPr>
          <w:p>
            <w:pPr>
              <w:spacing w:after="0"/>
            </w:pPr>
            <w:r>
              <w:rPr>
                <w:sz w:val="18"/>
              </w:rPr>
            </w:r>
            <w:r>
              <w:rPr>
                <w:sz w:val="18"/>
              </w:rPr>
              <w:t>CTIS 2023 § 2; CMMS 2.3</w:t>
            </w:r>
          </w:p>
        </w:tc>
      </w:tr>
      <w:tr>
        <w:tc>
          <w:tcPr>
            <w:tcW w:type="dxa" w:w="1872"/>
          </w:tcPr>
          <w:p>
            <w:pPr>
              <w:spacing w:after="0"/>
            </w:pPr>
            <w:r>
              <w:rPr>
                <w:sz w:val="18"/>
              </w:rPr>
            </w:r>
            <w:r>
              <w:rPr>
                <w:sz w:val="18"/>
              </w:rPr>
              <w:t>Jan. 2022–Feb. 2025</w:t>
            </w:r>
          </w:p>
        </w:tc>
        <w:tc>
          <w:tcPr>
            <w:tcW w:type="dxa" w:w="5616"/>
          </w:tcPr>
          <w:p>
            <w:pPr>
              <w:spacing w:after="0"/>
            </w:pPr>
            <w:r>
              <w:rPr>
                <w:sz w:val="18"/>
              </w:rPr>
            </w:r>
            <w:r>
              <w:rPr>
                <w:sz w:val="18"/>
              </w:rPr>
              <w:t>Monthly operator rounds; no anomalies</w:t>
            </w:r>
          </w:p>
        </w:tc>
        <w:tc>
          <w:tcPr>
            <w:tcW w:type="dxa" w:w="1872"/>
          </w:tcPr>
          <w:p>
            <w:pPr>
              <w:spacing w:after="0"/>
            </w:pPr>
            <w:r>
              <w:rPr>
                <w:sz w:val="18"/>
              </w:rPr>
            </w:r>
            <w:r>
              <w:rPr>
                <w:sz w:val="18"/>
              </w:rPr>
              <w:t>CMMS 2.2, 2.9, 2.11</w:t>
            </w:r>
          </w:p>
        </w:tc>
      </w:tr>
      <w:tr>
        <w:tc>
          <w:tcPr>
            <w:tcW w:type="dxa" w:w="1872"/>
          </w:tcPr>
          <w:p>
            <w:pPr>
              <w:spacing w:after="0"/>
            </w:pPr>
            <w:r>
              <w:rPr>
                <w:sz w:val="18"/>
              </w:rPr>
            </w:r>
            <w:r>
              <w:rPr>
                <w:sz w:val="18"/>
              </w:rPr>
              <w:t>June 12, 2023</w:t>
            </w:r>
          </w:p>
        </w:tc>
        <w:tc>
          <w:tcPr>
            <w:tcW w:type="dxa" w:w="5616"/>
          </w:tcPr>
          <w:p>
            <w:pPr>
              <w:spacing w:after="0"/>
            </w:pPr>
            <w:r>
              <w:rPr>
                <w:sz w:val="18"/>
              </w:rPr>
            </w:r>
            <w:r>
              <w:rPr>
                <w:sz w:val="18"/>
              </w:rPr>
              <w:t>CTIS external inspection; minor exterior base-ring surface corrosion; recoat within 90 days</w:t>
            </w:r>
          </w:p>
        </w:tc>
        <w:tc>
          <w:tcPr>
            <w:tcW w:type="dxa" w:w="1872"/>
          </w:tcPr>
          <w:p>
            <w:pPr>
              <w:spacing w:after="0"/>
            </w:pPr>
            <w:r>
              <w:rPr>
                <w:sz w:val="18"/>
              </w:rPr>
            </w:r>
            <w:r>
              <w:rPr>
                <w:sz w:val="18"/>
              </w:rPr>
              <w:t>CTIS 2023 §§ 4.2, 6</w:t>
            </w:r>
          </w:p>
        </w:tc>
      </w:tr>
      <w:tr>
        <w:tc>
          <w:tcPr>
            <w:tcW w:type="dxa" w:w="1872"/>
          </w:tcPr>
          <w:p>
            <w:pPr>
              <w:spacing w:after="0"/>
            </w:pPr>
            <w:r>
              <w:rPr>
                <w:sz w:val="18"/>
              </w:rPr>
            </w:r>
            <w:r>
              <w:rPr>
                <w:sz w:val="18"/>
              </w:rPr>
              <w:t>Aug. 3, 2023</w:t>
            </w:r>
          </w:p>
        </w:tc>
        <w:tc>
          <w:tcPr>
            <w:tcW w:type="dxa" w:w="5616"/>
          </w:tcPr>
          <w:p>
            <w:pPr>
              <w:spacing w:after="0"/>
            </w:pPr>
            <w:r>
              <w:rPr>
                <w:sz w:val="18"/>
              </w:rPr>
            </w:r>
            <w:r>
              <w:rPr>
                <w:sz w:val="18"/>
              </w:rPr>
              <w:t>Base-ring exterior recoat completed (WO-2023-0471)</w:t>
            </w:r>
          </w:p>
        </w:tc>
        <w:tc>
          <w:tcPr>
            <w:tcW w:type="dxa" w:w="1872"/>
          </w:tcPr>
          <w:p>
            <w:pPr>
              <w:spacing w:after="0"/>
            </w:pPr>
            <w:r>
              <w:rPr>
                <w:sz w:val="18"/>
              </w:rPr>
            </w:r>
            <w:r>
              <w:rPr>
                <w:sz w:val="18"/>
              </w:rPr>
              <w:t>CMMS 2.7; Vector § 4.3</w:t>
            </w:r>
          </w:p>
        </w:tc>
      </w:tr>
      <w:tr>
        <w:tc>
          <w:tcPr>
            <w:tcW w:type="dxa" w:w="1872"/>
          </w:tcPr>
          <w:p>
            <w:pPr>
              <w:spacing w:after="0"/>
            </w:pPr>
            <w:r>
              <w:rPr>
                <w:sz w:val="18"/>
              </w:rPr>
            </w:r>
            <w:r>
              <w:rPr>
                <w:sz w:val="18"/>
              </w:rPr>
              <w:t>Oct. 11, 2024</w:t>
            </w:r>
          </w:p>
        </w:tc>
        <w:tc>
          <w:tcPr>
            <w:tcW w:type="dxa" w:w="5616"/>
          </w:tcPr>
          <w:p>
            <w:pPr>
              <w:spacing w:after="0"/>
            </w:pPr>
            <w:r>
              <w:rPr>
                <w:sz w:val="18"/>
              </w:rPr>
            </w:r>
            <w:r>
              <w:rPr>
                <w:sz w:val="18"/>
              </w:rPr>
              <w:t>CP survey within criteria; SE quadrant at threshold, monitor</w:t>
            </w:r>
          </w:p>
        </w:tc>
        <w:tc>
          <w:tcPr>
            <w:tcW w:type="dxa" w:w="1872"/>
          </w:tcPr>
          <w:p>
            <w:pPr>
              <w:spacing w:after="0"/>
            </w:pPr>
            <w:r>
              <w:rPr>
                <w:sz w:val="18"/>
              </w:rPr>
            </w:r>
            <w:r>
              <w:rPr>
                <w:sz w:val="18"/>
              </w:rPr>
              <w:t>CMMS 2.10</w:t>
            </w:r>
          </w:p>
        </w:tc>
      </w:tr>
      <w:tr>
        <w:tc>
          <w:tcPr>
            <w:tcW w:type="dxa" w:w="1872"/>
          </w:tcPr>
          <w:p>
            <w:pPr>
              <w:spacing w:after="0"/>
            </w:pPr>
            <w:r>
              <w:rPr>
                <w:sz w:val="18"/>
              </w:rPr>
            </w:r>
            <w:r>
              <w:rPr>
                <w:sz w:val="18"/>
              </w:rPr>
              <w:t>Jan. 1, 2025</w:t>
            </w:r>
          </w:p>
        </w:tc>
        <w:tc>
          <w:tcPr>
            <w:tcW w:type="dxa" w:w="5616"/>
          </w:tcPr>
          <w:p>
            <w:pPr>
              <w:spacing w:after="0"/>
            </w:pPr>
            <w:r>
              <w:rPr>
                <w:sz w:val="18"/>
              </w:rPr>
            </w:r>
            <w:r>
              <w:rPr>
                <w:sz w:val="18"/>
              </w:rPr>
              <w:t>Both policies incept (PLL Retro Date Jan. 1, 2017)</w:t>
            </w:r>
          </w:p>
        </w:tc>
        <w:tc>
          <w:tcPr>
            <w:tcW w:type="dxa" w:w="1872"/>
          </w:tcPr>
          <w:p>
            <w:pPr>
              <w:spacing w:after="0"/>
            </w:pPr>
            <w:r>
              <w:rPr>
                <w:sz w:val="18"/>
              </w:rPr>
            </w:r>
            <w:r>
              <w:rPr>
                <w:sz w:val="18"/>
              </w:rPr>
              <w:t>Policy Declarations</w:t>
            </w:r>
          </w:p>
        </w:tc>
      </w:tr>
      <w:tr>
        <w:tc>
          <w:tcPr>
            <w:tcW w:type="dxa" w:w="1872"/>
          </w:tcPr>
          <w:p>
            <w:pPr>
              <w:spacing w:after="0"/>
            </w:pPr>
            <w:r>
              <w:rPr>
                <w:sz w:val="18"/>
              </w:rPr>
            </w:r>
            <w:r>
              <w:rPr>
                <w:sz w:val="18"/>
              </w:rPr>
              <w:t>Mar. 14, 2025, 2:17 a.m.</w:t>
            </w:r>
          </w:p>
        </w:tc>
        <w:tc>
          <w:tcPr>
            <w:tcW w:type="dxa" w:w="5616"/>
          </w:tcPr>
          <w:p>
            <w:pPr>
              <w:spacing w:after="0"/>
            </w:pPr>
            <w:r>
              <w:rPr>
                <w:sz w:val="18"/>
              </w:rPr>
            </w:r>
            <w:r>
              <w:rPr>
                <w:sz w:val="18"/>
              </w:rPr>
              <w:t>Tank 7 failure; arc flash; fire (suppressed ~5:40 a.m. per LDEQ; ~4.5 hours per Vector)</w:t>
            </w:r>
          </w:p>
        </w:tc>
        <w:tc>
          <w:tcPr>
            <w:tcW w:type="dxa" w:w="1872"/>
          </w:tcPr>
          <w:p>
            <w:pPr>
              <w:spacing w:after="0"/>
            </w:pPr>
            <w:r>
              <w:rPr>
                <w:sz w:val="18"/>
              </w:rPr>
            </w:r>
            <w:r>
              <w:rPr>
                <w:sz w:val="18"/>
              </w:rPr>
              <w:t>Vector § 4.1; LDEQ ¶ III.3</w:t>
            </w:r>
          </w:p>
        </w:tc>
      </w:tr>
      <w:tr>
        <w:tc>
          <w:tcPr>
            <w:tcW w:type="dxa" w:w="1872"/>
          </w:tcPr>
          <w:p>
            <w:pPr>
              <w:spacing w:after="0"/>
            </w:pPr>
            <w:r>
              <w:rPr>
                <w:sz w:val="18"/>
              </w:rPr>
            </w:r>
            <w:r>
              <w:rPr>
                <w:sz w:val="18"/>
              </w:rPr>
              <w:t>Mar. 14, 2025, 11:00 a.m.</w:t>
            </w:r>
          </w:p>
        </w:tc>
        <w:tc>
          <w:tcPr>
            <w:tcW w:type="dxa" w:w="5616"/>
          </w:tcPr>
          <w:p>
            <w:pPr>
              <w:spacing w:after="0"/>
            </w:pPr>
            <w:r>
              <w:rPr>
                <w:sz w:val="18"/>
              </w:rPr>
            </w:r>
            <w:r>
              <w:rPr>
                <w:sz w:val="18"/>
              </w:rPr>
              <w:t>Broker’s written notice of loss to Pinnacle under both policies</w:t>
            </w:r>
          </w:p>
        </w:tc>
        <w:tc>
          <w:tcPr>
            <w:tcW w:type="dxa" w:w="1872"/>
          </w:tcPr>
          <w:p>
            <w:pPr>
              <w:spacing w:after="0"/>
            </w:pPr>
            <w:r>
              <w:rPr>
                <w:sz w:val="18"/>
              </w:rPr>
            </w:r>
            <w:r>
              <w:rPr>
                <w:sz w:val="18"/>
              </w:rPr>
              <w:t>Email chain</w:t>
            </w:r>
          </w:p>
        </w:tc>
      </w:tr>
      <w:tr>
        <w:tc>
          <w:tcPr>
            <w:tcW w:type="dxa" w:w="1872"/>
          </w:tcPr>
          <w:p>
            <w:pPr>
              <w:spacing w:after="0"/>
            </w:pPr>
            <w:r>
              <w:rPr>
                <w:sz w:val="18"/>
              </w:rPr>
            </w:r>
            <w:r>
              <w:rPr>
                <w:sz w:val="18"/>
              </w:rPr>
              <w:t>Mar. 15, 2025</w:t>
            </w:r>
          </w:p>
        </w:tc>
        <w:tc>
          <w:tcPr>
            <w:tcW w:type="dxa" w:w="5616"/>
          </w:tcPr>
          <w:p>
            <w:pPr>
              <w:spacing w:after="0"/>
            </w:pPr>
            <w:r>
              <w:rPr>
                <w:sz w:val="18"/>
              </w:rPr>
            </w:r>
            <w:r>
              <w:rPr>
                <w:sz w:val="18"/>
              </w:rPr>
              <w:t>Pinnacle acknowledges notice; opens CLM-2025-07744 under both policies</w:t>
            </w:r>
          </w:p>
        </w:tc>
        <w:tc>
          <w:tcPr>
            <w:tcW w:type="dxa" w:w="1872"/>
          </w:tcPr>
          <w:p>
            <w:pPr>
              <w:spacing w:after="0"/>
            </w:pPr>
            <w:r>
              <w:rPr>
                <w:sz w:val="18"/>
              </w:rPr>
            </w:r>
            <w:r>
              <w:rPr>
                <w:sz w:val="18"/>
              </w:rPr>
              <w:t>Email chain</w:t>
            </w:r>
          </w:p>
        </w:tc>
      </w:tr>
      <w:tr>
        <w:tc>
          <w:tcPr>
            <w:tcW w:type="dxa" w:w="1872"/>
          </w:tcPr>
          <w:p>
            <w:pPr>
              <w:spacing w:after="0"/>
            </w:pPr>
            <w:r>
              <w:rPr>
                <w:sz w:val="18"/>
              </w:rPr>
            </w:r>
            <w:r>
              <w:rPr>
                <w:sz w:val="18"/>
              </w:rPr>
              <w:t>Mar. 20–24, 2025</w:t>
            </w:r>
          </w:p>
        </w:tc>
        <w:tc>
          <w:tcPr>
            <w:tcW w:type="dxa" w:w="5616"/>
          </w:tcPr>
          <w:p>
            <w:pPr>
              <w:spacing w:after="0"/>
            </w:pPr>
            <w:r>
              <w:rPr>
                <w:sz w:val="18"/>
              </w:rPr>
            </w:r>
            <w:r>
              <w:rPr>
                <w:sz w:val="18"/>
              </w:rPr>
              <w:t>Pinnacle retains Crossfield/Vector; Vector site inspection and specimen collection</w:t>
            </w:r>
          </w:p>
        </w:tc>
        <w:tc>
          <w:tcPr>
            <w:tcW w:type="dxa" w:w="1872"/>
          </w:tcPr>
          <w:p>
            <w:pPr>
              <w:spacing w:after="0"/>
            </w:pPr>
            <w:r>
              <w:rPr>
                <w:sz w:val="18"/>
              </w:rPr>
            </w:r>
            <w:r>
              <w:rPr>
                <w:sz w:val="18"/>
              </w:rPr>
              <w:t>Vector §§ 1, 3</w:t>
            </w:r>
          </w:p>
        </w:tc>
      </w:tr>
      <w:tr>
        <w:tc>
          <w:tcPr>
            <w:tcW w:type="dxa" w:w="1872"/>
          </w:tcPr>
          <w:p>
            <w:pPr>
              <w:spacing w:after="0"/>
            </w:pPr>
            <w:r>
              <w:rPr>
                <w:sz w:val="18"/>
              </w:rPr>
            </w:r>
            <w:r>
              <w:rPr>
                <w:sz w:val="18"/>
              </w:rPr>
              <w:t>Apr. 3, 2025</w:t>
            </w:r>
          </w:p>
        </w:tc>
        <w:tc>
          <w:tcPr>
            <w:tcW w:type="dxa" w:w="5616"/>
          </w:tcPr>
          <w:p>
            <w:pPr>
              <w:spacing w:after="0"/>
            </w:pPr>
            <w:r>
              <w:rPr>
                <w:sz w:val="18"/>
              </w:rPr>
            </w:r>
            <w:r>
              <w:rPr>
                <w:sz w:val="18"/>
              </w:rPr>
              <w:t>LDEQ Compliance Order (a “Claim” under PLL § II.A(3))</w:t>
            </w:r>
          </w:p>
        </w:tc>
        <w:tc>
          <w:tcPr>
            <w:tcW w:type="dxa" w:w="1872"/>
          </w:tcPr>
          <w:p>
            <w:pPr>
              <w:spacing w:after="0"/>
            </w:pPr>
            <w:r>
              <w:rPr>
                <w:sz w:val="18"/>
              </w:rPr>
            </w:r>
            <w:r>
              <w:rPr>
                <w:sz w:val="18"/>
              </w:rPr>
              <w:t>LDEQ Order</w:t>
            </w:r>
          </w:p>
        </w:tc>
      </w:tr>
      <w:tr>
        <w:tc>
          <w:tcPr>
            <w:tcW w:type="dxa" w:w="1872"/>
          </w:tcPr>
          <w:p>
            <w:pPr>
              <w:spacing w:after="0"/>
            </w:pPr>
            <w:r>
              <w:rPr>
                <w:sz w:val="18"/>
              </w:rPr>
            </w:r>
            <w:r>
              <w:rPr>
                <w:sz w:val="18"/>
              </w:rPr>
              <w:t>Apr. 10, 2025</w:t>
            </w:r>
          </w:p>
        </w:tc>
        <w:tc>
          <w:tcPr>
            <w:tcW w:type="dxa" w:w="5616"/>
          </w:tcPr>
          <w:p>
            <w:pPr>
              <w:spacing w:after="0"/>
            </w:pPr>
            <w:r>
              <w:rPr>
                <w:sz w:val="18"/>
              </w:rPr>
            </w:r>
            <w:r>
              <w:rPr>
                <w:sz w:val="18"/>
              </w:rPr>
              <w:t>Sworn proof of loss (CP) — day 27 of 90</w:t>
            </w:r>
          </w:p>
        </w:tc>
        <w:tc>
          <w:tcPr>
            <w:tcW w:type="dxa" w:w="1872"/>
          </w:tcPr>
          <w:p>
            <w:pPr>
              <w:spacing w:after="0"/>
            </w:pPr>
            <w:r>
              <w:rPr>
                <w:sz w:val="18"/>
              </w:rPr>
            </w:r>
            <w:r>
              <w:rPr>
                <w:sz w:val="18"/>
              </w:rPr>
              <w:t>Letter § III</w:t>
            </w:r>
          </w:p>
        </w:tc>
      </w:tr>
      <w:tr>
        <w:tc>
          <w:tcPr>
            <w:tcW w:type="dxa" w:w="1872"/>
          </w:tcPr>
          <w:p>
            <w:pPr>
              <w:spacing w:after="0"/>
            </w:pPr>
            <w:r>
              <w:rPr>
                <w:sz w:val="18"/>
              </w:rPr>
            </w:r>
            <w:r>
              <w:rPr>
                <w:sz w:val="18"/>
              </w:rPr>
              <w:t>Apr. 18, 2025</w:t>
            </w:r>
          </w:p>
        </w:tc>
        <w:tc>
          <w:tcPr>
            <w:tcW w:type="dxa" w:w="5616"/>
          </w:tcPr>
          <w:p>
            <w:pPr>
              <w:spacing w:after="0"/>
            </w:pPr>
            <w:r>
              <w:rPr>
                <w:sz w:val="18"/>
              </w:rPr>
            </w:r>
            <w:r>
              <w:rPr>
                <w:sz w:val="18"/>
              </w:rPr>
              <w:t>PLL claim submitted</w:t>
            </w:r>
          </w:p>
        </w:tc>
        <w:tc>
          <w:tcPr>
            <w:tcW w:type="dxa" w:w="1872"/>
          </w:tcPr>
          <w:p>
            <w:pPr>
              <w:spacing w:after="0"/>
            </w:pPr>
            <w:r>
              <w:rPr>
                <w:sz w:val="18"/>
              </w:rPr>
            </w:r>
            <w:r>
              <w:rPr>
                <w:sz w:val="18"/>
              </w:rPr>
              <w:t>Letter § III</w:t>
            </w:r>
          </w:p>
        </w:tc>
      </w:tr>
      <w:tr>
        <w:tc>
          <w:tcPr>
            <w:tcW w:type="dxa" w:w="1872"/>
          </w:tcPr>
          <w:p>
            <w:pPr>
              <w:spacing w:after="0"/>
            </w:pPr>
            <w:r>
              <w:rPr>
                <w:sz w:val="18"/>
              </w:rPr>
            </w:r>
            <w:r>
              <w:rPr>
                <w:sz w:val="18"/>
              </w:rPr>
              <w:t>Apr. 28, 2025</w:t>
            </w:r>
          </w:p>
        </w:tc>
        <w:tc>
          <w:tcPr>
            <w:tcW w:type="dxa" w:w="5616"/>
          </w:tcPr>
          <w:p>
            <w:pPr>
              <w:spacing w:after="0"/>
            </w:pPr>
            <w:r>
              <w:rPr>
                <w:sz w:val="18"/>
              </w:rPr>
            </w:r>
            <w:r>
              <w:rPr>
                <w:sz w:val="18"/>
              </w:rPr>
              <w:t>Vector preliminary report; metallurgy pending</w:t>
            </w:r>
          </w:p>
        </w:tc>
        <w:tc>
          <w:tcPr>
            <w:tcW w:type="dxa" w:w="1872"/>
          </w:tcPr>
          <w:p>
            <w:pPr>
              <w:spacing w:after="0"/>
            </w:pPr>
            <w:r>
              <w:rPr>
                <w:sz w:val="18"/>
              </w:rPr>
            </w:r>
            <w:r>
              <w:rPr>
                <w:sz w:val="18"/>
              </w:rPr>
              <w:t>Vector §§ 1, 7</w:t>
            </w:r>
          </w:p>
        </w:tc>
      </w:tr>
      <w:tr>
        <w:tc>
          <w:tcPr>
            <w:tcW w:type="dxa" w:w="1872"/>
          </w:tcPr>
          <w:p>
            <w:pPr>
              <w:spacing w:after="0"/>
            </w:pPr>
            <w:r>
              <w:rPr>
                <w:sz w:val="18"/>
              </w:rPr>
            </w:r>
            <w:r>
              <w:rPr>
                <w:sz w:val="18"/>
              </w:rPr>
              <w:t>May 2, 2025</w:t>
            </w:r>
          </w:p>
        </w:tc>
        <w:tc>
          <w:tcPr>
            <w:tcW w:type="dxa" w:w="5616"/>
          </w:tcPr>
          <w:p>
            <w:pPr>
              <w:spacing w:after="0"/>
            </w:pPr>
            <w:r>
              <w:rPr>
                <w:sz w:val="18"/>
              </w:rPr>
            </w:r>
            <w:r>
              <w:rPr>
                <w:sz w:val="18"/>
              </w:rPr>
              <w:t>Partial operations resume at 40%</w:t>
            </w:r>
          </w:p>
        </w:tc>
        <w:tc>
          <w:tcPr>
            <w:tcW w:type="dxa" w:w="1872"/>
          </w:tcPr>
          <w:p>
            <w:pPr>
              <w:spacing w:after="0"/>
            </w:pPr>
            <w:r>
              <w:rPr>
                <w:sz w:val="18"/>
              </w:rPr>
            </w:r>
            <w:r>
              <w:rPr>
                <w:sz w:val="18"/>
              </w:rPr>
              <w:t>BI workbook; Letter § II</w:t>
            </w:r>
          </w:p>
        </w:tc>
      </w:tr>
      <w:tr>
        <w:tc>
          <w:tcPr>
            <w:tcW w:type="dxa" w:w="1872"/>
          </w:tcPr>
          <w:p>
            <w:pPr>
              <w:spacing w:after="0"/>
            </w:pPr>
            <w:r>
              <w:rPr>
                <w:sz w:val="18"/>
              </w:rPr>
            </w:r>
            <w:r>
              <w:rPr>
                <w:sz w:val="18"/>
              </w:rPr>
              <w:t>May 9, 2025</w:t>
            </w:r>
          </w:p>
        </w:tc>
        <w:tc>
          <w:tcPr>
            <w:tcW w:type="dxa" w:w="5616"/>
          </w:tcPr>
          <w:p>
            <w:pPr>
              <w:spacing w:after="0"/>
            </w:pPr>
            <w:r>
              <w:rPr>
                <w:sz w:val="18"/>
              </w:rPr>
            </w:r>
            <w:r>
              <w:rPr>
                <w:sz w:val="18"/>
              </w:rPr>
              <w:t>Pinnacle denial (29 days after proof of loss)</w:t>
            </w:r>
          </w:p>
        </w:tc>
        <w:tc>
          <w:tcPr>
            <w:tcW w:type="dxa" w:w="1872"/>
          </w:tcPr>
          <w:p>
            <w:pPr>
              <w:spacing w:after="0"/>
            </w:pPr>
            <w:r>
              <w:rPr>
                <w:sz w:val="18"/>
              </w:rPr>
            </w:r>
            <w:r>
              <w:rPr>
                <w:sz w:val="18"/>
              </w:rPr>
              <w:t>Letter</w:t>
            </w:r>
          </w:p>
        </w:tc>
      </w:tr>
      <w:tr>
        <w:tc>
          <w:tcPr>
            <w:tcW w:type="dxa" w:w="1872"/>
          </w:tcPr>
          <w:p>
            <w:pPr>
              <w:spacing w:after="0"/>
            </w:pPr>
            <w:r>
              <w:rPr>
                <w:sz w:val="18"/>
              </w:rPr>
            </w:r>
            <w:r>
              <w:rPr>
                <w:sz w:val="18"/>
              </w:rPr>
              <w:t>~May 18, 2025</w:t>
            </w:r>
          </w:p>
        </w:tc>
        <w:tc>
          <w:tcPr>
            <w:tcW w:type="dxa" w:w="5616"/>
          </w:tcPr>
          <w:p>
            <w:pPr>
              <w:spacing w:after="0"/>
            </w:pPr>
            <w:r>
              <w:rPr>
                <w:sz w:val="18"/>
              </w:rPr>
            </w:r>
            <w:r>
              <w:rPr>
                <w:sz w:val="18"/>
              </w:rPr>
              <w:t>LDEQ financial-assurance deadline (45 days)</w:t>
            </w:r>
          </w:p>
        </w:tc>
        <w:tc>
          <w:tcPr>
            <w:tcW w:type="dxa" w:w="1872"/>
          </w:tcPr>
          <w:p>
            <w:pPr>
              <w:spacing w:after="0"/>
            </w:pPr>
            <w:r>
              <w:rPr>
                <w:sz w:val="18"/>
              </w:rPr>
            </w:r>
            <w:r>
              <w:rPr>
                <w:sz w:val="18"/>
              </w:rPr>
              <w:t>LDEQ ¶ V.7</w:t>
            </w:r>
          </w:p>
        </w:tc>
      </w:tr>
      <w:tr>
        <w:tc>
          <w:tcPr>
            <w:tcW w:type="dxa" w:w="1872"/>
          </w:tcPr>
          <w:p>
            <w:pPr>
              <w:spacing w:after="0"/>
            </w:pPr>
            <w:r>
              <w:rPr>
                <w:sz w:val="18"/>
              </w:rPr>
            </w:r>
            <w:r>
              <w:rPr>
                <w:sz w:val="18"/>
              </w:rPr>
              <w:t>Aug. 15, 2025</w:t>
            </w:r>
          </w:p>
        </w:tc>
        <w:tc>
          <w:tcPr>
            <w:tcW w:type="dxa" w:w="5616"/>
          </w:tcPr>
          <w:p>
            <w:pPr>
              <w:spacing w:after="0"/>
            </w:pPr>
            <w:r>
              <w:rPr>
                <w:sz w:val="18"/>
              </w:rPr>
            </w:r>
            <w:r>
              <w:rPr>
                <w:sz w:val="18"/>
              </w:rPr>
              <w:t>Projected full restoration (BI period end)</w:t>
            </w:r>
          </w:p>
        </w:tc>
        <w:tc>
          <w:tcPr>
            <w:tcW w:type="dxa" w:w="1872"/>
          </w:tcPr>
          <w:p>
            <w:pPr>
              <w:spacing w:after="0"/>
            </w:pPr>
            <w:r>
              <w:rPr>
                <w:sz w:val="18"/>
              </w:rPr>
            </w:r>
            <w:r>
              <w:rPr>
                <w:sz w:val="18"/>
              </w:rPr>
              <w:t>BI Summary</w:t>
            </w:r>
          </w:p>
        </w:tc>
      </w:tr>
      <w:tr>
        <w:tc>
          <w:tcPr>
            <w:tcW w:type="dxa" w:w="1872"/>
          </w:tcPr>
          <w:p>
            <w:pPr>
              <w:spacing w:after="0"/>
            </w:pPr>
            <w:r>
              <w:rPr>
                <w:sz w:val="18"/>
              </w:rPr>
            </w:r>
            <w:r>
              <w:rPr>
                <w:sz w:val="18"/>
              </w:rPr>
              <w:t>Oct. 3, 2026</w:t>
            </w:r>
          </w:p>
        </w:tc>
        <w:tc>
          <w:tcPr>
            <w:tcW w:type="dxa" w:w="5616"/>
          </w:tcPr>
          <w:p>
            <w:pPr>
              <w:spacing w:after="0"/>
            </w:pPr>
            <w:r>
              <w:rPr>
                <w:sz w:val="18"/>
              </w:rPr>
            </w:r>
            <w:r>
              <w:rPr>
                <w:sz w:val="18"/>
              </w:rPr>
              <w:t>LDEQ remediation completion deadline (passed — status unknown)</w:t>
            </w:r>
          </w:p>
        </w:tc>
        <w:tc>
          <w:tcPr>
            <w:tcW w:type="dxa" w:w="1872"/>
          </w:tcPr>
          <w:p>
            <w:pPr>
              <w:spacing w:after="0"/>
            </w:pPr>
            <w:r>
              <w:rPr>
                <w:sz w:val="18"/>
              </w:rPr>
            </w:r>
            <w:r>
              <w:rPr>
                <w:sz w:val="18"/>
              </w:rPr>
              <w:t>LDEQ ¶ V.5</w:t>
            </w:r>
          </w:p>
        </w:tc>
      </w:tr>
      <w:tr>
        <w:tc>
          <w:tcPr>
            <w:tcW w:type="dxa" w:w="1872"/>
          </w:tcPr>
          <w:p>
            <w:pPr>
              <w:spacing w:after="0"/>
            </w:pPr>
            <w:r>
              <w:rPr>
                <w:sz w:val="18"/>
              </w:rPr>
            </w:r>
            <w:r>
              <w:rPr>
                <w:sz w:val="18"/>
              </w:rPr>
              <w:t>Mar. 14, 2027 (Sun.)</w:t>
            </w:r>
          </w:p>
        </w:tc>
        <w:tc>
          <w:tcPr>
            <w:tcW w:type="dxa" w:w="5616"/>
          </w:tcPr>
          <w:p>
            <w:pPr>
              <w:spacing w:after="0"/>
            </w:pPr>
            <w:r>
              <w:rPr>
                <w:sz w:val="18"/>
              </w:rPr>
            </w:r>
            <w:r>
              <w:rPr>
                <w:sz w:val="18"/>
              </w:rPr>
              <w:t>Two-year CP suit-limitation date (§ V.E)</w:t>
            </w:r>
          </w:p>
        </w:tc>
        <w:tc>
          <w:tcPr>
            <w:tcW w:type="dxa" w:w="1872"/>
          </w:tcPr>
          <w:p>
            <w:pPr>
              <w:spacing w:after="0"/>
            </w:pPr>
            <w:r>
              <w:rPr>
                <w:sz w:val="18"/>
              </w:rPr>
            </w:r>
            <w:r>
              <w:rPr>
                <w:sz w:val="18"/>
              </w:rPr>
              <w:t>CP Policy § V.E</w:t>
            </w:r>
          </w:p>
        </w:tc>
      </w:tr>
    </w:tbl>
    <w:p>
      <w:pPr>
        <w:spacing w:after="40"/>
      </w:pPr>
    </w:p>
    <w:p>
      <w:pPr>
        <w:pStyle w:val="Heading1"/>
      </w:pPr>
      <w:r>
        <w:t>IV. Policy Framework and Interpretive Principles</w:t>
      </w:r>
    </w:p>
    <w:p>
      <w:pPr>
        <w:pStyle w:val="Heading2"/>
      </w:pPr>
      <w:r>
        <w:t>A. CP Policy</w:t>
      </w:r>
    </w:p>
    <w:p>
      <w:pPr>
        <w:jc w:val="both"/>
      </w:pPr>
      <w:r>
        <w:t>The CP Policy is written on an “all risks” basis: “all risks of direct physical loss of or damage to Covered Property are covered unless specifically excluded,” and “[t]he burden of proving that a loss falls within the scope of an exclusion or limitation shall rest with the Insurer” (§ I). Each tank, pipe rack, electrical system, building, and item of equipment “constitutes a separate item of Covered Property,” and coverage “applies independently to each” (§ II.C). Key terms: Property Damage limit $50,000,000 per Occurrence; deductible $250,000 per Occurrence (PD only); BI limit $15,000,000 per Occurrence (separate); 72-hour BI waiting period in lieu of deductible (§§ III.A–B, VI.D–E). The Ensuing Loss Provision (final paragraph of § IV) provides that “[n]otwithstanding the foregoing exclusions,” if an excluded cause “results in a Covered Cause of Loss, this Policy covers the loss or damage caused by that Covered Cause of Loss,” expressly including “fire, explosion,” “regardless of the sequence of events or the number of intervening causes,” provided the covered cause is “a natural and reasonably foreseeable consequence of the excluded cause of loss.” BI coverage follows covered PD “including by operation of the Ensuing Loss Provision” (§§ VI.A, VI.G).</w:t>
      </w:r>
    </w:p>
    <w:p>
      <w:pPr>
        <w:pStyle w:val="Heading2"/>
      </w:pPr>
      <w:r>
        <w:t>B. PLL Policy</w:t>
      </w:r>
    </w:p>
    <w:p>
      <w:pPr>
        <w:jc w:val="both"/>
      </w:pPr>
      <w:r>
        <w:t>The PLL Policy is claims-made-and-reported. Pinnacle must pay Remediation Costs and Claim Expenses the Insured becomes legally obligated to pay as a result of a Claim first made and reported during the Policy Period arising from a Pollution Condition at a Covered Location that commenced on or after the January 1, 2017 Retroactive Date (§ I.A). A “Claim” includes a governmental “compliance order” (§ II.A(3)). Pinnacle has “the right and duty to defend” any Claim “even if any of the allegations … are groundless” (§ I.B). Limits are $10,000,000 per Claim and aggregate, eroded by defense costs, subject to a $150,000 SIR (Declarations; § VI).</w:t>
      </w:r>
    </w:p>
    <w:p>
      <w:pPr>
        <w:pStyle w:val="Heading2"/>
      </w:pPr>
      <w:r>
        <w:t>C. Interpretive Principles (Louisiana)</w:t>
      </w:r>
    </w:p>
    <w:p>
      <w:pPr>
        <w:pStyle w:val="ListBullet"/>
        <w:spacing w:after="60"/>
      </w:pPr>
      <w:r>
        <w:t>Insurance policies are construed under the Civil Code’s general rules of contract interpretation (La. C.C. arts. 2045–2057). Words are given their generally prevailing meaning; each provision is interpreted in light of the others so that each is given meaning (art. 2050); and doubtful provisions are construed against the party who furnished the text — here Pinnacle (art. 2056).</w:t>
      </w:r>
    </w:p>
    <w:p>
      <w:pPr>
        <w:pStyle w:val="ListBullet"/>
        <w:spacing w:after="60"/>
      </w:pPr>
      <w:r>
        <w:t>The insurer bears the burden of proving an exclusion applies, and exclusions are strictly construed against the insurer. The CP Policy contractually allocates this burden to Pinnacle (§ I). The insured bears the burden on exceptions to exclusions where the policy so provides (CP § IV.J places the Sudden and Accidental burden on Greenfield).</w:t>
      </w:r>
    </w:p>
    <w:p>
      <w:pPr>
        <w:pStyle w:val="ListBullet"/>
        <w:spacing w:after="60"/>
      </w:pPr>
      <w:r>
        <w:t xml:space="preserve">The Louisiana Supreme Court has held that a pollution exclusion is to be applied in light of its purpose of excluding coverage for environmental pollution, considering whether the insured is a “polluter,” whether the substance is a “pollutant,” and whether there was a “discharge, dispersal, seepage, migration, release or escape.” </w:t>
      </w:r>
      <w:r>
        <w:rPr>
          <w:i/>
        </w:rPr>
        <w:t>Doerr v. Mobil Oil Corp.</w:t>
      </w:r>
      <w:r>
        <w:t>, 2000-0947 (La. 12/19/00), 774 So. 2d 119. [Cite-check required.]</w:t>
      </w:r>
    </w:p>
    <w:p>
      <w:pPr>
        <w:pStyle w:val="Heading1"/>
      </w:pPr>
      <w:r>
        <w:t>V. Analysis — CP Policy Denial Grounds</w:t>
      </w:r>
    </w:p>
    <w:p>
      <w:pPr>
        <w:pStyle w:val="Heading2"/>
      </w:pPr>
      <w:r>
        <w:t>A. Pollution Exclusion, § IV.J (Letter § IV.A)</w:t>
      </w:r>
    </w:p>
    <w:p>
      <w:pPr>
        <w:jc w:val="both"/>
      </w:pPr>
      <w:r>
        <w:rPr>
          <w:b/>
        </w:rPr>
        <w:t>Pinnacle’s position.</w:t>
      </w:r>
      <w:r>
        <w:t xml:space="preserve"> The release of MDEA “initiated the chain of events that caused all of the claimed property damage”; “[b]ut for the discharge of pollutants, no loss would have occurred”; therefore the entire $18.7 million PD claim (and, derivatively, BI) is excluded.</w:t>
      </w:r>
    </w:p>
    <w:p>
      <w:pPr>
        <w:jc w:val="both"/>
      </w:pPr>
      <w:r>
        <w:rPr>
          <w:b/>
        </w:rPr>
        <w:t>1. The “but-for” theory is foreclosed by the Ensuing Loss Provision, which the Letter never mentions.</w:t>
      </w:r>
      <w:r>
        <w:t xml:space="preserve"> The Ensuing Loss Provision applies “[n]otwithstanding the foregoing exclusions set forth in this Section IV,” expressly including § IV.J, and provides that where an excluded cause “results in a fire, explosion, or other Covered Cause of Loss, the direct physical loss or damage caused by such fire, explosion, or other Covered Cause of Loss is covered … regardless of the sequence of events or the number of intervening causes.” Its stated purpose is “to ensure that the Named Insured is not deprived of coverage for otherwise-covered perils merely because such perils were set in motion by an excluded cause of loss.” That is exactly the scenario here. Fire is not excluded anywhere in the excerpts; indeed, §§ IV.F and IV.H confirm that ensuing fire is a covered peril. Pinnacle’s own engineer found that fire was “the principal cause of damage to Tank 6, the pipe rack, the electrical conduit systems, and the processing building” (Vector § 5). The Letter’s statement that the Pollution Exclusion “encompasses not only the direct consequences of the chemical release but also all subsequent damage that flows from” it is irreconcilable with the policy text.</w:t>
      </w:r>
    </w:p>
    <w:p>
      <w:pPr>
        <w:jc w:val="both"/>
      </w:pPr>
      <w:r>
        <w:rPr>
          <w:b/>
        </w:rPr>
        <w:t>2. Anticipated counter-arguments.</w:t>
      </w:r>
      <w:r>
        <w:t xml:space="preserve"> Pinnacle may invoke (a) the § IV preamble (“excluded regardless of any other cause or event that contributes concurrently or in any sequence”) and (b) the Ensuing Loss proviso that the covered cause be “a natural and reasonably foreseeable consequence” of the excluded cause. As to (a), the Ensuing Loss Provision is specific, later in the text, and expressly operates “[n]otwithstanding the foregoing exclusions” and “regardless of the sequence of events”; reading the preamble to swallow it would render the Ensuing Loss Provision meaningless (La. C.C. art. 2050), and any conflict is an ambiguity construed for coverage (art. 2056). As to (b), Pinnacle is poorly positioned to argue the fire was unforeseeable: its Letter characterizes the entire sequence as causally linked and the failure as “inevitable and foreseeable,” and the release of a combustible amine near an energized junction box igniting is the paradigm of a natural consequence.</w:t>
      </w:r>
    </w:p>
    <w:p>
      <w:pPr>
        <w:jc w:val="both"/>
      </w:pPr>
      <w:r>
        <w:rPr>
          <w:b/>
        </w:rPr>
        <w:t>3. Pinnacle’s inconsistent “pollutant” positions.</w:t>
      </w:r>
      <w:r>
        <w:t xml:space="preserve"> In § IV.A the Letter calls MDEA “a chemical pollutant” and MEA “also a chemical pollutant”; in § V.C it declares that MDEA and MEA “are routine process chemicals, not toxic or hazardous substances” and therefore not Pollutants. The CP definition (§ II.K) is broader than the PLL definition (it applies “without regard to the quantity, concentration, or toxicity”), so Greenfield need not dispute that MDEA/MEA are CP “Pollutants.” But the contradiction is powerful evidence that Pinnacle was assembling grounds for denial rather than adjusting the claim, and it supports the extra-contractual claims discussed in Part VIII. (The Letter also paraphrases § II.K inaccurately, inserting “including chemicals and chemical compounds used in industrial processes,” language that does not appear in the definition.)</w:t>
      </w:r>
    </w:p>
    <w:p>
      <w:pPr>
        <w:jc w:val="both"/>
      </w:pPr>
      <w:r>
        <w:rPr>
          <w:b/>
        </w:rPr>
        <w:t>4. Louisiana law.</w:t>
      </w:r>
      <w:r>
        <w:t xml:space="preserve"> Under </w:t>
      </w:r>
      <w:r>
        <w:rPr>
          <w:i/>
        </w:rPr>
        <w:t>Doerr</w:t>
      </w:r>
      <w:r>
        <w:t xml:space="preserve">, the pollution exclusion is construed in light of its purpose of addressing environmental pollution. Greenfield is a chemical manufacturer and the release did cause environmental contamination, so we would not rely principally on </w:t>
      </w:r>
      <w:r>
        <w:rPr>
          <w:i/>
        </w:rPr>
        <w:t>Doerr</w:t>
      </w:r>
      <w:r>
        <w:t xml:space="preserve"> for the release itself; but it reinforces that fire damage to Greenfield’s own buildings and equipment is not the “pollution” harm the exclusion targets.</w:t>
      </w:r>
    </w:p>
    <w:p>
      <w:pPr>
        <w:jc w:val="both"/>
      </w:pPr>
      <w:r>
        <w:rPr>
          <w:b/>
        </w:rPr>
        <w:t>5. What remains potentially excluded.</w:t>
      </w:r>
      <w:r>
        <w:t xml:space="preserve"> If the Sudden and Accidental exception were held inapplicable (Part V.B), § IV.J could reach (i) damage caused by direct contact with released MDEA — per Vector, the containment berm area, the soil (likely not Covered Property in any event), and JB-14 — and (ii) cleanup/response costs under § IV.J(2), which belong under the PLL Policy. The Acadian estimate should be segregated so that these items are identified and do not taint the balance of the claim.</w:t>
      </w:r>
    </w:p>
    <w:p>
      <w:pPr>
        <w:jc w:val="both"/>
      </w:pPr>
      <w:r>
        <w:rPr>
          <w:b/>
        </w:rPr>
        <w:t>Assessment:</w:t>
      </w:r>
      <w:r>
        <w:t xml:space="preserve"> Weak as a basis for denying the PD claim; at most a narrow carve-out.</w:t>
      </w:r>
    </w:p>
    <w:p>
      <w:pPr>
        <w:pStyle w:val="Heading2"/>
      </w:pPr>
      <w:r>
        <w:t>B. Sudden and Accidental Exception, § II.L (Letter § IV.B)</w:t>
      </w:r>
    </w:p>
    <w:p>
      <w:pPr>
        <w:jc w:val="both"/>
      </w:pPr>
      <w:r>
        <w:rPr>
          <w:b/>
        </w:rPr>
        <w:t>The Letter misquotes the definition.</w:t>
      </w:r>
      <w:r>
        <w:t xml:space="preserve"> It quotes § II.L as “an event that begins abruptly and is not the result of gradual deterioration, wear, or a pre-existing condition known to the insured.” The actual definition requires that the event “begin[ ] abruptly </w:t>
      </w:r>
      <w:r>
        <w:rPr>
          <w:b/>
        </w:rPr>
        <w:t>and without advance warning</w:t>
      </w:r>
      <w:r>
        <w:t>,” and then adds two clarifying sentences the Letter omits entirely:</w:t>
      </w:r>
    </w:p>
    <w:p>
      <w:pPr>
        <w:ind w:left="720" w:right="720"/>
      </w:pPr>
      <w:r>
        <w:rPr>
          <w:sz w:val="21"/>
        </w:rPr>
        <w:t>“The term ‘event’ as used in this definition refers to the occurrence giving rise to the loss or damage, not to the underlying or contributing cause of such occurrence. The term ‘known to the Insured’ means actually known to the Named Insured’s management responsible for maintenance and operation of the Covered Property at the relevant Covered Location, and does not include constructive knowledge or information that should have been known through the exercise of reasonable diligence.” (CP § II.L.)</w:t>
      </w:r>
    </w:p>
    <w:p>
      <w:pPr>
        <w:jc w:val="both"/>
      </w:pPr>
      <w:r>
        <w:rPr>
          <w:b/>
        </w:rPr>
        <w:t>Prong 1 — abrupt and without advance warning.</w:t>
      </w:r>
      <w:r>
        <w:t xml:space="preserve"> Satisfied by Pinnacle’s own expert: the failure “was abrupt and occurred without prior warning,” with no alarms, no weeping, seepage or bulging, and “a single loud percussive event” (Vector § 4.1; Concl. 4); “[t]he failure event itself — the through-wall fracture and structural rupture — was abrupt, sudden, and instantaneous” (Vector § 4.2). LDEQ independently found a “sudden and complete rupture” (LDEQ ¶ III.1). The Letter’s concession that “the physical manifestation of the tank failure occurred rapidly” confirms the point.</w:t>
      </w:r>
    </w:p>
    <w:p>
      <w:pPr>
        <w:jc w:val="both"/>
      </w:pPr>
      <w:r>
        <w:rPr>
          <w:b/>
        </w:rPr>
        <w:t>Prong 2 — “pre-existing condition known to the Insured.”</w:t>
      </w:r>
      <w:r>
        <w:t xml:space="preserve"> The Letter’s argument fails on the policy’s own definition. Only </w:t>
      </w:r>
      <w:r>
        <w:rPr>
          <w:b/>
        </w:rPr>
        <w:t>actual</w:t>
      </w:r>
      <w:r>
        <w:t xml:space="preserve"> knowledge by responsible management counts; constructive knowledge and what “should have been known through the exercise of reasonable diligence” are expressly excluded. The only condition Greenfield knew of was the external surface corrosion noted in June 2023 — which Vector found to be “a separate and distinct condition” that is “not related as a matter of engineering analysis” to the internal weld-seam corrosion that caused the failure (Vector § 4.3; Concl. 6), and which Greenfield remediated by August 3, 2023. The internal corrosion was undetectable by external methods and no one knew of it. The Letter’s premise that Greenfield “did not take adequate steps to investigate” is precisely the “should have known” theory the definition forbids.</w:t>
      </w:r>
    </w:p>
    <w:p>
      <w:pPr>
        <w:jc w:val="both"/>
      </w:pPr>
      <w:r>
        <w:rPr>
          <w:b/>
        </w:rPr>
        <w:t>Prong 2 — “result of gradual deterioration.”</w:t>
      </w:r>
      <w:r>
        <w:t xml:space="preserve"> This is Pinnacle’s best argument and Greenfield’s principal risk under the CP Policy. Vector does say the corrosion developed over approximately 3–5 years. Greenfield has three substantial responses:</w:t>
      </w:r>
    </w:p>
    <w:p>
      <w:pPr>
        <w:tabs>
          <w:tab w:pos="576" w:val="left"/>
        </w:tabs>
        <w:spacing w:after="80"/>
        <w:ind w:left="576" w:hanging="432"/>
      </w:pPr>
      <w:r>
        <w:t>1.</w:t>
        <w:tab/>
      </w:r>
      <w:r>
        <w:rPr>
          <w:b/>
        </w:rPr>
        <w:t>The “event” clarification.</w:t>
      </w:r>
      <w:r>
        <w:t xml:space="preserve"> The definition instructs that “event” means “the occurrence giving rise to the loss or damage, not … the underlying or contributing cause of such occurrence.” The event is the rupture and release, which was instantaneous. The corrosion is the “underlying … cause” the definition directs the reader to disregard. Reading prong 2 to look through the event to its underlying cause would nullify the clarifying sentence (La. C.C. art. 2050). On this reading, “not the result of gradual deterioration” addresses releases that are themselves gradual — seepage, slow leaks, weeping — which is consistent with the exclusion’s own contrast between releases that are “sudden or gradual.”</w:t>
      </w:r>
    </w:p>
    <w:p>
      <w:pPr>
        <w:tabs>
          <w:tab w:pos="576" w:val="left"/>
        </w:tabs>
        <w:spacing w:after="80"/>
        <w:ind w:left="576" w:hanging="432"/>
      </w:pPr>
      <w:r>
        <w:t>2.</w:t>
        <w:tab/>
      </w:r>
      <w:r>
        <w:rPr>
          <w:b/>
        </w:rPr>
        <w:t>Series qualifier.</w:t>
      </w:r>
      <w:r>
        <w:t xml:space="preserve"> “[K]nown to the Insured” can reasonably be read to modify each item in the series “gradual deterioration, wear, or a pre-existing condition.” Under that reading, unknown latent deterioration does not defeat the exception. At a minimum this is a reasonable alternative construction, and ambiguity is resolved against the drafter (La. C.C. art. 2056).</w:t>
      </w:r>
    </w:p>
    <w:p>
      <w:pPr>
        <w:tabs>
          <w:tab w:pos="576" w:val="left"/>
        </w:tabs>
        <w:spacing w:after="80"/>
        <w:ind w:left="576" w:hanging="432"/>
      </w:pPr>
      <w:r>
        <w:t>3.</w:t>
        <w:tab/>
      </w:r>
      <w:r>
        <w:rPr>
          <w:b/>
        </w:rPr>
        <w:t>Prematurity.</w:t>
      </w:r>
      <w:r>
        <w:t xml:space="preserve"> The 3–5 year estimate is preliminary and subject to metallurgical analysis (Vector §§ 4.2, 7). Pinnacle denied before the evidence it relied upon was final.</w:t>
      </w:r>
    </w:p>
    <w:p>
      <w:pPr>
        <w:jc w:val="both"/>
      </w:pPr>
      <w:r>
        <w:rPr>
          <w:b/>
        </w:rPr>
        <w:t>Consequence.</w:t>
      </w:r>
      <w:r>
        <w:t xml:space="preserve"> Even if Pinnacle prevailed on this prong, the exception matters only for damage caused directly by the released MDEA. Fire damage is restored by the Ensuing Loss Provision regardless of whether the Sudden and Accidental exception applies. Because Greenfield bears the burden on the exception (§ IV.J), the Vector report and on-site witness testimony should be preserved and developed.</w:t>
      </w:r>
    </w:p>
    <w:p>
      <w:pPr>
        <w:jc w:val="both"/>
      </w:pPr>
      <w:r>
        <w:rPr>
          <w:b/>
        </w:rPr>
        <w:t>Assessment:</w:t>
      </w:r>
      <w:r>
        <w:t xml:space="preserve"> Pinnacle’s known-condition argument is without basis; the gradual-deterioration argument presents moderate risk confined to direct-contact damage.</w:t>
      </w:r>
    </w:p>
    <w:p>
      <w:pPr>
        <w:pStyle w:val="Heading2"/>
      </w:pPr>
      <w:r>
        <w:t>C. Wear and Tear / Corrosion Exclusion, § IV.D (Letter § IV.C)</w:t>
      </w:r>
    </w:p>
    <w:p>
      <w:pPr>
        <w:jc w:val="both"/>
      </w:pPr>
      <w:r>
        <w:rPr>
          <w:b/>
        </w:rPr>
        <w:t>The Letter does not quote the exclusion as written.</w:t>
      </w:r>
      <w:r>
        <w:t xml:space="preserve"> It presents § IV.D as a single sentence (“This Policy does not insure against loss or damage caused by or resulting from wear and tear, rust, corrosion …”) and then argues that the “caused by or resulting from” language “extends the exclusion to all consequential losses … not merely to the corroded component itself.” The actual § IV.D contains an operative limitation the Letter omits:</w:t>
      </w:r>
    </w:p>
    <w:p>
      <w:pPr>
        <w:ind w:left="720" w:right="720"/>
      </w:pPr>
      <w:r>
        <w:rPr>
          <w:sz w:val="21"/>
        </w:rPr>
        <w:t>“This exclusion applies to the Covered Property that has experienced the wear and tear, rust, corrosion, deterioration, hidden defect, latent defect, or self-destructive quality. The Insurer shall not be liable under this Policy for the cost of repairing or replacing the specific item of Covered Property that has itself experienced any of the conditions …. However, this exclusion shall not be construed to exclude loss of or damage to other items of Covered Property that is caused by an event resulting from any of the conditions described above ….” (CP § IV.D.)</w:t>
      </w:r>
    </w:p>
    <w:p>
      <w:pPr>
        <w:jc w:val="both"/>
      </w:pPr>
      <w:r>
        <w:t>The Letter’s conclusion — that damage “to adjacent structures and systems, while not themselves corroded, is nonetheless damage ‘resulting from’ corrosion” — is the precise construction the policy says the exclusion “shall not be construed” to bear. Coupled with § II.C (each tank, pipe rack, electrical system and building is “a separate item of Covered Property”) and the Ensuing Loss Provision, § IV.D excludes only the cost to repair or replace Tank 7.</w:t>
      </w:r>
    </w:p>
    <w:p>
      <w:pPr>
        <w:jc w:val="both"/>
      </w:pPr>
      <w:r>
        <w:rPr>
          <w:b/>
        </w:rPr>
        <w:t>Concession and open item.</w:t>
      </w:r>
      <w:r>
        <w:t xml:space="preserve"> Absent other coverage, Greenfield should expect the Tank 7 repair/replacement cost to be excluded. The Equipment Breakdown Enhancement Endorsement (PNN-CP-END-006) may provide coverage for sudden breakdown of tanks or vessels notwithstanding § IV.D; the full endorsement must be obtained. The Acadian estimate should isolate the Tank 7 line items. Lost MDEA inventory is a separate item of Covered Property (stock) that did not itself corrode; its loss by release implicates § IV.J and the Sudden and Accidental exception rather than § IV.D.</w:t>
      </w:r>
    </w:p>
    <w:p>
      <w:pPr>
        <w:jc w:val="both"/>
      </w:pPr>
      <w:r>
        <w:rPr>
          <w:b/>
        </w:rPr>
        <w:t>Assessment:</w:t>
      </w:r>
      <w:r>
        <w:t xml:space="preserve"> Strong only as to Tank 7 itself; no basis as to all other property.</w:t>
      </w:r>
    </w:p>
    <w:p>
      <w:pPr>
        <w:pStyle w:val="Heading2"/>
      </w:pPr>
      <w:r>
        <w:t>D. Faulty Maintenance Exclusion, § IV.E (Letter § IV.D)</w:t>
      </w:r>
    </w:p>
    <w:p>
      <w:pPr>
        <w:jc w:val="both"/>
      </w:pPr>
      <w:r>
        <w:rPr>
          <w:b/>
        </w:rPr>
        <w:t>The Letter quotes only the first clause.</w:t>
      </w:r>
      <w:r>
        <w:t xml:space="preserve"> The full exclusion defines “faulty or inadequate maintenance” as “the failure to perform maintenance activities that are customary and usual for the type of property involved, in accordance with applicable industry standards and the manufacturer’s recommendations,” judged by “the maintenance practices prevailing at the time,” and provides that it “does not apply if the Named Insured demonstrates that it maintained the Covered Property in accordance with applicable industry standards … and the loss or damage was not proximately caused by a failure of maintenance.” The Letter applies none of these standards.</w:t>
      </w:r>
    </w:p>
    <w:p>
      <w:pPr>
        <w:jc w:val="both"/>
      </w:pPr>
      <w:r>
        <w:rPr>
          <w:b/>
        </w:rPr>
        <w:t>The record satisfies the safe harbor, and Pinnacle’s own expert says so.</w:t>
      </w:r>
    </w:p>
    <w:p>
      <w:pPr>
        <w:pStyle w:val="ListBullet"/>
        <w:spacing w:after="60"/>
      </w:pPr>
      <w:r>
        <w:t>API 653 is “the recognized industry standard” for above-ground storage tank integrity (Vector § 4.4). Greenfield’s program was “structured in accordance with API 653”; external inspections were “at regular intervals consistent with API 653 requirements” (24-month cycle: 2021, 2023, next June 2025); and the internal inspection interval (2019 → ~2029) was calculated from measured corrosion rates (CTIS 2023 § 1; CMMS § 1).</w:t>
      </w:r>
    </w:p>
    <w:p>
      <w:pPr>
        <w:pStyle w:val="ListBullet"/>
        <w:spacing w:after="60"/>
      </w:pPr>
      <w:r>
        <w:t>API 653 does not require an internal inspection based on minor external surface corrosion; such a finding “is a maintenance condition to be addressed through protective coating repair and monitoring, which is the action that Greenfield undertook” (Vector § 4.4). CTIS itself made “[n]o recommendation … for internal inspection” and found no condition “that would require advancement of the next scheduled internal inspection” (CTIS 2023 § 6).</w:t>
      </w:r>
    </w:p>
    <w:p>
      <w:pPr>
        <w:pStyle w:val="ListBullet"/>
        <w:spacing w:after="60"/>
      </w:pPr>
      <w:r>
        <w:t>Greenfield completed the recommended recoat on August 3, 2023, within the 90-day window, conducted monthly operator rounds, and performed annual CP surveys (CMMS 2.4–2.11).</w:t>
      </w:r>
    </w:p>
    <w:p>
      <w:pPr>
        <w:pStyle w:val="ListBullet"/>
        <w:spacing w:after="60"/>
      </w:pPr>
      <w:r>
        <w:t>Vector “did not identify any specific deficiency in Greenfield’s inspection or maintenance practices that would constitute a departure from recognized industry standards” (Concl. 8).</w:t>
      </w:r>
    </w:p>
    <w:p>
      <w:pPr>
        <w:pStyle w:val="ListBullet"/>
        <w:spacing w:after="60"/>
      </w:pPr>
      <w:r>
        <w:t>Proximate cause is also absent: the internal corrosion “was not visible or detectable through routine external inspection methods” (Concl. 5), and no internal inspection was due.</w:t>
      </w:r>
    </w:p>
    <w:p>
      <w:pPr>
        <w:jc w:val="both"/>
      </w:pPr>
      <w:r>
        <w:rPr>
          <w:b/>
        </w:rPr>
        <w:t>The Letter’s factual premises are wrong.</w:t>
      </w:r>
      <w:r>
        <w:t xml:space="preserve"> It states that Greenfield “did not take adequate steps to investigate or remediate” (it recoated within 60 days of the report); that the 2023 report identified corrosion at “the precise location where the catastrophic failure occurred” (Vector: different surface, mechanism, and severity); that a two-year interval to the next external inspection was a failure (it was the API 653 cycle CTIS recommended); and, in its fact summary, that the corrosion was “exacerbated by inadequate cathodic protection” (Vector makes no such finding; all CP readings were within NACE SP0169 criteria; and CP protects only the external soil-side tank bottom, not the internal shell-to-annular weld — CTIS 2023 § 4.7). Inferring inadequate maintenance from the severity of the corrosion alone is a res ipsa argument the exclusion’s definition does not permit.</w:t>
      </w:r>
    </w:p>
    <w:p>
      <w:pPr>
        <w:jc w:val="both"/>
      </w:pPr>
      <w:r>
        <w:rPr>
          <w:b/>
        </w:rPr>
        <w:t>Risks to manage.</w:t>
      </w:r>
      <w:r>
        <w:t xml:space="preserve"> Pinnacle may retain a different expert to argue that, because MIC and amine SCC are “well-documented degradation mechanisms in carbon steel equipment exposed to amine solutions” (Vector § 4.2), a prudent operator in amine service would have used a shorter, risk-based internal inspection interval; that the 2019 internal inspection data did not justify a 10-year interval; or that the October 2024 SE-quadrant CP reading at −0.85 V signaled a corrosion problem. Greenfield should obtain the full 2019 internal inspection report (CTIS-2019-0314-GF07) and retain an independent API 653/metallurgy expert now. Even if the exclusion applied, it is subject to the Ensuing Loss Provision and would not reach fire damage.</w:t>
      </w:r>
    </w:p>
    <w:p>
      <w:pPr>
        <w:jc w:val="both"/>
      </w:pPr>
      <w:r>
        <w:rPr>
          <w:b/>
        </w:rPr>
        <w:t>Assessment:</w:t>
      </w:r>
      <w:r>
        <w:t xml:space="preserve"> Weak.</w:t>
      </w:r>
    </w:p>
    <w:p>
      <w:pPr>
        <w:pStyle w:val="Heading2"/>
      </w:pPr>
      <w:r>
        <w:t>E. Late Notice (Letter § IV.E)</w:t>
      </w:r>
    </w:p>
    <w:p>
      <w:pPr>
        <w:jc w:val="both"/>
      </w:pPr>
      <w:r>
        <w:rPr>
          <w:b/>
        </w:rPr>
        <w:t>The Letter conflates notice with proof of loss.</w:t>
      </w:r>
      <w:r>
        <w:t xml:space="preserve"> It quotes the 60-day notice requirement but then measures compliance by the date of the “formal proof of loss” (April 10, 2025, day 27). The CP Policy treats these as “separate and distinct requirements with separate deadlines” (§ V.A): notice “as soon as practicable, but in no event later than sixty (60) days,” which “may be given by telephone, electronic mail, or in writing” (§ V.A(a)); and a sworn proof of loss “within ninety (90) days after the date of loss” (§ V.A(d)).</w:t>
      </w:r>
    </w:p>
    <w:p>
      <w:pPr>
        <w:pStyle w:val="ListBullet"/>
        <w:spacing w:after="60"/>
      </w:pPr>
      <w:r>
        <w:rPr>
          <w:b/>
        </w:rPr>
        <w:t>Notice:</w:t>
      </w:r>
      <w:r>
        <w:t xml:space="preserve"> given in writing by email to Pinnacle’s claims address at 11:00 a.m. on March 14, 2025, roughly nine hours after the loss, containing every element § V.A(a) requires (date, description, Covered Location). Pinnacle acknowledged “receipt of the notice of loss” on March 15, opened the claim under both policies, and assigned an examiner.</w:t>
      </w:r>
    </w:p>
    <w:p>
      <w:pPr>
        <w:pStyle w:val="ListBullet"/>
        <w:spacing w:after="60"/>
      </w:pPr>
      <w:r>
        <w:rPr>
          <w:b/>
        </w:rPr>
        <w:t>Proof of loss:</w:t>
      </w:r>
      <w:r>
        <w:t xml:space="preserve"> submitted April 10, 2025 — 63 days before the June 12, 2025 deadline.</w:t>
      </w:r>
    </w:p>
    <w:p>
      <w:pPr>
        <w:pStyle w:val="ListBullet"/>
        <w:spacing w:after="60"/>
      </w:pPr>
      <w:r>
        <w:rPr>
          <w:b/>
        </w:rPr>
        <w:t>Prejudice:</w:t>
      </w:r>
      <w:r>
        <w:t xml:space="preserve"> “The Insurer shall not deny a claim solely on the basis of late notice or late proof of loss unless the Insurer demonstrates that it was materially prejudiced” (§ V.A). Pinnacle cannot show prejudice from notice it received on the day of loss. Its own engineers were on site eight days later, collected the failed weld seam, shell plates, and floor plates under chain of custody, took 143 photographs, and conducted UT measurements (Vector § 3). Site changes resulted from emergency response that LDEQ ordered and that § V.A(b) requires (protect property from further damage).</w:t>
      </w:r>
    </w:p>
    <w:p>
      <w:pPr>
        <w:pStyle w:val="ListBullet"/>
        <w:spacing w:after="60"/>
      </w:pPr>
      <w:r>
        <w:t>The Letter calls timely notice a “condition precedent to coverage under the CP Policy”; the CP excerpts contain no such language (contrast PLL § IV.A, which does).</w:t>
      </w:r>
    </w:p>
    <w:p>
      <w:pPr>
        <w:jc w:val="both"/>
      </w:pPr>
      <w:r>
        <w:rPr>
          <w:b/>
        </w:rPr>
        <w:t>Assessment:</w:t>
      </w:r>
      <w:r>
        <w:t xml:space="preserve"> No reasonable basis. This ground, refuted by Pinnacle’s own March 15, 2025 email, is among the strongest evidence of an arbitrary denial and of misrepresentation of policy provisions (Part VIII).</w:t>
      </w:r>
    </w:p>
    <w:p>
      <w:pPr>
        <w:pStyle w:val="Heading2"/>
      </w:pPr>
      <w:r>
        <w:t>F. Business Interruption (Letter § IV.F)</w:t>
      </w:r>
    </w:p>
    <w:p>
      <w:pPr>
        <w:jc w:val="both"/>
      </w:pPr>
      <w:r>
        <w:rPr>
          <w:b/>
        </w:rPr>
        <w:t>1. Pollution Exclusion (“First” ground).</w:t>
      </w:r>
      <w:r>
        <w:t xml:space="preserve"> The BI denial is purely derivative of the PD denial and fails with it. The CP Policy states that “[t]o the extent that direct physical loss of or damage to Covered Property is covered … including by operation of the Ensuing Loss Provision …, the Business Interruption Loss resulting from such covered loss or damage shall likewise be covered” (§ VI.A), and that “the Ensuing Loss Provision … shall apply equally to claims for Business Interruption Loss” (§ VI.G). The interruption was driven by fire damage to the processing building, pipe rack, and electrical systems (BI workbook, Summary Note 2; Mitigation tab timeline) — covered ensuing loss. Even the loss of Tanks 6 and 7 is not the driver of the full shutdown; the processing building was deemed unsafe for occupancy until structural certification on May 1, 2025.</w:t>
      </w:r>
    </w:p>
    <w:p>
      <w:pPr>
        <w:jc w:val="both"/>
      </w:pPr>
      <w:r>
        <w:rPr>
          <w:b/>
        </w:rPr>
        <w:t>2. Failure to mitigate (“Second” ground).</w:t>
      </w:r>
      <w:r>
        <w:t xml:space="preserve"> The Letter treats mitigation as “fatal to the business interruption claim.” It is not:</w:t>
      </w:r>
    </w:p>
    <w:p>
      <w:pPr>
        <w:pStyle w:val="ListBullet"/>
        <w:spacing w:after="60"/>
      </w:pPr>
      <w:r>
        <w:rPr>
          <w:b/>
        </w:rPr>
        <w:t>§ VI.F is a quantum provision, not a forfeiture.</w:t>
      </w:r>
      <w:r>
        <w:t xml:space="preserve"> Any achievable reduction “shall be taken into account in determining the amount payable.” Even a proven failure to mitigate reduces the BI loss; it does not eliminate coverage.</w:t>
      </w:r>
    </w:p>
    <w:p>
      <w:pPr>
        <w:pStyle w:val="ListBullet"/>
        <w:spacing w:after="60"/>
      </w:pPr>
      <w:r>
        <w:rPr>
          <w:b/>
        </w:rPr>
        <w:t>The standard is reasonableness.</w:t>
      </w:r>
      <w:r>
        <w:t xml:space="preserve"> The insured need not “undertake extraordinary measures” or “resume operations in a manner that would expose employees, the public, or the environment to undue risk,” and the analysis must account for “the nature and extent of the damage, applicable regulatory requirements” (§ VI.F). The Period of Restoration likewise accounts for “governmental permitting or regulatory requirements” (§ VI.C).</w:t>
      </w:r>
    </w:p>
    <w:p>
      <w:pPr>
        <w:pStyle w:val="ListBullet"/>
        <w:spacing w:after="60"/>
      </w:pPr>
      <w:r>
        <w:rPr>
          <w:b/>
        </w:rPr>
        <w:t>The facts show diligent mitigation.</w:t>
      </w:r>
      <w:r>
        <w:t xml:space="preserve"> The processing building was unsafe until structural certification on May 1; the LDEQ Order prohibited “industrial operations, … equipment repair, tank replacement, construction, or reconstruction” in the Affected Area, which includes the tank farm and pipe rack corridor, pending RAP approval (LDEQ ¶ V.2); LDEQ required soil/groundwater sampling before restart; and electrical recertification of the unaffected production lines was required (BI Mitigation tab, rows for March 14–May 2). Greenfield resumed at 40% on May 2, 2025 — a fact the Letter itself acknowledges.</w:t>
      </w:r>
    </w:p>
    <w:p>
      <w:pPr>
        <w:pStyle w:val="ListBullet"/>
        <w:spacing w:after="60"/>
      </w:pPr>
      <w:r>
        <w:rPr>
          <w:b/>
        </w:rPr>
        <w:t>Pinnacle never asked.</w:t>
      </w:r>
      <w:r>
        <w:t xml:space="preserve"> The Letter faults Greenfield for offering “no evidence or explanation,” but Pinnacle never invoked § V.B (inventories, records, examination under oath) to request it. The duty to investigate before denying rests with the insurer.</w:t>
      </w:r>
    </w:p>
    <w:p>
      <w:pPr>
        <w:pStyle w:val="ListBullet"/>
        <w:spacing w:after="60"/>
      </w:pPr>
      <w:r>
        <w:rPr>
          <w:b/>
        </w:rPr>
        <w:t>Ordinance or Law.</w:t>
      </w:r>
      <w:r>
        <w:t xml:space="preserve"> § VI.C excludes regulatory delay from the Period of Restoration “unless Ordinance or Law coverage is separately provided”; the Declarations list an Ordinance or Law Coverage Endorsement (PNN-CP-END-007). Obtain and review it to confirm that LDEQ-driven delay is covered.</w:t>
      </w:r>
    </w:p>
    <w:p>
      <w:pPr>
        <w:jc w:val="both"/>
      </w:pPr>
      <w:r>
        <w:rPr>
          <w:b/>
        </w:rPr>
        <w:t>Assessment:</w:t>
      </w:r>
      <w:r>
        <w:t xml:space="preserve"> Neither BI ground supports denial. Quantum, however, is open, and Greenfield’s calculation needs work (Part V.G).</w:t>
      </w:r>
    </w:p>
    <w:p>
      <w:pPr>
        <w:pStyle w:val="Heading2"/>
      </w:pPr>
      <w:r>
        <w:t>G. Vulnerabilities in Greenfield’s BI Calculation</w:t>
      </w:r>
    </w:p>
    <w:p>
      <w:pPr>
        <w:jc w:val="both"/>
      </w:pPr>
      <w:r>
        <w:t>Pinnacle did not challenge the BI quantum, but it will. Our review of the workbook identified the following issues, which should be corrected by a forensic accountant before re-presentation: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D9E2F3"/>
          </w:tcPr>
          <w:p>
            <w:r/>
            <w:r>
              <w:rPr>
                <w:b/>
                <w:sz w:val="18"/>
              </w:rPr>
              <w:t>Issue</w:t>
            </w:r>
          </w:p>
        </w:tc>
        <w:tc>
          <w:tcPr>
            <w:tcW w:type="dxa" w:w="4752"/>
            <w:shd w:val="clear" w:color="auto" w:fill="D9E2F3"/>
          </w:tcPr>
          <w:p>
            <w:r/>
            <w:r>
              <w:rPr>
                <w:b/>
                <w:sz w:val="18"/>
              </w:rPr>
              <w:t>Detail</w:t>
            </w:r>
          </w:p>
        </w:tc>
        <w:tc>
          <w:tcPr>
            <w:tcW w:type="dxa" w:w="2592"/>
            <w:shd w:val="clear" w:color="auto" w:fill="D9E2F3"/>
          </w:tcPr>
          <w:p>
            <w:r/>
            <w:r>
              <w:rPr>
                <w:b/>
                <w:sz w:val="18"/>
              </w:rPr>
              <w:t>Recommended action</w:t>
            </w:r>
          </w:p>
        </w:tc>
      </w:tr>
      <w:tr>
        <w:tc>
          <w:tcPr>
            <w:tcW w:type="dxa" w:w="2016"/>
          </w:tcPr>
          <w:p>
            <w:pPr>
              <w:spacing w:after="0"/>
            </w:pPr>
            <w:r>
              <w:rPr>
                <w:sz w:val="18"/>
              </w:rPr>
            </w:r>
            <w:r>
              <w:rPr>
                <w:sz w:val="18"/>
              </w:rPr>
              <w:t>72-hour waiting period included</w:t>
            </w:r>
          </w:p>
        </w:tc>
        <w:tc>
          <w:tcPr>
            <w:tcW w:type="dxa" w:w="4752"/>
          </w:tcPr>
          <w:p>
            <w:pPr>
              <w:spacing w:after="0"/>
            </w:pPr>
            <w:r>
              <w:rPr>
                <w:sz w:val="18"/>
              </w:rPr>
            </w:r>
            <w:r>
              <w:rPr>
                <w:sz w:val="18"/>
              </w:rPr>
              <w:t>Summary Note 1 concedes the $6.8M includes all 48 days, including the first 3 days inside the waiting period; at the workbook’s $87,500/day that is $262,500 not payable under § VI.E.</w:t>
            </w:r>
          </w:p>
        </w:tc>
        <w:tc>
          <w:tcPr>
            <w:tcW w:type="dxa" w:w="2592"/>
          </w:tcPr>
          <w:p>
            <w:pPr>
              <w:spacing w:after="0"/>
            </w:pPr>
            <w:r>
              <w:rPr>
                <w:sz w:val="18"/>
              </w:rPr>
            </w:r>
            <w:r>
              <w:rPr>
                <w:sz w:val="18"/>
              </w:rPr>
              <w:t>Remove waiting-period loss (measure from the 73rd hour, i.e., 2:17 a.m. March 17, 2025).</w:t>
            </w:r>
          </w:p>
        </w:tc>
      </w:tr>
      <w:tr>
        <w:tc>
          <w:tcPr>
            <w:tcW w:type="dxa" w:w="2016"/>
          </w:tcPr>
          <w:p>
            <w:pPr>
              <w:spacing w:after="0"/>
            </w:pPr>
            <w:r>
              <w:rPr>
                <w:sz w:val="18"/>
              </w:rPr>
            </w:r>
            <w:r>
              <w:rPr>
                <w:sz w:val="18"/>
              </w:rPr>
              <w:t>Date misalignment</w:t>
            </w:r>
          </w:p>
        </w:tc>
        <w:tc>
          <w:tcPr>
            <w:tcW w:type="dxa" w:w="4752"/>
          </w:tcPr>
          <w:p>
            <w:pPr>
              <w:spacing w:after="0"/>
            </w:pPr>
            <w:r>
              <w:rPr>
                <w:sz w:val="18"/>
              </w:rPr>
            </w:r>
            <w:r>
              <w:rPr>
                <w:sz w:val="18"/>
              </w:rPr>
              <w:t>Summary: total shutdown March 14–May 1 (“48 days”; actually 49 calendar days inclusive) and partial operations May 2–Aug. 15 (“105 days”; actually 106). Daily tab: total shutdown 3/14–4/30 and partial 5/1–8/13. Daily tab also records the denial on 5/8 (Letter is dated May 9).</w:t>
            </w:r>
          </w:p>
        </w:tc>
        <w:tc>
          <w:tcPr>
            <w:tcW w:type="dxa" w:w="2592"/>
          </w:tcPr>
          <w:p>
            <w:pPr>
              <w:spacing w:after="0"/>
            </w:pPr>
            <w:r>
              <w:rPr>
                <w:sz w:val="18"/>
              </w:rPr>
            </w:r>
            <w:r>
              <w:rPr>
                <w:sz w:val="18"/>
              </w:rPr>
              <w:t>Conform all tabs to actual dates.</w:t>
            </w:r>
          </w:p>
        </w:tc>
      </w:tr>
      <w:tr>
        <w:tc>
          <w:tcPr>
            <w:tcW w:type="dxa" w:w="2016"/>
          </w:tcPr>
          <w:p>
            <w:pPr>
              <w:spacing w:after="0"/>
            </w:pPr>
            <w:r>
              <w:rPr>
                <w:sz w:val="18"/>
              </w:rPr>
            </w:r>
            <w:r>
              <w:rPr>
                <w:sz w:val="18"/>
              </w:rPr>
              <w:t>Daily loss rates not derivable from the supporting data</w:t>
            </w:r>
          </w:p>
        </w:tc>
        <w:tc>
          <w:tcPr>
            <w:tcW w:type="dxa" w:w="4752"/>
          </w:tcPr>
          <w:p>
            <w:pPr>
              <w:spacing w:after="0"/>
            </w:pPr>
            <w:r>
              <w:rPr>
                <w:sz w:val="18"/>
              </w:rPr>
            </w:r>
            <w:r>
              <w:rPr>
                <w:sz w:val="18"/>
              </w:rPr>
              <w:t>Daily tab: normal revenue $306,849 = fixed $180,000 + variable $126,849, implying zero normal net profit. On those inputs, the § VI.B measure (net income plus continuing expenses) would be $180,000/day (shutdown) and $108,000/day (partial) — about $19.98M in total — not the $87,500 and $52,500 used. The claimed rates come from a different source (Note 3: trailing 12-month facility net operating income).</w:t>
            </w:r>
          </w:p>
        </w:tc>
        <w:tc>
          <w:tcPr>
            <w:tcW w:type="dxa" w:w="2592"/>
          </w:tcPr>
          <w:p>
            <w:pPr>
              <w:spacing w:after="0"/>
            </w:pPr>
            <w:r>
              <w:rPr>
                <w:sz w:val="18"/>
              </w:rPr>
            </w:r>
            <w:r>
              <w:rPr>
                <w:sz w:val="18"/>
              </w:rPr>
              <w:t>Rebuild per § VI.B from 12 months of historical financials; document the source of each input.</w:t>
            </w:r>
          </w:p>
        </w:tc>
      </w:tr>
      <w:tr>
        <w:tc>
          <w:tcPr>
            <w:tcW w:type="dxa" w:w="2016"/>
          </w:tcPr>
          <w:p>
            <w:pPr>
              <w:spacing w:after="0"/>
            </w:pPr>
            <w:r>
              <w:rPr>
                <w:sz w:val="18"/>
              </w:rPr>
            </w:r>
            <w:r>
              <w:rPr>
                <w:sz w:val="18"/>
              </w:rPr>
              <w:t>Revenue base</w:t>
            </w:r>
          </w:p>
        </w:tc>
        <w:tc>
          <w:tcPr>
            <w:tcW w:type="dxa" w:w="4752"/>
          </w:tcPr>
          <w:p>
            <w:pPr>
              <w:spacing w:after="0"/>
            </w:pPr>
            <w:r>
              <w:rPr>
                <w:sz w:val="18"/>
              </w:rPr>
            </w:r>
            <w:r>
              <w:rPr>
                <w:sz w:val="18"/>
              </w:rPr>
              <w:t>$306,849/day equals $112M ÷ 365, i.e., company-wide 2024 revenue (Summary C5), yet Note 3 says the analysis excludes the unaffected Geismar warehouse.</w:t>
            </w:r>
          </w:p>
        </w:tc>
        <w:tc>
          <w:tcPr>
            <w:tcW w:type="dxa" w:w="2592"/>
          </w:tcPr>
          <w:p>
            <w:pPr>
              <w:spacing w:after="0"/>
            </w:pPr>
            <w:r>
              <w:rPr>
                <w:sz w:val="18"/>
              </w:rPr>
            </w:r>
            <w:r>
              <w:rPr>
                <w:sz w:val="18"/>
              </w:rPr>
              <w:t>Use facility-specific revenue and costs.</w:t>
            </w:r>
          </w:p>
        </w:tc>
      </w:tr>
      <w:tr>
        <w:tc>
          <w:tcPr>
            <w:tcW w:type="dxa" w:w="2016"/>
          </w:tcPr>
          <w:p>
            <w:pPr>
              <w:spacing w:after="0"/>
            </w:pPr>
            <w:r>
              <w:rPr>
                <w:sz w:val="18"/>
              </w:rPr>
            </w:r>
            <w:r>
              <w:rPr>
                <w:sz w:val="18"/>
              </w:rPr>
              <w:t>Reconciliation plug / double deduction</w:t>
            </w:r>
          </w:p>
        </w:tc>
        <w:tc>
          <w:tcPr>
            <w:tcW w:type="dxa" w:w="4752"/>
          </w:tcPr>
          <w:p>
            <w:pPr>
              <w:spacing w:after="0"/>
            </w:pPr>
            <w:r>
              <w:rPr>
                <w:sz w:val="18"/>
              </w:rPr>
            </w:r>
            <w:r>
              <w:rPr>
                <w:sz w:val="18"/>
              </w:rPr>
              <w:t>Summary deducts $2,912,500 of “saved variable costs” from a net-income figure that is already net of variable costs. The Mitigation tab totals saved variable costs at $13,336,650 and adds a $13,923,652 “Continuing Fixed Costs Recovered” line whose only apparent function is to force the result to $6,800,000 ($34,060,302 − $13,336,650 − $13,923,652).</w:t>
            </w:r>
          </w:p>
        </w:tc>
        <w:tc>
          <w:tcPr>
            <w:tcW w:type="dxa" w:w="2592"/>
          </w:tcPr>
          <w:p>
            <w:pPr>
              <w:spacing w:after="0"/>
            </w:pPr>
            <w:r>
              <w:rPr>
                <w:sz w:val="18"/>
              </w:rPr>
            </w:r>
            <w:r>
              <w:rPr>
                <w:sz w:val="18"/>
              </w:rPr>
              <w:t>Eliminate the plug; present one coherent methodology.</w:t>
            </w:r>
          </w:p>
        </w:tc>
      </w:tr>
      <w:tr>
        <w:tc>
          <w:tcPr>
            <w:tcW w:type="dxa" w:w="2016"/>
          </w:tcPr>
          <w:p>
            <w:pPr>
              <w:spacing w:after="0"/>
            </w:pPr>
            <w:r>
              <w:rPr>
                <w:sz w:val="18"/>
              </w:rPr>
            </w:r>
            <w:r>
              <w:rPr>
                <w:sz w:val="18"/>
              </w:rPr>
              <w:t>Inconsistent saved-cost rates</w:t>
            </w:r>
          </w:p>
        </w:tc>
        <w:tc>
          <w:tcPr>
            <w:tcW w:type="dxa" w:w="4752"/>
          </w:tcPr>
          <w:p>
            <w:pPr>
              <w:spacing w:after="0"/>
            </w:pPr>
            <w:r>
              <w:rPr>
                <w:sz w:val="18"/>
              </w:rPr>
            </w:r>
            <w:r>
              <w:rPr>
                <w:sz w:val="18"/>
              </w:rPr>
              <w:t>Mitigation tab: $120,150/day (shutdown) and $72,090/day (partial); Daily tab: $126,849 and $76,110.</w:t>
            </w:r>
          </w:p>
        </w:tc>
        <w:tc>
          <w:tcPr>
            <w:tcW w:type="dxa" w:w="2592"/>
          </w:tcPr>
          <w:p>
            <w:pPr>
              <w:spacing w:after="0"/>
            </w:pPr>
            <w:r>
              <w:rPr>
                <w:sz w:val="18"/>
              </w:rPr>
            </w:r>
            <w:r>
              <w:rPr>
                <w:sz w:val="18"/>
              </w:rPr>
              <w:t>Reconcile.</w:t>
            </w:r>
          </w:p>
        </w:tc>
      </w:tr>
      <w:tr>
        <w:tc>
          <w:tcPr>
            <w:tcW w:type="dxa" w:w="2016"/>
          </w:tcPr>
          <w:p>
            <w:pPr>
              <w:spacing w:after="0"/>
            </w:pPr>
            <w:r>
              <w:rPr>
                <w:sz w:val="18"/>
              </w:rPr>
            </w:r>
            <w:r>
              <w:rPr>
                <w:sz w:val="18"/>
              </w:rPr>
              <w:t>Projected, not actual</w:t>
            </w:r>
          </w:p>
        </w:tc>
        <w:tc>
          <w:tcPr>
            <w:tcW w:type="dxa" w:w="4752"/>
          </w:tcPr>
          <w:p>
            <w:pPr>
              <w:spacing w:after="0"/>
            </w:pPr>
            <w:r>
              <w:rPr>
                <w:sz w:val="18"/>
              </w:rPr>
            </w:r>
            <w:r>
              <w:rPr>
                <w:sz w:val="18"/>
              </w:rPr>
              <w:t>The Period of Restoration ends on a projected Aug. 15, 2025 date; actual results are now available.</w:t>
            </w:r>
          </w:p>
        </w:tc>
        <w:tc>
          <w:tcPr>
            <w:tcW w:type="dxa" w:w="2592"/>
          </w:tcPr>
          <w:p>
            <w:pPr>
              <w:spacing w:after="0"/>
            </w:pPr>
            <w:r>
              <w:rPr>
                <w:sz w:val="18"/>
              </w:rPr>
            </w:r>
            <w:r>
              <w:rPr>
                <w:sz w:val="18"/>
              </w:rPr>
              <w:t>Substitute actual results; confirm whether full capacity was restored and when.</w:t>
            </w:r>
          </w:p>
        </w:tc>
      </w:tr>
      <w:tr>
        <w:tc>
          <w:tcPr>
            <w:tcW w:type="dxa" w:w="2016"/>
          </w:tcPr>
          <w:p>
            <w:pPr>
              <w:spacing w:after="0"/>
            </w:pPr>
            <w:r>
              <w:rPr>
                <w:sz w:val="18"/>
              </w:rPr>
            </w:r>
            <w:r>
              <w:rPr>
                <w:sz w:val="18"/>
              </w:rPr>
              <w:t>Omitted recoverable items</w:t>
            </w:r>
          </w:p>
        </w:tc>
        <w:tc>
          <w:tcPr>
            <w:tcW w:type="dxa" w:w="4752"/>
          </w:tcPr>
          <w:p>
            <w:pPr>
              <w:spacing w:after="0"/>
            </w:pPr>
            <w:r>
              <w:rPr>
                <w:sz w:val="18"/>
              </w:rPr>
            </w:r>
            <w:r>
              <w:rPr>
                <w:sz w:val="18"/>
              </w:rPr>
              <w:t>No claim for Extra Expense (PNN-CP-END-009), expediting, or mitigation costs recoverable under § VI.F; possible Ordinance or Law extension (END-007).</w:t>
            </w:r>
          </w:p>
        </w:tc>
        <w:tc>
          <w:tcPr>
            <w:tcW w:type="dxa" w:w="2592"/>
          </w:tcPr>
          <w:p>
            <w:pPr>
              <w:spacing w:after="0"/>
            </w:pPr>
            <w:r>
              <w:rPr>
                <w:sz w:val="18"/>
              </w:rPr>
            </w:r>
            <w:r>
              <w:rPr>
                <w:sz w:val="18"/>
              </w:rPr>
              <w:t>Evaluate and add.</w:t>
            </w:r>
          </w:p>
        </w:tc>
      </w:tr>
    </w:tbl>
    <w:p>
      <w:pPr>
        <w:spacing w:after="40"/>
      </w:pPr>
    </w:p>
    <w:p>
      <w:pPr>
        <w:jc w:val="both"/>
      </w:pPr>
      <w:r>
        <w:t>Correcting these items could move the BI figure up or down; the point is that an internally inconsistent calculation invites a credibility attack that the denial grounds themselves do not support. The BI limit ($15,000,000) comfortably exceeds any likely corrected figure.</w:t>
      </w:r>
    </w:p>
    <w:p>
      <w:pPr>
        <w:pStyle w:val="Heading1"/>
      </w:pPr>
      <w:r>
        <w:t>VI. Analysis — PLL Policy Denial Grounds</w:t>
      </w:r>
    </w:p>
    <w:p>
      <w:pPr>
        <w:pStyle w:val="Heading2"/>
      </w:pPr>
      <w:r>
        <w:t>A. Threshold: The Coverage Grant Is Satisfied and Undisputed</w:t>
      </w:r>
    </w:p>
    <w:p>
      <w:pPr>
        <w:jc w:val="both"/>
      </w:pPr>
      <w:r>
        <w:t>The Letter does not dispute any element of the PLL insuring agreement, and each is met: (1) the LDEQ Compliance Order is a “Claim” (§ II.A(3) expressly includes a “compliance order”), first made April 3, 2025, within the Policy Period; (2) it was reported in writing — notice was recorded against the PLL Policy on March 14–15, 2025, and the claim was submitted April 18, 2025 — well within § IV.A; (3) the release of MDEA and MEA “into or upon land … including groundwater” is a “Pollution Condition” (§ II.N), as LDEQ itself found (LDEQ ¶ IV.2); (4) it occurred at Covered Location No. 1 (Schedule A); (5) it commenced March 14, 2025, after the January 1, 2017 Retroactive Date; and (6) the response costs required by the Order — remedial investigation, RAP, remedial action, groundwater monitoring, regulatory reporting — are “Remediation Costs” (§ II.P). Coverage is subject to the $150,000 SIR and $10,000,000 limit, eroded by Claim Expenses.</w:t>
      </w:r>
    </w:p>
    <w:p>
      <w:pPr>
        <w:pStyle w:val="Heading2"/>
      </w:pPr>
      <w:r>
        <w:t>B. Known Conditions Exclusion, § V.C (Letter § V.A)</w:t>
      </w:r>
    </w:p>
    <w:p>
      <w:pPr>
        <w:jc w:val="both"/>
      </w:pPr>
      <w:r>
        <w:rPr>
          <w:b/>
        </w:rPr>
        <w:t>The exclusion requires a pre-inception Pollution Condition — i.e., an actual release — and none existed.</w:t>
      </w:r>
      <w:r>
        <w:t xml:space="preserve"> § V.C applies only to a “Pollution Condition which existed prior to the inception of this Policy and which was known to the Insured.” A Pollution Condition is a “discharge, dispersal, release, or escape of any Pollutants into or upon land, the atmosphere, or any watercourse” (§ II.N). The policy forecloses Pinnacle’s theory in three separate places that the Letter does not quote:</w:t>
      </w:r>
    </w:p>
    <w:p>
      <w:pPr>
        <w:pStyle w:val="ListBullet"/>
        <w:spacing w:after="60"/>
      </w:pPr>
      <w:r>
        <w:t>§ II.N: a Pollution Condition “shall not include the mere presence of a substance within a contained vessel, tank, or piping system,” and “[t]he existence of a structural deficiency, corrosion, wear, or deterioration of any vessel, tank, or piping system shall not, in and of itself, constitute a Pollution Condition absent an actual discharge.”</w:t>
      </w:r>
    </w:p>
    <w:p>
      <w:pPr>
        <w:pStyle w:val="ListBullet"/>
        <w:spacing w:after="60"/>
      </w:pPr>
      <w:r>
        <w:t>§ V.C: “knowledge of a structural deficiency, maintenance condition, or physical state of a vessel, tank, piping system, or other equipment … shall not constitute knowledge of a Pollution Condition under this exclusion unless such knowledge includes awareness of an actual or ongoing discharge, dispersal, release, or escape of Pollutants.”</w:t>
      </w:r>
    </w:p>
    <w:p>
      <w:pPr>
        <w:pStyle w:val="ListBullet"/>
        <w:spacing w:after="60"/>
      </w:pPr>
      <w:r>
        <w:t>§ V.C: knowledge is measured by what specified senior personnel (officer, director, general counsel, risk manager, environmental manager, or facility manager) knew, and “[t]he knowledge of any other employee … shall not be imputed.”</w:t>
      </w:r>
    </w:p>
    <w:p>
      <w:pPr>
        <w:jc w:val="both"/>
      </w:pPr>
      <w:r>
        <w:t>The 2023 CTIS report found “[n]o weeping, seepage, product staining” at the base ring and “no evidence of product staining, discoloration, or accumulation that would indicate a release” in the containment area (CTIS 2023 §§ 4.2, 4.6). LDEQ found “no evidence of any pre-existing contamination by MDEA or MEA” and that the pollution condition “originated from the events of March 14, 2025” (LDEQ ¶ IV.2). The Letter rewrites the exclusion to reach “a condition … that could give rise to … a Pollution Condition” — language that appears nowhere in § V.C and that the avoidance-of-doubt sentence specifically rejects. In addition, the 2023 condition was external surface corrosion unrelated to the cause of loss (Vector § 4.3), and the report was distributed to the Maintenance Supervisor (CTIS 2023 § 7), who is not among the enumerated knowledge holders (although the Plant Manager approved the recoat work order; the point is immaterial given that no Pollution Condition existed).</w:t>
      </w:r>
    </w:p>
    <w:p>
      <w:pPr>
        <w:jc w:val="both"/>
      </w:pPr>
      <w:r>
        <w:rPr>
          <w:b/>
        </w:rPr>
        <w:t>The nondisclosure insinuation.</w:t>
      </w:r>
      <w:r>
        <w:t xml:space="preserve"> The Letter asserts that Greenfield “obtained the PLL Policy without disclosing or remediating the underlying condition.” No application or underwriting question is identified, no rescission is asserted, and Greenfield did remediate the observed condition in August 2023. Under Louisiana law, a misrepresentation defense generally requires proof of a material misrepresentation made with intent to deceive (La. R.S. 22:860) [cite-check]. We should demand the underwriting file and be prepared for Pinnacle to pivot to this theory.</w:t>
      </w:r>
    </w:p>
    <w:p>
      <w:pPr>
        <w:jc w:val="both"/>
      </w:pPr>
      <w:r>
        <w:rPr>
          <w:b/>
        </w:rPr>
        <w:t>Assessment:</w:t>
      </w:r>
      <w:r>
        <w:t xml:space="preserve"> No reasonable basis.</w:t>
      </w:r>
    </w:p>
    <w:p>
      <w:pPr>
        <w:pStyle w:val="Heading2"/>
      </w:pPr>
      <w:r>
        <w:t>C. Intentional Non-Compliance Exclusion, § V.F (Letter § V.B)</w:t>
      </w:r>
    </w:p>
    <w:p>
      <w:pPr>
        <w:jc w:val="both"/>
      </w:pPr>
      <w:r>
        <w:rPr>
          <w:b/>
        </w:rPr>
        <w:t>The Letter omits the qualifier, the definition, and the carve-out.</w:t>
      </w:r>
      <w:r>
        <w:t xml:space="preserve"> As written, § V.F applies only to non-compliance with a “statute, regulation, ordinance, or governmental directive </w:t>
      </w:r>
      <w:r>
        <w:rPr>
          <w:b/>
        </w:rPr>
        <w:t>applicable to the prevention, control, abatement, or remediation of Pollutants</w:t>
      </w:r>
      <w:r>
        <w:t>”; “intentional non-compliance” means “knowing and willful failure to comply with a specific requirement …, where the Insured had actual knowledge of such requirement and consciously chose not to comply”; and the exclusion “shall not apply to the Insured’s failure to comply with industry standards, recommended practices, voluntary codes of conduct, or guidelines that do not have the force of law unless … expressly adopted and incorporated into an applicable statute, regulation, ordinance, or governmental directive.”</w:t>
      </w:r>
    </w:p>
    <w:p>
      <w:pPr>
        <w:pStyle w:val="ListBullet"/>
        <w:spacing w:after="60"/>
      </w:pPr>
      <w:r>
        <w:rPr>
          <w:b/>
        </w:rPr>
        <w:t>API 653 is an industry standard, not law.</w:t>
      </w:r>
      <w:r>
        <w:t xml:space="preserve"> The Letter calls API 653 “the applicable regulatory standard” and refers to unnamed “applicable inspection regulations.” Vector correctly describes API 653 as a standard “published by the American Petroleum Institute” and “the recognized industry standard” (§ 4.4). The Letter identifies no statute, regulation, or directive that incorporates it — which § V.F requires.</w:t>
      </w:r>
    </w:p>
    <w:p>
      <w:pPr>
        <w:pStyle w:val="ListBullet"/>
        <w:spacing w:after="60"/>
      </w:pPr>
      <w:r>
        <w:rPr>
          <w:b/>
        </w:rPr>
        <w:t>API 653 was not violated.</w:t>
      </w:r>
      <w:r>
        <w:t xml:space="preserve"> Both CTIS and Vector found that API 653 did not require an internal inspection based on the 2023 finding (CTIS 2023 §§ 5–6; Vector § 4.4). The Letter’s statement that API 653 “requires … internal inspections when external inspections reveal … corrosion at critical structural locations” is contrary to Pinnacle’s own expert.</w:t>
      </w:r>
    </w:p>
    <w:p>
      <w:pPr>
        <w:pStyle w:val="ListBullet"/>
        <w:spacing w:after="60"/>
      </w:pPr>
      <w:r>
        <w:rPr>
          <w:b/>
        </w:rPr>
        <w:t>No knowing and willful choice.</w:t>
      </w:r>
      <w:r>
        <w:t xml:space="preserve"> The Letter asserts that “[t]he decision not to perform an internal inspection was a deliberate choice made by Greenfield’s management,” citing no interview, document, or witness. The record shows an internal inspection scheduled per a corrosion-rate calculation (CMMS §§ 1, 3) — compliance, not conscious defiance.</w:t>
      </w:r>
    </w:p>
    <w:p>
      <w:pPr>
        <w:pStyle w:val="ListBullet"/>
        <w:spacing w:after="60"/>
      </w:pPr>
      <w:r>
        <w:rPr>
          <w:b/>
        </w:rPr>
        <w:t>Post-release reporting issue is irrelevant.</w:t>
      </w:r>
      <w:r>
        <w:t xml:space="preserve"> LDEQ found a “technical violation” of the direct-reporting obligation (LDEQ ¶ IV.3) while deeming the notification “substantially compliant.” Pinnacle did not rely on it, and a post-release reporting lapse cannot have caused the Pollution Condition. Any pivot to the Criminal Acts and Fraud exclusion (§ V.G) would fail because it requires a final adjudication or written admission.</w:t>
      </w:r>
    </w:p>
    <w:p>
      <w:pPr>
        <w:jc w:val="both"/>
      </w:pPr>
      <w:r>
        <w:rPr>
          <w:b/>
        </w:rPr>
        <w:t>Diligence item.</w:t>
      </w:r>
      <w:r>
        <w:t xml:space="preserve"> Confirm that neither Greenfield’s LDEQ hazardous materials permit (HM-PQ-2019-0427) nor its SPCC Plan (referenced in CTIS 2023 § 4.6) incorporates API 653 as an enforceable condition. Even if one did, Pinnacle would still have to prove a knowing and willful violation of a specific requirement, and the record shows none.</w:t>
      </w:r>
    </w:p>
    <w:p>
      <w:pPr>
        <w:jc w:val="both"/>
      </w:pPr>
      <w:r>
        <w:rPr>
          <w:b/>
        </w:rPr>
        <w:t>Assessment:</w:t>
      </w:r>
      <w:r>
        <w:t xml:space="preserve"> No reasonable basis.</w:t>
      </w:r>
    </w:p>
    <w:p>
      <w:pPr>
        <w:pStyle w:val="Heading2"/>
      </w:pPr>
      <w:r>
        <w:t>D. “MDEA and MEA Are Not Pollutants” (Letter § V.C)</w:t>
      </w:r>
    </w:p>
    <w:p>
      <w:pPr>
        <w:jc w:val="both"/>
      </w:pPr>
      <w:r>
        <w:rPr>
          <w:b/>
        </w:rPr>
        <w:t>The Letter quotes only the first sentence of § II.O.</w:t>
      </w:r>
      <w:r>
        <w:t xml:space="preserve"> The definition continues with three sentences the Letter omits:</w:t>
      </w:r>
    </w:p>
    <w:p>
      <w:pPr>
        <w:ind w:left="720" w:right="720"/>
      </w:pPr>
      <w:r>
        <w:rPr>
          <w:sz w:val="21"/>
        </w:rPr>
        <w:t>“The term Pollutant includes but is not limited to any substance designated as hazardous or toxic under any applicable federal, state, or local environmental law, regulation, or ordinance, and any materials which require investigation, removal, remediation, or other response action under any such law, regulation, or ordinance. The term Pollutant also includes any substance that, when discharged, dispersed, released, or escaped into or upon environmental media, causes or threatens to cause contamination, degradation, or impairment of such environmental media. The characterization of a substance as a ‘standard,’ ‘common,’ or ‘industrial’ chemical or material shall not, in and of itself, preclude such substance from being considered a Pollutant under this Policy.” (PLL § II.O.)</w:t>
      </w:r>
    </w:p>
    <w:p>
      <w:pPr>
        <w:pStyle w:val="ListBullet"/>
        <w:spacing w:after="60"/>
      </w:pPr>
      <w:r>
        <w:t>The Letter’s central argument — that MDEA and MEA are “standard industrial amines,” “routine process chemicals” — is exactly the argument the final sentence forecloses.</w:t>
      </w:r>
    </w:p>
    <w:p>
      <w:pPr>
        <w:pStyle w:val="ListBullet"/>
        <w:spacing w:after="60"/>
      </w:pPr>
      <w:r>
        <w:t>The first sentence itself lists “chemicals” and “alkalis”; MDEA and MEA are alkaline amines, and LDEQ classifies MEA as “a corrosive substance and an acute toxicant” (LDEQ ¶ III.4).</w:t>
      </w:r>
    </w:p>
    <w:p>
      <w:pPr>
        <w:pStyle w:val="ListBullet"/>
        <w:spacing w:after="60"/>
      </w:pPr>
      <w:r>
        <w:t>LDEQ formally found both to be “hazardous chemical substances” under the Louisiana Environmental Quality Act, classified the release “as a release of hazardous chemical substances requiring remedial action,” and ordered remediation (LDEQ ¶¶ III.4, IV.1–2, V). Each of the “designated as hazardous” and “require … remediation” prongs is independently satisfied.</w:t>
      </w:r>
    </w:p>
    <w:p>
      <w:pPr>
        <w:pStyle w:val="ListBullet"/>
        <w:spacing w:after="60"/>
      </w:pPr>
      <w:r>
        <w:t>The contamination prong is satisfied: soil concentrations up to 14,200 mg/kg (MDEA) and 8,700 mg/kg (MEA), and groundwater exceedances at four locations (LDEQ ¶¶ III.5–6).</w:t>
      </w:r>
    </w:p>
    <w:p>
      <w:pPr>
        <w:pStyle w:val="ListBullet"/>
        <w:spacing w:after="60"/>
      </w:pPr>
      <w:r>
        <w:t>The Letter’s statements that neither chemical is regulated under CERCLA or listed on TRI are contradicted by LDEQ’s findings that both are “regulated chemicals under [CERCLA] … and [EPCRA]” and “listed on the Toxic Release Inventory” (LDEQ ¶ III.4). Environmental counsel should independently verify the federal listing status, but the point is immaterial: no federal listing is required by § II.O.</w:t>
      </w:r>
    </w:p>
    <w:p>
      <w:pPr>
        <w:pStyle w:val="ListBullet"/>
        <w:spacing w:after="60"/>
      </w:pPr>
      <w:r>
        <w:t>Pinnacle simultaneously argued under the CP Policy that the same chemicals are pollutants (Part V.A.3).</w:t>
      </w:r>
    </w:p>
    <w:p>
      <w:pPr>
        <w:jc w:val="both"/>
      </w:pPr>
      <w:r>
        <w:rPr>
          <w:b/>
        </w:rPr>
        <w:t>Assessment:</w:t>
      </w:r>
      <w:r>
        <w:t xml:space="preserve"> No reasonable basis.</w:t>
      </w:r>
    </w:p>
    <w:p>
      <w:pPr>
        <w:pStyle w:val="Heading2"/>
      </w:pPr>
      <w:r>
        <w:t>E. Additional PLL Issues</w:t>
      </w:r>
    </w:p>
    <w:p>
      <w:pPr>
        <w:pStyle w:val="ListBullet"/>
        <w:spacing w:after="60"/>
      </w:pPr>
      <w:r>
        <w:rPr>
          <w:b/>
        </w:rPr>
        <w:t>Breach of the duty to defend.</w:t>
      </w:r>
      <w:r>
        <w:t xml:space="preserve"> The LDEQ Order is a Claim, and § I.B imposes a duty to defend “even if any of the allegations … are groundless.” Pinnacle’s blanket denial is a refusal to defend. Greenfield should tender the defense of the LDEQ proceeding in writing and track all defense and response costs as damages.</w:t>
      </w:r>
    </w:p>
    <w:p>
      <w:pPr>
        <w:pStyle w:val="ListBullet"/>
        <w:spacing w:after="60"/>
      </w:pPr>
      <w:r>
        <w:rPr>
          <w:b/>
        </w:rPr>
        <w:t>Consent and voluntary-payment provisions.</w:t>
      </w:r>
      <w:r>
        <w:t xml:space="preserve"> §§ I.C and IV.B(b) bar voluntary payments without consent, except emergency response. Greenfield should continue to request consent in writing for each significant expenditure; an insurer that has wrongfully denied a claim is generally poorly positioned to rely on consent provisions, but this should be confirmed under Louisiana law. Claim Expenses incurred before the Insurer’s “written acknowledgment of a Claim” are excluded (§ II.B); Pinnacle acknowledged the claim in writing on March 15, 2025.</w:t>
      </w:r>
    </w:p>
    <w:p>
      <w:pPr>
        <w:pStyle w:val="ListBullet"/>
        <w:spacing w:after="60"/>
      </w:pPr>
      <w:r>
        <w:rPr>
          <w:b/>
        </w:rPr>
        <w:t>LDEQ deadlines and consequential harm.</w:t>
      </w:r>
      <w:r>
        <w:t xml:space="preserve"> The Order required financial assurance within 45 days (approximately May 18, 2025), listing “environmental insurance coverage” as an acceptable form (LDEQ ¶ V.7). The denial, issued nine days earlier, impaired that option. Civil penalties of up to $32,500 per day apply to non-compliance (LDEQ § VI). The remediation completion deadline (October 3, 2026) has passed; confirm compliance or any extension.</w:t>
      </w:r>
    </w:p>
    <w:p>
      <w:pPr>
        <w:pStyle w:val="ListBullet"/>
        <w:spacing w:after="60"/>
      </w:pPr>
      <w:r>
        <w:rPr>
          <w:b/>
        </w:rPr>
        <w:t>Quantum may grow.</w:t>
      </w:r>
      <w:r>
        <w:t xml:space="preserve"> The $4.2 million figure is a preliminary (Phase I) estimate; the plume was not delineated (LDEQ ¶ III.6). Related claims share one limit and one SIR (§ VI.D). Defense costs erode the $10 million limit. Third-party claims from off-site migration would implicate § V.A.</w:t>
      </w:r>
    </w:p>
    <w:p>
      <w:pPr>
        <w:pStyle w:val="ListBullet"/>
        <w:spacing w:after="60"/>
      </w:pPr>
      <w:r>
        <w:rPr>
          <w:b/>
        </w:rPr>
        <w:t>Claims-made timing.</w:t>
      </w:r>
      <w:r>
        <w:t xml:space="preserve"> The PLL Policy expired January 1, 2026. Because the Claim was made and reported during the Policy Period, no Extended Reporting Period is needed for this Claim, but any new, unrelated claims would be governed by the renewal or ERP terms.</w:t>
      </w:r>
    </w:p>
    <w:p>
      <w:pPr>
        <w:pStyle w:val="Heading1"/>
      </w:pPr>
      <w:r>
        <w:t>VII. Cross-Cutting Defects in the Denial Letter</w:t>
      </w:r>
    </w:p>
    <w:p>
      <w:pPr>
        <w:pStyle w:val="Heading2"/>
      </w:pPr>
      <w:r>
        <w:t>A. Misquotation and Selective Quotation of Policy Provisions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728"/>
            <w:shd w:val="clear" w:color="auto" w:fill="D9E2F3"/>
          </w:tcPr>
          <w:p>
            <w:r/>
            <w:r>
              <w:rPr>
                <w:b/>
                <w:sz w:val="17"/>
              </w:rPr>
              <w:t>Provision</w:t>
            </w:r>
          </w:p>
        </w:tc>
        <w:tc>
          <w:tcPr>
            <w:tcW w:type="dxa" w:w="2160"/>
            <w:shd w:val="clear" w:color="auto" w:fill="D9E2F3"/>
          </w:tcPr>
          <w:p>
            <w:r/>
            <w:r>
              <w:rPr>
                <w:b/>
                <w:sz w:val="17"/>
              </w:rPr>
              <w:t>As presented in the Letter</w:t>
            </w:r>
          </w:p>
        </w:tc>
        <w:tc>
          <w:tcPr>
            <w:tcW w:type="dxa" w:w="3168"/>
            <w:shd w:val="clear" w:color="auto" w:fill="D9E2F3"/>
          </w:tcPr>
          <w:p>
            <w:r/>
            <w:r>
              <w:rPr>
                <w:b/>
                <w:sz w:val="17"/>
              </w:rPr>
              <w:t>Omitted or altered language</w:t>
            </w:r>
          </w:p>
        </w:tc>
        <w:tc>
          <w:tcPr>
            <w:tcW w:type="dxa" w:w="2304"/>
            <w:shd w:val="clear" w:color="auto" w:fill="D9E2F3"/>
          </w:tcPr>
          <w:p>
            <w:r/>
            <w:r>
              <w:rPr>
                <w:b/>
                <w:sz w:val="17"/>
              </w:rPr>
              <w:t>Significance</w:t>
            </w:r>
          </w:p>
        </w:tc>
      </w:tr>
      <w:tr>
        <w:tc>
          <w:tcPr>
            <w:tcW w:type="dxa" w:w="1728"/>
          </w:tcPr>
          <w:p>
            <w:pPr>
              <w:spacing w:after="0"/>
            </w:pPr>
            <w:r>
              <w:rPr>
                <w:sz w:val="17"/>
              </w:rPr>
            </w:r>
            <w:r>
              <w:rPr>
                <w:sz w:val="17"/>
              </w:rPr>
              <w:t>CP § II.K (Pollutants)</w:t>
            </w:r>
          </w:p>
        </w:tc>
        <w:tc>
          <w:tcPr>
            <w:tcW w:type="dxa" w:w="2160"/>
          </w:tcPr>
          <w:p>
            <w:pPr>
              <w:spacing w:after="0"/>
            </w:pPr>
            <w:r>
              <w:rPr>
                <w:sz w:val="17"/>
              </w:rPr>
            </w:r>
            <w:r>
              <w:rPr>
                <w:sz w:val="17"/>
              </w:rPr>
              <w:t>Paraphrased; adds “chemicals and chemical compounds used in industrial processes”</w:t>
            </w:r>
          </w:p>
        </w:tc>
        <w:tc>
          <w:tcPr>
            <w:tcW w:type="dxa" w:w="3168"/>
          </w:tcPr>
          <w:p>
            <w:pPr>
              <w:spacing w:after="0"/>
            </w:pPr>
            <w:r>
              <w:rPr>
                <w:sz w:val="17"/>
              </w:rPr>
            </w:r>
            <w:r>
              <w:rPr>
                <w:sz w:val="17"/>
              </w:rPr>
              <w:t>Actual text; “without regard to … toxicity”</w:t>
            </w:r>
          </w:p>
        </w:tc>
        <w:tc>
          <w:tcPr>
            <w:tcW w:type="dxa" w:w="2304"/>
          </w:tcPr>
          <w:p>
            <w:pPr>
              <w:spacing w:after="0"/>
            </w:pPr>
            <w:r>
              <w:rPr>
                <w:sz w:val="17"/>
              </w:rPr>
            </w:r>
            <w:r>
              <w:rPr>
                <w:sz w:val="17"/>
              </w:rPr>
              <w:t>Minor, but inaccurate</w:t>
            </w:r>
          </w:p>
        </w:tc>
      </w:tr>
      <w:tr>
        <w:tc>
          <w:tcPr>
            <w:tcW w:type="dxa" w:w="1728"/>
          </w:tcPr>
          <w:p>
            <w:pPr>
              <w:spacing w:after="0"/>
            </w:pPr>
            <w:r>
              <w:rPr>
                <w:sz w:val="17"/>
              </w:rPr>
            </w:r>
            <w:r>
              <w:rPr>
                <w:sz w:val="17"/>
              </w:rPr>
              <w:t>CP § II.L (Sudden and Accidental)</w:t>
            </w:r>
          </w:p>
        </w:tc>
        <w:tc>
          <w:tcPr>
            <w:tcW w:type="dxa" w:w="2160"/>
          </w:tcPr>
          <w:p>
            <w:pPr>
              <w:spacing w:after="0"/>
            </w:pPr>
            <w:r>
              <w:rPr>
                <w:sz w:val="17"/>
              </w:rPr>
            </w:r>
            <w:r>
              <w:rPr>
                <w:sz w:val="17"/>
              </w:rPr>
              <w:t>Abbreviated one-sentence definition</w:t>
            </w:r>
          </w:p>
        </w:tc>
        <w:tc>
          <w:tcPr>
            <w:tcW w:type="dxa" w:w="3168"/>
          </w:tcPr>
          <w:p>
            <w:pPr>
              <w:spacing w:after="0"/>
            </w:pPr>
            <w:r>
              <w:rPr>
                <w:sz w:val="17"/>
              </w:rPr>
            </w:r>
            <w:r>
              <w:rPr>
                <w:sz w:val="17"/>
              </w:rPr>
              <w:t>“and without advance warning”; “event” = occurrence, not underlying cause; “known” = actual knowledge only, excluding constructive knowledge</w:t>
            </w:r>
          </w:p>
        </w:tc>
        <w:tc>
          <w:tcPr>
            <w:tcW w:type="dxa" w:w="2304"/>
          </w:tcPr>
          <w:p>
            <w:pPr>
              <w:spacing w:after="0"/>
            </w:pPr>
            <w:r>
              <w:rPr>
                <w:sz w:val="17"/>
              </w:rPr>
            </w:r>
            <w:r>
              <w:rPr>
                <w:sz w:val="17"/>
              </w:rPr>
              <w:t>Outcome-determinative for the known-condition prong; central to the gradual-deterioration prong</w:t>
            </w:r>
          </w:p>
        </w:tc>
      </w:tr>
      <w:tr>
        <w:tc>
          <w:tcPr>
            <w:tcW w:type="dxa" w:w="1728"/>
          </w:tcPr>
          <w:p>
            <w:pPr>
              <w:spacing w:after="0"/>
            </w:pPr>
            <w:r>
              <w:rPr>
                <w:sz w:val="17"/>
              </w:rPr>
            </w:r>
            <w:r>
              <w:rPr>
                <w:sz w:val="17"/>
              </w:rPr>
              <w:t>CP § IV, final paragraph (Ensuing Loss)</w:t>
            </w:r>
          </w:p>
        </w:tc>
        <w:tc>
          <w:tcPr>
            <w:tcW w:type="dxa" w:w="2160"/>
          </w:tcPr>
          <w:p>
            <w:pPr>
              <w:spacing w:after="0"/>
            </w:pPr>
            <w:r>
              <w:rPr>
                <w:sz w:val="17"/>
              </w:rPr>
            </w:r>
            <w:r>
              <w:rPr>
                <w:sz w:val="17"/>
              </w:rPr>
              <w:t>Not mentioned</w:t>
            </w:r>
          </w:p>
        </w:tc>
        <w:tc>
          <w:tcPr>
            <w:tcW w:type="dxa" w:w="3168"/>
          </w:tcPr>
          <w:p>
            <w:pPr>
              <w:spacing w:after="0"/>
            </w:pPr>
            <w:r>
              <w:rPr>
                <w:sz w:val="17"/>
              </w:rPr>
            </w:r>
            <w:r>
              <w:rPr>
                <w:sz w:val="17"/>
              </w:rPr>
              <w:t>Entire provision</w:t>
            </w:r>
          </w:p>
        </w:tc>
        <w:tc>
          <w:tcPr>
            <w:tcW w:type="dxa" w:w="2304"/>
          </w:tcPr>
          <w:p>
            <w:pPr>
              <w:spacing w:after="0"/>
            </w:pPr>
            <w:r>
              <w:rPr>
                <w:sz w:val="17"/>
              </w:rPr>
            </w:r>
            <w:r>
              <w:rPr>
                <w:sz w:val="17"/>
              </w:rPr>
              <w:t>Restores fire damage; defeats “but-for” reasoning for §§ IV.D, IV.E, IV.J and BI</w:t>
            </w:r>
          </w:p>
        </w:tc>
      </w:tr>
      <w:tr>
        <w:tc>
          <w:tcPr>
            <w:tcW w:type="dxa" w:w="1728"/>
          </w:tcPr>
          <w:p>
            <w:pPr>
              <w:spacing w:after="0"/>
            </w:pPr>
            <w:r>
              <w:rPr>
                <w:sz w:val="17"/>
              </w:rPr>
            </w:r>
            <w:r>
              <w:rPr>
                <w:sz w:val="17"/>
              </w:rPr>
              <w:t>CP § IV.D (Corrosion)</w:t>
            </w:r>
          </w:p>
        </w:tc>
        <w:tc>
          <w:tcPr>
            <w:tcW w:type="dxa" w:w="2160"/>
          </w:tcPr>
          <w:p>
            <w:pPr>
              <w:spacing w:after="0"/>
            </w:pPr>
            <w:r>
              <w:rPr>
                <w:sz w:val="17"/>
              </w:rPr>
            </w:r>
            <w:r>
              <w:rPr>
                <w:sz w:val="17"/>
              </w:rPr>
              <w:t>Paraphrased as a single sentence</w:t>
            </w:r>
          </w:p>
        </w:tc>
        <w:tc>
          <w:tcPr>
            <w:tcW w:type="dxa" w:w="3168"/>
          </w:tcPr>
          <w:p>
            <w:pPr>
              <w:spacing w:after="0"/>
            </w:pPr>
            <w:r>
              <w:rPr>
                <w:sz w:val="17"/>
              </w:rPr>
            </w:r>
            <w:r>
              <w:rPr>
                <w:sz w:val="17"/>
              </w:rPr>
              <w:t>Limitation to the corroded item; “shall not be construed to exclude” damage to other items</w:t>
            </w:r>
          </w:p>
        </w:tc>
        <w:tc>
          <w:tcPr>
            <w:tcW w:type="dxa" w:w="2304"/>
          </w:tcPr>
          <w:p>
            <w:pPr>
              <w:spacing w:after="0"/>
            </w:pPr>
            <w:r>
              <w:rPr>
                <w:sz w:val="17"/>
              </w:rPr>
            </w:r>
            <w:r>
              <w:rPr>
                <w:sz w:val="17"/>
              </w:rPr>
              <w:t>Limits exclusion to Tank 7</w:t>
            </w:r>
          </w:p>
        </w:tc>
      </w:tr>
      <w:tr>
        <w:tc>
          <w:tcPr>
            <w:tcW w:type="dxa" w:w="1728"/>
          </w:tcPr>
          <w:p>
            <w:pPr>
              <w:spacing w:after="0"/>
            </w:pPr>
            <w:r>
              <w:rPr>
                <w:sz w:val="17"/>
              </w:rPr>
            </w:r>
            <w:r>
              <w:rPr>
                <w:sz w:val="17"/>
              </w:rPr>
              <w:t>CP § IV.E (Faulty Maintenance)</w:t>
            </w:r>
          </w:p>
        </w:tc>
        <w:tc>
          <w:tcPr>
            <w:tcW w:type="dxa" w:w="2160"/>
          </w:tcPr>
          <w:p>
            <w:pPr>
              <w:spacing w:after="0"/>
            </w:pPr>
            <w:r>
              <w:rPr>
                <w:sz w:val="17"/>
              </w:rPr>
            </w:r>
            <w:r>
              <w:rPr>
                <w:sz w:val="17"/>
              </w:rPr>
              <w:t>First clause only</w:t>
            </w:r>
          </w:p>
        </w:tc>
        <w:tc>
          <w:tcPr>
            <w:tcW w:type="dxa" w:w="3168"/>
          </w:tcPr>
          <w:p>
            <w:pPr>
              <w:spacing w:after="0"/>
            </w:pPr>
            <w:r>
              <w:rPr>
                <w:sz w:val="17"/>
              </w:rPr>
            </w:r>
            <w:r>
              <w:rPr>
                <w:sz w:val="17"/>
              </w:rPr>
              <w:t>Definition (industry standards); safe harbor; contemporaneous-practice standard</w:t>
            </w:r>
          </w:p>
        </w:tc>
        <w:tc>
          <w:tcPr>
            <w:tcW w:type="dxa" w:w="2304"/>
          </w:tcPr>
          <w:p>
            <w:pPr>
              <w:spacing w:after="0"/>
            </w:pPr>
            <w:r>
              <w:rPr>
                <w:sz w:val="17"/>
              </w:rPr>
            </w:r>
            <w:r>
              <w:rPr>
                <w:sz w:val="17"/>
              </w:rPr>
              <w:t>Vector findings satisfy safe harbor</w:t>
            </w:r>
          </w:p>
        </w:tc>
      </w:tr>
      <w:tr>
        <w:tc>
          <w:tcPr>
            <w:tcW w:type="dxa" w:w="1728"/>
          </w:tcPr>
          <w:p>
            <w:pPr>
              <w:spacing w:after="0"/>
            </w:pPr>
            <w:r>
              <w:rPr>
                <w:sz w:val="17"/>
              </w:rPr>
            </w:r>
            <w:r>
              <w:rPr>
                <w:sz w:val="17"/>
              </w:rPr>
              <w:t>CP § V.A (Notice)</w:t>
            </w:r>
          </w:p>
        </w:tc>
        <w:tc>
          <w:tcPr>
            <w:tcW w:type="dxa" w:w="2160"/>
          </w:tcPr>
          <w:p>
            <w:pPr>
              <w:spacing w:after="0"/>
            </w:pPr>
            <w:r>
              <w:rPr>
                <w:sz w:val="17"/>
              </w:rPr>
            </w:r>
            <w:r>
              <w:rPr>
                <w:sz w:val="17"/>
              </w:rPr>
              <w:t>60-day notice clause; called a “condition precedent”</w:t>
            </w:r>
          </w:p>
        </w:tc>
        <w:tc>
          <w:tcPr>
            <w:tcW w:type="dxa" w:w="3168"/>
          </w:tcPr>
          <w:p>
            <w:pPr>
              <w:spacing w:after="0"/>
            </w:pPr>
            <w:r>
              <w:rPr>
                <w:sz w:val="17"/>
              </w:rPr>
            </w:r>
            <w:r>
              <w:rPr>
                <w:sz w:val="17"/>
              </w:rPr>
              <w:t>Separate 90-day proof-of-loss deadline; separate-requirements sentence; material-prejudice requirement</w:t>
            </w:r>
          </w:p>
        </w:tc>
        <w:tc>
          <w:tcPr>
            <w:tcW w:type="dxa" w:w="2304"/>
          </w:tcPr>
          <w:p>
            <w:pPr>
              <w:spacing w:after="0"/>
            </w:pPr>
            <w:r>
              <w:rPr>
                <w:sz w:val="17"/>
              </w:rPr>
            </w:r>
            <w:r>
              <w:rPr>
                <w:sz w:val="17"/>
              </w:rPr>
              <w:t>Defeats late-notice ground</w:t>
            </w:r>
          </w:p>
        </w:tc>
      </w:tr>
      <w:tr>
        <w:tc>
          <w:tcPr>
            <w:tcW w:type="dxa" w:w="1728"/>
          </w:tcPr>
          <w:p>
            <w:pPr>
              <w:spacing w:after="0"/>
            </w:pPr>
            <w:r>
              <w:rPr>
                <w:sz w:val="17"/>
              </w:rPr>
            </w:r>
            <w:r>
              <w:rPr>
                <w:sz w:val="17"/>
              </w:rPr>
              <w:t>CP § VI.A, VI.F, VI.G (BI)</w:t>
            </w:r>
          </w:p>
        </w:tc>
        <w:tc>
          <w:tcPr>
            <w:tcW w:type="dxa" w:w="2160"/>
          </w:tcPr>
          <w:p>
            <w:pPr>
              <w:spacing w:after="0"/>
            </w:pPr>
            <w:r>
              <w:rPr>
                <w:sz w:val="17"/>
              </w:rPr>
            </w:r>
            <w:r>
              <w:rPr>
                <w:sz w:val="17"/>
              </w:rPr>
              <w:t>Mitigation described as a coverage bar</w:t>
            </w:r>
          </w:p>
        </w:tc>
        <w:tc>
          <w:tcPr>
            <w:tcW w:type="dxa" w:w="3168"/>
          </w:tcPr>
          <w:p>
            <w:pPr>
              <w:spacing w:after="0"/>
            </w:pPr>
            <w:r>
              <w:rPr>
                <w:sz w:val="17"/>
              </w:rPr>
            </w:r>
            <w:r>
              <w:rPr>
                <w:sz w:val="17"/>
              </w:rPr>
              <w:t>Quantum-only effect; reasonableness limits; Ensuing Loss applies to BI</w:t>
            </w:r>
          </w:p>
        </w:tc>
        <w:tc>
          <w:tcPr>
            <w:tcW w:type="dxa" w:w="2304"/>
          </w:tcPr>
          <w:p>
            <w:pPr>
              <w:spacing w:after="0"/>
            </w:pPr>
            <w:r>
              <w:rPr>
                <w:sz w:val="17"/>
              </w:rPr>
            </w:r>
            <w:r>
              <w:rPr>
                <w:sz w:val="17"/>
              </w:rPr>
              <w:t>Defeats BI denial</w:t>
            </w:r>
          </w:p>
        </w:tc>
      </w:tr>
      <w:tr>
        <w:tc>
          <w:tcPr>
            <w:tcW w:type="dxa" w:w="1728"/>
          </w:tcPr>
          <w:p>
            <w:pPr>
              <w:spacing w:after="0"/>
            </w:pPr>
            <w:r>
              <w:rPr>
                <w:sz w:val="17"/>
              </w:rPr>
            </w:r>
            <w:r>
              <w:rPr>
                <w:sz w:val="17"/>
              </w:rPr>
              <w:t>PLL § II.N (Pollution Condition)</w:t>
            </w:r>
          </w:p>
        </w:tc>
        <w:tc>
          <w:tcPr>
            <w:tcW w:type="dxa" w:w="2160"/>
          </w:tcPr>
          <w:p>
            <w:pPr>
              <w:spacing w:after="0"/>
            </w:pPr>
            <w:r>
              <w:rPr>
                <w:sz w:val="17"/>
              </w:rPr>
            </w:r>
            <w:r>
              <w:rPr>
                <w:sz w:val="17"/>
              </w:rPr>
              <w:t>First sentence only</w:t>
            </w:r>
          </w:p>
        </w:tc>
        <w:tc>
          <w:tcPr>
            <w:tcW w:type="dxa" w:w="3168"/>
          </w:tcPr>
          <w:p>
            <w:pPr>
              <w:spacing w:after="0"/>
            </w:pPr>
            <w:r>
              <w:rPr>
                <w:sz w:val="17"/>
              </w:rPr>
            </w:r>
            <w:r>
              <w:rPr>
                <w:sz w:val="17"/>
              </w:rPr>
              <w:t>Corrosion/structural deficiency is not a Pollution Condition absent a release</w:t>
            </w:r>
          </w:p>
        </w:tc>
        <w:tc>
          <w:tcPr>
            <w:tcW w:type="dxa" w:w="2304"/>
          </w:tcPr>
          <w:p>
            <w:pPr>
              <w:spacing w:after="0"/>
            </w:pPr>
            <w:r>
              <w:rPr>
                <w:sz w:val="17"/>
              </w:rPr>
            </w:r>
            <w:r>
              <w:rPr>
                <w:sz w:val="17"/>
              </w:rPr>
              <w:t>Defeats Known Conditions ground</w:t>
            </w:r>
          </w:p>
        </w:tc>
      </w:tr>
      <w:tr>
        <w:tc>
          <w:tcPr>
            <w:tcW w:type="dxa" w:w="1728"/>
          </w:tcPr>
          <w:p>
            <w:pPr>
              <w:spacing w:after="0"/>
            </w:pPr>
            <w:r>
              <w:rPr>
                <w:sz w:val="17"/>
              </w:rPr>
            </w:r>
            <w:r>
              <w:rPr>
                <w:sz w:val="17"/>
              </w:rPr>
              <w:t>PLL § V.C (Known Conditions)</w:t>
            </w:r>
          </w:p>
        </w:tc>
        <w:tc>
          <w:tcPr>
            <w:tcW w:type="dxa" w:w="2160"/>
          </w:tcPr>
          <w:p>
            <w:pPr>
              <w:spacing w:after="0"/>
            </w:pPr>
            <w:r>
              <w:rPr>
                <w:sz w:val="17"/>
              </w:rPr>
            </w:r>
            <w:r>
              <w:rPr>
                <w:sz w:val="17"/>
              </w:rPr>
              <w:t>First sentence only</w:t>
            </w:r>
          </w:p>
        </w:tc>
        <w:tc>
          <w:tcPr>
            <w:tcW w:type="dxa" w:w="3168"/>
          </w:tcPr>
          <w:p>
            <w:pPr>
              <w:spacing w:after="0"/>
            </w:pPr>
            <w:r>
              <w:rPr>
                <w:sz w:val="17"/>
              </w:rPr>
            </w:r>
            <w:r>
              <w:rPr>
                <w:sz w:val="17"/>
              </w:rPr>
              <w:t>Knowledge definition; avoidance-of-doubt sentence on structural/maintenance knowledge</w:t>
            </w:r>
          </w:p>
        </w:tc>
        <w:tc>
          <w:tcPr>
            <w:tcW w:type="dxa" w:w="2304"/>
          </w:tcPr>
          <w:p>
            <w:pPr>
              <w:spacing w:after="0"/>
            </w:pPr>
            <w:r>
              <w:rPr>
                <w:sz w:val="17"/>
              </w:rPr>
            </w:r>
            <w:r>
              <w:rPr>
                <w:sz w:val="17"/>
              </w:rPr>
              <w:t>Defeats Known Conditions ground</w:t>
            </w:r>
          </w:p>
        </w:tc>
      </w:tr>
      <w:tr>
        <w:tc>
          <w:tcPr>
            <w:tcW w:type="dxa" w:w="1728"/>
          </w:tcPr>
          <w:p>
            <w:pPr>
              <w:spacing w:after="0"/>
            </w:pPr>
            <w:r>
              <w:rPr>
                <w:sz w:val="17"/>
              </w:rPr>
            </w:r>
            <w:r>
              <w:rPr>
                <w:sz w:val="17"/>
              </w:rPr>
              <w:t>PLL § V.F (Intentional Non-Compliance)</w:t>
            </w:r>
          </w:p>
        </w:tc>
        <w:tc>
          <w:tcPr>
            <w:tcW w:type="dxa" w:w="2160"/>
          </w:tcPr>
          <w:p>
            <w:pPr>
              <w:spacing w:after="0"/>
            </w:pPr>
            <w:r>
              <w:rPr>
                <w:sz w:val="17"/>
              </w:rPr>
            </w:r>
            <w:r>
              <w:rPr>
                <w:sz w:val="17"/>
              </w:rPr>
              <w:t>First sentence, without the “applicable to the prevention … of Pollutants” qualifier</w:t>
            </w:r>
          </w:p>
        </w:tc>
        <w:tc>
          <w:tcPr>
            <w:tcW w:type="dxa" w:w="3168"/>
          </w:tcPr>
          <w:p>
            <w:pPr>
              <w:spacing w:after="0"/>
            </w:pPr>
            <w:r>
              <w:rPr>
                <w:sz w:val="17"/>
              </w:rPr>
            </w:r>
            <w:r>
              <w:rPr>
                <w:sz w:val="17"/>
              </w:rPr>
              <w:t>Qualifier; “knowing and willful” definition; industry-standards carve-out</w:t>
            </w:r>
          </w:p>
        </w:tc>
        <w:tc>
          <w:tcPr>
            <w:tcW w:type="dxa" w:w="2304"/>
          </w:tcPr>
          <w:p>
            <w:pPr>
              <w:spacing w:after="0"/>
            </w:pPr>
            <w:r>
              <w:rPr>
                <w:sz w:val="17"/>
              </w:rPr>
            </w:r>
            <w:r>
              <w:rPr>
                <w:sz w:val="17"/>
              </w:rPr>
              <w:t>Defeats ground entirely</w:t>
            </w:r>
          </w:p>
        </w:tc>
      </w:tr>
      <w:tr>
        <w:tc>
          <w:tcPr>
            <w:tcW w:type="dxa" w:w="1728"/>
          </w:tcPr>
          <w:p>
            <w:pPr>
              <w:spacing w:after="0"/>
            </w:pPr>
            <w:r>
              <w:rPr>
                <w:sz w:val="17"/>
              </w:rPr>
            </w:r>
            <w:r>
              <w:rPr>
                <w:sz w:val="17"/>
              </w:rPr>
              <w:t>PLL § II.O (Pollutant)</w:t>
            </w:r>
          </w:p>
        </w:tc>
        <w:tc>
          <w:tcPr>
            <w:tcW w:type="dxa" w:w="2160"/>
          </w:tcPr>
          <w:p>
            <w:pPr>
              <w:spacing w:after="0"/>
            </w:pPr>
            <w:r>
              <w:rPr>
                <w:sz w:val="17"/>
              </w:rPr>
            </w:r>
            <w:r>
              <w:rPr>
                <w:sz w:val="17"/>
              </w:rPr>
              <w:t>First sentence only</w:t>
            </w:r>
          </w:p>
        </w:tc>
        <w:tc>
          <w:tcPr>
            <w:tcW w:type="dxa" w:w="3168"/>
          </w:tcPr>
          <w:p>
            <w:pPr>
              <w:spacing w:after="0"/>
            </w:pPr>
            <w:r>
              <w:rPr>
                <w:sz w:val="17"/>
              </w:rPr>
            </w:r>
            <w:r>
              <w:rPr>
                <w:sz w:val="17"/>
              </w:rPr>
              <w:t>Three sentences, including the “standard/common/industrial” sentence</w:t>
            </w:r>
          </w:p>
        </w:tc>
        <w:tc>
          <w:tcPr>
            <w:tcW w:type="dxa" w:w="2304"/>
          </w:tcPr>
          <w:p>
            <w:pPr>
              <w:spacing w:after="0"/>
            </w:pPr>
            <w:r>
              <w:rPr>
                <w:sz w:val="17"/>
              </w:rPr>
            </w:r>
            <w:r>
              <w:rPr>
                <w:sz w:val="17"/>
              </w:rPr>
              <w:t>Defeats ground entirely</w:t>
            </w:r>
          </w:p>
        </w:tc>
      </w:tr>
    </w:tbl>
    <w:p>
      <w:pPr>
        <w:spacing w:after="40"/>
      </w:pPr>
    </w:p>
    <w:p>
      <w:pPr>
        <w:pStyle w:val="Heading2"/>
      </w:pPr>
      <w:r>
        <w:t>B. Mischaracterization of the Evidentiary Record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val="clear" w:color="auto" w:fill="D9E2F3"/>
          </w:tcPr>
          <w:p>
            <w:r/>
            <w:r>
              <w:rPr>
                <w:b/>
                <w:sz w:val="17"/>
              </w:rPr>
              <w:t>Letter statement</w:t>
            </w:r>
          </w:p>
        </w:tc>
        <w:tc>
          <w:tcPr>
            <w:tcW w:type="dxa" w:w="4032"/>
            <w:shd w:val="clear" w:color="auto" w:fill="D9E2F3"/>
          </w:tcPr>
          <w:p>
            <w:r/>
            <w:r>
              <w:rPr>
                <w:b/>
                <w:sz w:val="17"/>
              </w:rPr>
              <w:t>What the record shows</w:t>
            </w:r>
          </w:p>
        </w:tc>
        <w:tc>
          <w:tcPr>
            <w:tcW w:type="dxa" w:w="2448"/>
            <w:shd w:val="clear" w:color="auto" w:fill="D9E2F3"/>
          </w:tcPr>
          <w:p>
            <w:r/>
            <w:r>
              <w:rPr>
                <w:b/>
                <w:sz w:val="17"/>
              </w:rPr>
              <w:t>Source</w:t>
            </w:r>
          </w:p>
        </w:tc>
      </w:tr>
      <w:tr>
        <w:tc>
          <w:tcPr>
            <w:tcW w:type="dxa" w:w="2880"/>
          </w:tcPr>
          <w:p>
            <w:pPr>
              <w:spacing w:after="0"/>
            </w:pPr>
            <w:r>
              <w:rPr>
                <w:sz w:val="17"/>
              </w:rPr>
            </w:r>
            <w:r>
              <w:rPr>
                <w:sz w:val="17"/>
              </w:rPr>
              <w:t>Corrosion “exacerbated by inadequate cathodic protection”</w:t>
            </w:r>
          </w:p>
        </w:tc>
        <w:tc>
          <w:tcPr>
            <w:tcW w:type="dxa" w:w="4032"/>
          </w:tcPr>
          <w:p>
            <w:pPr>
              <w:spacing w:after="0"/>
            </w:pPr>
            <w:r>
              <w:rPr>
                <w:sz w:val="17"/>
              </w:rPr>
            </w:r>
            <w:r>
              <w:rPr>
                <w:sz w:val="17"/>
              </w:rPr>
              <w:t>No such finding in Vector; CP readings within NACE SP0169 in 2022–2024; CP protects only external soil-side bottom</w:t>
            </w:r>
          </w:p>
        </w:tc>
        <w:tc>
          <w:tcPr>
            <w:tcW w:type="dxa" w:w="2448"/>
          </w:tcPr>
          <w:p>
            <w:pPr>
              <w:spacing w:after="0"/>
            </w:pPr>
            <w:r>
              <w:rPr>
                <w:sz w:val="17"/>
              </w:rPr>
            </w:r>
            <w:r>
              <w:rPr>
                <w:sz w:val="17"/>
              </w:rPr>
              <w:t>Vector §§ 4.2, 6; CMMS 2.4, 2.8, 2.10; CTIS 2023 § 4.7</w:t>
            </w:r>
          </w:p>
        </w:tc>
      </w:tr>
      <w:tr>
        <w:tc>
          <w:tcPr>
            <w:tcW w:type="dxa" w:w="2880"/>
          </w:tcPr>
          <w:p>
            <w:pPr>
              <w:spacing w:after="0"/>
            </w:pPr>
            <w:r>
              <w:rPr>
                <w:sz w:val="17"/>
              </w:rPr>
            </w:r>
            <w:r>
              <w:rPr>
                <w:sz w:val="17"/>
              </w:rPr>
              <w:t>2023 inspection identified the condition that caused the failure</w:t>
            </w:r>
          </w:p>
        </w:tc>
        <w:tc>
          <w:tcPr>
            <w:tcW w:type="dxa" w:w="4032"/>
          </w:tcPr>
          <w:p>
            <w:pPr>
              <w:spacing w:after="0"/>
            </w:pPr>
            <w:r>
              <w:rPr>
                <w:sz w:val="17"/>
              </w:rPr>
            </w:r>
            <w:r>
              <w:rPr>
                <w:sz w:val="17"/>
              </w:rPr>
              <w:t>“Separate and distinct condition,” different in location, mechanism, and severity</w:t>
            </w:r>
          </w:p>
        </w:tc>
        <w:tc>
          <w:tcPr>
            <w:tcW w:type="dxa" w:w="2448"/>
          </w:tcPr>
          <w:p>
            <w:pPr>
              <w:spacing w:after="0"/>
            </w:pPr>
            <w:r>
              <w:rPr>
                <w:sz w:val="17"/>
              </w:rPr>
            </w:r>
            <w:r>
              <w:rPr>
                <w:sz w:val="17"/>
              </w:rPr>
              <w:t>Vector § 4.3; Concl. 6</w:t>
            </w:r>
          </w:p>
        </w:tc>
      </w:tr>
      <w:tr>
        <w:tc>
          <w:tcPr>
            <w:tcW w:type="dxa" w:w="2880"/>
          </w:tcPr>
          <w:p>
            <w:pPr>
              <w:spacing w:after="0"/>
            </w:pPr>
            <w:r>
              <w:rPr>
                <w:sz w:val="17"/>
              </w:rPr>
            </w:r>
            <w:r>
              <w:rPr>
                <w:sz w:val="17"/>
              </w:rPr>
              <w:t>2023 report recommended only “monitoring”</w:t>
            </w:r>
          </w:p>
        </w:tc>
        <w:tc>
          <w:tcPr>
            <w:tcW w:type="dxa" w:w="4032"/>
          </w:tcPr>
          <w:p>
            <w:pPr>
              <w:spacing w:after="0"/>
            </w:pPr>
            <w:r>
              <w:rPr>
                <w:sz w:val="17"/>
              </w:rPr>
            </w:r>
            <w:r>
              <w:rPr>
                <w:sz w:val="17"/>
              </w:rPr>
              <w:t>Recommended recoat within 90 days (done Aug. 3, 2023) and expressly no internal inspection</w:t>
            </w:r>
          </w:p>
        </w:tc>
        <w:tc>
          <w:tcPr>
            <w:tcW w:type="dxa" w:w="2448"/>
          </w:tcPr>
          <w:p>
            <w:pPr>
              <w:spacing w:after="0"/>
            </w:pPr>
            <w:r>
              <w:rPr>
                <w:sz w:val="17"/>
              </w:rPr>
            </w:r>
            <w:r>
              <w:rPr>
                <w:sz w:val="17"/>
              </w:rPr>
              <w:t>CTIS 2023 §§ 4.2, 6; CMMS 2.7</w:t>
            </w:r>
          </w:p>
        </w:tc>
      </w:tr>
      <w:tr>
        <w:tc>
          <w:tcPr>
            <w:tcW w:type="dxa" w:w="2880"/>
          </w:tcPr>
          <w:p>
            <w:pPr>
              <w:spacing w:after="0"/>
            </w:pPr>
            <w:r>
              <w:rPr>
                <w:sz w:val="17"/>
              </w:rPr>
            </w:r>
            <w:r>
              <w:rPr>
                <w:sz w:val="17"/>
              </w:rPr>
              <w:t>Greenfield “did not take adequate steps to investigate or remediate”</w:t>
            </w:r>
          </w:p>
        </w:tc>
        <w:tc>
          <w:tcPr>
            <w:tcW w:type="dxa" w:w="4032"/>
          </w:tcPr>
          <w:p>
            <w:pPr>
              <w:spacing w:after="0"/>
            </w:pPr>
            <w:r>
              <w:rPr>
                <w:sz w:val="17"/>
              </w:rPr>
            </w:r>
            <w:r>
              <w:rPr>
                <w:sz w:val="17"/>
              </w:rPr>
              <w:t>Recoat completed; monthly rounds; annual CP surveys</w:t>
            </w:r>
          </w:p>
        </w:tc>
        <w:tc>
          <w:tcPr>
            <w:tcW w:type="dxa" w:w="2448"/>
          </w:tcPr>
          <w:p>
            <w:pPr>
              <w:spacing w:after="0"/>
            </w:pPr>
            <w:r>
              <w:rPr>
                <w:sz w:val="17"/>
              </w:rPr>
            </w:r>
            <w:r>
              <w:rPr>
                <w:sz w:val="17"/>
              </w:rPr>
              <w:t>CMMS 2.4–2.11; Vector Concl. 7</w:t>
            </w:r>
          </w:p>
        </w:tc>
      </w:tr>
      <w:tr>
        <w:tc>
          <w:tcPr>
            <w:tcW w:type="dxa" w:w="2880"/>
          </w:tcPr>
          <w:p>
            <w:pPr>
              <w:spacing w:after="0"/>
            </w:pPr>
            <w:r>
              <w:rPr>
                <w:sz w:val="17"/>
              </w:rPr>
            </w:r>
            <w:r>
              <w:rPr>
                <w:sz w:val="17"/>
              </w:rPr>
              <w:t>Severity of corrosion “reflects a fundamental failure” of maintenance</w:t>
            </w:r>
          </w:p>
        </w:tc>
        <w:tc>
          <w:tcPr>
            <w:tcW w:type="dxa" w:w="4032"/>
          </w:tcPr>
          <w:p>
            <w:pPr>
              <w:spacing w:after="0"/>
            </w:pPr>
            <w:r>
              <w:rPr>
                <w:sz w:val="17"/>
              </w:rPr>
            </w:r>
            <w:r>
              <w:rPr>
                <w:sz w:val="17"/>
              </w:rPr>
              <w:t>“[D]id not identify any specific deficiency”</w:t>
            </w:r>
          </w:p>
        </w:tc>
        <w:tc>
          <w:tcPr>
            <w:tcW w:type="dxa" w:w="2448"/>
          </w:tcPr>
          <w:p>
            <w:pPr>
              <w:spacing w:after="0"/>
            </w:pPr>
            <w:r>
              <w:rPr>
                <w:sz w:val="17"/>
              </w:rPr>
            </w:r>
            <w:r>
              <w:rPr>
                <w:sz w:val="17"/>
              </w:rPr>
              <w:t>Vector § 4.4; Concl. 8</w:t>
            </w:r>
          </w:p>
        </w:tc>
      </w:tr>
      <w:tr>
        <w:tc>
          <w:tcPr>
            <w:tcW w:type="dxa" w:w="2880"/>
          </w:tcPr>
          <w:p>
            <w:pPr>
              <w:spacing w:after="0"/>
            </w:pPr>
            <w:r>
              <w:rPr>
                <w:sz w:val="17"/>
              </w:rPr>
            </w:r>
            <w:r>
              <w:rPr>
                <w:sz w:val="17"/>
              </w:rPr>
              <w:t>API 653 required an internal inspection; API 653 is “the applicable regulatory standard”</w:t>
            </w:r>
          </w:p>
        </w:tc>
        <w:tc>
          <w:tcPr>
            <w:tcW w:type="dxa" w:w="4032"/>
          </w:tcPr>
          <w:p>
            <w:pPr>
              <w:spacing w:after="0"/>
            </w:pPr>
            <w:r>
              <w:rPr>
                <w:sz w:val="17"/>
              </w:rPr>
            </w:r>
            <w:r>
              <w:rPr>
                <w:sz w:val="17"/>
              </w:rPr>
              <w:t>API 653 is an industry standard; it did not require an internal inspection on these facts</w:t>
            </w:r>
          </w:p>
        </w:tc>
        <w:tc>
          <w:tcPr>
            <w:tcW w:type="dxa" w:w="2448"/>
          </w:tcPr>
          <w:p>
            <w:pPr>
              <w:spacing w:after="0"/>
            </w:pPr>
            <w:r>
              <w:rPr>
                <w:sz w:val="17"/>
              </w:rPr>
            </w:r>
            <w:r>
              <w:rPr>
                <w:sz w:val="17"/>
              </w:rPr>
              <w:t>Vector § 4.4; CTIS 2023 § 6</w:t>
            </w:r>
          </w:p>
        </w:tc>
      </w:tr>
      <w:tr>
        <w:tc>
          <w:tcPr>
            <w:tcW w:type="dxa" w:w="2880"/>
          </w:tcPr>
          <w:p>
            <w:pPr>
              <w:spacing w:after="0"/>
            </w:pPr>
            <w:r>
              <w:rPr>
                <w:sz w:val="17"/>
              </w:rPr>
            </w:r>
            <w:r>
              <w:rPr>
                <w:sz w:val="17"/>
              </w:rPr>
              <w:t>Failure was not “sudden”; “inevitable and foreseeable culmination”</w:t>
            </w:r>
          </w:p>
        </w:tc>
        <w:tc>
          <w:tcPr>
            <w:tcW w:type="dxa" w:w="4032"/>
          </w:tcPr>
          <w:p>
            <w:pPr>
              <w:spacing w:after="0"/>
            </w:pPr>
            <w:r>
              <w:rPr>
                <w:sz w:val="17"/>
              </w:rPr>
            </w:r>
            <w:r>
              <w:rPr>
                <w:sz w:val="17"/>
              </w:rPr>
              <w:t>“[A]brupt, sudden, and instantaneous”; no precursors</w:t>
            </w:r>
          </w:p>
        </w:tc>
        <w:tc>
          <w:tcPr>
            <w:tcW w:type="dxa" w:w="2448"/>
          </w:tcPr>
          <w:p>
            <w:pPr>
              <w:spacing w:after="0"/>
            </w:pPr>
            <w:r>
              <w:rPr>
                <w:sz w:val="17"/>
              </w:rPr>
            </w:r>
            <w:r>
              <w:rPr>
                <w:sz w:val="17"/>
              </w:rPr>
              <w:t>Vector §§ 4.1–4.2; Concl. 4; LDEQ ¶ III.1</w:t>
            </w:r>
          </w:p>
        </w:tc>
      </w:tr>
      <w:tr>
        <w:tc>
          <w:tcPr>
            <w:tcW w:type="dxa" w:w="2880"/>
          </w:tcPr>
          <w:p>
            <w:pPr>
              <w:spacing w:after="0"/>
            </w:pPr>
            <w:r>
              <w:rPr>
                <w:sz w:val="17"/>
              </w:rPr>
            </w:r>
            <w:r>
              <w:rPr>
                <w:sz w:val="17"/>
              </w:rPr>
              <w:t>Vector “confirms” a 3–5 year corrosion period</w:t>
            </w:r>
          </w:p>
        </w:tc>
        <w:tc>
          <w:tcPr>
            <w:tcW w:type="dxa" w:w="4032"/>
          </w:tcPr>
          <w:p>
            <w:pPr>
              <w:spacing w:after="0"/>
            </w:pPr>
            <w:r>
              <w:rPr>
                <w:sz w:val="17"/>
              </w:rPr>
            </w:r>
            <w:r>
              <w:rPr>
                <w:sz w:val="17"/>
              </w:rPr>
              <w:t>Estimate is “preliminary” pending metallurgy</w:t>
            </w:r>
          </w:p>
        </w:tc>
        <w:tc>
          <w:tcPr>
            <w:tcW w:type="dxa" w:w="2448"/>
          </w:tcPr>
          <w:p>
            <w:pPr>
              <w:spacing w:after="0"/>
            </w:pPr>
            <w:r>
              <w:rPr>
                <w:sz w:val="17"/>
              </w:rPr>
            </w:r>
            <w:r>
              <w:rPr>
                <w:sz w:val="17"/>
              </w:rPr>
              <w:t>Vector §§ 1, 4.2, 7</w:t>
            </w:r>
          </w:p>
        </w:tc>
      </w:tr>
      <w:tr>
        <w:tc>
          <w:tcPr>
            <w:tcW w:type="dxa" w:w="2880"/>
          </w:tcPr>
          <w:p>
            <w:pPr>
              <w:spacing w:after="0"/>
            </w:pPr>
            <w:r>
              <w:rPr>
                <w:sz w:val="17"/>
              </w:rPr>
            </w:r>
            <w:r>
              <w:rPr>
                <w:sz w:val="17"/>
              </w:rPr>
              <w:t>“27-day delay in providing formal notice”</w:t>
            </w:r>
          </w:p>
        </w:tc>
        <w:tc>
          <w:tcPr>
            <w:tcW w:type="dxa" w:w="4032"/>
          </w:tcPr>
          <w:p>
            <w:pPr>
              <w:spacing w:after="0"/>
            </w:pPr>
            <w:r>
              <w:rPr>
                <w:sz w:val="17"/>
              </w:rPr>
            </w:r>
            <w:r>
              <w:rPr>
                <w:sz w:val="17"/>
              </w:rPr>
              <w:t>Notice same day; acknowledged March 15, 2025</w:t>
            </w:r>
          </w:p>
        </w:tc>
        <w:tc>
          <w:tcPr>
            <w:tcW w:type="dxa" w:w="2448"/>
          </w:tcPr>
          <w:p>
            <w:pPr>
              <w:spacing w:after="0"/>
            </w:pPr>
            <w:r>
              <w:rPr>
                <w:sz w:val="17"/>
              </w:rPr>
            </w:r>
            <w:r>
              <w:rPr>
                <w:sz w:val="17"/>
              </w:rPr>
              <w:t>Email chain</w:t>
            </w:r>
          </w:p>
        </w:tc>
      </w:tr>
      <w:tr>
        <w:tc>
          <w:tcPr>
            <w:tcW w:type="dxa" w:w="2880"/>
          </w:tcPr>
          <w:p>
            <w:pPr>
              <w:spacing w:after="0"/>
            </w:pPr>
            <w:r>
              <w:rPr>
                <w:sz w:val="17"/>
              </w:rPr>
            </w:r>
            <w:r>
              <w:rPr>
                <w:sz w:val="17"/>
              </w:rPr>
              <w:t>Evidence “may have been altered or destroyed”</w:t>
            </w:r>
          </w:p>
        </w:tc>
        <w:tc>
          <w:tcPr>
            <w:tcW w:type="dxa" w:w="4032"/>
          </w:tcPr>
          <w:p>
            <w:pPr>
              <w:spacing w:after="0"/>
            </w:pPr>
            <w:r>
              <w:rPr>
                <w:sz w:val="17"/>
              </w:rPr>
            </w:r>
            <w:r>
              <w:rPr>
                <w:sz w:val="17"/>
              </w:rPr>
              <w:t>Pinnacle’s engineers collected specimens under chain of custody within 8 days</w:t>
            </w:r>
          </w:p>
        </w:tc>
        <w:tc>
          <w:tcPr>
            <w:tcW w:type="dxa" w:w="2448"/>
          </w:tcPr>
          <w:p>
            <w:pPr>
              <w:spacing w:after="0"/>
            </w:pPr>
            <w:r>
              <w:rPr>
                <w:sz w:val="17"/>
              </w:rPr>
            </w:r>
            <w:r>
              <w:rPr>
                <w:sz w:val="17"/>
              </w:rPr>
              <w:t>Vector § 3</w:t>
            </w:r>
          </w:p>
        </w:tc>
      </w:tr>
      <w:tr>
        <w:tc>
          <w:tcPr>
            <w:tcW w:type="dxa" w:w="2880"/>
          </w:tcPr>
          <w:p>
            <w:pPr>
              <w:spacing w:after="0"/>
            </w:pPr>
            <w:r>
              <w:rPr>
                <w:sz w:val="17"/>
              </w:rPr>
            </w:r>
            <w:r>
              <w:rPr>
                <w:sz w:val="17"/>
              </w:rPr>
              <w:t>“[N]o evidence or explanation” for the 48-day shutdown</w:t>
            </w:r>
          </w:p>
        </w:tc>
        <w:tc>
          <w:tcPr>
            <w:tcW w:type="dxa" w:w="4032"/>
          </w:tcPr>
          <w:p>
            <w:pPr>
              <w:spacing w:after="0"/>
            </w:pPr>
            <w:r>
              <w:rPr>
                <w:sz w:val="17"/>
              </w:rPr>
            </w:r>
            <w:r>
              <w:rPr>
                <w:sz w:val="17"/>
              </w:rPr>
              <w:t>LDEQ site restrictions; unsafe building; electrical recertification; Pinnacle never requested information</w:t>
            </w:r>
          </w:p>
        </w:tc>
        <w:tc>
          <w:tcPr>
            <w:tcW w:type="dxa" w:w="2448"/>
          </w:tcPr>
          <w:p>
            <w:pPr>
              <w:spacing w:after="0"/>
            </w:pPr>
            <w:r>
              <w:rPr>
                <w:sz w:val="17"/>
              </w:rPr>
            </w:r>
            <w:r>
              <w:rPr>
                <w:sz w:val="17"/>
              </w:rPr>
              <w:t>LDEQ ¶ V.2; BI Mitigation tab</w:t>
            </w:r>
          </w:p>
        </w:tc>
      </w:tr>
      <w:tr>
        <w:tc>
          <w:tcPr>
            <w:tcW w:type="dxa" w:w="2880"/>
          </w:tcPr>
          <w:p>
            <w:pPr>
              <w:spacing w:after="0"/>
            </w:pPr>
            <w:r>
              <w:rPr>
                <w:sz w:val="17"/>
              </w:rPr>
            </w:r>
            <w:r>
              <w:rPr>
                <w:sz w:val="17"/>
              </w:rPr>
              <w:t>MDEA/MEA not CERCLA-regulated or TRI-listed; not hazardous</w:t>
            </w:r>
          </w:p>
        </w:tc>
        <w:tc>
          <w:tcPr>
            <w:tcW w:type="dxa" w:w="4032"/>
          </w:tcPr>
          <w:p>
            <w:pPr>
              <w:spacing w:after="0"/>
            </w:pPr>
            <w:r>
              <w:rPr>
                <w:sz w:val="17"/>
              </w:rPr>
            </w:r>
            <w:r>
              <w:rPr>
                <w:sz w:val="17"/>
              </w:rPr>
              <w:t>LDEQ found both hazardous, CERCLA/EPCRA-regulated, and TRI-listed</w:t>
            </w:r>
          </w:p>
        </w:tc>
        <w:tc>
          <w:tcPr>
            <w:tcW w:type="dxa" w:w="2448"/>
          </w:tcPr>
          <w:p>
            <w:pPr>
              <w:spacing w:after="0"/>
            </w:pPr>
            <w:r>
              <w:rPr>
                <w:sz w:val="17"/>
              </w:rPr>
            </w:r>
            <w:r>
              <w:rPr>
                <w:sz w:val="17"/>
              </w:rPr>
              <w:t>LDEQ ¶ III.4</w:t>
            </w:r>
          </w:p>
        </w:tc>
      </w:tr>
    </w:tbl>
    <w:p>
      <w:pPr>
        <w:spacing w:after="40"/>
      </w:pPr>
    </w:p>
    <w:p>
      <w:pPr>
        <w:pStyle w:val="Heading2"/>
      </w:pPr>
      <w:r>
        <w:t>C. Procedural Defects</w:t>
      </w:r>
    </w:p>
    <w:p>
      <w:pPr>
        <w:pStyle w:val="ListBullet"/>
        <w:spacing w:after="60"/>
      </w:pPr>
      <w:r>
        <w:rPr>
          <w:b/>
        </w:rPr>
        <w:t>Premature “final” determination.</w:t>
      </w:r>
      <w:r>
        <w:t xml:space="preserve"> Pinnacle issued a “final and complete coverage determination” eleven days after receiving a report expressly “PRELIMINARY — SUBJECT TO REVISION UPON COMPLETION OF METALLURGICAL ANALYSIS,” with results expected within 4–6 weeks (Vector § 7).</w:t>
      </w:r>
    </w:p>
    <w:p>
      <w:pPr>
        <w:pStyle w:val="ListBullet"/>
        <w:spacing w:after="60"/>
      </w:pPr>
      <w:r>
        <w:rPr>
          <w:b/>
        </w:rPr>
        <w:t>No investigation of key issues.</w:t>
      </w:r>
      <w:r>
        <w:t xml:space="preserve"> Pinnacle did not request records, examinations under oath, or mitigation information under CP § V.B, and did not request information regarding LDEQ restrictions, before denying.</w:t>
      </w:r>
    </w:p>
    <w:p>
      <w:pPr>
        <w:pStyle w:val="ListBullet"/>
        <w:spacing w:after="60"/>
      </w:pPr>
      <w:r>
        <w:rPr>
          <w:b/>
        </w:rPr>
        <w:t>No payment of undisputed amounts.</w:t>
      </w:r>
      <w:r>
        <w:t xml:space="preserve"> Even on Pinnacle’s own theory, substantial fire damage to the processing building, pipe rack, Tank 6, and electrical systems is covered by the Ensuing Loss Provision. Louisiana law requires payment of undisputed amounts within the statutory period after satisfactory proof of loss (La. R.S. 22:1892) [cite-check].</w:t>
      </w:r>
    </w:p>
    <w:p>
      <w:pPr>
        <w:pStyle w:val="ListBullet"/>
        <w:spacing w:after="60"/>
      </w:pPr>
      <w:r>
        <w:rPr>
          <w:b/>
        </w:rPr>
        <w:t>Reliance on a document labeled privileged.</w:t>
      </w:r>
      <w:r>
        <w:t xml:space="preserve"> The Vector report is designated attorney-client privileged and work product, “prepared at the direction of” Pinnacle’s coverage counsel. By relying on it as the factual basis for denial, Pinnacle has put it at issue; Greenfield should demand Vector’s complete file (Appendices A–D, UT data, laboratory results, and the final report) and contend that any protection has been waived.</w:t>
      </w:r>
    </w:p>
    <w:p>
      <w:pPr>
        <w:pStyle w:val="ListBullet"/>
        <w:spacing w:after="60"/>
      </w:pPr>
      <w:r>
        <w:rPr>
          <w:b/>
        </w:rPr>
        <w:t>Generic reservation.</w:t>
      </w:r>
      <w:r>
        <w:t xml:space="preserve"> The Letter reserves “additional rights, defenses, or policy provisions not specifically addressed.” Greenfield should anticipate new defenses (Part VIII) and should not assume waiver or estoppel will bar them.</w:t>
      </w:r>
    </w:p>
    <w:p>
      <w:pPr>
        <w:pStyle w:val="Heading1"/>
      </w:pPr>
      <w:r>
        <w:t>VIII. Issues Pinnacle Did Not Raise and Greenfield’s Vulnerabilities</w:t>
      </w:r>
    </w:p>
    <w:p>
      <w:pPr>
        <w:jc w:val="both"/>
      </w:pPr>
      <w:r>
        <w:t>A complete analysis must anticipate defenses Pinnacle has reserved but not asserted, and weaknesses in Greenfield’s own record: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D9E2F3"/>
          </w:tcPr>
          <w:p>
            <w:r/>
            <w:r>
              <w:rPr>
                <w:b/>
                <w:sz w:val="17"/>
              </w:rPr>
              <w:t>Issue</w:t>
            </w:r>
          </w:p>
        </w:tc>
        <w:tc>
          <w:tcPr>
            <w:tcW w:type="dxa" w:w="4752"/>
            <w:shd w:val="clear" w:color="auto" w:fill="D9E2F3"/>
          </w:tcPr>
          <w:p>
            <w:r/>
            <w:r>
              <w:rPr>
                <w:b/>
                <w:sz w:val="17"/>
              </w:rPr>
              <w:t>Analysis</w:t>
            </w:r>
          </w:p>
        </w:tc>
        <w:tc>
          <w:tcPr>
            <w:tcW w:type="dxa" w:w="2592"/>
            <w:shd w:val="clear" w:color="auto" w:fill="D9E2F3"/>
          </w:tcPr>
          <w:p>
            <w:r/>
            <w:r>
              <w:rPr>
                <w:b/>
                <w:sz w:val="17"/>
              </w:rPr>
              <w:t>Exposure / action</w:t>
            </w:r>
          </w:p>
        </w:tc>
      </w:tr>
      <w:tr>
        <w:tc>
          <w:tcPr>
            <w:tcW w:type="dxa" w:w="2016"/>
          </w:tcPr>
          <w:p>
            <w:pPr>
              <w:spacing w:after="0"/>
            </w:pPr>
            <w:r>
              <w:rPr>
                <w:sz w:val="17"/>
              </w:rPr>
            </w:r>
            <w:r>
              <w:rPr>
                <w:sz w:val="17"/>
              </w:rPr>
              <w:t>Electrical disturbance exclusion (CP § IV.H)</w:t>
            </w:r>
          </w:p>
        </w:tc>
        <w:tc>
          <w:tcPr>
            <w:tcW w:type="dxa" w:w="4752"/>
          </w:tcPr>
          <w:p>
            <w:pPr>
              <w:spacing w:after="0"/>
            </w:pPr>
            <w:r>
              <w:rPr>
                <w:sz w:val="17"/>
              </w:rPr>
            </w:r>
            <w:r>
              <w:rPr>
                <w:sz w:val="17"/>
              </w:rPr>
              <w:t>Excludes damage from “electrical arcing … unless fire ensues, and then only for the loss … caused by the ensuing fire.” The arc flash at JB-14 fits; the ensuing fire is expressly covered.</w:t>
            </w:r>
          </w:p>
        </w:tc>
        <w:tc>
          <w:tcPr>
            <w:tcW w:type="dxa" w:w="2592"/>
          </w:tcPr>
          <w:p>
            <w:pPr>
              <w:spacing w:after="0"/>
            </w:pPr>
            <w:r>
              <w:rPr>
                <w:sz w:val="17"/>
              </w:rPr>
            </w:r>
            <w:r>
              <w:rPr>
                <w:sz w:val="17"/>
              </w:rPr>
              <w:t>Low: arc damage to JB-14 itself. Segregate JB-14 in the estimate.</w:t>
            </w:r>
          </w:p>
        </w:tc>
      </w:tr>
      <w:tr>
        <w:tc>
          <w:tcPr>
            <w:tcW w:type="dxa" w:w="2016"/>
          </w:tcPr>
          <w:p>
            <w:pPr>
              <w:spacing w:after="0"/>
            </w:pPr>
            <w:r>
              <w:rPr>
                <w:sz w:val="17"/>
              </w:rPr>
            </w:r>
            <w:r>
              <w:rPr>
                <w:sz w:val="17"/>
              </w:rPr>
              <w:t>Tank 7 itself (CP § IV.D)</w:t>
            </w:r>
          </w:p>
        </w:tc>
        <w:tc>
          <w:tcPr>
            <w:tcW w:type="dxa" w:w="4752"/>
          </w:tcPr>
          <w:p>
            <w:pPr>
              <w:spacing w:after="0"/>
            </w:pPr>
            <w:r>
              <w:rPr>
                <w:sz w:val="17"/>
              </w:rPr>
            </w:r>
            <w:r>
              <w:rPr>
                <w:sz w:val="17"/>
              </w:rPr>
              <w:t>The corroded item is excluded by the express terms of § IV.D.</w:t>
            </w:r>
          </w:p>
        </w:tc>
        <w:tc>
          <w:tcPr>
            <w:tcW w:type="dxa" w:w="2592"/>
          </w:tcPr>
          <w:p>
            <w:pPr>
              <w:spacing w:after="0"/>
            </w:pPr>
            <w:r>
              <w:rPr>
                <w:sz w:val="17"/>
              </w:rPr>
            </w:r>
            <w:r>
              <w:rPr>
                <w:sz w:val="17"/>
              </w:rPr>
              <w:t>Moderate: Tank 7 replacement cost (amount to be isolated from the Acadian estimate). Review Equipment Breakdown Endorsement END-006.</w:t>
            </w:r>
          </w:p>
        </w:tc>
      </w:tr>
      <w:tr>
        <w:tc>
          <w:tcPr>
            <w:tcW w:type="dxa" w:w="2016"/>
          </w:tcPr>
          <w:p>
            <w:pPr>
              <w:spacing w:after="0"/>
            </w:pPr>
            <w:r>
              <w:rPr>
                <w:sz w:val="17"/>
              </w:rPr>
            </w:r>
            <w:r>
              <w:rPr>
                <w:sz w:val="17"/>
              </w:rPr>
              <w:t>Direct MDEA-contact damage and lost inventory (CP § IV.J)</w:t>
            </w:r>
          </w:p>
        </w:tc>
        <w:tc>
          <w:tcPr>
            <w:tcW w:type="dxa" w:w="4752"/>
          </w:tcPr>
          <w:p>
            <w:pPr>
              <w:spacing w:after="0"/>
            </w:pPr>
            <w:r>
              <w:rPr>
                <w:sz w:val="17"/>
              </w:rPr>
            </w:r>
            <w:r>
              <w:rPr>
                <w:sz w:val="17"/>
              </w:rPr>
              <w:t>Turns on the Sudden and Accidental exception (Part V.B).</w:t>
            </w:r>
          </w:p>
        </w:tc>
        <w:tc>
          <w:tcPr>
            <w:tcW w:type="dxa" w:w="2592"/>
          </w:tcPr>
          <w:p>
            <w:pPr>
              <w:spacing w:after="0"/>
            </w:pPr>
            <w:r>
              <w:rPr>
                <w:sz w:val="17"/>
              </w:rPr>
            </w:r>
            <w:r>
              <w:rPr>
                <w:sz w:val="17"/>
              </w:rPr>
              <w:t>Low–moderate; segregate.</w:t>
            </w:r>
          </w:p>
        </w:tc>
      </w:tr>
      <w:tr>
        <w:tc>
          <w:tcPr>
            <w:tcW w:type="dxa" w:w="2016"/>
          </w:tcPr>
          <w:p>
            <w:pPr>
              <w:spacing w:after="0"/>
            </w:pPr>
            <w:r>
              <w:rPr>
                <w:sz w:val="17"/>
              </w:rPr>
            </w:r>
            <w:r>
              <w:rPr>
                <w:sz w:val="17"/>
              </w:rPr>
              <w:t>Anti-concurrent causation preamble (CP § IV)</w:t>
            </w:r>
          </w:p>
        </w:tc>
        <w:tc>
          <w:tcPr>
            <w:tcW w:type="dxa" w:w="4752"/>
          </w:tcPr>
          <w:p>
            <w:pPr>
              <w:spacing w:after="0"/>
            </w:pPr>
            <w:r>
              <w:rPr>
                <w:sz w:val="17"/>
              </w:rPr>
            </w:r>
            <w:r>
              <w:rPr>
                <w:sz w:val="17"/>
              </w:rPr>
              <w:t>Pinnacle may argue the preamble overrides the Ensuing Loss Provision.</w:t>
            </w:r>
          </w:p>
        </w:tc>
        <w:tc>
          <w:tcPr>
            <w:tcW w:type="dxa" w:w="2592"/>
          </w:tcPr>
          <w:p>
            <w:pPr>
              <w:spacing w:after="0"/>
            </w:pPr>
            <w:r>
              <w:rPr>
                <w:sz w:val="17"/>
              </w:rPr>
            </w:r>
            <w:r>
              <w:rPr>
                <w:sz w:val="17"/>
              </w:rPr>
              <w:t>Low: specific “notwithstanding” provision controls; ambiguity construed for coverage.</w:t>
            </w:r>
          </w:p>
        </w:tc>
      </w:tr>
      <w:tr>
        <w:tc>
          <w:tcPr>
            <w:tcW w:type="dxa" w:w="2016"/>
          </w:tcPr>
          <w:p>
            <w:pPr>
              <w:spacing w:after="0"/>
            </w:pPr>
            <w:r>
              <w:rPr>
                <w:sz w:val="17"/>
              </w:rPr>
            </w:r>
            <w:r>
              <w:rPr>
                <w:sz w:val="17"/>
              </w:rPr>
              <w:t>Overlap between CP and PLL; “other insurance” (CP § V.D)</w:t>
            </w:r>
          </w:p>
        </w:tc>
        <w:tc>
          <w:tcPr>
            <w:tcW w:type="dxa" w:w="4752"/>
          </w:tcPr>
          <w:p>
            <w:pPr>
              <w:spacing w:after="0"/>
            </w:pPr>
            <w:r>
              <w:rPr>
                <w:sz w:val="17"/>
              </w:rPr>
            </w:r>
            <w:r>
              <w:rPr>
                <w:sz w:val="17"/>
              </w:rPr>
              <w:t>Cleanup costs are excluded from CP by § IV.J(2) and belong under PLL; ensure no duplicate items across the $18.7M and $4.2M estimates.</w:t>
            </w:r>
          </w:p>
        </w:tc>
        <w:tc>
          <w:tcPr>
            <w:tcW w:type="dxa" w:w="2592"/>
          </w:tcPr>
          <w:p>
            <w:pPr>
              <w:spacing w:after="0"/>
            </w:pPr>
            <w:r>
              <w:rPr>
                <w:sz w:val="17"/>
              </w:rPr>
            </w:r>
            <w:r>
              <w:rPr>
                <w:sz w:val="17"/>
              </w:rPr>
              <w:t>Reconcile the Acadian and Redfield scopes.</w:t>
            </w:r>
          </w:p>
        </w:tc>
      </w:tr>
      <w:tr>
        <w:tc>
          <w:tcPr>
            <w:tcW w:type="dxa" w:w="2016"/>
          </w:tcPr>
          <w:p>
            <w:pPr>
              <w:spacing w:after="0"/>
            </w:pPr>
            <w:r>
              <w:rPr>
                <w:sz w:val="17"/>
              </w:rPr>
            </w:r>
            <w:r>
              <w:rPr>
                <w:sz w:val="17"/>
              </w:rPr>
              <w:t>BI calculation defects</w:t>
            </w:r>
          </w:p>
        </w:tc>
        <w:tc>
          <w:tcPr>
            <w:tcW w:type="dxa" w:w="4752"/>
          </w:tcPr>
          <w:p>
            <w:pPr>
              <w:spacing w:after="0"/>
            </w:pPr>
            <w:r>
              <w:rPr>
                <w:sz w:val="17"/>
              </w:rPr>
            </w:r>
            <w:r>
              <w:rPr>
                <w:sz w:val="17"/>
              </w:rPr>
              <w:t>See Part V.G.</w:t>
            </w:r>
          </w:p>
        </w:tc>
        <w:tc>
          <w:tcPr>
            <w:tcW w:type="dxa" w:w="2592"/>
          </w:tcPr>
          <w:p>
            <w:pPr>
              <w:spacing w:after="0"/>
            </w:pPr>
            <w:r>
              <w:rPr>
                <w:sz w:val="17"/>
              </w:rPr>
            </w:r>
            <w:r>
              <w:rPr>
                <w:sz w:val="17"/>
              </w:rPr>
              <w:t>Rebuild with a forensic accountant.</w:t>
            </w:r>
          </w:p>
        </w:tc>
      </w:tr>
      <w:tr>
        <w:tc>
          <w:tcPr>
            <w:tcW w:type="dxa" w:w="2016"/>
          </w:tcPr>
          <w:p>
            <w:pPr>
              <w:spacing w:after="0"/>
            </w:pPr>
            <w:r>
              <w:rPr>
                <w:sz w:val="17"/>
              </w:rPr>
            </w:r>
            <w:r>
              <w:rPr>
                <w:sz w:val="17"/>
              </w:rPr>
              <w:t>Inconsistencies in Greenfield’s records</w:t>
            </w:r>
          </w:p>
        </w:tc>
        <w:tc>
          <w:tcPr>
            <w:tcW w:type="dxa" w:w="4752"/>
          </w:tcPr>
          <w:p>
            <w:pPr>
              <w:spacing w:after="0"/>
            </w:pPr>
            <w:r>
              <w:rPr>
                <w:sz w:val="17"/>
              </w:rPr>
            </w:r>
            <w:r>
              <w:rPr>
                <w:sz w:val="17"/>
              </w:rPr>
              <w:t>(a) 2023 inspector: CTIS report names Marcus J. Hebert (reviewed by Linda Tran); CMMS 2.5 names “T. Richard.” (b) 2021 external inspection: CTIS cites June 2021 (CTIS-2021-0608-GF07); CMMS 2.3 says July 14, 2021 (inspector M. Guidry). (c) Location of 2023 corrosion: “south-southeast quadrant” (CTIS) vs. “east quadrant” (CMMS 2.5–2.7). (d) CP system: “impressed current” (CTIS § 2) vs. “sacrificial anodes” (CMMS 2.4). (e) CMMS 2.5 paraphrases the recommendation as monitoring only, omitting the 90-day recoat recommendation. (f) Next internal inspection: “approximately 2028–2029” (CTIS) vs. “March 2029” (CMMS). (g) Distances: Tank 6 is 20 ft (CTIS) vs. 40 ft (Vector) from Tank 7; JB is 15 ft east (CTIS), 35 ft southeast (Vector), or 40 ft southeast (LDEQ). (h) Fire duration: about 4.5 hours (Vector) vs. suppressed by about 5:40 a.m. (LDEQ). (i) CMMS entries are “excerpted” and “selected.”</w:t>
            </w:r>
          </w:p>
        </w:tc>
        <w:tc>
          <w:tcPr>
            <w:tcW w:type="dxa" w:w="2592"/>
          </w:tcPr>
          <w:p>
            <w:pPr>
              <w:spacing w:after="0"/>
            </w:pPr>
            <w:r>
              <w:rPr>
                <w:sz w:val="17"/>
              </w:rPr>
            </w:r>
            <w:r>
              <w:rPr>
                <w:sz w:val="17"/>
              </w:rPr>
              <w:t>Moderate credibility risk. Reconcile before production; obtain the full 2019, 2021, and 2023 CTIS reports, CP survey data, and the complete CMMS history; prepare witnesses (R. Fontenot, K. Tran).</w:t>
            </w:r>
          </w:p>
        </w:tc>
      </w:tr>
      <w:tr>
        <w:tc>
          <w:tcPr>
            <w:tcW w:type="dxa" w:w="2016"/>
          </w:tcPr>
          <w:p>
            <w:pPr>
              <w:spacing w:after="0"/>
            </w:pPr>
            <w:r>
              <w:rPr>
                <w:sz w:val="17"/>
              </w:rPr>
            </w:r>
            <w:r>
              <w:rPr>
                <w:sz w:val="17"/>
              </w:rPr>
              <w:t>Amine-service inspection interval</w:t>
            </w:r>
          </w:p>
        </w:tc>
        <w:tc>
          <w:tcPr>
            <w:tcW w:type="dxa" w:w="4752"/>
          </w:tcPr>
          <w:p>
            <w:pPr>
              <w:spacing w:after="0"/>
            </w:pPr>
            <w:r>
              <w:rPr>
                <w:sz w:val="17"/>
              </w:rPr>
            </w:r>
            <w:r>
              <w:rPr>
                <w:sz w:val="17"/>
              </w:rPr>
              <w:t>Pinnacle may argue that known MIC/amine-SCC risk required risk-based, shorter internal inspection intervals than 10 years.</w:t>
            </w:r>
          </w:p>
        </w:tc>
        <w:tc>
          <w:tcPr>
            <w:tcW w:type="dxa" w:w="2592"/>
          </w:tcPr>
          <w:p>
            <w:pPr>
              <w:spacing w:after="0"/>
            </w:pPr>
            <w:r>
              <w:rPr>
                <w:sz w:val="17"/>
              </w:rPr>
            </w:r>
            <w:r>
              <w:rPr>
                <w:sz w:val="17"/>
              </w:rPr>
              <w:t>Moderate on § IV.E only. Retain an independent API 653/corrosion expert; obtain 2019 internal data.</w:t>
            </w:r>
          </w:p>
        </w:tc>
      </w:tr>
      <w:tr>
        <w:tc>
          <w:tcPr>
            <w:tcW w:type="dxa" w:w="2016"/>
          </w:tcPr>
          <w:p>
            <w:pPr>
              <w:spacing w:after="0"/>
            </w:pPr>
            <w:r>
              <w:rPr>
                <w:sz w:val="17"/>
              </w:rPr>
            </w:r>
            <w:r>
              <w:rPr>
                <w:sz w:val="17"/>
              </w:rPr>
              <w:t>October 2024 CP reading at −0.85 V</w:t>
            </w:r>
          </w:p>
        </w:tc>
        <w:tc>
          <w:tcPr>
            <w:tcW w:type="dxa" w:w="4752"/>
          </w:tcPr>
          <w:p>
            <w:pPr>
              <w:spacing w:after="0"/>
            </w:pPr>
            <w:r>
              <w:rPr>
                <w:sz w:val="17"/>
              </w:rPr>
            </w:r>
            <w:r>
              <w:rPr>
                <w:sz w:val="17"/>
              </w:rPr>
              <w:t>Pinnacle may use it to support its “inadequate cathodic protection” narrative.</w:t>
            </w:r>
          </w:p>
        </w:tc>
        <w:tc>
          <w:tcPr>
            <w:tcW w:type="dxa" w:w="2592"/>
          </w:tcPr>
          <w:p>
            <w:pPr>
              <w:spacing w:after="0"/>
            </w:pPr>
            <w:r>
              <w:rPr>
                <w:sz w:val="17"/>
              </w:rPr>
            </w:r>
            <w:r>
              <w:rPr>
                <w:sz w:val="17"/>
              </w:rPr>
              <w:t>Low: within criteria; CP is external-only and irrelevant to internal shell-weld corrosion.</w:t>
            </w:r>
          </w:p>
        </w:tc>
      </w:tr>
      <w:tr>
        <w:tc>
          <w:tcPr>
            <w:tcW w:type="dxa" w:w="2016"/>
          </w:tcPr>
          <w:p>
            <w:pPr>
              <w:spacing w:after="0"/>
            </w:pPr>
            <w:r>
              <w:rPr>
                <w:sz w:val="17"/>
              </w:rPr>
            </w:r>
            <w:r>
              <w:rPr>
                <w:sz w:val="17"/>
              </w:rPr>
              <w:t>Firewater runoff through the “compromised” drain valve</w:t>
            </w:r>
          </w:p>
        </w:tc>
        <w:tc>
          <w:tcPr>
            <w:tcW w:type="dxa" w:w="4752"/>
          </w:tcPr>
          <w:p>
            <w:pPr>
              <w:spacing w:after="0"/>
            </w:pPr>
            <w:r>
              <w:rPr>
                <w:sz w:val="17"/>
              </w:rPr>
            </w:r>
            <w:r>
              <w:rPr>
                <w:sz w:val="17"/>
              </w:rPr>
              <w:t>Pinnacle could argue containment maintenance failure contributed to the off-site migration.</w:t>
            </w:r>
          </w:p>
        </w:tc>
        <w:tc>
          <w:tcPr>
            <w:tcW w:type="dxa" w:w="2592"/>
          </w:tcPr>
          <w:p>
            <w:pPr>
              <w:spacing w:after="0"/>
            </w:pPr>
            <w:r>
              <w:rPr>
                <w:sz w:val="17"/>
              </w:rPr>
            </w:r>
            <w:r>
              <w:rPr>
                <w:sz w:val="17"/>
              </w:rPr>
              <w:t>Low: CTIS found the valve “closed and locked” in 2023; Vector says it was compromised during the event. Confirm.</w:t>
            </w:r>
          </w:p>
        </w:tc>
      </w:tr>
      <w:tr>
        <w:tc>
          <w:tcPr>
            <w:tcW w:type="dxa" w:w="2016"/>
          </w:tcPr>
          <w:p>
            <w:pPr>
              <w:spacing w:after="0"/>
            </w:pPr>
            <w:r>
              <w:rPr>
                <w:sz w:val="17"/>
              </w:rPr>
            </w:r>
            <w:r>
              <w:rPr>
                <w:sz w:val="17"/>
              </w:rPr>
              <w:t>PLL consent / voluntary payments</w:t>
            </w:r>
          </w:p>
        </w:tc>
        <w:tc>
          <w:tcPr>
            <w:tcW w:type="dxa" w:w="4752"/>
          </w:tcPr>
          <w:p>
            <w:pPr>
              <w:spacing w:after="0"/>
            </w:pPr>
            <w:r>
              <w:rPr>
                <w:sz w:val="17"/>
              </w:rPr>
            </w:r>
            <w:r>
              <w:rPr>
                <w:sz w:val="17"/>
              </w:rPr>
              <w:t>Costs incurred without consent may be challenged.</w:t>
            </w:r>
          </w:p>
        </w:tc>
        <w:tc>
          <w:tcPr>
            <w:tcW w:type="dxa" w:w="2592"/>
          </w:tcPr>
          <w:p>
            <w:pPr>
              <w:spacing w:after="0"/>
            </w:pPr>
            <w:r>
              <w:rPr>
                <w:sz w:val="17"/>
              </w:rPr>
            </w:r>
            <w:r>
              <w:rPr>
                <w:sz w:val="17"/>
              </w:rPr>
              <w:t>Request consent in writing; document emergency costs.</w:t>
            </w:r>
          </w:p>
        </w:tc>
      </w:tr>
      <w:tr>
        <w:tc>
          <w:tcPr>
            <w:tcW w:type="dxa" w:w="2016"/>
          </w:tcPr>
          <w:p>
            <w:pPr>
              <w:spacing w:after="0"/>
            </w:pPr>
            <w:r>
              <w:rPr>
                <w:sz w:val="17"/>
              </w:rPr>
            </w:r>
            <w:r>
              <w:rPr>
                <w:sz w:val="17"/>
              </w:rPr>
              <w:t>Policy excerpts only</w:t>
            </w:r>
          </w:p>
        </w:tc>
        <w:tc>
          <w:tcPr>
            <w:tcW w:type="dxa" w:w="4752"/>
          </w:tcPr>
          <w:p>
            <w:pPr>
              <w:spacing w:after="0"/>
            </w:pPr>
            <w:r>
              <w:rPr>
                <w:sz w:val="17"/>
              </w:rPr>
            </w:r>
            <w:r>
              <w:rPr>
                <w:sz w:val="17"/>
              </w:rPr>
              <w:t>Omitted definitions, endorsements (incl. Louisiana Amendatory, Ordinance or Law, Debris Removal, Extra Expense, Equipment Breakdown), and PLL sections may contain additional terms or defenses (e.g., appraisal, suit limitation, other exclusions).</w:t>
            </w:r>
          </w:p>
        </w:tc>
        <w:tc>
          <w:tcPr>
            <w:tcW w:type="dxa" w:w="2592"/>
          </w:tcPr>
          <w:p>
            <w:pPr>
              <w:spacing w:after="0"/>
            </w:pPr>
            <w:r>
              <w:rPr>
                <w:sz w:val="17"/>
              </w:rPr>
            </w:r>
            <w:r>
              <w:rPr>
                <w:sz w:val="17"/>
              </w:rPr>
              <w:t>Obtain certified complete copies of both policies immediately.</w:t>
            </w:r>
          </w:p>
        </w:tc>
      </w:tr>
    </w:tbl>
    <w:p>
      <w:pPr>
        <w:spacing w:after="40"/>
      </w:pPr>
    </w:p>
    <w:p>
      <w:pPr>
        <w:pStyle w:val="Heading1"/>
      </w:pPr>
      <w:r>
        <w:t>IX. Extra-Contractual Exposure (Bad Faith)</w:t>
      </w:r>
    </w:p>
    <w:p>
      <w:pPr>
        <w:jc w:val="both"/>
      </w:pPr>
      <w:r>
        <w:t>Louisiana imposes statutory duties on insurers in adjusting claims. Subject to confirmation of current statutory text (both statutes have been amended in recent legislative sessions, and their application to the surplus-lines PLL Policy should be confirmed):</w:t>
      </w:r>
    </w:p>
    <w:p>
      <w:pPr>
        <w:pStyle w:val="ListBullet"/>
        <w:spacing w:after="60"/>
      </w:pPr>
      <w:r>
        <w:rPr>
          <w:b/>
        </w:rPr>
        <w:t>La. R.S. 22:1892</w:t>
      </w:r>
      <w:r>
        <w:t xml:space="preserve"> requires payment of property claims within 30 days after receipt of satisfactory proof of loss and provides for penalties (historically, 50% of the amount found due, or $1,000 if greater) plus attorney fees and costs where the failure to pay is arbitrary, capricious, or without probable cause. The April 10, 2025 sworn proof of loss, supported by the Acadian estimate and the BI calculation, arguably constituted satisfactory proof of at least the undisputed fire-damage component.</w:t>
      </w:r>
    </w:p>
    <w:p>
      <w:pPr>
        <w:pStyle w:val="ListBullet"/>
        <w:spacing w:after="60"/>
      </w:pPr>
      <w:r>
        <w:rPr>
          <w:b/>
        </w:rPr>
        <w:t>La. R.S. 22:1973</w:t>
      </w:r>
      <w:r>
        <w:t xml:space="preserve"> imposes a duty of good faith and fair dealing, including a duty to adjust claims fairly and promptly. It specifically prohibits knowingly misrepresenting pertinent facts or insurance policy provisions relating to coverages at issue (§ 1973(B)(1)) and arbitrarily failing to pay within 60 days after satisfactory proof of loss (§ 1973(B)(5)), and it authorizes penalties of up to two times the damages sustained or $5,000, whichever is greater.</w:t>
      </w:r>
    </w:p>
    <w:p>
      <w:pPr>
        <w:jc w:val="both"/>
      </w:pPr>
      <w:r>
        <w:rPr>
          <w:b/>
        </w:rPr>
        <w:t>Supporting facts:</w:t>
      </w:r>
      <w:r>
        <w:t xml:space="preserve"> (1) systematic truncation of policy text in ways that remove the language favoring coverage (Part VII.A); (2) attribution to Vector of findings it did not make (cathodic protection), and contradiction of Vector’s actual conclusions on suddenness, the 2023 condition, and maintenance; (3) a late-notice ground refuted by Pinnacle’s own March 15, 2025 acknowledgment and the policy’s prejudice requirement; (4) mutually exclusive “pollutant” positions under the two policies; (5) a PLL “Pollutant” argument foreclosed by the definition’s express text; (6) a “final” denial issued on a preliminary report; (7) no request for information before denying; and (8) no payment of undisputed amounts. The evaluation of penalty exposure should be developed with the claim file (including Crossfield’s reports and Hartwell, Briggs &amp; Dolan’s involvement) obtained in discovery.</w:t>
      </w:r>
    </w:p>
    <w:p>
      <w:pPr>
        <w:pStyle w:val="Heading1"/>
      </w:pPr>
      <w:r>
        <w:t>X. Estimated Recoverable Amounts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160"/>
            <w:shd w:val="clear" w:color="auto" w:fill="D9E2F3"/>
          </w:tcPr>
          <w:p>
            <w:r/>
            <w:r>
              <w:rPr>
                <w:b/>
                <w:sz w:val="18"/>
              </w:rPr>
              <w:t>Component</w:t>
            </w:r>
          </w:p>
        </w:tc>
        <w:tc>
          <w:tcPr>
            <w:tcW w:type="dxa" w:w="1584"/>
            <w:shd w:val="clear" w:color="auto" w:fill="D9E2F3"/>
          </w:tcPr>
          <w:p>
            <w:r/>
            <w:r>
              <w:rPr>
                <w:b/>
                <w:sz w:val="18"/>
              </w:rPr>
              <w:t>Claimed</w:t>
            </w:r>
          </w:p>
        </w:tc>
        <w:tc>
          <w:tcPr>
            <w:tcW w:type="dxa" w:w="3456"/>
            <w:shd w:val="clear" w:color="auto" w:fill="D9E2F3"/>
          </w:tcPr>
          <w:p>
            <w:r/>
            <w:r>
              <w:rPr>
                <w:b/>
                <w:sz w:val="18"/>
              </w:rPr>
              <w:t>Adjustments</w:t>
            </w:r>
          </w:p>
        </w:tc>
        <w:tc>
          <w:tcPr>
            <w:tcW w:type="dxa" w:w="2160"/>
            <w:shd w:val="clear" w:color="auto" w:fill="D9E2F3"/>
          </w:tcPr>
          <w:p>
            <w:r/>
            <w:r>
              <w:rPr>
                <w:b/>
                <w:sz w:val="18"/>
              </w:rPr>
              <w:t>Potential recovery (before penalties)</w:t>
            </w:r>
          </w:p>
        </w:tc>
      </w:tr>
      <w:tr>
        <w:tc>
          <w:tcPr>
            <w:tcW w:type="dxa" w:w="2160"/>
          </w:tcPr>
          <w:p>
            <w:pPr>
              <w:spacing w:after="0"/>
            </w:pPr>
            <w:r>
              <w:rPr>
                <w:sz w:val="18"/>
              </w:rPr>
            </w:r>
            <w:r>
              <w:rPr>
                <w:sz w:val="18"/>
              </w:rPr>
              <w:t>CP — Property Damage</w:t>
            </w:r>
          </w:p>
        </w:tc>
        <w:tc>
          <w:tcPr>
            <w:tcW w:type="dxa" w:w="1584"/>
          </w:tcPr>
          <w:p>
            <w:pPr>
              <w:spacing w:after="0"/>
            </w:pPr>
            <w:r>
              <w:rPr>
                <w:sz w:val="18"/>
              </w:rPr>
            </w:r>
            <w:r>
              <w:rPr>
                <w:sz w:val="18"/>
              </w:rPr>
              <w:t>$18,700,000</w:t>
            </w:r>
          </w:p>
        </w:tc>
        <w:tc>
          <w:tcPr>
            <w:tcW w:type="dxa" w:w="3456"/>
          </w:tcPr>
          <w:p>
            <w:pPr>
              <w:spacing w:after="0"/>
            </w:pPr>
            <w:r>
              <w:rPr>
                <w:sz w:val="18"/>
              </w:rPr>
            </w:r>
            <w:r>
              <w:rPr>
                <w:sz w:val="18"/>
              </w:rPr>
              <w:t>Less $250,000 deductible; less Tank 7 repair/replacement (to be quantified); less JB-14 arc damage and any direct MDEA-contact items if the S&amp;A exception fails (likely modest)</w:t>
            </w:r>
          </w:p>
        </w:tc>
        <w:tc>
          <w:tcPr>
            <w:tcW w:type="dxa" w:w="2160"/>
          </w:tcPr>
          <w:p>
            <w:pPr>
              <w:spacing w:after="0"/>
            </w:pPr>
            <w:r>
              <w:rPr>
                <w:sz w:val="18"/>
              </w:rPr>
            </w:r>
            <w:r>
              <w:rPr>
                <w:sz w:val="18"/>
              </w:rPr>
              <w:t>Up to $18,450,000, less Tank 7 and minor segregated items</w:t>
            </w:r>
          </w:p>
        </w:tc>
      </w:tr>
      <w:tr>
        <w:tc>
          <w:tcPr>
            <w:tcW w:type="dxa" w:w="2160"/>
          </w:tcPr>
          <w:p>
            <w:pPr>
              <w:spacing w:after="0"/>
            </w:pPr>
            <w:r>
              <w:rPr>
                <w:sz w:val="18"/>
              </w:rPr>
            </w:r>
            <w:r>
              <w:rPr>
                <w:sz w:val="18"/>
              </w:rPr>
              <w:t>CP — Business Interruption</w:t>
            </w:r>
          </w:p>
        </w:tc>
        <w:tc>
          <w:tcPr>
            <w:tcW w:type="dxa" w:w="1584"/>
          </w:tcPr>
          <w:p>
            <w:pPr>
              <w:spacing w:after="0"/>
            </w:pPr>
            <w:r>
              <w:rPr>
                <w:sz w:val="18"/>
              </w:rPr>
            </w:r>
            <w:r>
              <w:rPr>
                <w:sz w:val="18"/>
              </w:rPr>
              <w:t>$6,800,000</w:t>
            </w:r>
          </w:p>
        </w:tc>
        <w:tc>
          <w:tcPr>
            <w:tcW w:type="dxa" w:w="3456"/>
          </w:tcPr>
          <w:p>
            <w:pPr>
              <w:spacing w:after="0"/>
            </w:pPr>
            <w:r>
              <w:rPr>
                <w:sz w:val="18"/>
              </w:rPr>
            </w:r>
            <w:r>
              <w:rPr>
                <w:sz w:val="18"/>
              </w:rPr>
              <w:t>Remove waiting period (~$262,500 at claimed rates); rebuild calculation with actual results; add Extra Expense and mitigation costs if supported</w:t>
            </w:r>
          </w:p>
        </w:tc>
        <w:tc>
          <w:tcPr>
            <w:tcW w:type="dxa" w:w="2160"/>
          </w:tcPr>
          <w:p>
            <w:pPr>
              <w:spacing w:after="0"/>
            </w:pPr>
            <w:r>
              <w:rPr>
                <w:sz w:val="18"/>
              </w:rPr>
            </w:r>
            <w:r>
              <w:rPr>
                <w:sz w:val="18"/>
              </w:rPr>
              <w:t>To be recalculated; within the $15,000,000 limit</w:t>
            </w:r>
          </w:p>
        </w:tc>
      </w:tr>
      <w:tr>
        <w:tc>
          <w:tcPr>
            <w:tcW w:type="dxa" w:w="2160"/>
          </w:tcPr>
          <w:p>
            <w:pPr>
              <w:spacing w:after="0"/>
            </w:pPr>
            <w:r>
              <w:rPr>
                <w:sz w:val="18"/>
              </w:rPr>
            </w:r>
            <w:r>
              <w:rPr>
                <w:sz w:val="18"/>
              </w:rPr>
              <w:t>PLL — Remediation / Regulatory Response</w:t>
            </w:r>
          </w:p>
        </w:tc>
        <w:tc>
          <w:tcPr>
            <w:tcW w:type="dxa" w:w="1584"/>
          </w:tcPr>
          <w:p>
            <w:pPr>
              <w:spacing w:after="0"/>
            </w:pPr>
            <w:r>
              <w:rPr>
                <w:sz w:val="18"/>
              </w:rPr>
            </w:r>
            <w:r>
              <w:rPr>
                <w:sz w:val="18"/>
              </w:rPr>
              <w:t>$4,200,000 (preliminary)</w:t>
            </w:r>
          </w:p>
        </w:tc>
        <w:tc>
          <w:tcPr>
            <w:tcW w:type="dxa" w:w="3456"/>
          </w:tcPr>
          <w:p>
            <w:pPr>
              <w:spacing w:after="0"/>
            </w:pPr>
            <w:r>
              <w:rPr>
                <w:sz w:val="18"/>
              </w:rPr>
            </w:r>
            <w:r>
              <w:rPr>
                <w:sz w:val="18"/>
              </w:rPr>
              <w:t>Less $150,000 SIR; plus defense/Claim Expenses for the LDEQ proceeding; estimate may increase</w:t>
            </w:r>
          </w:p>
        </w:tc>
        <w:tc>
          <w:tcPr>
            <w:tcW w:type="dxa" w:w="2160"/>
          </w:tcPr>
          <w:p>
            <w:pPr>
              <w:spacing w:after="0"/>
            </w:pPr>
            <w:r>
              <w:rPr>
                <w:sz w:val="18"/>
              </w:rPr>
            </w:r>
            <w:r>
              <w:rPr>
                <w:sz w:val="18"/>
              </w:rPr>
              <w:t>At least $4,050,000; up to the $10,000,000 limit (eroded by defense)</w:t>
            </w:r>
          </w:p>
        </w:tc>
      </w:tr>
      <w:tr>
        <w:tc>
          <w:tcPr>
            <w:tcW w:type="dxa" w:w="2160"/>
          </w:tcPr>
          <w:p>
            <w:pPr>
              <w:spacing w:after="0"/>
            </w:pPr>
            <w:r>
              <w:rPr>
                <w:sz w:val="18"/>
              </w:rPr>
            </w:r>
            <w:r>
              <w:rPr>
                <w:sz w:val="18"/>
              </w:rPr>
              <w:t>Total</w:t>
            </w:r>
          </w:p>
        </w:tc>
        <w:tc>
          <w:tcPr>
            <w:tcW w:type="dxa" w:w="1584"/>
          </w:tcPr>
          <w:p>
            <w:pPr>
              <w:spacing w:after="0"/>
            </w:pPr>
            <w:r>
              <w:rPr>
                <w:sz w:val="18"/>
              </w:rPr>
            </w:r>
            <w:r>
              <w:rPr>
                <w:sz w:val="18"/>
              </w:rPr>
              <w:t>$29,700,000</w:t>
            </w:r>
          </w:p>
        </w:tc>
        <w:tc>
          <w:tcPr>
            <w:tcW w:type="dxa" w:w="3456"/>
          </w:tcPr>
          <w:p>
            <w:pPr>
              <w:spacing w:after="0"/>
            </w:pPr>
            <w:r>
              <w:rPr>
                <w:sz w:val="18"/>
              </w:rPr>
            </w:r>
          </w:p>
        </w:tc>
        <w:tc>
          <w:tcPr>
            <w:tcW w:type="dxa" w:w="2160"/>
          </w:tcPr>
          <w:p>
            <w:pPr>
              <w:spacing w:after="0"/>
            </w:pPr>
            <w:r>
              <w:rPr>
                <w:sz w:val="18"/>
              </w:rPr>
            </w:r>
            <w:r>
              <w:rPr>
                <w:sz w:val="18"/>
              </w:rPr>
              <w:t>Approximately $29.3 million before the Tank 7 carve-out and BI recalculation, plus statutory penalties, fees, and costs</w:t>
            </w:r>
          </w:p>
        </w:tc>
      </w:tr>
    </w:tbl>
    <w:p>
      <w:pPr>
        <w:spacing w:after="40"/>
      </w:pPr>
    </w:p>
    <w:p>
      <w:pPr>
        <w:pStyle w:val="Heading1"/>
      </w:pPr>
      <w:r>
        <w:t>XI. Recommendations and Next Steps</w:t>
      </w:r>
    </w:p>
    <w:p>
      <w:pPr>
        <w:tabs>
          <w:tab w:pos="576" w:val="left"/>
        </w:tabs>
        <w:spacing w:after="80"/>
        <w:ind w:left="576" w:hanging="432"/>
      </w:pPr>
      <w:r>
        <w:t>1.</w:t>
        <w:tab/>
      </w:r>
      <w:r>
        <w:rPr>
          <w:b/>
        </w:rPr>
        <w:t>Protect the limitation period.</w:t>
      </w:r>
      <w:r>
        <w:t xml:space="preserve"> Calendar March 12, 2027 (the business day before the two-year date of Sunday, March 14, 2027) under CP § V.E. Confirm whether the Louisiana Amendatory Endorsement or Louisiana law extends the period, and either obtain a written tolling agreement from Pinnacle or prepare a petition (breach of contract under both policies, declaratory relief, breach of the duty to defend, and La. R.S. 22:1892/22:1973 claims). Confirm prescription for the statutory claims.</w:t>
      </w:r>
    </w:p>
    <w:p>
      <w:pPr>
        <w:tabs>
          <w:tab w:pos="576" w:val="left"/>
        </w:tabs>
        <w:spacing w:after="80"/>
        <w:ind w:left="576" w:hanging="432"/>
      </w:pPr>
      <w:r>
        <w:t>2.</w:t>
        <w:tab/>
      </w:r>
      <w:r>
        <w:rPr>
          <w:b/>
        </w:rPr>
        <w:t>Serve a detailed rebuttal and demand.</w:t>
      </w:r>
      <w:r>
        <w:t xml:space="preserve"> Demand withdrawal of the denial, identifying each misquoted provision and each mischaracterization (Part VII), and demanding (a) immediate payment of undisputed amounts (at minimum, fire damage to the processing building, pipe rack, Tank 6, and electrical systems, and the associated BI); (b) acknowledgment of the duty to defend and fund the LDEQ Claim; and (c) withdrawal of the late-notice and all three PLL grounds. Frame the submission as supplemental satisfactory proof of loss to trigger the statutory clocks.</w:t>
      </w:r>
    </w:p>
    <w:p>
      <w:pPr>
        <w:tabs>
          <w:tab w:pos="576" w:val="left"/>
        </w:tabs>
        <w:spacing w:after="80"/>
        <w:ind w:left="576" w:hanging="432"/>
      </w:pPr>
      <w:r>
        <w:t>3.</w:t>
        <w:tab/>
      </w:r>
      <w:r>
        <w:rPr>
          <w:b/>
        </w:rPr>
        <w:t>Demand documents.</w:t>
      </w:r>
      <w:r>
        <w:t xml:space="preserve"> Certified complete copies of both policies and all endorsements; Vector’s final report, metallurgical results, and Appendices A–D; Crossfield’s reports; the complete claim file; and the PLL underwriting file (to address the nondisclosure insinuation).</w:t>
      </w:r>
    </w:p>
    <w:p>
      <w:pPr>
        <w:tabs>
          <w:tab w:pos="576" w:val="left"/>
        </w:tabs>
        <w:spacing w:after="80"/>
        <w:ind w:left="576" w:hanging="432"/>
      </w:pPr>
      <w:r>
        <w:t>4.</w:t>
        <w:tab/>
      </w:r>
      <w:r>
        <w:rPr>
          <w:b/>
        </w:rPr>
        <w:t>Retain experts.</w:t>
      </w:r>
      <w:r>
        <w:t xml:space="preserve"> (a) An independent API 653 inspector and metallurgist to review Vector’s findings, the specimens, the 2019 internal inspection data, and the amine-service interval question; (b) a forensic accountant to rebuild the BI claim from actual results, eliminating the waiting-period days, date misalignments, and reconciliation plug, and adding Extra Expense and mitigation costs.</w:t>
      </w:r>
    </w:p>
    <w:p>
      <w:pPr>
        <w:tabs>
          <w:tab w:pos="576" w:val="left"/>
        </w:tabs>
        <w:spacing w:after="80"/>
        <w:ind w:left="576" w:hanging="432"/>
      </w:pPr>
      <w:r>
        <w:t>5.</w:t>
        <w:tab/>
      </w:r>
      <w:r>
        <w:rPr>
          <w:b/>
        </w:rPr>
        <w:t>Restructure the PD claim.</w:t>
      </w:r>
      <w:r>
        <w:t xml:space="preserve"> Have Acadian segregate (i) Tank 7, (ii) JB-14 arc damage, (iii) direct MDEA-contact damage, and (iv) fire and ensuing damage by item of Covered Property, and reconcile with the Redfield scope to avoid overlap with the PLL claim.</w:t>
      </w:r>
    </w:p>
    <w:p>
      <w:pPr>
        <w:tabs>
          <w:tab w:pos="576" w:val="left"/>
        </w:tabs>
        <w:spacing w:after="80"/>
        <w:ind w:left="576" w:hanging="432"/>
      </w:pPr>
      <w:r>
        <w:t>6.</w:t>
        <w:tab/>
      </w:r>
      <w:r>
        <w:rPr>
          <w:b/>
        </w:rPr>
        <w:t>Clean up the factual record.</w:t>
      </w:r>
      <w:r>
        <w:t xml:space="preserve"> Reconcile the inconsistencies identified in Part VIII (inspector identities, dates, quadrant, CP system type, distances) before any production or testimony; collect the full CMMS history and all CTIS reports and CP surveys; and prepare R. Fontenot and K. Tran.</w:t>
      </w:r>
    </w:p>
    <w:p>
      <w:pPr>
        <w:tabs>
          <w:tab w:pos="576" w:val="left"/>
        </w:tabs>
        <w:spacing w:after="80"/>
        <w:ind w:left="576" w:hanging="432"/>
      </w:pPr>
      <w:r>
        <w:t>7.</w:t>
        <w:tab/>
      </w:r>
      <w:r>
        <w:rPr>
          <w:b/>
        </w:rPr>
        <w:t>LDEQ compliance.</w:t>
      </w:r>
      <w:r>
        <w:t xml:space="preserve"> Immediately confirm the status of the Remedial Investigation Work Plan, RAP, quarterly reports, financial assurance, and the October 3, 2026 completion deadline (and any extension); update the remediation cost estimate; continue to forward all LDEQ correspondence to Pinnacle (PLL § IV.B(c)) and to request consent for expenditures in writing.</w:t>
      </w:r>
    </w:p>
    <w:p>
      <w:pPr>
        <w:tabs>
          <w:tab w:pos="576" w:val="left"/>
        </w:tabs>
        <w:spacing w:after="80"/>
        <w:ind w:left="576" w:hanging="432"/>
      </w:pPr>
      <w:r>
        <w:t>8.</w:t>
        <w:tab/>
      </w:r>
      <w:r>
        <w:rPr>
          <w:b/>
        </w:rPr>
        <w:t>Obtain and review the endorsements</w:t>
      </w:r>
      <w:r>
        <w:t xml:space="preserve"> that may expand recovery: Equipment Breakdown (END-006, for Tank 7), Ordinance or Law (END-007, for LDEQ-related delay), Debris Removal (END-008), and Extra Expense (END-009).</w:t>
      </w:r>
    </w:p>
    <w:p>
      <w:pPr>
        <w:tabs>
          <w:tab w:pos="576" w:val="left"/>
        </w:tabs>
        <w:spacing w:after="80"/>
        <w:ind w:left="576" w:hanging="432"/>
      </w:pPr>
      <w:r>
        <w:t>9.</w:t>
        <w:tab/>
      </w:r>
      <w:r>
        <w:rPr>
          <w:b/>
        </w:rPr>
        <w:t>Preserve evidence and privilege.</w:t>
      </w:r>
      <w:r>
        <w:t xml:space="preserve"> Maintain the litigation hold; do not waive Greenfield’s own privileges; assert waiver of the protection Pinnacle claims for the Vector report.</w:t>
      </w:r>
    </w:p>
    <w:p>
      <w:pPr>
        <w:tabs>
          <w:tab w:pos="576" w:val="left"/>
        </w:tabs>
        <w:spacing w:after="80"/>
        <w:ind w:left="576" w:hanging="432"/>
      </w:pPr>
      <w:r>
        <w:t>10.</w:t>
        <w:tab/>
      </w:r>
      <w:r>
        <w:rPr>
          <w:b/>
        </w:rPr>
        <w:t>Coordinate with the broker</w:t>
      </w:r>
      <w:r>
        <w:t xml:space="preserve"> (Tidewater Risk Advisors) regarding placement and renewal submissions, any underwriting questions bearing on known conditions, and renewal or ERP status of the PLL Policy.</w:t>
      </w:r>
    </w:p>
    <w:p>
      <w:pPr>
        <w:pStyle w:val="Heading1"/>
      </w:pPr>
      <w:r>
        <w:t>XII. Conclusion</w:t>
      </w:r>
    </w:p>
    <w:p>
      <w:pPr>
        <w:jc w:val="both"/>
      </w:pPr>
      <w:r>
        <w:t>Pinnacle’s denial rests on truncated policy language and on factual premises that its own forensic engineer contradicts. Read as written, the CP Policy covers the fire and ensuing damage to Tank 6, the pipe rack, the electrical systems, and the processing building, together with the resulting BI; the corrosion exclusion is confined to Tank 7 itself; the maintenance and late-notice defenses fail on the policy text and the record; and the PLL Policy covers the LDEQ-mandated remediation, with none of the three PLL grounds having a reasonable basis. Greenfield’s principal risks are the exclusion of Tank 7, the interpretive question under the “gradual deterioration” clause for direct-release damage, and the credibility of its BI calculation and maintenance records — all of which are manageable if addressed now. Given the March 2027 limitation date, we recommend sending the rebuttal and demand promptly while preparing for litigation in parallel.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7"/>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