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6"/>
        </w:rPr>
        <w:t>CLEARFIELD LOCKE LLP</w:t>
      </w:r>
    </w:p>
    <w:p>
      <w:pPr>
        <w:jc w:val="center"/>
      </w:pPr>
      <w:r>
        <w:rPr>
          <w:sz w:val="18"/>
        </w:rPr>
        <w:t>555 Mission Street, 34th Floor, San Francisco, CA 94105</w:t>
      </w:r>
    </w:p>
    <w:p>
      <w:pPr>
        <w:spacing w:before="200"/>
        <w:jc w:val="center"/>
      </w:pPr>
      <w:r>
        <w:rPr>
          <w:b/>
          <w:color w:val="1F3A5F"/>
          <w:sz w:val="36"/>
        </w:rPr>
        <w:t>DEVIATION REPORT</w:t>
      </w:r>
    </w:p>
    <w:p>
      <w:pPr>
        <w:jc w:val="center"/>
      </w:pPr>
      <w:r>
        <w:rPr>
          <w:i/>
          <w:sz w:val="22"/>
        </w:rPr>
        <w:t>Helix Engagement Letter (circulated March 3, 2025) compared against the Executed Term Sheet (February 14, 2025)</w:t>
        <w:br/>
        <w:t>Strategic Technology License and Co-Development Arrangement — Stellarion EdgeAI™ / Project Meridian</w:t>
      </w:r>
    </w:p>
    <w:tbl>
      <w:tblPr>
        <w:tblStyle w:val="TableGrid"/>
        <w:tblW w:type="auto" w:w="0"/>
        <w:tblLayout w:type="fixed"/>
        <w:tblLook w:firstColumn="1" w:firstRow="1" w:lastColumn="0" w:lastRow="0" w:noHBand="0" w:noVBand="1" w:val="04A0"/>
      </w:tblPr>
      <w:tblGrid>
        <w:gridCol w:w="1296"/>
        <w:gridCol w:w="8063"/>
      </w:tblGrid>
      <w:tr>
        <w:tc>
          <w:tcPr>
            <w:tcW w:type="dxa" w:w="1296"/>
            <w:shd w:val="clear" w:color="auto" w:fill="D9E2F3"/>
          </w:tcPr>
          <w:p>
            <w:pPr>
              <w:spacing w:after="0"/>
            </w:pPr>
            <w:r/>
            <w:r>
              <w:rPr>
                <w:b/>
                <w:sz w:val="18"/>
              </w:rPr>
              <w:t>To</w:t>
            </w:r>
          </w:p>
        </w:tc>
        <w:tc>
          <w:tcPr>
            <w:tcW w:type="dxa" w:w="8064"/>
          </w:tcPr>
          <w:p>
            <w:pPr>
              <w:spacing w:after="0"/>
            </w:pPr>
            <w:r/>
            <w:r>
              <w:rPr>
                <w:b w:val="0"/>
                <w:sz w:val="18"/>
              </w:rPr>
              <w:t>Marcus Ó Briain, General Counsel, Stellarion Inc. (for presentation to Priya Ranganathan, CEO, and the Board of Directors)</w:t>
            </w:r>
          </w:p>
        </w:tc>
      </w:tr>
      <w:tr>
        <w:tc>
          <w:tcPr>
            <w:tcW w:type="dxa" w:w="1296"/>
            <w:shd w:val="clear" w:color="auto" w:fill="D9E2F3"/>
          </w:tcPr>
          <w:p>
            <w:pPr>
              <w:spacing w:after="0"/>
            </w:pPr>
            <w:r/>
            <w:r>
              <w:rPr>
                <w:b/>
                <w:sz w:val="18"/>
              </w:rPr>
              <w:t>From</w:t>
            </w:r>
          </w:p>
        </w:tc>
        <w:tc>
          <w:tcPr>
            <w:tcW w:type="dxa" w:w="8064"/>
          </w:tcPr>
          <w:p>
            <w:pPr>
              <w:spacing w:after="0"/>
            </w:pPr>
            <w:r/>
            <w:r>
              <w:rPr>
                <w:b w:val="0"/>
                <w:sz w:val="18"/>
              </w:rPr>
              <w:t>Clearfield Locke LLP — Thomas Whitaker, Partner; Emily Chen-Ramirez, Senior Associate</w:t>
            </w:r>
          </w:p>
        </w:tc>
      </w:tr>
      <w:tr>
        <w:tc>
          <w:tcPr>
            <w:tcW w:type="dxa" w:w="1296"/>
            <w:shd w:val="clear" w:color="auto" w:fill="D9E2F3"/>
          </w:tcPr>
          <w:p>
            <w:pPr>
              <w:spacing w:after="0"/>
            </w:pPr>
            <w:r/>
            <w:r>
              <w:rPr>
                <w:b/>
                <w:sz w:val="18"/>
              </w:rPr>
              <w:t>Date</w:t>
            </w:r>
          </w:p>
        </w:tc>
        <w:tc>
          <w:tcPr>
            <w:tcW w:type="dxa" w:w="8064"/>
          </w:tcPr>
          <w:p>
            <w:pPr>
              <w:spacing w:after="0"/>
            </w:pPr>
            <w:r/>
            <w:r>
              <w:rPr>
                <w:b w:val="0"/>
                <w:sz w:val="18"/>
              </w:rPr>
              <w:t>March 5, 2025 (for review ahead of the March 6 walkthrough call and the March 7 Board call)</w:t>
            </w:r>
          </w:p>
        </w:tc>
      </w:tr>
      <w:tr>
        <w:tc>
          <w:tcPr>
            <w:tcW w:type="dxa" w:w="1296"/>
            <w:shd w:val="clear" w:color="auto" w:fill="D9E2F3"/>
          </w:tcPr>
          <w:p>
            <w:pPr>
              <w:spacing w:after="0"/>
            </w:pPr>
            <w:r/>
            <w:r>
              <w:rPr>
                <w:b/>
                <w:sz w:val="18"/>
              </w:rPr>
              <w:t>Re</w:t>
            </w:r>
          </w:p>
        </w:tc>
        <w:tc>
          <w:tcPr>
            <w:tcW w:type="dxa" w:w="8064"/>
          </w:tcPr>
          <w:p>
            <w:pPr>
              <w:spacing w:after="0"/>
            </w:pPr>
            <w:r/>
            <w:r>
              <w:rPr>
                <w:b w:val="0"/>
                <w:sz w:val="18"/>
              </w:rPr>
              <w:t>Section-by-section comparison of the binding Engagement Letter prepared by Hargrove, Tilden &amp; Strauss LLP on behalf of Helix Data Systems, Inc. against the executed Term Sheet; severity ratings; recommended actions; proposed markup positions</w:t>
            </w:r>
          </w:p>
        </w:tc>
      </w:tr>
      <w:tr>
        <w:tc>
          <w:tcPr>
            <w:tcW w:type="dxa" w:w="1296"/>
            <w:shd w:val="clear" w:color="auto" w:fill="D9E2F3"/>
          </w:tcPr>
          <w:p>
            <w:pPr>
              <w:spacing w:after="0"/>
            </w:pPr>
            <w:r/>
            <w:r>
              <w:rPr>
                <w:b/>
                <w:sz w:val="18"/>
              </w:rPr>
              <w:t>Status</w:t>
            </w:r>
          </w:p>
        </w:tc>
        <w:tc>
          <w:tcPr>
            <w:tcW w:type="dxa" w:w="8064"/>
          </w:tcPr>
          <w:p>
            <w:pPr>
              <w:spacing w:after="0"/>
            </w:pPr>
            <w:r/>
            <w:r>
              <w:rPr>
                <w:b w:val="0"/>
                <w:sz w:val="18"/>
              </w:rPr>
              <w:t>Draft for client review. The Engagement Letter has not been signed by Stellarion and, in our view, should not be signed in its current form.</w:t>
            </w:r>
          </w:p>
        </w:tc>
      </w:tr>
    </w:tbl>
    <w:p>
      <w:pPr>
        <w:pStyle w:val="Heading1"/>
      </w:pPr>
      <w:r>
        <w:t>I. Executive Summary</w:t>
      </w:r>
    </w:p>
    <w:p>
      <w:r>
        <w:rPr>
          <w:b/>
        </w:rPr>
        <w:t xml:space="preserve">Bottom line. </w:t>
      </w:r>
      <w:r>
        <w:rPr>
          <w:i w:val="0"/>
        </w:rPr>
        <w:t>The Engagement Letter does not implement the Term Sheet. It departs from it, adds to it, or leaves out its terms in 61 separately catalogued respects. 37 of those items favor Helix, 10 favor Stellarion, and 14 are neutral, mixed or ambiguous. Taken together, the changes would lock in, as binding interim obligations, terms that Helix did not obtain at the Term Sheet stage, and would make the Engagement Letter (not the Term Sheet) the starting point for the Definitive Agreement.</w:t>
      </w:r>
    </w:p>
    <w:p>
      <w:r>
        <w:rPr>
          <w:b/>
        </w:rPr>
        <w:t xml:space="preserve">Recommendation. </w:t>
      </w:r>
      <w:r>
        <w:rPr>
          <w:i w:val="0"/>
        </w:rPr>
        <w:t>Stellarion should not countersign the Engagement Letter in its current form. We recommend a full redline back to Rachel Moynihan that conforms the letter to the Term Sheet, using the positions in Parts IV and V and the language in Appendix A. Until a conforming letter is signed, Stellarion should not deliver source code to escrow or make any technical deliveries beyond what the existing confidentiality obligations allow.</w:t>
      </w:r>
    </w:p>
    <w:p>
      <w:pPr>
        <w:pStyle w:val="Heading2"/>
      </w:pPr>
      <w:r>
        <w:t>The GC’s three priority issues — all three concerns are confirmed</w:t>
      </w:r>
    </w:p>
    <w:p>
      <w:pPr>
        <w:pStyle w:val="ListBullet"/>
        <w:spacing w:after="60"/>
      </w:pPr>
      <w:r>
        <w:rPr>
          <w:b/>
        </w:rPr>
        <w:t xml:space="preserve">1. Field of use: </w:t>
      </w:r>
      <w:r>
        <w:t>The Engagement Letter adds “predictive analytics” to the licensed field, deletes the express supply chain optimization exclusion, and deletes Helix’s covenant not to use, market or deploy EdgeAI in supply chain solutions. Stellarion’s own business is predictive analytics for supply chain optimization, so the change opens Stellarion’s core market to Helix. Rating: DEALBREAKER. Action: Reject (D-4; Part IV.1).</w:t>
      </w:r>
    </w:p>
    <w:p>
      <w:pPr>
        <w:pStyle w:val="ListBullet"/>
        <w:spacing w:after="60"/>
      </w:pPr>
      <w:r>
        <w:rPr>
          <w:b/>
        </w:rPr>
        <w:t xml:space="preserve">2. Joint IP sublicensing (Project Meridian): </w:t>
      </w:r>
      <w:r>
        <w:t>The prior written consent requirement for sublicensing Joint IP is gone. The letter instead expressly allows each party to “license” Joint IP without consent or accounting. Because U.S. default rules already let each co-owner license freely, leaving the requirement out hands Helix exactly the freedom the guardrail was meant to prevent. Rating: DEALBREAKER. Action: Reject (D-24; Part IV.2).</w:t>
      </w:r>
    </w:p>
    <w:p>
      <w:pPr>
        <w:pStyle w:val="ListBullet"/>
        <w:spacing w:after="60"/>
      </w:pPr>
      <w:r>
        <w:rPr>
          <w:b/>
        </w:rPr>
        <w:t xml:space="preserve">3. MFN: </w:t>
      </w:r>
      <w:r>
        <w:t>The MFN is omitted entirely. At the same time, the non-compete it paid for is weakened: the tail is cut from 18 to 12 months, a “standalone” loophole is added, the operative verbs are narrowed, and the non-compete is left off the survival list. The omission favors Stellarion on its face, but it erases the record of the bargain behind the non-compete. Rating: MATERIAL. Action: Flag for further discussion; we recommend reinstating the MFN in its narrow Term Sheet form, expressly tied to a restored 18-month non-compete (D-34, D-29 to D-31; Part IV.3).</w:t>
      </w:r>
    </w:p>
    <w:p>
      <w:pPr>
        <w:pStyle w:val="Heading2"/>
      </w:pPr>
      <w:r>
        <w:t>Additional dealbreakers not flagged in the GC’s email</w:t>
      </w:r>
    </w:p>
    <w:p>
      <w:pPr>
        <w:pStyle w:val="ListBullet"/>
        <w:spacing w:after="60"/>
      </w:pPr>
      <w:r>
        <w:rPr>
          <w:b/>
        </w:rPr>
        <w:t xml:space="preserve">Present license before payment: </w:t>
      </w:r>
      <w:r>
        <w:t>The letter says Stellarion “hereby grants” the license now, and resets the Effective Date to the signing of the letter. The $12.5 million upfront fee, however, is payable only after a Definitive Agreement is signed, and the letter continues indefinitely if no Definitive Agreement is ever signed. Helix could therefore hold a binding license without paying the upfront fee (D-2, D-3).</w:t>
      </w:r>
    </w:p>
    <w:p>
      <w:pPr>
        <w:pStyle w:val="ListBullet"/>
        <w:spacing w:after="60"/>
      </w:pPr>
      <w:r>
        <w:rPr>
          <w:b/>
        </w:rPr>
        <w:t xml:space="preserve">Uncapped IP indemnity: </w:t>
      </w:r>
      <w:r>
        <w:t>The Term Sheet expressly put indemnification inside the $25 million cap. The Engagement Letter takes indemnification outside the cap (and outside the consequential damages waiver) and lowers the cap to $20 million. Stellarion is the main IP contributor, and Helix will distribute EdgeAI to about 3,400 customers, so the result is unlimited IP exposure for Stellarion. That exposure is out of proportion to a $12.5 million fee and Stellarion’s $67.3 million ARR (D-35, D-36).</w:t>
      </w:r>
    </w:p>
    <w:p>
      <w:pPr>
        <w:pStyle w:val="Heading2"/>
      </w:pPr>
      <w:r>
        <w:t>Financial and timing changes (the GC’s “quick skim” items)</w:t>
      </w:r>
    </w:p>
    <w:p>
      <w:pPr>
        <w:pStyle w:val="ListBullet"/>
        <w:spacing w:after="60"/>
      </w:pPr>
      <w:r>
        <w:rPr>
          <w:b/>
        </w:rPr>
        <w:t xml:space="preserve">Upfront fee: </w:t>
      </w:r>
      <w:r>
        <w:t>the total is unchanged at $12.5M, but the split moves from $7.5M/$5.0M to $6.25M/$6.25M, and the first installment slips to 10 business days after signing (D-10, D-11).</w:t>
      </w:r>
    </w:p>
    <w:p>
      <w:pPr>
        <w:pStyle w:val="ListBullet"/>
        <w:spacing w:after="60"/>
      </w:pPr>
      <w:r>
        <w:rPr>
          <w:b/>
        </w:rPr>
        <w:t xml:space="preserve">Minimum annual royalty: </w:t>
      </w:r>
      <w:r>
        <w:t>reduced from $3.0M to $2.5M, which is $2.0M less over the Initial Term and $4.0M less over a nine-year term. The shortfall is now payable in 60 days rather than 30 (D-15, D-16).</w:t>
      </w:r>
    </w:p>
    <w:p>
      <w:pPr>
        <w:pStyle w:val="ListBullet"/>
        <w:spacing w:after="60"/>
      </w:pPr>
      <w:r>
        <w:rPr>
          <w:b/>
        </w:rPr>
        <w:t xml:space="preserve">Royalty timing and audit: </w:t>
      </w:r>
      <w:r>
        <w:t>royalties are now due 45 days after quarter-end instead of 30, and the audit cost-shifting threshold doubles from 5% to 10% (D-13, D-17).</w:t>
      </w:r>
    </w:p>
    <w:p>
      <w:pPr>
        <w:pStyle w:val="ListBullet"/>
        <w:spacing w:after="60"/>
      </w:pPr>
      <w:r>
        <w:rPr>
          <w:b/>
        </w:rPr>
        <w:t xml:space="preserve">Project Meridian: </w:t>
      </w:r>
      <w:r>
        <w:t>the cost split moves from 60/40 to 55/45, putting $410,000 more on Stellarion. Overruns are now shared automatically and without limit (the Term Sheet required mutual approval above 10%), and the rule that each party bears its own personnel costs has been dropped (D-21 to D-23).</w:t>
      </w:r>
    </w:p>
    <w:p>
      <w:pPr>
        <w:pStyle w:val="ListBullet"/>
        <w:spacing w:after="60"/>
      </w:pPr>
      <w:r>
        <w:rPr>
          <w:b/>
        </w:rPr>
        <w:t xml:space="preserve">Term and renewal: </w:t>
      </w:r>
      <w:r>
        <w:t>renewals are two 3-year terms (maximum 11 years) rather than two 2-year terms (maximum 9), and non-renewal notice is 120 days rather than 180 (D-9).</w:t>
      </w:r>
    </w:p>
    <w:p>
      <w:pPr>
        <w:pStyle w:val="ListBullet"/>
        <w:spacing w:after="60"/>
      </w:pPr>
      <w:r>
        <w:rPr>
          <w:b/>
        </w:rPr>
        <w:t xml:space="preserve">Other timing: </w:t>
      </w:r>
      <w:r>
        <w:t>the Definitive Agreement target moves from May 15 to May 30, 2025, with an evergreen tail (D-3). Confidentiality survival drops from 3 to 2 years (D-40). The breach cure framework shrinks from about 90 days to about 30 (D-43). Source code must be deposited within 30 days of signing the letter, before any payment is made (D-47).</w:t>
      </w:r>
    </w:p>
    <w:p>
      <w:pPr>
        <w:pStyle w:val="Heading2"/>
      </w:pPr>
      <w:r>
        <w:t>Severity and action profile</w:t>
      </w:r>
    </w:p>
    <w:tbl>
      <w:tblPr>
        <w:tblStyle w:val="TableGrid"/>
        <w:tblW w:type="auto" w:w="0"/>
        <w:tblLayout w:type="fixed"/>
        <w:tblLook w:firstColumn="1" w:firstRow="1" w:lastColumn="0" w:lastRow="0" w:noHBand="0" w:noVBand="1" w:val="04A0"/>
      </w:tblPr>
      <w:tblGrid>
        <w:gridCol w:w="2304"/>
        <w:gridCol w:w="1152"/>
        <w:gridCol w:w="3744"/>
        <w:gridCol w:w="1152"/>
      </w:tblGrid>
      <w:tr>
        <w:tc>
          <w:tcPr>
            <w:tcW w:type="dxa" w:w="2304"/>
            <w:shd w:val="clear" w:color="auto" w:fill="1F3A5F"/>
          </w:tcPr>
          <w:p>
            <w:pPr>
              <w:spacing w:after="0"/>
            </w:pPr>
            <w:r/>
            <w:r>
              <w:rPr>
                <w:b/>
                <w:color w:val="FFFFFF"/>
                <w:sz w:val="18"/>
              </w:rPr>
              <w:t>Severity</w:t>
            </w:r>
          </w:p>
        </w:tc>
        <w:tc>
          <w:tcPr>
            <w:tcW w:type="dxa" w:w="1152"/>
            <w:shd w:val="clear" w:color="auto" w:fill="1F3A5F"/>
          </w:tcPr>
          <w:p>
            <w:pPr>
              <w:spacing w:after="0"/>
            </w:pPr>
            <w:r/>
            <w:r>
              <w:rPr>
                <w:b/>
                <w:color w:val="FFFFFF"/>
                <w:sz w:val="18"/>
              </w:rPr>
              <w:t>Count</w:t>
            </w:r>
          </w:p>
        </w:tc>
        <w:tc>
          <w:tcPr>
            <w:tcW w:type="dxa" w:w="3744"/>
            <w:shd w:val="clear" w:color="auto" w:fill="1F3A5F"/>
          </w:tcPr>
          <w:p>
            <w:pPr>
              <w:spacing w:after="0"/>
            </w:pPr>
            <w:r/>
            <w:r>
              <w:rPr>
                <w:b/>
                <w:color w:val="FFFFFF"/>
                <w:sz w:val="18"/>
              </w:rPr>
              <w:t>Recommended action</w:t>
            </w:r>
          </w:p>
        </w:tc>
        <w:tc>
          <w:tcPr>
            <w:tcW w:type="dxa" w:w="1152"/>
            <w:shd w:val="clear" w:color="auto" w:fill="1F3A5F"/>
          </w:tcPr>
          <w:p>
            <w:pPr>
              <w:spacing w:after="0"/>
            </w:pPr>
            <w:r/>
            <w:r>
              <w:rPr>
                <w:b/>
                <w:color w:val="FFFFFF"/>
                <w:sz w:val="18"/>
              </w:rPr>
              <w:t>Count</w:t>
            </w:r>
          </w:p>
        </w:tc>
      </w:tr>
      <w:tr>
        <w:tc>
          <w:tcPr>
            <w:tcW w:type="dxa" w:w="2304"/>
            <w:shd w:val="clear" w:color="auto" w:fill="C00000"/>
          </w:tcPr>
          <w:p>
            <w:pPr>
              <w:spacing w:after="0"/>
            </w:pPr>
            <w:r/>
            <w:r>
              <w:rPr>
                <w:b/>
                <w:color w:val="FFFFFF"/>
                <w:sz w:val="18"/>
              </w:rPr>
              <w:t>Dealbreaker</w:t>
            </w:r>
          </w:p>
        </w:tc>
        <w:tc>
          <w:tcPr>
            <w:tcW w:type="dxa" w:w="1152"/>
          </w:tcPr>
          <w:p>
            <w:pPr>
              <w:spacing w:after="0"/>
              <w:jc w:val="center"/>
            </w:pPr>
            <w:r/>
            <w:r>
              <w:rPr>
                <w:b w:val="0"/>
                <w:sz w:val="18"/>
              </w:rPr>
              <w:t>4</w:t>
            </w:r>
          </w:p>
        </w:tc>
        <w:tc>
          <w:tcPr>
            <w:tcW w:type="dxa" w:w="3744"/>
          </w:tcPr>
          <w:p>
            <w:pPr>
              <w:spacing w:after="0"/>
            </w:pPr>
            <w:r/>
            <w:r>
              <w:rPr>
                <w:b w:val="0"/>
                <w:sz w:val="18"/>
              </w:rPr>
              <w:t>Reject</w:t>
            </w:r>
          </w:p>
        </w:tc>
        <w:tc>
          <w:tcPr>
            <w:tcW w:type="dxa" w:w="1152"/>
          </w:tcPr>
          <w:p>
            <w:pPr>
              <w:spacing w:after="0"/>
              <w:jc w:val="center"/>
            </w:pPr>
            <w:r/>
            <w:r>
              <w:rPr>
                <w:b w:val="0"/>
                <w:sz w:val="18"/>
              </w:rPr>
              <w:t>21</w:t>
            </w:r>
          </w:p>
        </w:tc>
      </w:tr>
      <w:tr>
        <w:tc>
          <w:tcPr>
            <w:tcW w:type="dxa" w:w="2304"/>
            <w:shd w:val="clear" w:color="auto" w:fill="F4B183"/>
          </w:tcPr>
          <w:p>
            <w:pPr>
              <w:spacing w:after="0"/>
            </w:pPr>
            <w:r/>
            <w:r>
              <w:rPr>
                <w:b/>
                <w:color w:val="000000"/>
                <w:sz w:val="18"/>
              </w:rPr>
              <w:t>Material</w:t>
            </w:r>
          </w:p>
        </w:tc>
        <w:tc>
          <w:tcPr>
            <w:tcW w:type="dxa" w:w="1152"/>
          </w:tcPr>
          <w:p>
            <w:pPr>
              <w:spacing w:after="0"/>
              <w:jc w:val="center"/>
            </w:pPr>
            <w:r/>
            <w:r>
              <w:rPr>
                <w:b w:val="0"/>
                <w:sz w:val="18"/>
              </w:rPr>
              <w:t>20</w:t>
            </w:r>
          </w:p>
        </w:tc>
        <w:tc>
          <w:tcPr>
            <w:tcW w:type="dxa" w:w="3744"/>
          </w:tcPr>
          <w:p>
            <w:pPr>
              <w:spacing w:after="0"/>
            </w:pPr>
            <w:r/>
            <w:r>
              <w:rPr>
                <w:b w:val="0"/>
                <w:sz w:val="18"/>
              </w:rPr>
              <w:t>Negotiate</w:t>
            </w:r>
          </w:p>
        </w:tc>
        <w:tc>
          <w:tcPr>
            <w:tcW w:type="dxa" w:w="1152"/>
          </w:tcPr>
          <w:p>
            <w:pPr>
              <w:spacing w:after="0"/>
              <w:jc w:val="center"/>
            </w:pPr>
            <w:r/>
            <w:r>
              <w:rPr>
                <w:b w:val="0"/>
                <w:sz w:val="18"/>
              </w:rPr>
              <w:t>23</w:t>
            </w:r>
          </w:p>
        </w:tc>
      </w:tr>
      <w:tr>
        <w:tc>
          <w:tcPr>
            <w:tcW w:type="dxa" w:w="2304"/>
            <w:shd w:val="clear" w:color="auto" w:fill="FFE699"/>
          </w:tcPr>
          <w:p>
            <w:pPr>
              <w:spacing w:after="0"/>
            </w:pPr>
            <w:r/>
            <w:r>
              <w:rPr>
                <w:b/>
                <w:color w:val="000000"/>
                <w:sz w:val="18"/>
              </w:rPr>
              <w:t>Moderate</w:t>
            </w:r>
          </w:p>
        </w:tc>
        <w:tc>
          <w:tcPr>
            <w:tcW w:type="dxa" w:w="1152"/>
          </w:tcPr>
          <w:p>
            <w:pPr>
              <w:spacing w:after="0"/>
              <w:jc w:val="center"/>
            </w:pPr>
            <w:r/>
            <w:r>
              <w:rPr>
                <w:b w:val="0"/>
                <w:sz w:val="18"/>
              </w:rPr>
              <w:t>17</w:t>
            </w:r>
          </w:p>
        </w:tc>
        <w:tc>
          <w:tcPr>
            <w:tcW w:type="dxa" w:w="3744"/>
          </w:tcPr>
          <w:p>
            <w:pPr>
              <w:spacing w:after="0"/>
            </w:pPr>
            <w:r/>
            <w:r>
              <w:rPr>
                <w:b w:val="0"/>
                <w:sz w:val="18"/>
              </w:rPr>
              <w:t>Flag for further discussion</w:t>
            </w:r>
          </w:p>
        </w:tc>
        <w:tc>
          <w:tcPr>
            <w:tcW w:type="dxa" w:w="1152"/>
          </w:tcPr>
          <w:p>
            <w:pPr>
              <w:spacing w:after="0"/>
              <w:jc w:val="center"/>
            </w:pPr>
            <w:r/>
            <w:r>
              <w:rPr>
                <w:b w:val="0"/>
                <w:sz w:val="18"/>
              </w:rPr>
              <w:t>3</w:t>
            </w:r>
          </w:p>
        </w:tc>
      </w:tr>
      <w:tr>
        <w:tc>
          <w:tcPr>
            <w:tcW w:type="dxa" w:w="2304"/>
            <w:shd w:val="clear" w:color="auto" w:fill="E2EFDA"/>
          </w:tcPr>
          <w:p>
            <w:pPr>
              <w:spacing w:after="0"/>
            </w:pPr>
            <w:r/>
            <w:r>
              <w:rPr>
                <w:b/>
                <w:color w:val="000000"/>
                <w:sz w:val="18"/>
              </w:rPr>
              <w:t>Minor</w:t>
            </w:r>
          </w:p>
        </w:tc>
        <w:tc>
          <w:tcPr>
            <w:tcW w:type="dxa" w:w="1152"/>
          </w:tcPr>
          <w:p>
            <w:pPr>
              <w:spacing w:after="0"/>
              <w:jc w:val="center"/>
            </w:pPr>
            <w:r/>
            <w:r>
              <w:rPr>
                <w:b w:val="0"/>
                <w:sz w:val="18"/>
              </w:rPr>
              <w:t>20</w:t>
            </w:r>
          </w:p>
        </w:tc>
        <w:tc>
          <w:tcPr>
            <w:tcW w:type="dxa" w:w="3744"/>
          </w:tcPr>
          <w:p>
            <w:pPr>
              <w:spacing w:after="0"/>
            </w:pPr>
            <w:r/>
            <w:r>
              <w:rPr>
                <w:b w:val="0"/>
                <w:sz w:val="18"/>
              </w:rPr>
              <w:t>Accept</w:t>
            </w:r>
          </w:p>
        </w:tc>
        <w:tc>
          <w:tcPr>
            <w:tcW w:type="dxa" w:w="1152"/>
          </w:tcPr>
          <w:p>
            <w:pPr>
              <w:spacing w:after="0"/>
              <w:jc w:val="center"/>
            </w:pPr>
            <w:r/>
            <w:r>
              <w:rPr>
                <w:b w:val="0"/>
                <w:sz w:val="18"/>
              </w:rPr>
              <w:t>14</w:t>
            </w:r>
          </w:p>
        </w:tc>
      </w:tr>
      <w:tr>
        <w:tc>
          <w:tcPr>
            <w:tcW w:type="dxa" w:w="2304"/>
          </w:tcPr>
          <w:p>
            <w:pPr>
              <w:spacing w:after="0"/>
            </w:pPr>
            <w:r/>
            <w:r>
              <w:rPr>
                <w:b/>
                <w:sz w:val="18"/>
              </w:rPr>
              <w:t>Total</w:t>
            </w:r>
          </w:p>
        </w:tc>
        <w:tc>
          <w:tcPr>
            <w:tcW w:type="dxa" w:w="1152"/>
          </w:tcPr>
          <w:p>
            <w:pPr>
              <w:spacing w:after="0"/>
              <w:jc w:val="center"/>
            </w:pPr>
            <w:r/>
            <w:r>
              <w:rPr>
                <w:b/>
                <w:sz w:val="18"/>
              </w:rPr>
              <w:t>61</w:t>
            </w:r>
          </w:p>
        </w:tc>
        <w:tc>
          <w:tcPr>
            <w:tcW w:type="dxa" w:w="3744"/>
          </w:tcPr>
          <w:p>
            <w:pPr>
              <w:spacing w:after="0"/>
            </w:pPr>
            <w:r/>
            <w:r>
              <w:rPr>
                <w:b/>
                <w:sz w:val="18"/>
              </w:rPr>
              <w:t>Total</w:t>
            </w:r>
          </w:p>
        </w:tc>
        <w:tc>
          <w:tcPr>
            <w:tcW w:type="dxa" w:w="1152"/>
          </w:tcPr>
          <w:p>
            <w:pPr>
              <w:spacing w:after="0"/>
              <w:jc w:val="center"/>
            </w:pPr>
            <w:r/>
            <w:r>
              <w:rPr>
                <w:b/>
                <w:sz w:val="18"/>
              </w:rPr>
              <w:t>61</w:t>
            </w:r>
          </w:p>
        </w:tc>
      </w:tr>
    </w:tbl>
    <w:p>
      <w:r>
        <w:rPr>
          <w:i w:val="0"/>
        </w:rPr>
      </w:r>
    </w:p>
    <w:p>
      <w:r>
        <w:rPr>
          <w:b/>
        </w:rPr>
        <w:t xml:space="preserve">Observation. </w:t>
      </w:r>
      <w:r>
        <w:rPr>
          <w:i w:val="0"/>
        </w:rPr>
        <w:t>Several deviations favor Stellarion. These include the Gross Revenue royalty base, the shorter 18-month exclusivity, the narrower escrow release triggers, the object-code-only license, the reservation of rights, and the fixed 1.5% monthly audit interest. Their presence suggests the draft is either a deliberately rebalanced package or a careless one. Either way, our redline should keep them as negotiating currency, and Stellarion should be ready to give some of them up in exchange for full restoration of the dealbreaker items (Part VII).</w:t>
      </w:r>
    </w:p>
    <w:p>
      <w:pPr>
        <w:pStyle w:val="Heading1"/>
      </w:pPr>
      <w:r>
        <w:t>II. Documents Reviewed, Scope and Threshold Observations</w:t>
      </w:r>
    </w:p>
    <w:p>
      <w:pPr>
        <w:pStyle w:val="ListBullet"/>
        <w:spacing w:after="60"/>
      </w:pPr>
      <w:r>
        <w:rPr>
          <w:b/>
        </w:rPr>
        <w:t xml:space="preserve">Term Sheet: </w:t>
      </w:r>
      <w:r>
        <w:t>Non-Binding Term Sheet, Strategic Technology License and Co-Development Arrangement, dated February 14, 2025, between Stellarion Inc. and Helix Data Systems, Inc., signed by Priya Ranganathan (CEO, Stellarion) and Allison Kemper (SVP, Corporate Development, Helix), with acknowledgment lines for Marcus Ó Briain and David Trask (the “Term Sheet” or “TS”).</w:t>
      </w:r>
    </w:p>
    <w:p>
      <w:pPr>
        <w:pStyle w:val="ListBullet"/>
        <w:spacing w:after="60"/>
      </w:pPr>
      <w:r>
        <w:rPr>
          <w:b/>
        </w:rPr>
        <w:t xml:space="preserve">Engagement Letter: </w:t>
      </w:r>
      <w:r>
        <w:t>Binding Engagement Letter dated March 3, 2025, from Helix to Priya Ranganathan, prepared by Hargrove, Tilden &amp; Strauss LLP, with a signature block for Jonathan Faircloth (CEO, Helix) and “Acknowledged and Agreed” by Stellarion (the “Engagement Letter” or “EL”).</w:t>
      </w:r>
    </w:p>
    <w:p>
      <w:pPr>
        <w:pStyle w:val="ListBullet"/>
        <w:spacing w:after="60"/>
      </w:pPr>
      <w:r>
        <w:rPr>
          <w:b/>
        </w:rPr>
        <w:t xml:space="preserve">Instructions: </w:t>
      </w:r>
      <w:r>
        <w:t>Email from Marcus Ó Briain to Thomas Whitaker and Emily Chen-Ramirez dated March 4, 2025, setting out the assignment, the three priority issues and the timetable.</w:t>
      </w:r>
    </w:p>
    <w:p>
      <w:r>
        <w:rPr>
          <w:b/>
        </w:rPr>
        <w:t xml:space="preserve">Receipt and version check. </w:t>
      </w:r>
      <w:r>
        <w:rPr>
          <w:i w:val="0"/>
        </w:rPr>
        <w:t>We confirm receipt of both the Term Sheet and the Engagement Letter. The email describes the attachment as a PDF “executed draft circulated 3.3.25.” The version provided to us for this review is a Word document whose signature and date lines are blank for both parties. Before the Board call, please confirm that (i) this version matches the PDF that Rachel Moynihan circulated, and (ii) no one at Stellarion has signed or otherwise accepted the letter (D-60). This report assumes the version we reviewed is the operative one.</w:t>
      </w:r>
    </w:p>
    <w:p>
      <w:r>
        <w:rPr>
          <w:b/>
        </w:rPr>
        <w:t xml:space="preserve">Legal status of the Term Sheet. </w:t>
      </w:r>
      <w:r>
        <w:rPr>
          <w:i w:val="0"/>
        </w:rPr>
        <w:t>Under TS §17, the Term Sheet is non-binding except for §8 (Exclusivity), §14 (Confidentiality) and §15 (Governing Law and Dispute Resolution). TS §16 provides that the interim engagement letter “shall be consistent with the terms of this Term Sheet.” That covenant is not itself a listed Binding Provision. Stellarion’s strongest protection is therefore not a breach claim but its refusal to sign: until Stellarion countersigns, the Engagement Letter binds no one. The deviations below matter because, as the GC notes, a signed Engagement Letter would govern the parties until the Definitive Agreement and would supersede the Term Sheet.</w:t>
      </w:r>
    </w:p>
    <w:p>
      <w:r>
        <w:rPr>
          <w:b/>
        </w:rPr>
        <w:t xml:space="preserve">Method and severity scale. </w:t>
      </w:r>
      <w:r>
        <w:rPr>
          <w:i w:val="0"/>
        </w:rPr>
        <w:t>Each Engagement Letter provision was compared against the corresponding Term Sheet provision. Each Term Sheet provision was then checked for whether it was carried into the Engagement Letter. Provisions new to the Engagement Letter were assessed for their effect on Stellarion. Where both documents share a gap that matters to Stellarion, we note it; these are identified as gaps, not deviations. Severity reflects the likely impact on Stellarion if the term became binding:</w:t>
      </w:r>
    </w:p>
    <w:p>
      <w:pPr>
        <w:pStyle w:val="ListBullet"/>
        <w:spacing w:after="60"/>
      </w:pPr>
      <w:r>
        <w:rPr>
          <w:b/>
        </w:rPr>
        <w:t xml:space="preserve">Dealbreaker: </w:t>
      </w:r>
      <w:r>
        <w:t>Reverses a negotiated core protection or creates exposure that would make the transaction unacceptable. Stellarion should not sign unless it is fixed.</w:t>
      </w:r>
    </w:p>
    <w:p>
      <w:pPr>
        <w:pStyle w:val="ListBullet"/>
        <w:spacing w:after="60"/>
      </w:pPr>
      <w:r>
        <w:rPr>
          <w:b/>
        </w:rPr>
        <w:t xml:space="preserve">Material: </w:t>
      </w:r>
      <w:r>
        <w:t>Significant economic, IP or risk-allocation impact. It must be corrected or expressly traded for value.</w:t>
      </w:r>
    </w:p>
    <w:p>
      <w:pPr>
        <w:pStyle w:val="ListBullet"/>
        <w:spacing w:after="60"/>
      </w:pPr>
      <w:r>
        <w:rPr>
          <w:b/>
        </w:rPr>
        <w:t xml:space="preserve">Moderate: </w:t>
      </w:r>
      <w:r>
        <w:t>Real but containable impact, or ambiguity that Helix could exploit. It should be corrected in the redline.</w:t>
      </w:r>
    </w:p>
    <w:p>
      <w:pPr>
        <w:pStyle w:val="ListBullet"/>
        <w:spacing w:after="60"/>
      </w:pPr>
      <w:r>
        <w:rPr>
          <w:b/>
        </w:rPr>
        <w:t xml:space="preserve">Minor: </w:t>
      </w:r>
      <w:r>
        <w:t>Drafting, clarification or market-standard provisions. These can be accepted, or fixed as conforming changes.</w:t>
      </w:r>
    </w:p>
    <w:p>
      <w:r>
        <w:rPr>
          <w:i w:val="0"/>
        </w:rPr>
        <w:t>Recommended actions: Accept; Reject (restore the Term Sheet or delete); Negotiate (counter-propose specific language); Flag for further discussion (needs a client business decision).</w:t>
      </w:r>
    </w:p>
    <w:p>
      <w:pPr>
        <w:sectPr>
          <w:headerReference w:type="default" r:id="rId9"/>
          <w:footerReference w:type="default" r:id="rId10"/>
          <w:pgSz w:w="12240" w:h="15840"/>
          <w:pgMar w:top="1296" w:right="1440" w:bottom="1296" w:left="1440" w:header="720" w:footer="720" w:gutter="0"/>
          <w:cols w:space="720"/>
          <w:docGrid w:linePitch="360"/>
        </w:sectPr>
      </w:pPr>
    </w:p>
    <w:p>
      <w:pPr>
        <w:pStyle w:val="Heading1"/>
      </w:pPr>
      <w:r>
        <w:t>III. Summary Deviation Table</w:t>
      </w:r>
    </w:p>
    <w:p>
      <w:r>
        <w:rPr>
          <w:i w:val="0"/>
          <w:sz w:val="18"/>
        </w:rPr>
        <w:t>Items appear in the order of the Engagement Letter. The Term Sheet and Engagement Letter columns summarize the provisions; the exact language is quoted in Part V. “Favors” shows which party benefits from the deviation. GC priority items are marked ★.</w:t>
      </w:r>
    </w:p>
    <w:tbl>
      <w:tblPr>
        <w:tblStyle w:val="TableGrid"/>
        <w:tblW w:type="auto" w:w="0"/>
        <w:tblLayout w:type="fixed"/>
        <w:tblLook w:firstColumn="1" w:firstRow="1" w:lastColumn="0" w:lastRow="0" w:noHBand="0" w:noVBand="1" w:val="04A0"/>
      </w:tblPr>
      <w:tblGrid>
        <w:gridCol w:w="648"/>
        <w:gridCol w:w="2520"/>
        <w:gridCol w:w="3384"/>
        <w:gridCol w:w="3384"/>
        <w:gridCol w:w="1224"/>
        <w:gridCol w:w="1080"/>
        <w:gridCol w:w="1872"/>
      </w:tblGrid>
      <w:tr>
        <w:trPr>
          <w:tblHeader w:val="true"/>
        </w:trPr>
        <w:tc>
          <w:tcPr>
            <w:tcW w:type="dxa" w:w="648"/>
            <w:shd w:val="clear" w:color="auto" w:fill="1F3A5F"/>
          </w:tcPr>
          <w:p>
            <w:pPr>
              <w:spacing w:after="0"/>
            </w:pPr>
            <w:r/>
            <w:r>
              <w:rPr>
                <w:b/>
                <w:color w:val="FFFFFF"/>
                <w:sz w:val="16"/>
              </w:rPr>
              <w:t>#</w:t>
            </w:r>
          </w:p>
        </w:tc>
        <w:tc>
          <w:tcPr>
            <w:tcW w:type="dxa" w:w="2520"/>
            <w:shd w:val="clear" w:color="auto" w:fill="1F3A5F"/>
          </w:tcPr>
          <w:p>
            <w:pPr>
              <w:spacing w:after="0"/>
            </w:pPr>
            <w:r/>
            <w:r>
              <w:rPr>
                <w:b/>
                <w:color w:val="FFFFFF"/>
                <w:sz w:val="16"/>
              </w:rPr>
              <w:t>Provision (TS § / EL §)</w:t>
            </w:r>
          </w:p>
        </w:tc>
        <w:tc>
          <w:tcPr>
            <w:tcW w:type="dxa" w:w="3384"/>
            <w:shd w:val="clear" w:color="auto" w:fill="1F3A5F"/>
          </w:tcPr>
          <w:p>
            <w:pPr>
              <w:spacing w:after="0"/>
            </w:pPr>
            <w:r/>
            <w:r>
              <w:rPr>
                <w:b/>
                <w:color w:val="FFFFFF"/>
                <w:sz w:val="16"/>
              </w:rPr>
              <w:t>Term Sheet</w:t>
            </w:r>
          </w:p>
        </w:tc>
        <w:tc>
          <w:tcPr>
            <w:tcW w:type="dxa" w:w="3384"/>
            <w:shd w:val="clear" w:color="auto" w:fill="1F3A5F"/>
          </w:tcPr>
          <w:p>
            <w:pPr>
              <w:spacing w:after="0"/>
            </w:pPr>
            <w:r/>
            <w:r>
              <w:rPr>
                <w:b/>
                <w:color w:val="FFFFFF"/>
                <w:sz w:val="16"/>
              </w:rPr>
              <w:t>Engagement Letter</w:t>
            </w:r>
          </w:p>
        </w:tc>
        <w:tc>
          <w:tcPr>
            <w:tcW w:type="dxa" w:w="1224"/>
            <w:shd w:val="clear" w:color="auto" w:fill="1F3A5F"/>
          </w:tcPr>
          <w:p>
            <w:pPr>
              <w:spacing w:after="0"/>
            </w:pPr>
            <w:r/>
            <w:r>
              <w:rPr>
                <w:b/>
                <w:color w:val="FFFFFF"/>
                <w:sz w:val="16"/>
              </w:rPr>
              <w:t>Severity</w:t>
            </w:r>
          </w:p>
        </w:tc>
        <w:tc>
          <w:tcPr>
            <w:tcW w:type="dxa" w:w="1080"/>
            <w:shd w:val="clear" w:color="auto" w:fill="1F3A5F"/>
          </w:tcPr>
          <w:p>
            <w:pPr>
              <w:spacing w:after="0"/>
            </w:pPr>
            <w:r/>
            <w:r>
              <w:rPr>
                <w:b/>
                <w:color w:val="FFFFFF"/>
                <w:sz w:val="16"/>
              </w:rPr>
              <w:t>Favors</w:t>
            </w:r>
          </w:p>
        </w:tc>
        <w:tc>
          <w:tcPr>
            <w:tcW w:type="dxa" w:w="1872"/>
            <w:shd w:val="clear" w:color="auto" w:fill="1F3A5F"/>
          </w:tcPr>
          <w:p>
            <w:pPr>
              <w:spacing w:after="0"/>
            </w:pPr>
            <w:r/>
            <w:r>
              <w:rPr>
                <w:b/>
                <w:color w:val="FFFFFF"/>
                <w:sz w:val="16"/>
              </w:rPr>
              <w:t>Recommended action</w:t>
            </w:r>
          </w:p>
        </w:tc>
      </w:tr>
      <w:tr>
        <w:trPr>
          <w:cantSplit w:val="true"/>
        </w:trPr>
        <w:tc>
          <w:tcPr>
            <w:tcW w:type="dxa" w:w="648"/>
          </w:tcPr>
          <w:p>
            <w:pPr>
              <w:spacing w:after="0"/>
            </w:pPr>
            <w:r/>
            <w:r>
              <w:rPr>
                <w:b/>
                <w:sz w:val="15"/>
              </w:rPr>
              <w:t>D-1</w:t>
            </w:r>
          </w:p>
        </w:tc>
        <w:tc>
          <w:tcPr>
            <w:tcW w:type="dxa" w:w="2520"/>
          </w:tcPr>
          <w:p>
            <w:pPr>
              <w:spacing w:after="0"/>
            </w:pPr>
            <w:r/>
            <w:r>
              <w:rPr>
                <w:b/>
                <w:sz w:val="15"/>
              </w:rPr>
              <w:t>Supersession of the Term Sheet; integration clause; Engagement Letter becomes the baseline for the Definitive Agreement</w:t>
            </w:r>
            <w:r>
              <w:rPr>
                <w:i/>
                <w:sz w:val="14"/>
              </w:rPr>
              <w:br/>
              <w:t>TS §§16, 17, 18 / EL §1, §14, §16.3</w:t>
            </w:r>
          </w:p>
        </w:tc>
        <w:tc>
          <w:tcPr>
            <w:tcW w:type="dxa" w:w="3384"/>
          </w:tcPr>
          <w:p>
            <w:pPr>
              <w:spacing w:after="0"/>
            </w:pPr>
            <w:r/>
            <w:r>
              <w:rPr>
                <w:b w:val="0"/>
                <w:sz w:val="15"/>
              </w:rPr>
              <w:t>Engagement letter must be consistent with TS; Definitive Agreement incorporates TS; §§8, 14, 15 binding.</w:t>
            </w:r>
          </w:p>
        </w:tc>
        <w:tc>
          <w:tcPr>
            <w:tcW w:type="dxa" w:w="3384"/>
          </w:tcPr>
          <w:p>
            <w:pPr>
              <w:spacing w:after="0"/>
            </w:pPr>
            <w:r/>
            <w:r>
              <w:rPr>
                <w:b w:val="0"/>
                <w:sz w:val="15"/>
              </w:rPr>
              <w:t>Supersedes TS entirely; integration clause; Definitive Agreement incorporates EL terms.</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D-2</w:t>
            </w:r>
          </w:p>
        </w:tc>
        <w:tc>
          <w:tcPr>
            <w:tcW w:type="dxa" w:w="2520"/>
          </w:tcPr>
          <w:p>
            <w:pPr>
              <w:spacing w:after="0"/>
            </w:pPr>
            <w:r/>
            <w:r>
              <w:rPr>
                <w:b/>
                <w:sz w:val="15"/>
              </w:rPr>
              <w:t>Present, binding license grant effective on signing of the Engagement Letter; “Effective Date” moved from Definitive Agreement execution to Engagement Letter countersignature</w:t>
            </w:r>
            <w:r>
              <w:rPr>
                <w:i/>
                <w:sz w:val="14"/>
              </w:rPr>
              <w:br/>
              <w:t>TS §2, §3.1, §4.1 / EL §3 (“Effective Date”), §4.1, §4.2, §5.1</w:t>
            </w:r>
          </w:p>
        </w:tc>
        <w:tc>
          <w:tcPr>
            <w:tcW w:type="dxa" w:w="3384"/>
          </w:tcPr>
          <w:p>
            <w:pPr>
              <w:spacing w:after="0"/>
            </w:pPr>
            <w:r/>
            <w:r>
              <w:rPr>
                <w:b w:val="0"/>
                <w:sz w:val="15"/>
              </w:rPr>
              <w:t>Proposed grant subject to the Definitive Agreement; Effective Date = Definitive Agreement execution.</w:t>
            </w:r>
          </w:p>
        </w:tc>
        <w:tc>
          <w:tcPr>
            <w:tcW w:type="dxa" w:w="3384"/>
          </w:tcPr>
          <w:p>
            <w:pPr>
              <w:spacing w:after="0"/>
            </w:pPr>
            <w:r/>
            <w:r>
              <w:rPr>
                <w:b w:val="0"/>
                <w:sz w:val="15"/>
              </w:rPr>
              <w:t>“Hereby grants” the license now; Effective Date = EL countersignature; fee still payable only on the Definitive Agreement.</w:t>
            </w:r>
          </w:p>
        </w:tc>
        <w:tc>
          <w:tcPr>
            <w:tcW w:type="dxa" w:w="1224"/>
            <w:shd w:val="clear" w:color="auto" w:fill="C00000"/>
          </w:tcPr>
          <w:p>
            <w:pPr>
              <w:spacing w:after="0"/>
            </w:pPr>
            <w:r/>
            <w:r>
              <w:rPr>
                <w:b/>
                <w:color w:val="FFFFFF"/>
                <w:sz w:val="15"/>
              </w:rPr>
              <w:t>Dealbreaker</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D-3</w:t>
            </w:r>
          </w:p>
        </w:tc>
        <w:tc>
          <w:tcPr>
            <w:tcW w:type="dxa" w:w="2520"/>
          </w:tcPr>
          <w:p>
            <w:pPr>
              <w:spacing w:after="0"/>
            </w:pPr>
            <w:r/>
            <w:r>
              <w:rPr>
                <w:b/>
                <w:sz w:val="15"/>
              </w:rPr>
              <w:t>Target date for the Definitive Agreement moved to May 30, 2025; Engagement Letter continues indefinitely if no Definitive Agreement is signed</w:t>
            </w:r>
            <w:r>
              <w:rPr>
                <w:i/>
                <w:sz w:val="14"/>
              </w:rPr>
              <w:br/>
              <w:t>TS §16 / EL §14</w:t>
            </w:r>
          </w:p>
        </w:tc>
        <w:tc>
          <w:tcPr>
            <w:tcW w:type="dxa" w:w="3384"/>
          </w:tcPr>
          <w:p>
            <w:pPr>
              <w:spacing w:after="0"/>
            </w:pPr>
            <w:r/>
            <w:r>
              <w:rPr>
                <w:b w:val="0"/>
                <w:sz w:val="15"/>
              </w:rPr>
              <w:t>Target Closing Date May 15, 2025.</w:t>
            </w:r>
          </w:p>
        </w:tc>
        <w:tc>
          <w:tcPr>
            <w:tcW w:type="dxa" w:w="3384"/>
          </w:tcPr>
          <w:p>
            <w:pPr>
              <w:spacing w:after="0"/>
            </w:pPr>
            <w:r/>
            <w:r>
              <w:rPr>
                <w:b w:val="0"/>
                <w:sz w:val="15"/>
              </w:rPr>
              <w:t>May 30, 2025; EL continues indefinitely until 60 days’ notice.</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D-4 ★</w:t>
            </w:r>
          </w:p>
        </w:tc>
        <w:tc>
          <w:tcPr>
            <w:tcW w:type="dxa" w:w="2520"/>
          </w:tcPr>
          <w:p>
            <w:pPr>
              <w:spacing w:after="0"/>
            </w:pPr>
            <w:r/>
            <w:r>
              <w:rPr>
                <w:b/>
                <w:sz w:val="15"/>
              </w:rPr>
              <w:t>FIELD OF USE</w:t>
            </w:r>
            <w:r>
              <w:rPr>
                <w:i/>
                <w:sz w:val="14"/>
              </w:rPr>
              <w:br/>
              <w:t>TS §2 (Field of Use) / EL §4.1</w:t>
            </w:r>
          </w:p>
        </w:tc>
        <w:tc>
          <w:tcPr>
            <w:tcW w:type="dxa" w:w="3384"/>
          </w:tcPr>
          <w:p>
            <w:pPr>
              <w:spacing w:after="0"/>
            </w:pPr>
            <w:r/>
            <w:r>
              <w:rPr>
                <w:b w:val="0"/>
                <w:sz w:val="15"/>
              </w:rPr>
              <w:t>Data infrastructure and edge computing only; supply chain optimization expressly excluded; Helix covenant not to use, market or deploy.</w:t>
            </w:r>
          </w:p>
        </w:tc>
        <w:tc>
          <w:tcPr>
            <w:tcW w:type="dxa" w:w="3384"/>
          </w:tcPr>
          <w:p>
            <w:pPr>
              <w:spacing w:after="0"/>
            </w:pPr>
            <w:r/>
            <w:r>
              <w:rPr>
                <w:b w:val="0"/>
                <w:sz w:val="15"/>
              </w:rPr>
              <w:t>Adds “predictive analytics”; exclusion and covenant deleted; “in connection with.”</w:t>
            </w:r>
          </w:p>
        </w:tc>
        <w:tc>
          <w:tcPr>
            <w:tcW w:type="dxa" w:w="1224"/>
            <w:shd w:val="clear" w:color="auto" w:fill="C00000"/>
          </w:tcPr>
          <w:p>
            <w:pPr>
              <w:spacing w:after="0"/>
            </w:pPr>
            <w:r/>
            <w:r>
              <w:rPr>
                <w:b/>
                <w:color w:val="FFFFFF"/>
                <w:sz w:val="15"/>
              </w:rPr>
              <w:t>Dealbreaker</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D-5</w:t>
            </w:r>
          </w:p>
        </w:tc>
        <w:tc>
          <w:tcPr>
            <w:tcW w:type="dxa" w:w="2520"/>
          </w:tcPr>
          <w:p>
            <w:pPr>
              <w:spacing w:after="0"/>
            </w:pPr>
            <w:r/>
            <w:r>
              <w:rPr>
                <w:b/>
                <w:sz w:val="15"/>
              </w:rPr>
              <w:t>Licensed products expanded to “products and services”; “Helix Edge Runtime” defined to include all updates, upgrades and successive versions</w:t>
            </w:r>
            <w:r>
              <w:rPr>
                <w:i/>
                <w:sz w:val="14"/>
              </w:rPr>
              <w:br/>
              <w:t>TS §2 (Grant) / EL §3, §4.1</w:t>
            </w:r>
          </w:p>
        </w:tc>
        <w:tc>
          <w:tcPr>
            <w:tcW w:type="dxa" w:w="3384"/>
          </w:tcPr>
          <w:p>
            <w:pPr>
              <w:spacing w:after="0"/>
            </w:pPr>
            <w:r/>
            <w:r>
              <w:rPr>
                <w:b w:val="0"/>
                <w:sz w:val="15"/>
              </w:rPr>
              <w:t>Helix Edge Runtime products and related documentation.</w:t>
            </w:r>
          </w:p>
        </w:tc>
        <w:tc>
          <w:tcPr>
            <w:tcW w:type="dxa" w:w="3384"/>
          </w:tcPr>
          <w:p>
            <w:pPr>
              <w:spacing w:after="0"/>
            </w:pPr>
            <w:r/>
            <w:r>
              <w:rPr>
                <w:b w:val="0"/>
                <w:sz w:val="15"/>
              </w:rPr>
              <w:t>“Products and services”; Helix Edge Runtime includes all successive versions.</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D-6</w:t>
            </w:r>
          </w:p>
        </w:tc>
        <w:tc>
          <w:tcPr>
            <w:tcW w:type="dxa" w:w="2520"/>
          </w:tcPr>
          <w:p>
            <w:pPr>
              <w:spacing w:after="0"/>
            </w:pPr>
            <w:r/>
            <w:r>
              <w:rPr>
                <w:b/>
                <w:sz w:val="15"/>
              </w:rPr>
              <w:t>Sublicensing of the licensed technology: consent mechanism replaced with “except as expressly set forth in this Agreement”; Affiliate use unaddressed</w:t>
            </w:r>
            <w:r>
              <w:rPr>
                <w:i/>
                <w:sz w:val="14"/>
              </w:rPr>
              <w:br/>
              <w:t>TS §2 (Sublicensing) / EL §4.1, §3 (“Gross Revenue”)</w:t>
            </w:r>
          </w:p>
        </w:tc>
        <w:tc>
          <w:tcPr>
            <w:tcW w:type="dxa" w:w="3384"/>
          </w:tcPr>
          <w:p>
            <w:pPr>
              <w:spacing w:after="0"/>
            </w:pPr>
            <w:r/>
            <w:r>
              <w:rPr>
                <w:b w:val="0"/>
                <w:sz w:val="15"/>
              </w:rPr>
              <w:t>No sublicense without Stellarion’s prior written consent.</w:t>
            </w:r>
          </w:p>
        </w:tc>
        <w:tc>
          <w:tcPr>
            <w:tcW w:type="dxa" w:w="3384"/>
          </w:tcPr>
          <w:p>
            <w:pPr>
              <w:spacing w:after="0"/>
            </w:pPr>
            <w:r/>
            <w:r>
              <w:rPr>
                <w:b w:val="0"/>
                <w:sz w:val="15"/>
              </w:rPr>
              <w:t>No sublicense “except as expressly set forth”; Affiliates’ revenue counted.</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Neutral / ambiguous</w:t>
            </w:r>
          </w:p>
        </w:tc>
        <w:tc>
          <w:tcPr>
            <w:tcW w:type="dxa" w:w="1872"/>
          </w:tcPr>
          <w:p>
            <w:pPr>
              <w:spacing w:after="0"/>
            </w:pPr>
            <w:r/>
            <w:r>
              <w:rPr>
                <w:b/>
                <w:sz w:val="15"/>
              </w:rPr>
              <w:t>Negotiate</w:t>
            </w:r>
          </w:p>
        </w:tc>
      </w:tr>
      <w:tr>
        <w:trPr>
          <w:cantSplit w:val="true"/>
        </w:trPr>
        <w:tc>
          <w:tcPr>
            <w:tcW w:type="dxa" w:w="648"/>
          </w:tcPr>
          <w:p>
            <w:pPr>
              <w:spacing w:after="0"/>
            </w:pPr>
            <w:r/>
            <w:r>
              <w:rPr>
                <w:b/>
                <w:sz w:val="15"/>
              </w:rPr>
              <w:t>D-7</w:t>
            </w:r>
          </w:p>
        </w:tc>
        <w:tc>
          <w:tcPr>
            <w:tcW w:type="dxa" w:w="2520"/>
          </w:tcPr>
          <w:p>
            <w:pPr>
              <w:spacing w:after="0"/>
            </w:pPr>
            <w:r/>
            <w:r>
              <w:rPr>
                <w:b/>
                <w:sz w:val="15"/>
              </w:rPr>
              <w:t>License limited to object code; source code access only through escrow</w:t>
            </w:r>
            <w:r>
              <w:rPr>
                <w:i/>
                <w:sz w:val="14"/>
              </w:rPr>
              <w:br/>
              <w:t>TS §2 / EL §4.1</w:t>
            </w:r>
          </w:p>
        </w:tc>
        <w:tc>
          <w:tcPr>
            <w:tcW w:type="dxa" w:w="3384"/>
          </w:tcPr>
          <w:p>
            <w:pPr>
              <w:spacing w:after="0"/>
            </w:pPr>
            <w:r/>
            <w:r>
              <w:rPr>
                <w:b w:val="0"/>
                <w:sz w:val="15"/>
              </w:rPr>
              <w:t>Silent.</w:t>
            </w:r>
          </w:p>
        </w:tc>
        <w:tc>
          <w:tcPr>
            <w:tcW w:type="dxa" w:w="3384"/>
          </w:tcPr>
          <w:p>
            <w:pPr>
              <w:spacing w:after="0"/>
            </w:pPr>
            <w:r/>
            <w:r>
              <w:rPr>
                <w:b w:val="0"/>
                <w:sz w:val="15"/>
              </w:rPr>
              <w:t>Object code only; source code only via escrow.</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Stellarion</w:t>
            </w:r>
          </w:p>
        </w:tc>
        <w:tc>
          <w:tcPr>
            <w:tcW w:type="dxa" w:w="1872"/>
          </w:tcPr>
          <w:p>
            <w:pPr>
              <w:spacing w:after="0"/>
            </w:pPr>
            <w:r/>
            <w:r>
              <w:rPr>
                <w:b/>
                <w:sz w:val="15"/>
              </w:rPr>
              <w:t>Accept</w:t>
            </w:r>
          </w:p>
        </w:tc>
      </w:tr>
      <w:tr>
        <w:trPr>
          <w:cantSplit w:val="true"/>
        </w:trPr>
        <w:tc>
          <w:tcPr>
            <w:tcW w:type="dxa" w:w="648"/>
          </w:tcPr>
          <w:p>
            <w:pPr>
              <w:spacing w:after="0"/>
            </w:pPr>
            <w:r/>
            <w:r>
              <w:rPr>
                <w:b/>
                <w:sz w:val="15"/>
              </w:rPr>
              <w:t>D-8</w:t>
            </w:r>
          </w:p>
        </w:tc>
        <w:tc>
          <w:tcPr>
            <w:tcW w:type="dxa" w:w="2520"/>
          </w:tcPr>
          <w:p>
            <w:pPr>
              <w:spacing w:after="0"/>
            </w:pPr>
            <w:r/>
            <w:r>
              <w:rPr>
                <w:b/>
                <w:sz w:val="15"/>
              </w:rPr>
              <w:t>New reservation of rights clause</w:t>
            </w:r>
            <w:r>
              <w:rPr>
                <w:i/>
                <w:sz w:val="14"/>
              </w:rPr>
              <w:br/>
              <w:t>TS — / EL §4.3</w:t>
            </w:r>
          </w:p>
        </w:tc>
        <w:tc>
          <w:tcPr>
            <w:tcW w:type="dxa" w:w="3384"/>
          </w:tcPr>
          <w:p>
            <w:pPr>
              <w:spacing w:after="0"/>
            </w:pPr>
            <w:r/>
            <w:r>
              <w:rPr>
                <w:b w:val="0"/>
                <w:sz w:val="15"/>
              </w:rPr>
              <w:t>No express reservation.</w:t>
            </w:r>
          </w:p>
        </w:tc>
        <w:tc>
          <w:tcPr>
            <w:tcW w:type="dxa" w:w="3384"/>
          </w:tcPr>
          <w:p>
            <w:pPr>
              <w:spacing w:after="0"/>
            </w:pPr>
            <w:r/>
            <w:r>
              <w:rPr>
                <w:b w:val="0"/>
                <w:sz w:val="15"/>
              </w:rPr>
              <w:t>Reservation of rights added.</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Stellarion</w:t>
            </w:r>
          </w:p>
        </w:tc>
        <w:tc>
          <w:tcPr>
            <w:tcW w:type="dxa" w:w="1872"/>
          </w:tcPr>
          <w:p>
            <w:pPr>
              <w:spacing w:after="0"/>
            </w:pPr>
            <w:r/>
            <w:r>
              <w:rPr>
                <w:b/>
                <w:sz w:val="15"/>
              </w:rPr>
              <w:t>Accept</w:t>
            </w:r>
          </w:p>
        </w:tc>
      </w:tr>
      <w:tr>
        <w:trPr>
          <w:cantSplit w:val="true"/>
        </w:trPr>
        <w:tc>
          <w:tcPr>
            <w:tcW w:type="dxa" w:w="648"/>
          </w:tcPr>
          <w:p>
            <w:pPr>
              <w:spacing w:after="0"/>
            </w:pPr>
            <w:r/>
            <w:r>
              <w:rPr>
                <w:b/>
                <w:sz w:val="15"/>
              </w:rPr>
              <w:t>D-9</w:t>
            </w:r>
          </w:p>
        </w:tc>
        <w:tc>
          <w:tcPr>
            <w:tcW w:type="dxa" w:w="2520"/>
          </w:tcPr>
          <w:p>
            <w:pPr>
              <w:spacing w:after="0"/>
            </w:pPr>
            <w:r/>
            <w:r>
              <w:rPr>
                <w:b/>
                <w:sz w:val="15"/>
              </w:rPr>
              <w:t>Renewal: two 3-year renewal terms (maximum 11 years) instead of two 2-year terms (maximum 9 years); non-renewal notice cut from 180 to 120 days</w:t>
            </w:r>
            <w:r>
              <w:rPr>
                <w:i/>
                <w:sz w:val="14"/>
              </w:rPr>
              <w:br/>
              <w:t>TS §3.2 / EL §4.2</w:t>
            </w:r>
          </w:p>
        </w:tc>
        <w:tc>
          <w:tcPr>
            <w:tcW w:type="dxa" w:w="3384"/>
          </w:tcPr>
          <w:p>
            <w:pPr>
              <w:spacing w:after="0"/>
            </w:pPr>
            <w:r/>
            <w:r>
              <w:rPr>
                <w:b w:val="0"/>
                <w:sz w:val="15"/>
              </w:rPr>
              <w:t>5 years + 2 × 2-year renewals (max 9); 180-day notice.</w:t>
            </w:r>
          </w:p>
        </w:tc>
        <w:tc>
          <w:tcPr>
            <w:tcW w:type="dxa" w:w="3384"/>
          </w:tcPr>
          <w:p>
            <w:pPr>
              <w:spacing w:after="0"/>
            </w:pPr>
            <w:r/>
            <w:r>
              <w:rPr>
                <w:b w:val="0"/>
                <w:sz w:val="15"/>
              </w:rPr>
              <w:t>5 years + 2 × 3-year renewals (max 11); 120-day notice.</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D-10</w:t>
            </w:r>
          </w:p>
        </w:tc>
        <w:tc>
          <w:tcPr>
            <w:tcW w:type="dxa" w:w="2520"/>
          </w:tcPr>
          <w:p>
            <w:pPr>
              <w:spacing w:after="0"/>
            </w:pPr>
            <w:r/>
            <w:r>
              <w:rPr>
                <w:b/>
                <w:sz w:val="15"/>
              </w:rPr>
              <w:t>Upfront fee installments restructured from $7.5M / $5.0M to two equal $6.25M installments</w:t>
            </w:r>
            <w:r>
              <w:rPr>
                <w:i/>
                <w:sz w:val="14"/>
              </w:rPr>
              <w:br/>
              <w:t>TS §4.1 / EL §5.1</w:t>
            </w:r>
          </w:p>
        </w:tc>
        <w:tc>
          <w:tcPr>
            <w:tcW w:type="dxa" w:w="3384"/>
          </w:tcPr>
          <w:p>
            <w:pPr>
              <w:spacing w:after="0"/>
            </w:pPr>
            <w:r/>
            <w:r>
              <w:rPr>
                <w:b w:val="0"/>
                <w:sz w:val="15"/>
              </w:rPr>
              <w:t>$7.5M at signing + $5.0M at 6 months.</w:t>
            </w:r>
          </w:p>
        </w:tc>
        <w:tc>
          <w:tcPr>
            <w:tcW w:type="dxa" w:w="3384"/>
          </w:tcPr>
          <w:p>
            <w:pPr>
              <w:spacing w:after="0"/>
            </w:pPr>
            <w:r/>
            <w:r>
              <w:rPr>
                <w:b w:val="0"/>
                <w:sz w:val="15"/>
              </w:rPr>
              <w:t>$6.25M + $6.25M.</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D-11</w:t>
            </w:r>
          </w:p>
        </w:tc>
        <w:tc>
          <w:tcPr>
            <w:tcW w:type="dxa" w:w="2520"/>
          </w:tcPr>
          <w:p>
            <w:pPr>
              <w:spacing w:after="0"/>
            </w:pPr>
            <w:r/>
            <w:r>
              <w:rPr>
                <w:b/>
                <w:sz w:val="15"/>
              </w:rPr>
              <w:t>First installment payable “within ten (10) business days following” execution rather than “upon execution”; wire instruction deadline added</w:t>
            </w:r>
            <w:r>
              <w:rPr>
                <w:i/>
                <w:sz w:val="14"/>
              </w:rPr>
              <w:br/>
              <w:t>TS §4.1(a) / EL §5.1(a) and final paragraph</w:t>
            </w:r>
          </w:p>
        </w:tc>
        <w:tc>
          <w:tcPr>
            <w:tcW w:type="dxa" w:w="3384"/>
          </w:tcPr>
          <w:p>
            <w:pPr>
              <w:spacing w:after="0"/>
            </w:pPr>
            <w:r/>
            <w:r>
              <w:rPr>
                <w:b w:val="0"/>
                <w:sz w:val="15"/>
              </w:rPr>
              <w:t>First installment upon execution.</w:t>
            </w:r>
          </w:p>
        </w:tc>
        <w:tc>
          <w:tcPr>
            <w:tcW w:type="dxa" w:w="3384"/>
          </w:tcPr>
          <w:p>
            <w:pPr>
              <w:spacing w:after="0"/>
            </w:pPr>
            <w:r/>
            <w:r>
              <w:rPr>
                <w:b w:val="0"/>
                <w:sz w:val="15"/>
              </w:rPr>
              <w:t>Within 10 business days; wire instructions 5 business days prior.</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D-12</w:t>
            </w:r>
          </w:p>
        </w:tc>
        <w:tc>
          <w:tcPr>
            <w:tcW w:type="dxa" w:w="2520"/>
          </w:tcPr>
          <w:p>
            <w:pPr>
              <w:spacing w:after="0"/>
            </w:pPr>
            <w:r/>
            <w:r>
              <w:rPr>
                <w:b/>
                <w:sz w:val="15"/>
              </w:rPr>
              <w:t>Royalty base changed from Net Revenue (received, less returns, allowances, trade discounts, sales taxes) to Gross Revenue (GAAP-recognized revenue of Helix and its Affiliates, before any deductions)</w:t>
            </w:r>
            <w:r>
              <w:rPr>
                <w:i/>
                <w:sz w:val="14"/>
              </w:rPr>
              <w:br/>
              <w:t>TS §4.2 / EL §3 (“Gross Revenue”), §5.2</w:t>
            </w:r>
          </w:p>
        </w:tc>
        <w:tc>
          <w:tcPr>
            <w:tcW w:type="dxa" w:w="3384"/>
          </w:tcPr>
          <w:p>
            <w:pPr>
              <w:spacing w:after="0"/>
            </w:pPr>
            <w:r/>
            <w:r>
              <w:rPr>
                <w:b w:val="0"/>
                <w:sz w:val="15"/>
              </w:rPr>
              <w:t>4.5% of Net Revenue (received, less returns, discounts, taxes).</w:t>
            </w:r>
          </w:p>
        </w:tc>
        <w:tc>
          <w:tcPr>
            <w:tcW w:type="dxa" w:w="3384"/>
          </w:tcPr>
          <w:p>
            <w:pPr>
              <w:spacing w:after="0"/>
            </w:pPr>
            <w:r/>
            <w:r>
              <w:rPr>
                <w:b w:val="0"/>
                <w:sz w:val="15"/>
              </w:rPr>
              <w:t>4.5% of Gross Revenue (recognized, incl. Affiliates, no deductions).</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Stellarion</w:t>
            </w:r>
          </w:p>
        </w:tc>
        <w:tc>
          <w:tcPr>
            <w:tcW w:type="dxa" w:w="1872"/>
          </w:tcPr>
          <w:p>
            <w:pPr>
              <w:spacing w:after="0"/>
            </w:pPr>
            <w:r/>
            <w:r>
              <w:rPr>
                <w:b/>
                <w:sz w:val="15"/>
              </w:rPr>
              <w:t>Accept</w:t>
            </w:r>
          </w:p>
        </w:tc>
      </w:tr>
      <w:tr>
        <w:trPr>
          <w:cantSplit w:val="true"/>
        </w:trPr>
        <w:tc>
          <w:tcPr>
            <w:tcW w:type="dxa" w:w="648"/>
          </w:tcPr>
          <w:p>
            <w:pPr>
              <w:spacing w:after="0"/>
            </w:pPr>
            <w:r/>
            <w:r>
              <w:rPr>
                <w:b/>
                <w:sz w:val="15"/>
              </w:rPr>
              <w:t>D-13</w:t>
            </w:r>
          </w:p>
        </w:tc>
        <w:tc>
          <w:tcPr>
            <w:tcW w:type="dxa" w:w="2520"/>
          </w:tcPr>
          <w:p>
            <w:pPr>
              <w:spacing w:after="0"/>
            </w:pPr>
            <w:r/>
            <w:r>
              <w:rPr>
                <w:b/>
                <w:sz w:val="15"/>
              </w:rPr>
              <w:t>Royalty payment deadline extended from 30 to 45 days after quarter-end</w:t>
            </w:r>
            <w:r>
              <w:rPr>
                <w:i/>
                <w:sz w:val="14"/>
              </w:rPr>
              <w:br/>
              <w:t>TS §4.2 / EL §5.2</w:t>
            </w:r>
          </w:p>
        </w:tc>
        <w:tc>
          <w:tcPr>
            <w:tcW w:type="dxa" w:w="3384"/>
          </w:tcPr>
          <w:p>
            <w:pPr>
              <w:spacing w:after="0"/>
            </w:pPr>
            <w:r/>
            <w:r>
              <w:rPr>
                <w:b w:val="0"/>
                <w:sz w:val="15"/>
              </w:rPr>
              <w:t>Royalties within 30 days of quarter-end.</w:t>
            </w:r>
          </w:p>
        </w:tc>
        <w:tc>
          <w:tcPr>
            <w:tcW w:type="dxa" w:w="3384"/>
          </w:tcPr>
          <w:p>
            <w:pPr>
              <w:spacing w:after="0"/>
            </w:pPr>
            <w:r/>
            <w:r>
              <w:rPr>
                <w:b w:val="0"/>
                <w:sz w:val="15"/>
              </w:rPr>
              <w:t>Within 45 days.</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D-14</w:t>
            </w:r>
          </w:p>
        </w:tc>
        <w:tc>
          <w:tcPr>
            <w:tcW w:type="dxa" w:w="2520"/>
          </w:tcPr>
          <w:p>
            <w:pPr>
              <w:spacing w:after="0"/>
            </w:pPr>
            <w:r/>
            <w:r>
              <w:rPr>
                <w:b/>
                <w:sz w:val="15"/>
              </w:rPr>
              <w:t>Royalty report content specified (Gross Revenue by product line, rate, total)</w:t>
            </w:r>
            <w:r>
              <w:rPr>
                <w:i/>
                <w:sz w:val="14"/>
              </w:rPr>
              <w:br/>
              <w:t>TS §4.2 / EL §5.2</w:t>
            </w:r>
          </w:p>
        </w:tc>
        <w:tc>
          <w:tcPr>
            <w:tcW w:type="dxa" w:w="3384"/>
          </w:tcPr>
          <w:p>
            <w:pPr>
              <w:spacing w:after="0"/>
            </w:pPr>
            <w:r/>
            <w:r>
              <w:rPr>
                <w:b w:val="0"/>
                <w:sz w:val="15"/>
              </w:rPr>
              <w:t>Reasonably detailed report.</w:t>
            </w:r>
          </w:p>
        </w:tc>
        <w:tc>
          <w:tcPr>
            <w:tcW w:type="dxa" w:w="3384"/>
          </w:tcPr>
          <w:p>
            <w:pPr>
              <w:spacing w:after="0"/>
            </w:pPr>
            <w:r/>
            <w:r>
              <w:rPr>
                <w:b w:val="0"/>
                <w:sz w:val="15"/>
              </w:rPr>
              <w:t>Report by product line, rate, total.</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Stellarion</w:t>
            </w:r>
          </w:p>
        </w:tc>
        <w:tc>
          <w:tcPr>
            <w:tcW w:type="dxa" w:w="1872"/>
          </w:tcPr>
          <w:p>
            <w:pPr>
              <w:spacing w:after="0"/>
            </w:pPr>
            <w:r/>
            <w:r>
              <w:rPr>
                <w:b/>
                <w:sz w:val="15"/>
              </w:rPr>
              <w:t>Accept</w:t>
            </w:r>
          </w:p>
        </w:tc>
      </w:tr>
      <w:tr>
        <w:trPr>
          <w:cantSplit w:val="true"/>
        </w:trPr>
        <w:tc>
          <w:tcPr>
            <w:tcW w:type="dxa" w:w="648"/>
          </w:tcPr>
          <w:p>
            <w:pPr>
              <w:spacing w:after="0"/>
            </w:pPr>
            <w:r/>
            <w:r>
              <w:rPr>
                <w:b/>
                <w:sz w:val="15"/>
              </w:rPr>
              <w:t>D-15</w:t>
            </w:r>
          </w:p>
        </w:tc>
        <w:tc>
          <w:tcPr>
            <w:tcW w:type="dxa" w:w="2520"/>
          </w:tcPr>
          <w:p>
            <w:pPr>
              <w:spacing w:after="0"/>
            </w:pPr>
            <w:r/>
            <w:r>
              <w:rPr>
                <w:b/>
                <w:sz w:val="15"/>
              </w:rPr>
              <w:t>Minimum Annual Royalty reduced from $3,000,000 to $2,500,000</w:t>
            </w:r>
            <w:r>
              <w:rPr>
                <w:i/>
                <w:sz w:val="14"/>
              </w:rPr>
              <w:br/>
              <w:t>TS §4.3 / EL §5.3</w:t>
            </w:r>
          </w:p>
        </w:tc>
        <w:tc>
          <w:tcPr>
            <w:tcW w:type="dxa" w:w="3384"/>
          </w:tcPr>
          <w:p>
            <w:pPr>
              <w:spacing w:after="0"/>
            </w:pPr>
            <w:r/>
            <w:r>
              <w:rPr>
                <w:b w:val="0"/>
                <w:sz w:val="15"/>
              </w:rPr>
              <w:t>Minimum annual royalty $3.0M from Year 2.</w:t>
            </w:r>
          </w:p>
        </w:tc>
        <w:tc>
          <w:tcPr>
            <w:tcW w:type="dxa" w:w="3384"/>
          </w:tcPr>
          <w:p>
            <w:pPr>
              <w:spacing w:after="0"/>
            </w:pPr>
            <w:r/>
            <w:r>
              <w:rPr>
                <w:b w:val="0"/>
                <w:sz w:val="15"/>
              </w:rPr>
              <w:t>$2.5M from Year 2.</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D-16</w:t>
            </w:r>
          </w:p>
        </w:tc>
        <w:tc>
          <w:tcPr>
            <w:tcW w:type="dxa" w:w="2520"/>
          </w:tcPr>
          <w:p>
            <w:pPr>
              <w:spacing w:after="0"/>
            </w:pPr>
            <w:r/>
            <w:r>
              <w:rPr>
                <w:b/>
                <w:sz w:val="15"/>
              </w:rPr>
              <w:t>Minimum royalty shortfall payable within 60 days (not 30); reconciliation date fixed at the last day of each Royalty Year</w:t>
            </w:r>
            <w:r>
              <w:rPr>
                <w:i/>
                <w:sz w:val="14"/>
              </w:rPr>
              <w:br/>
              <w:t>TS §4.3 / EL §5.3</w:t>
            </w:r>
          </w:p>
        </w:tc>
        <w:tc>
          <w:tcPr>
            <w:tcW w:type="dxa" w:w="3384"/>
          </w:tcPr>
          <w:p>
            <w:pPr>
              <w:spacing w:after="0"/>
            </w:pPr>
            <w:r/>
            <w:r>
              <w:rPr>
                <w:b w:val="0"/>
                <w:sz w:val="15"/>
              </w:rPr>
              <w:t>Shortfall within 30 days; reconciliation date per Definitive Agreement.</w:t>
            </w:r>
          </w:p>
        </w:tc>
        <w:tc>
          <w:tcPr>
            <w:tcW w:type="dxa" w:w="3384"/>
          </w:tcPr>
          <w:p>
            <w:pPr>
              <w:spacing w:after="0"/>
            </w:pPr>
            <w:r/>
            <w:r>
              <w:rPr>
                <w:b w:val="0"/>
                <w:sz w:val="15"/>
              </w:rPr>
              <w:t>Within 60 days; year-end reconciliation.</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D-17</w:t>
            </w:r>
          </w:p>
        </w:tc>
        <w:tc>
          <w:tcPr>
            <w:tcW w:type="dxa" w:w="2520"/>
          </w:tcPr>
          <w:p>
            <w:pPr>
              <w:spacing w:after="0"/>
            </w:pPr>
            <w:r/>
            <w:r>
              <w:rPr>
                <w:b/>
                <w:sz w:val="15"/>
              </w:rPr>
              <w:t>Audit cost-shifting threshold raised from 5% to 10% underpayment</w:t>
            </w:r>
            <w:r>
              <w:rPr>
                <w:i/>
                <w:sz w:val="14"/>
              </w:rPr>
              <w:br/>
              <w:t>TS §4.4 / EL §5.4</w:t>
            </w:r>
          </w:p>
        </w:tc>
        <w:tc>
          <w:tcPr>
            <w:tcW w:type="dxa" w:w="3384"/>
          </w:tcPr>
          <w:p>
            <w:pPr>
              <w:spacing w:after="0"/>
            </w:pPr>
            <w:r/>
            <w:r>
              <w:rPr>
                <w:b w:val="0"/>
                <w:sz w:val="15"/>
              </w:rPr>
              <w:t>Helix pays audit if underpayment is 5% or more.</w:t>
            </w:r>
          </w:p>
        </w:tc>
        <w:tc>
          <w:tcPr>
            <w:tcW w:type="dxa" w:w="3384"/>
          </w:tcPr>
          <w:p>
            <w:pPr>
              <w:spacing w:after="0"/>
            </w:pPr>
            <w:r/>
            <w:r>
              <w:rPr>
                <w:b w:val="0"/>
                <w:sz w:val="15"/>
              </w:rPr>
              <w:t>10% or more.</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D-18</w:t>
            </w:r>
          </w:p>
        </w:tc>
        <w:tc>
          <w:tcPr>
            <w:tcW w:type="dxa" w:w="2520"/>
          </w:tcPr>
          <w:p>
            <w:pPr>
              <w:spacing w:after="0"/>
            </w:pPr>
            <w:r/>
            <w:r>
              <w:rPr>
                <w:b/>
                <w:sz w:val="15"/>
              </w:rPr>
              <w:t>Audit mechanics: nationally recognized firm; on-site at Helix; 1.5% per month interest; records retained 3 years after each Royalty Year; Affiliates not covered</w:t>
            </w:r>
            <w:r>
              <w:rPr>
                <w:i/>
                <w:sz w:val="14"/>
              </w:rPr>
              <w:br/>
              <w:t>TS §4.4 / EL §5.4</w:t>
            </w:r>
          </w:p>
        </w:tc>
        <w:tc>
          <w:tcPr>
            <w:tcW w:type="dxa" w:w="3384"/>
          </w:tcPr>
          <w:p>
            <w:pPr>
              <w:spacing w:after="0"/>
            </w:pPr>
            <w:r/>
            <w:r>
              <w:rPr>
                <w:b w:val="0"/>
                <w:sz w:val="15"/>
              </w:rPr>
              <w:t>CPA chosen by Stellarion; interest per Definitive Agreement; 3-year records.</w:t>
            </w:r>
          </w:p>
        </w:tc>
        <w:tc>
          <w:tcPr>
            <w:tcW w:type="dxa" w:w="3384"/>
          </w:tcPr>
          <w:p>
            <w:pPr>
              <w:spacing w:after="0"/>
            </w:pPr>
            <w:r/>
            <w:r>
              <w:rPr>
                <w:b w:val="0"/>
                <w:sz w:val="15"/>
              </w:rPr>
              <w:t>Nationally recognized firm; 1.5%/month; 3 years from Royalty Year; no Affiliates.</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Mixed</w:t>
            </w:r>
          </w:p>
        </w:tc>
        <w:tc>
          <w:tcPr>
            <w:tcW w:type="dxa" w:w="1872"/>
          </w:tcPr>
          <w:p>
            <w:pPr>
              <w:spacing w:after="0"/>
            </w:pPr>
            <w:r/>
            <w:r>
              <w:rPr>
                <w:b/>
                <w:sz w:val="15"/>
              </w:rPr>
              <w:t>Accept</w:t>
            </w:r>
          </w:p>
        </w:tc>
      </w:tr>
      <w:tr>
        <w:trPr>
          <w:cantSplit w:val="true"/>
        </w:trPr>
        <w:tc>
          <w:tcPr>
            <w:tcW w:type="dxa" w:w="648"/>
          </w:tcPr>
          <w:p>
            <w:pPr>
              <w:spacing w:after="0"/>
            </w:pPr>
            <w:r/>
            <w:r>
              <w:rPr>
                <w:b/>
                <w:sz w:val="15"/>
              </w:rPr>
              <w:t>D-19</w:t>
            </w:r>
          </w:p>
        </w:tc>
        <w:tc>
          <w:tcPr>
            <w:tcW w:type="dxa" w:w="2520"/>
          </w:tcPr>
          <w:p>
            <w:pPr>
              <w:spacing w:after="0"/>
            </w:pPr>
            <w:r/>
            <w:r>
              <w:rPr>
                <w:b/>
                <w:sz w:val="15"/>
              </w:rPr>
              <w:t>No general late-payment interest or remedy for late fees and royalties</w:t>
            </w:r>
            <w:r>
              <w:rPr>
                <w:i/>
                <w:sz w:val="14"/>
              </w:rPr>
              <w:br/>
              <w:t>TS §4.4 / EL §5</w:t>
            </w:r>
          </w:p>
        </w:tc>
        <w:tc>
          <w:tcPr>
            <w:tcW w:type="dxa" w:w="3384"/>
          </w:tcPr>
          <w:p>
            <w:pPr>
              <w:spacing w:after="0"/>
            </w:pPr>
            <w:r/>
            <w:r>
              <w:rPr>
                <w:b w:val="0"/>
                <w:sz w:val="15"/>
              </w:rPr>
              <w:t>Interest per Definitive Agreement (audit).</w:t>
            </w:r>
          </w:p>
        </w:tc>
        <w:tc>
          <w:tcPr>
            <w:tcW w:type="dxa" w:w="3384"/>
          </w:tcPr>
          <w:p>
            <w:pPr>
              <w:spacing w:after="0"/>
            </w:pPr>
            <w:r/>
            <w:r>
              <w:rPr>
                <w:b w:val="0"/>
                <w:sz w:val="15"/>
              </w:rPr>
              <w:t>No general late-payment interest.</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D-20</w:t>
            </w:r>
          </w:p>
        </w:tc>
        <w:tc>
          <w:tcPr>
            <w:tcW w:type="dxa" w:w="2520"/>
          </w:tcPr>
          <w:p>
            <w:pPr>
              <w:spacing w:after="0"/>
            </w:pPr>
            <w:r/>
            <w:r>
              <w:rPr>
                <w:b/>
                <w:sz w:val="15"/>
              </w:rPr>
              <w:t>New Steering Committee with authority to set milestones, approve work plans, allocate resources and resolve disputes; no voting or deadlock mechanism</w:t>
            </w:r>
            <w:r>
              <w:rPr>
                <w:i/>
                <w:sz w:val="14"/>
              </w:rPr>
              <w:br/>
              <w:t>TS §5.1 / EL §6.1</w:t>
            </w:r>
          </w:p>
        </w:tc>
        <w:tc>
          <w:tcPr>
            <w:tcW w:type="dxa" w:w="3384"/>
          </w:tcPr>
          <w:p>
            <w:pPr>
              <w:spacing w:after="0"/>
            </w:pPr>
            <w:r/>
            <w:r>
              <w:rPr>
                <w:b w:val="0"/>
                <w:sz w:val="15"/>
              </w:rPr>
              <w:t>Development plan in Definitive Agreement or SOW.</w:t>
            </w:r>
          </w:p>
        </w:tc>
        <w:tc>
          <w:tcPr>
            <w:tcW w:type="dxa" w:w="3384"/>
          </w:tcPr>
          <w:p>
            <w:pPr>
              <w:spacing w:after="0"/>
            </w:pPr>
            <w:r/>
            <w:r>
              <w:rPr>
                <w:b w:val="0"/>
                <w:sz w:val="15"/>
              </w:rPr>
              <w:t>Equal Steering Committee sets milestones, allocates resources, resolves disputes; no deadlock rule.</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Neutral / ambiguous</w:t>
            </w:r>
          </w:p>
        </w:tc>
        <w:tc>
          <w:tcPr>
            <w:tcW w:type="dxa" w:w="1872"/>
          </w:tcPr>
          <w:p>
            <w:pPr>
              <w:spacing w:after="0"/>
            </w:pPr>
            <w:r/>
            <w:r>
              <w:rPr>
                <w:b/>
                <w:sz w:val="15"/>
              </w:rPr>
              <w:t>Negotiate</w:t>
            </w:r>
          </w:p>
        </w:tc>
      </w:tr>
      <w:tr>
        <w:trPr>
          <w:cantSplit w:val="true"/>
        </w:trPr>
        <w:tc>
          <w:tcPr>
            <w:tcW w:type="dxa" w:w="648"/>
          </w:tcPr>
          <w:p>
            <w:pPr>
              <w:spacing w:after="0"/>
            </w:pPr>
            <w:r/>
            <w:r>
              <w:rPr>
                <w:b/>
                <w:sz w:val="15"/>
              </w:rPr>
              <w:t>D-21</w:t>
            </w:r>
          </w:p>
        </w:tc>
        <w:tc>
          <w:tcPr>
            <w:tcW w:type="dxa" w:w="2520"/>
          </w:tcPr>
          <w:p>
            <w:pPr>
              <w:spacing w:after="0"/>
            </w:pPr>
            <w:r/>
            <w:r>
              <w:rPr>
                <w:b/>
                <w:sz w:val="15"/>
              </w:rPr>
              <w:t>Cost split changed from 60% Helix / 40% Stellarion to 55% Helix / 45% Stellarion</w:t>
            </w:r>
            <w:r>
              <w:rPr>
                <w:i/>
                <w:sz w:val="14"/>
              </w:rPr>
              <w:br/>
              <w:t>TS §5.2 / EL §6.2</w:t>
            </w:r>
          </w:p>
        </w:tc>
        <w:tc>
          <w:tcPr>
            <w:tcW w:type="dxa" w:w="3384"/>
          </w:tcPr>
          <w:p>
            <w:pPr>
              <w:spacing w:after="0"/>
            </w:pPr>
            <w:r/>
            <w:r>
              <w:rPr>
                <w:b w:val="0"/>
                <w:sz w:val="15"/>
              </w:rPr>
              <w:t>Helix 60% ($4.92M) / Stellarion 40% ($3.28M).</w:t>
            </w:r>
          </w:p>
        </w:tc>
        <w:tc>
          <w:tcPr>
            <w:tcW w:type="dxa" w:w="3384"/>
          </w:tcPr>
          <w:p>
            <w:pPr>
              <w:spacing w:after="0"/>
            </w:pPr>
            <w:r/>
            <w:r>
              <w:rPr>
                <w:b w:val="0"/>
                <w:sz w:val="15"/>
              </w:rPr>
              <w:t>Helix 55% ($4.51M) / Stellarion 45% ($3.69M).</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D-22</w:t>
            </w:r>
          </w:p>
        </w:tc>
        <w:tc>
          <w:tcPr>
            <w:tcW w:type="dxa" w:w="2520"/>
          </w:tcPr>
          <w:p>
            <w:pPr>
              <w:spacing w:after="0"/>
            </w:pPr>
            <w:r/>
            <w:r>
              <w:rPr>
                <w:b/>
                <w:sz w:val="15"/>
              </w:rPr>
              <w:t>Cost overruns shared automatically pro rata; Term Sheet requirement of mutual written approval for overruns above 10% deleted</w:t>
            </w:r>
            <w:r>
              <w:rPr>
                <w:i/>
                <w:sz w:val="14"/>
              </w:rPr>
              <w:br/>
              <w:t>TS §5.2 / EL §6.2</w:t>
            </w:r>
          </w:p>
        </w:tc>
        <w:tc>
          <w:tcPr>
            <w:tcW w:type="dxa" w:w="3384"/>
          </w:tcPr>
          <w:p>
            <w:pPr>
              <w:spacing w:after="0"/>
            </w:pPr>
            <w:r/>
            <w:r>
              <w:rPr>
                <w:b w:val="0"/>
                <w:sz w:val="15"/>
              </w:rPr>
              <w:t>Overruns above 10% require mutual written approval.</w:t>
            </w:r>
          </w:p>
        </w:tc>
        <w:tc>
          <w:tcPr>
            <w:tcW w:type="dxa" w:w="3384"/>
          </w:tcPr>
          <w:p>
            <w:pPr>
              <w:spacing w:after="0"/>
            </w:pPr>
            <w:r/>
            <w:r>
              <w:rPr>
                <w:b w:val="0"/>
                <w:sz w:val="15"/>
              </w:rPr>
              <w:t>Overruns shared 55/45 automatically; no cap or approval.</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D-23</w:t>
            </w:r>
          </w:p>
        </w:tc>
        <w:tc>
          <w:tcPr>
            <w:tcW w:type="dxa" w:w="2520"/>
          </w:tcPr>
          <w:p>
            <w:pPr>
              <w:spacing w:after="0"/>
            </w:pPr>
            <w:r/>
            <w:r>
              <w:rPr>
                <w:b/>
                <w:sz w:val="15"/>
              </w:rPr>
              <w:t>Rule that each party bears its own personnel costs omitted; reciprocal quarterly invoicing for “costs incurred” (shared cost pool undefined)</w:t>
            </w:r>
            <w:r>
              <w:rPr>
                <w:i/>
                <w:sz w:val="14"/>
              </w:rPr>
              <w:br/>
              <w:t>TS §5.2 / EL §6.2</w:t>
            </w:r>
          </w:p>
        </w:tc>
        <w:tc>
          <w:tcPr>
            <w:tcW w:type="dxa" w:w="3384"/>
          </w:tcPr>
          <w:p>
            <w:pPr>
              <w:spacing w:after="0"/>
            </w:pPr>
            <w:r/>
            <w:r>
              <w:rPr>
                <w:b w:val="0"/>
                <w:sz w:val="15"/>
              </w:rPr>
              <w:t>Each party bears own personnel costs; only third-party shared costs split.</w:t>
            </w:r>
          </w:p>
        </w:tc>
        <w:tc>
          <w:tcPr>
            <w:tcW w:type="dxa" w:w="3384"/>
          </w:tcPr>
          <w:p>
            <w:pPr>
              <w:spacing w:after="0"/>
            </w:pPr>
            <w:r/>
            <w:r>
              <w:rPr>
                <w:b w:val="0"/>
                <w:sz w:val="15"/>
              </w:rPr>
              <w:t>Quarterly cross-invoicing of “costs incurred”; personnel rule omitted.</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D-24 ★</w:t>
            </w:r>
          </w:p>
        </w:tc>
        <w:tc>
          <w:tcPr>
            <w:tcW w:type="dxa" w:w="2520"/>
          </w:tcPr>
          <w:p>
            <w:pPr>
              <w:spacing w:after="0"/>
            </w:pPr>
            <w:r/>
            <w:r>
              <w:rPr>
                <w:b/>
                <w:sz w:val="15"/>
              </w:rPr>
              <w:t>JOINT IP SUBLICENSING</w:t>
            </w:r>
            <w:r>
              <w:rPr>
                <w:i/>
                <w:sz w:val="14"/>
              </w:rPr>
              <w:br/>
              <w:t>TS §5.3 / EL §6.3</w:t>
            </w:r>
          </w:p>
        </w:tc>
        <w:tc>
          <w:tcPr>
            <w:tcW w:type="dxa" w:w="3384"/>
          </w:tcPr>
          <w:p>
            <w:pPr>
              <w:spacing w:after="0"/>
            </w:pPr>
            <w:r/>
            <w:r>
              <w:rPr>
                <w:b w:val="0"/>
                <w:sz w:val="15"/>
              </w:rPr>
              <w:t>Free exploitation, BUT no sublicensing of Joint IP without prior written consent (not unreasonably withheld).</w:t>
            </w:r>
          </w:p>
        </w:tc>
        <w:tc>
          <w:tcPr>
            <w:tcW w:type="dxa" w:w="3384"/>
          </w:tcPr>
          <w:p>
            <w:pPr>
              <w:spacing w:after="0"/>
            </w:pPr>
            <w:r/>
            <w:r>
              <w:rPr>
                <w:b w:val="0"/>
                <w:sz w:val="15"/>
              </w:rPr>
              <w:t>Each party may “exploit, use, license” Joint IP without consent; restriction deleted.</w:t>
            </w:r>
          </w:p>
        </w:tc>
        <w:tc>
          <w:tcPr>
            <w:tcW w:type="dxa" w:w="1224"/>
            <w:shd w:val="clear" w:color="auto" w:fill="C00000"/>
          </w:tcPr>
          <w:p>
            <w:pPr>
              <w:spacing w:after="0"/>
            </w:pPr>
            <w:r/>
            <w:r>
              <w:rPr>
                <w:b/>
                <w:color w:val="FFFFFF"/>
                <w:sz w:val="15"/>
              </w:rPr>
              <w:t>Dealbreaker</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D-25</w:t>
            </w:r>
          </w:p>
        </w:tc>
        <w:tc>
          <w:tcPr>
            <w:tcW w:type="dxa" w:w="2520"/>
          </w:tcPr>
          <w:p>
            <w:pPr>
              <w:spacing w:after="0"/>
            </w:pPr>
            <w:r/>
            <w:r>
              <w:rPr>
                <w:b/>
                <w:sz w:val="15"/>
              </w:rPr>
              <w:t>“Joint IP” narrowed to IP jointly created by both parties’ personnel; Meridian IP created by one party alone falls outside joint ownership</w:t>
            </w:r>
            <w:r>
              <w:rPr>
                <w:i/>
                <w:sz w:val="14"/>
              </w:rPr>
              <w:br/>
              <w:t>TS §5.3 (“Co-Developed IP”) / EL §3 (“Joint IP”), §6.3</w:t>
            </w:r>
          </w:p>
        </w:tc>
        <w:tc>
          <w:tcPr>
            <w:tcW w:type="dxa" w:w="3384"/>
          </w:tcPr>
          <w:p>
            <w:pPr>
              <w:spacing w:after="0"/>
            </w:pPr>
            <w:r/>
            <w:r>
              <w:rPr>
                <w:b w:val="0"/>
                <w:sz w:val="15"/>
              </w:rPr>
              <w:t>All IP arising from Project Meridian is jointly owned.</w:t>
            </w:r>
          </w:p>
        </w:tc>
        <w:tc>
          <w:tcPr>
            <w:tcW w:type="dxa" w:w="3384"/>
          </w:tcPr>
          <w:p>
            <w:pPr>
              <w:spacing w:after="0"/>
            </w:pPr>
            <w:r/>
            <w:r>
              <w:rPr>
                <w:b w:val="0"/>
                <w:sz w:val="15"/>
              </w:rPr>
              <w:t>Only IP jointly created by both parties’ personnel.</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Ambiguous (likely Helix)</w:t>
            </w:r>
          </w:p>
        </w:tc>
        <w:tc>
          <w:tcPr>
            <w:tcW w:type="dxa" w:w="1872"/>
          </w:tcPr>
          <w:p>
            <w:pPr>
              <w:spacing w:after="0"/>
            </w:pPr>
            <w:r/>
            <w:r>
              <w:rPr>
                <w:b/>
                <w:sz w:val="15"/>
              </w:rPr>
              <w:t>Negotiate</w:t>
            </w:r>
          </w:p>
        </w:tc>
      </w:tr>
      <w:tr>
        <w:trPr>
          <w:cantSplit w:val="true"/>
        </w:trPr>
        <w:tc>
          <w:tcPr>
            <w:tcW w:type="dxa" w:w="648"/>
          </w:tcPr>
          <w:p>
            <w:pPr>
              <w:spacing w:after="0"/>
            </w:pPr>
            <w:r/>
            <w:r>
              <w:rPr>
                <w:b/>
                <w:sz w:val="15"/>
              </w:rPr>
              <w:t>D-26</w:t>
            </w:r>
          </w:p>
        </w:tc>
        <w:tc>
          <w:tcPr>
            <w:tcW w:type="dxa" w:w="2520"/>
          </w:tcPr>
          <w:p>
            <w:pPr>
              <w:spacing w:after="0"/>
            </w:pPr>
            <w:r/>
            <w:r>
              <w:rPr>
                <w:b/>
                <w:sz w:val="15"/>
              </w:rPr>
              <w:t>New Joint IP prosecution cooperation, vesting cooperation and equal (50/50) sharing of filing and prosecution costs</w:t>
            </w:r>
            <w:r>
              <w:rPr>
                <w:i/>
                <w:sz w:val="14"/>
              </w:rPr>
              <w:br/>
              <w:t>TS — / EL §6.3</w:t>
            </w:r>
          </w:p>
        </w:tc>
        <w:tc>
          <w:tcPr>
            <w:tcW w:type="dxa" w:w="3384"/>
          </w:tcPr>
          <w:p>
            <w:pPr>
              <w:spacing w:after="0"/>
            </w:pPr>
            <w:r/>
            <w:r>
              <w:rPr>
                <w:b w:val="0"/>
                <w:sz w:val="15"/>
              </w:rPr>
              <w:t>Silent.</w:t>
            </w:r>
          </w:p>
        </w:tc>
        <w:tc>
          <w:tcPr>
            <w:tcW w:type="dxa" w:w="3384"/>
          </w:tcPr>
          <w:p>
            <w:pPr>
              <w:spacing w:after="0"/>
            </w:pPr>
            <w:r/>
            <w:r>
              <w:rPr>
                <w:b w:val="0"/>
                <w:sz w:val="15"/>
              </w:rPr>
              <w:t>Joint prosecution; costs shared 50/50.</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Accept</w:t>
            </w:r>
          </w:p>
        </w:tc>
      </w:tr>
      <w:tr>
        <w:trPr>
          <w:cantSplit w:val="true"/>
        </w:trPr>
        <w:tc>
          <w:tcPr>
            <w:tcW w:type="dxa" w:w="648"/>
          </w:tcPr>
          <w:p>
            <w:pPr>
              <w:spacing w:after="0"/>
            </w:pPr>
            <w:r/>
            <w:r>
              <w:rPr>
                <w:b/>
                <w:sz w:val="15"/>
              </w:rPr>
              <w:t>D-27</w:t>
            </w:r>
          </w:p>
        </w:tc>
        <w:tc>
          <w:tcPr>
            <w:tcW w:type="dxa" w:w="2520"/>
          </w:tcPr>
          <w:p>
            <w:pPr>
              <w:spacing w:after="0"/>
            </w:pPr>
            <w:r/>
            <w:r>
              <w:rPr>
                <w:b/>
                <w:sz w:val="15"/>
              </w:rPr>
              <w:t>“Background IP” redefined: includes IP “licensed to” a party; measured at the Engagement Letter date; independently developed IP excluded if it uses any of the other party’s Confidential Information or “resources”</w:t>
            </w:r>
            <w:r>
              <w:rPr>
                <w:i/>
                <w:sz w:val="14"/>
              </w:rPr>
              <w:br/>
              <w:t>TS §6 / EL §3 (“Background IP”), §7</w:t>
            </w:r>
          </w:p>
        </w:tc>
        <w:tc>
          <w:tcPr>
            <w:tcW w:type="dxa" w:w="3384"/>
          </w:tcPr>
          <w:p>
            <w:pPr>
              <w:spacing w:after="0"/>
            </w:pPr>
            <w:r/>
            <w:r>
              <w:rPr>
                <w:b w:val="0"/>
                <w:sz w:val="15"/>
              </w:rPr>
              <w:t>Pre-existing or independently developed IP.</w:t>
            </w:r>
          </w:p>
        </w:tc>
        <w:tc>
          <w:tcPr>
            <w:tcW w:type="dxa" w:w="3384"/>
          </w:tcPr>
          <w:p>
            <w:pPr>
              <w:spacing w:after="0"/>
            </w:pPr>
            <w:r/>
            <w:r>
              <w:rPr>
                <w:b w:val="0"/>
                <w:sz w:val="15"/>
              </w:rPr>
              <w:t>Includes IP “licensed to” a party; excludes IP developed using the other’s “resources.”</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Mixed</w:t>
            </w:r>
          </w:p>
        </w:tc>
        <w:tc>
          <w:tcPr>
            <w:tcW w:type="dxa" w:w="1872"/>
          </w:tcPr>
          <w:p>
            <w:pPr>
              <w:spacing w:after="0"/>
            </w:pPr>
            <w:r/>
            <w:r>
              <w:rPr>
                <w:b/>
                <w:sz w:val="15"/>
              </w:rPr>
              <w:t>Negotiate</w:t>
            </w:r>
          </w:p>
        </w:tc>
      </w:tr>
      <w:tr>
        <w:trPr>
          <w:cantSplit w:val="true"/>
        </w:trPr>
        <w:tc>
          <w:tcPr>
            <w:tcW w:type="dxa" w:w="648"/>
          </w:tcPr>
          <w:p>
            <w:pPr>
              <w:spacing w:after="0"/>
            </w:pPr>
            <w:r/>
            <w:r>
              <w:rPr>
                <w:b/>
                <w:sz w:val="15"/>
              </w:rPr>
              <w:t>D-28</w:t>
            </w:r>
          </w:p>
        </w:tc>
        <w:tc>
          <w:tcPr>
            <w:tcW w:type="dxa" w:w="2520"/>
          </w:tcPr>
          <w:p>
            <w:pPr>
              <w:spacing w:after="0"/>
            </w:pPr>
            <w:r/>
            <w:r>
              <w:rPr>
                <w:b/>
                <w:sz w:val="15"/>
              </w:rPr>
              <w:t>New royalty-free cross-license of each party’s Background IP to perform Project Meridian</w:t>
            </w:r>
            <w:r>
              <w:rPr>
                <w:i/>
                <w:sz w:val="14"/>
              </w:rPr>
              <w:br/>
              <w:t>TS — / EL §7 (third paragraph)</w:t>
            </w:r>
          </w:p>
        </w:tc>
        <w:tc>
          <w:tcPr>
            <w:tcW w:type="dxa" w:w="3384"/>
          </w:tcPr>
          <w:p>
            <w:pPr>
              <w:spacing w:after="0"/>
            </w:pPr>
            <w:r/>
            <w:r>
              <w:rPr>
                <w:b w:val="0"/>
                <w:sz w:val="15"/>
              </w:rPr>
              <w:t>None.</w:t>
            </w:r>
          </w:p>
        </w:tc>
        <w:tc>
          <w:tcPr>
            <w:tcW w:type="dxa" w:w="3384"/>
          </w:tcPr>
          <w:p>
            <w:pPr>
              <w:spacing w:after="0"/>
            </w:pPr>
            <w:r/>
            <w:r>
              <w:rPr>
                <w:b w:val="0"/>
                <w:sz w:val="15"/>
              </w:rPr>
              <w:t>Royalty-free Background IP cross-license for Meridian; no field limit.</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D-29</w:t>
            </w:r>
          </w:p>
        </w:tc>
        <w:tc>
          <w:tcPr>
            <w:tcW w:type="dxa" w:w="2520"/>
          </w:tcPr>
          <w:p>
            <w:pPr>
              <w:spacing w:after="0"/>
            </w:pPr>
            <w:r/>
            <w:r>
              <w:rPr>
                <w:b/>
                <w:sz w:val="15"/>
              </w:rPr>
              <w:t>Non-compete post-termination period cut from 18 to 12 months</w:t>
            </w:r>
            <w:r>
              <w:rPr>
                <w:i/>
                <w:sz w:val="14"/>
              </w:rPr>
              <w:br/>
              <w:t>TS §7 / EL §8.1</w:t>
            </w:r>
          </w:p>
        </w:tc>
        <w:tc>
          <w:tcPr>
            <w:tcW w:type="dxa" w:w="3384"/>
          </w:tcPr>
          <w:p>
            <w:pPr>
              <w:spacing w:after="0"/>
            </w:pPr>
            <w:r/>
            <w:r>
              <w:rPr>
                <w:b w:val="0"/>
                <w:sz w:val="15"/>
              </w:rPr>
              <w:t>Non-compete: term + 18 months.</w:t>
            </w:r>
          </w:p>
        </w:tc>
        <w:tc>
          <w:tcPr>
            <w:tcW w:type="dxa" w:w="3384"/>
          </w:tcPr>
          <w:p>
            <w:pPr>
              <w:spacing w:after="0"/>
            </w:pPr>
            <w:r/>
            <w:r>
              <w:rPr>
                <w:b w:val="0"/>
                <w:sz w:val="15"/>
              </w:rPr>
              <w:t>Term + 12 months.</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D-30</w:t>
            </w:r>
          </w:p>
        </w:tc>
        <w:tc>
          <w:tcPr>
            <w:tcW w:type="dxa" w:w="2520"/>
          </w:tcPr>
          <w:p>
            <w:pPr>
              <w:spacing w:after="0"/>
            </w:pPr>
            <w:r/>
            <w:r>
              <w:rPr>
                <w:b/>
                <w:sz w:val="15"/>
              </w:rPr>
              <w:t>Non-compete scope narrowed: “otherwise exploit” and “in collaboration with any third party” deleted; new carve-out for third-party components that are not a “standalone” ML inference engine</w:t>
            </w:r>
            <w:r>
              <w:rPr>
                <w:i/>
                <w:sz w:val="14"/>
              </w:rPr>
              <w:br/>
              <w:t>TS §7 / EL §8.1</w:t>
            </w:r>
          </w:p>
        </w:tc>
        <w:tc>
          <w:tcPr>
            <w:tcW w:type="dxa" w:w="3384"/>
          </w:tcPr>
          <w:p>
            <w:pPr>
              <w:spacing w:after="0"/>
            </w:pPr>
            <w:r/>
            <w:r>
              <w:rPr>
                <w:b w:val="0"/>
                <w:sz w:val="15"/>
              </w:rPr>
              <w:t>“Develop, market, license, or otherwise exploit … independently or in collaboration”; standalone or embedded.</w:t>
            </w:r>
          </w:p>
        </w:tc>
        <w:tc>
          <w:tcPr>
            <w:tcW w:type="dxa" w:w="3384"/>
          </w:tcPr>
          <w:p>
            <w:pPr>
              <w:spacing w:after="0"/>
            </w:pPr>
            <w:r/>
            <w:r>
              <w:rPr>
                <w:b w:val="0"/>
                <w:sz w:val="15"/>
              </w:rPr>
              <w:t>“Develop, market, distribute, or license”; “standalone” carve-out for ancillary components.</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D-31</w:t>
            </w:r>
          </w:p>
        </w:tc>
        <w:tc>
          <w:tcPr>
            <w:tcW w:type="dxa" w:w="2520"/>
          </w:tcPr>
          <w:p>
            <w:pPr>
              <w:spacing w:after="0"/>
            </w:pPr>
            <w:r/>
            <w:r>
              <w:rPr>
                <w:b/>
                <w:sz w:val="15"/>
              </w:rPr>
              <w:t>Non-compete omitted from the express survival list</w:t>
            </w:r>
            <w:r>
              <w:rPr>
                <w:i/>
                <w:sz w:val="14"/>
              </w:rPr>
              <w:br/>
              <w:t>TS §12.3(d) / EL §11.3</w:t>
            </w:r>
          </w:p>
        </w:tc>
        <w:tc>
          <w:tcPr>
            <w:tcW w:type="dxa" w:w="3384"/>
          </w:tcPr>
          <w:p>
            <w:pPr>
              <w:spacing w:after="0"/>
            </w:pPr>
            <w:r/>
            <w:r>
              <w:rPr>
                <w:b w:val="0"/>
                <w:sz w:val="15"/>
              </w:rPr>
              <w:t>Non-compete expressly survives (TS §12.3(d)).</w:t>
            </w:r>
          </w:p>
        </w:tc>
        <w:tc>
          <w:tcPr>
            <w:tcW w:type="dxa" w:w="3384"/>
          </w:tcPr>
          <w:p>
            <w:pPr>
              <w:spacing w:after="0"/>
            </w:pPr>
            <w:r/>
            <w:r>
              <w:rPr>
                <w:b w:val="0"/>
                <w:sz w:val="15"/>
              </w:rPr>
              <w:t>§8 omitted from survival list.</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D-32</w:t>
            </w:r>
          </w:p>
        </w:tc>
        <w:tc>
          <w:tcPr>
            <w:tcW w:type="dxa" w:w="2520"/>
          </w:tcPr>
          <w:p>
            <w:pPr>
              <w:spacing w:after="0"/>
            </w:pPr>
            <w:r/>
            <w:r>
              <w:rPr>
                <w:b/>
                <w:sz w:val="15"/>
              </w:rPr>
              <w:t>Stellarion exclusivity period shortened from 24 to 18 months</w:t>
            </w:r>
            <w:r>
              <w:rPr>
                <w:i/>
                <w:sz w:val="14"/>
              </w:rPr>
              <w:br/>
              <w:t>TS §8 (Binding) / EL §8.2</w:t>
            </w:r>
          </w:p>
        </w:tc>
        <w:tc>
          <w:tcPr>
            <w:tcW w:type="dxa" w:w="3384"/>
          </w:tcPr>
          <w:p>
            <w:pPr>
              <w:spacing w:after="0"/>
            </w:pPr>
            <w:r/>
            <w:r>
              <w:rPr>
                <w:b w:val="0"/>
                <w:sz w:val="15"/>
              </w:rPr>
              <w:t>Exclusivity 24 months (binding).</w:t>
            </w:r>
          </w:p>
        </w:tc>
        <w:tc>
          <w:tcPr>
            <w:tcW w:type="dxa" w:w="3384"/>
          </w:tcPr>
          <w:p>
            <w:pPr>
              <w:spacing w:after="0"/>
            </w:pPr>
            <w:r/>
            <w:r>
              <w:rPr>
                <w:b w:val="0"/>
                <w:sz w:val="15"/>
              </w:rPr>
              <w:t>18 months.</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Stellarion</w:t>
            </w:r>
          </w:p>
        </w:tc>
        <w:tc>
          <w:tcPr>
            <w:tcW w:type="dxa" w:w="1872"/>
          </w:tcPr>
          <w:p>
            <w:pPr>
              <w:spacing w:after="0"/>
            </w:pPr>
            <w:r/>
            <w:r>
              <w:rPr>
                <w:b/>
                <w:sz w:val="15"/>
              </w:rPr>
              <w:t>Accept</w:t>
            </w:r>
          </w:p>
        </w:tc>
      </w:tr>
      <w:tr>
        <w:trPr>
          <w:cantSplit w:val="true"/>
        </w:trPr>
        <w:tc>
          <w:tcPr>
            <w:tcW w:type="dxa" w:w="648"/>
          </w:tcPr>
          <w:p>
            <w:pPr>
              <w:spacing w:after="0"/>
            </w:pPr>
            <w:r/>
            <w:r>
              <w:rPr>
                <w:b/>
                <w:sz w:val="15"/>
              </w:rPr>
              <w:t>D-33</w:t>
            </w:r>
          </w:p>
        </w:tc>
        <w:tc>
          <w:tcPr>
            <w:tcW w:type="dxa" w:w="2520"/>
          </w:tcPr>
          <w:p>
            <w:pPr>
              <w:spacing w:after="0"/>
            </w:pPr>
            <w:r/>
            <w:r>
              <w:rPr>
                <w:b/>
                <w:sz w:val="15"/>
              </w:rPr>
              <w:t>Restricted Competitor Schedule (Schedule A) deferred to the Definitive Agreement; interim good faith identification; safe harbor shifts from “not listed” to “not a direct competitor”</w:t>
            </w:r>
            <w:r>
              <w:rPr>
                <w:i/>
                <w:sz w:val="14"/>
              </w:rPr>
              <w:br/>
              <w:t>TS §8 / EL §8.2</w:t>
            </w:r>
          </w:p>
        </w:tc>
        <w:tc>
          <w:tcPr>
            <w:tcW w:type="dxa" w:w="3384"/>
          </w:tcPr>
          <w:p>
            <w:pPr>
              <w:spacing w:after="0"/>
            </w:pPr>
            <w:r/>
            <w:r>
              <w:rPr>
                <w:b w:val="0"/>
                <w:sz w:val="15"/>
              </w:rPr>
              <w:t>Schedule finalized before the Definitive Agreement; safe harbor for anyone “not listed.”</w:t>
            </w:r>
          </w:p>
        </w:tc>
        <w:tc>
          <w:tcPr>
            <w:tcW w:type="dxa" w:w="3384"/>
          </w:tcPr>
          <w:p>
            <w:pPr>
              <w:spacing w:after="0"/>
            </w:pPr>
            <w:r/>
            <w:r>
              <w:rPr>
                <w:b w:val="0"/>
                <w:sz w:val="15"/>
              </w:rPr>
              <w:t>Schedule A deferred; interim good faith; safe harbor for anyone “not a direct competitor.”</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D-34 ★</w:t>
            </w:r>
          </w:p>
        </w:tc>
        <w:tc>
          <w:tcPr>
            <w:tcW w:type="dxa" w:w="2520"/>
          </w:tcPr>
          <w:p>
            <w:pPr>
              <w:spacing w:after="0"/>
            </w:pPr>
            <w:r/>
            <w:r>
              <w:rPr>
                <w:b/>
                <w:sz w:val="15"/>
              </w:rPr>
              <w:t>MOST-FAVORED-NATION provision omitted entirely [GC PRIORITY 3]</w:t>
            </w:r>
            <w:r>
              <w:rPr>
                <w:i/>
                <w:sz w:val="14"/>
              </w:rPr>
              <w:br/>
              <w:t>TS §9 / EL — (no corresponding provision)</w:t>
            </w:r>
          </w:p>
        </w:tc>
        <w:tc>
          <w:tcPr>
            <w:tcW w:type="dxa" w:w="3384"/>
          </w:tcPr>
          <w:p>
            <w:pPr>
              <w:spacing w:after="0"/>
            </w:pPr>
            <w:r/>
            <w:r>
              <w:rPr>
                <w:b w:val="0"/>
                <w:sz w:val="15"/>
              </w:rPr>
              <w:t>MFN during exclusivity period, terms taken as a whole; 30-day election.</w:t>
            </w:r>
          </w:p>
        </w:tc>
        <w:tc>
          <w:tcPr>
            <w:tcW w:type="dxa" w:w="3384"/>
          </w:tcPr>
          <w:p>
            <w:pPr>
              <w:spacing w:after="0"/>
            </w:pPr>
            <w:r/>
            <w:r>
              <w:rPr>
                <w:b w:val="0"/>
                <w:sz w:val="15"/>
              </w:rPr>
              <w:t>Omitted entirely.</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Stellarion on its face; creates risk</w:t>
            </w:r>
          </w:p>
        </w:tc>
        <w:tc>
          <w:tcPr>
            <w:tcW w:type="dxa" w:w="1872"/>
          </w:tcPr>
          <w:p>
            <w:pPr>
              <w:spacing w:after="0"/>
            </w:pPr>
            <w:r/>
            <w:r>
              <w:rPr>
                <w:b/>
                <w:sz w:val="15"/>
              </w:rPr>
              <w:t>Flag for further discussion</w:t>
            </w:r>
          </w:p>
        </w:tc>
      </w:tr>
      <w:tr>
        <w:trPr>
          <w:cantSplit w:val="true"/>
        </w:trPr>
        <w:tc>
          <w:tcPr>
            <w:tcW w:type="dxa" w:w="648"/>
          </w:tcPr>
          <w:p>
            <w:pPr>
              <w:spacing w:after="0"/>
            </w:pPr>
            <w:r/>
            <w:r>
              <w:rPr>
                <w:b/>
                <w:sz w:val="15"/>
              </w:rPr>
              <w:t>D-35</w:t>
            </w:r>
          </w:p>
        </w:tc>
        <w:tc>
          <w:tcPr>
            <w:tcW w:type="dxa" w:w="2520"/>
          </w:tcPr>
          <w:p>
            <w:pPr>
              <w:spacing w:after="0"/>
            </w:pPr>
            <w:r/>
            <w:r>
              <w:rPr>
                <w:b/>
                <w:sz w:val="15"/>
              </w:rPr>
              <w:t>Indemnification carved OUT of the liability cap (uncapped), reversing the Term Sheet’s express statement that indemnity is within the cap</w:t>
            </w:r>
            <w:r>
              <w:rPr>
                <w:i/>
                <w:sz w:val="14"/>
              </w:rPr>
              <w:br/>
              <w:t>TS §10, §11 / EL §9.2</w:t>
            </w:r>
          </w:p>
        </w:tc>
        <w:tc>
          <w:tcPr>
            <w:tcW w:type="dxa" w:w="3384"/>
          </w:tcPr>
          <w:p>
            <w:pPr>
              <w:spacing w:after="0"/>
            </w:pPr>
            <w:r/>
            <w:r>
              <w:rPr>
                <w:b w:val="0"/>
                <w:sz w:val="15"/>
              </w:rPr>
              <w:t>Indemnity expressly within cap.</w:t>
            </w:r>
          </w:p>
        </w:tc>
        <w:tc>
          <w:tcPr>
            <w:tcW w:type="dxa" w:w="3384"/>
          </w:tcPr>
          <w:p>
            <w:pPr>
              <w:spacing w:after="0"/>
            </w:pPr>
            <w:r/>
            <w:r>
              <w:rPr>
                <w:b w:val="0"/>
                <w:sz w:val="15"/>
              </w:rPr>
              <w:t>Indemnity uncapped and outside consequential waiver.</w:t>
            </w:r>
          </w:p>
        </w:tc>
        <w:tc>
          <w:tcPr>
            <w:tcW w:type="dxa" w:w="1224"/>
            <w:shd w:val="clear" w:color="auto" w:fill="C00000"/>
          </w:tcPr>
          <w:p>
            <w:pPr>
              <w:spacing w:after="0"/>
            </w:pPr>
            <w:r/>
            <w:r>
              <w:rPr>
                <w:b/>
                <w:color w:val="FFFFFF"/>
                <w:sz w:val="15"/>
              </w:rPr>
              <w:t>Dealbreaker</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D-36</w:t>
            </w:r>
          </w:p>
        </w:tc>
        <w:tc>
          <w:tcPr>
            <w:tcW w:type="dxa" w:w="2520"/>
          </w:tcPr>
          <w:p>
            <w:pPr>
              <w:spacing w:after="0"/>
            </w:pPr>
            <w:r/>
            <w:r>
              <w:rPr>
                <w:b/>
                <w:sz w:val="15"/>
              </w:rPr>
              <w:t>Aggregate liability cap reduced from $25,000,000 to $20,000,000</w:t>
            </w:r>
            <w:r>
              <w:rPr>
                <w:i/>
                <w:sz w:val="14"/>
              </w:rPr>
              <w:br/>
              <w:t>TS §11 / EL §9.2</w:t>
            </w:r>
          </w:p>
        </w:tc>
        <w:tc>
          <w:tcPr>
            <w:tcW w:type="dxa" w:w="3384"/>
          </w:tcPr>
          <w:p>
            <w:pPr>
              <w:spacing w:after="0"/>
            </w:pPr>
            <w:r/>
            <w:r>
              <w:rPr>
                <w:b w:val="0"/>
                <w:sz w:val="15"/>
              </w:rPr>
              <w:t>Cap $25M.</w:t>
            </w:r>
          </w:p>
        </w:tc>
        <w:tc>
          <w:tcPr>
            <w:tcW w:type="dxa" w:w="3384"/>
          </w:tcPr>
          <w:p>
            <w:pPr>
              <w:spacing w:after="0"/>
            </w:pPr>
            <w:r/>
            <w:r>
              <w:rPr>
                <w:b w:val="0"/>
                <w:sz w:val="15"/>
              </w:rPr>
              <w:t>Cap $20M.</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D-37</w:t>
            </w:r>
          </w:p>
        </w:tc>
        <w:tc>
          <w:tcPr>
            <w:tcW w:type="dxa" w:w="2520"/>
          </w:tcPr>
          <w:p>
            <w:pPr>
              <w:spacing w:after="0"/>
            </w:pPr>
            <w:r/>
            <w:r>
              <w:rPr>
                <w:b/>
                <w:sz w:val="15"/>
              </w:rPr>
              <w:t>Indemnity scope broadened (“infringes, misappropriates, or otherwise violates”; “arising out of or relating to”; successors and assigns) without customary IP indemnity exclusions or remedies</w:t>
            </w:r>
            <w:r>
              <w:rPr>
                <w:i/>
                <w:sz w:val="14"/>
              </w:rPr>
              <w:br/>
              <w:t>TS §10 / EL §9.1</w:t>
            </w:r>
          </w:p>
        </w:tc>
        <w:tc>
          <w:tcPr>
            <w:tcW w:type="dxa" w:w="3384"/>
          </w:tcPr>
          <w:p>
            <w:pPr>
              <w:spacing w:after="0"/>
            </w:pPr>
            <w:r/>
            <w:r>
              <w:rPr>
                <w:b w:val="0"/>
                <w:sz w:val="15"/>
              </w:rPr>
              <w:t>Alleged infringement by Background IP.</w:t>
            </w:r>
          </w:p>
        </w:tc>
        <w:tc>
          <w:tcPr>
            <w:tcW w:type="dxa" w:w="3384"/>
          </w:tcPr>
          <w:p>
            <w:pPr>
              <w:spacing w:after="0"/>
            </w:pPr>
            <w:r/>
            <w:r>
              <w:rPr>
                <w:b w:val="0"/>
                <w:sz w:val="15"/>
              </w:rPr>
              <w:t>Infringe, misappropriate or otherwise violate; as utilized; no exclusions or remedies.</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D-38</w:t>
            </w:r>
          </w:p>
        </w:tc>
        <w:tc>
          <w:tcPr>
            <w:tcW w:type="dxa" w:w="2520"/>
          </w:tcPr>
          <w:p>
            <w:pPr>
              <w:spacing w:after="0"/>
            </w:pPr>
            <w:r/>
            <w:r>
              <w:rPr>
                <w:b/>
                <w:sz w:val="15"/>
              </w:rPr>
              <w:t>Indemnification procedures added (prompt notice with prejudice standard; control of defense; settlement consent)</w:t>
            </w:r>
            <w:r>
              <w:rPr>
                <w:i/>
                <w:sz w:val="14"/>
              </w:rPr>
              <w:br/>
              <w:t>TS §10 / EL §9.1</w:t>
            </w:r>
          </w:p>
        </w:tc>
        <w:tc>
          <w:tcPr>
            <w:tcW w:type="dxa" w:w="3384"/>
          </w:tcPr>
          <w:p>
            <w:pPr>
              <w:spacing w:after="0"/>
            </w:pPr>
            <w:r/>
            <w:r>
              <w:rPr>
                <w:b w:val="0"/>
                <w:sz w:val="15"/>
              </w:rPr>
              <w:t>Procedures to Definitive Agreement.</w:t>
            </w:r>
          </w:p>
        </w:tc>
        <w:tc>
          <w:tcPr>
            <w:tcW w:type="dxa" w:w="3384"/>
          </w:tcPr>
          <w:p>
            <w:pPr>
              <w:spacing w:after="0"/>
            </w:pPr>
            <w:r/>
            <w:r>
              <w:rPr>
                <w:b w:val="0"/>
                <w:sz w:val="15"/>
              </w:rPr>
              <w:t>Standard procedures added.</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Accept</w:t>
            </w:r>
          </w:p>
        </w:tc>
      </w:tr>
      <w:tr>
        <w:trPr>
          <w:cantSplit w:val="true"/>
        </w:trPr>
        <w:tc>
          <w:tcPr>
            <w:tcW w:type="dxa" w:w="648"/>
          </w:tcPr>
          <w:p>
            <w:pPr>
              <w:spacing w:after="0"/>
            </w:pPr>
            <w:r/>
            <w:r>
              <w:rPr>
                <w:b/>
                <w:sz w:val="15"/>
              </w:rPr>
              <w:t>D-39</w:t>
            </w:r>
          </w:p>
        </w:tc>
        <w:tc>
          <w:tcPr>
            <w:tcW w:type="dxa" w:w="2520"/>
          </w:tcPr>
          <w:p>
            <w:pPr>
              <w:spacing w:after="0"/>
            </w:pPr>
            <w:r/>
            <w:r>
              <w:rPr>
                <w:b/>
                <w:sz w:val="15"/>
              </w:rPr>
              <w:t>Consequential damages waiver expressly covers lost profits and revenue, with no carve-out for license scope, field-of-use, non-compete, sublicensing or payment breaches</w:t>
            </w:r>
            <w:r>
              <w:rPr>
                <w:i/>
                <w:sz w:val="14"/>
              </w:rPr>
              <w:br/>
              <w:t>TS §11 / EL §9.2 (second paragraph)</w:t>
            </w:r>
          </w:p>
        </w:tc>
        <w:tc>
          <w:tcPr>
            <w:tcW w:type="dxa" w:w="3384"/>
          </w:tcPr>
          <w:p>
            <w:pPr>
              <w:spacing w:after="0"/>
            </w:pPr>
            <w:r/>
            <w:r>
              <w:rPr>
                <w:b w:val="0"/>
                <w:sz w:val="15"/>
              </w:rPr>
              <w:t>Mutual consequential waiver.</w:t>
            </w:r>
          </w:p>
        </w:tc>
        <w:tc>
          <w:tcPr>
            <w:tcW w:type="dxa" w:w="3384"/>
          </w:tcPr>
          <w:p>
            <w:pPr>
              <w:spacing w:after="0"/>
            </w:pPr>
            <w:r/>
            <w:r>
              <w:rPr>
                <w:b w:val="0"/>
                <w:sz w:val="15"/>
              </w:rPr>
              <w:t>Waiver expressly includes lost profits and revenue; no carve-out for scope breaches.</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D-40</w:t>
            </w:r>
          </w:p>
        </w:tc>
        <w:tc>
          <w:tcPr>
            <w:tcW w:type="dxa" w:w="2520"/>
          </w:tcPr>
          <w:p>
            <w:pPr>
              <w:spacing w:after="0"/>
            </w:pPr>
            <w:r/>
            <w:r>
              <w:rPr>
                <w:b/>
                <w:sz w:val="15"/>
              </w:rPr>
              <w:t>Confidentiality survival cut from 3 years to 2 years</w:t>
            </w:r>
            <w:r>
              <w:rPr>
                <w:i/>
                <w:sz w:val="14"/>
              </w:rPr>
              <w:br/>
              <w:t>TS §14 (Binding) / EL §10.2</w:t>
            </w:r>
          </w:p>
        </w:tc>
        <w:tc>
          <w:tcPr>
            <w:tcW w:type="dxa" w:w="3384"/>
          </w:tcPr>
          <w:p>
            <w:pPr>
              <w:spacing w:after="0"/>
            </w:pPr>
            <w:r/>
            <w:r>
              <w:rPr>
                <w:b w:val="0"/>
                <w:sz w:val="15"/>
              </w:rPr>
              <w:t>Survives 3 years (binding).</w:t>
            </w:r>
          </w:p>
        </w:tc>
        <w:tc>
          <w:tcPr>
            <w:tcW w:type="dxa" w:w="3384"/>
          </w:tcPr>
          <w:p>
            <w:pPr>
              <w:spacing w:after="0"/>
            </w:pPr>
            <w:r/>
            <w:r>
              <w:rPr>
                <w:b w:val="0"/>
                <w:sz w:val="15"/>
              </w:rPr>
              <w:t>Survives 2 years.</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D-41</w:t>
            </w:r>
          </w:p>
        </w:tc>
        <w:tc>
          <w:tcPr>
            <w:tcW w:type="dxa" w:w="2520"/>
          </w:tcPr>
          <w:p>
            <w:pPr>
              <w:spacing w:after="0"/>
            </w:pPr>
            <w:r/>
            <w:r>
              <w:rPr>
                <w:b/>
                <w:sz w:val="15"/>
              </w:rPr>
              <w:t>“Confidential Information” narrowed (designated or reasonably understood as confidential); exceptions loosened; permitted recipients expanded to consultants and contractors</w:t>
            </w:r>
            <w:r>
              <w:rPr>
                <w:i/>
                <w:sz w:val="14"/>
              </w:rPr>
              <w:br/>
              <w:t>TS §14 / EL §3 (“Confidential Information”), §10.1</w:t>
            </w:r>
          </w:p>
        </w:tc>
        <w:tc>
          <w:tcPr>
            <w:tcW w:type="dxa" w:w="3384"/>
          </w:tcPr>
          <w:p>
            <w:pPr>
              <w:spacing w:after="0"/>
            </w:pPr>
            <w:r/>
            <w:r>
              <w:rPr>
                <w:b w:val="0"/>
                <w:sz w:val="15"/>
              </w:rPr>
              <w:t>All non-public information; written-records proof; limited recipients.</w:t>
            </w:r>
          </w:p>
        </w:tc>
        <w:tc>
          <w:tcPr>
            <w:tcW w:type="dxa" w:w="3384"/>
          </w:tcPr>
          <w:p>
            <w:pPr>
              <w:spacing w:after="0"/>
            </w:pPr>
            <w:r/>
            <w:r>
              <w:rPr>
                <w:b w:val="0"/>
                <w:sz w:val="15"/>
              </w:rPr>
              <w:t>Marked or reasonably understood; no written-records proof; consultants and contractors.</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Mixed (net Helix)</w:t>
            </w:r>
          </w:p>
        </w:tc>
        <w:tc>
          <w:tcPr>
            <w:tcW w:type="dxa" w:w="1872"/>
          </w:tcPr>
          <w:p>
            <w:pPr>
              <w:spacing w:after="0"/>
            </w:pPr>
            <w:r/>
            <w:r>
              <w:rPr>
                <w:b/>
                <w:sz w:val="15"/>
              </w:rPr>
              <w:t>Negotiate</w:t>
            </w:r>
          </w:p>
        </w:tc>
      </w:tr>
      <w:tr>
        <w:trPr>
          <w:cantSplit w:val="true"/>
        </w:trPr>
        <w:tc>
          <w:tcPr>
            <w:tcW w:type="dxa" w:w="648"/>
          </w:tcPr>
          <w:p>
            <w:pPr>
              <w:spacing w:after="0"/>
            </w:pPr>
            <w:r/>
            <w:r>
              <w:rPr>
                <w:b/>
                <w:sz w:val="15"/>
              </w:rPr>
              <w:t>D-42</w:t>
            </w:r>
          </w:p>
        </w:tc>
        <w:tc>
          <w:tcPr>
            <w:tcW w:type="dxa" w:w="2520"/>
          </w:tcPr>
          <w:p>
            <w:pPr>
              <w:spacing w:after="0"/>
            </w:pPr>
            <w:r/>
            <w:r>
              <w:rPr>
                <w:b/>
                <w:sz w:val="15"/>
              </w:rPr>
              <w:t>New use restriction, standard of care and return/destruction obligations (one archival copy permitted)</w:t>
            </w:r>
            <w:r>
              <w:rPr>
                <w:i/>
                <w:sz w:val="14"/>
              </w:rPr>
              <w:br/>
              <w:t>TS §14 / EL §10.1</w:t>
            </w:r>
          </w:p>
        </w:tc>
        <w:tc>
          <w:tcPr>
            <w:tcW w:type="dxa" w:w="3384"/>
          </w:tcPr>
          <w:p>
            <w:pPr>
              <w:spacing w:after="0"/>
            </w:pPr>
            <w:r/>
            <w:r>
              <w:rPr>
                <w:b w:val="0"/>
                <w:sz w:val="15"/>
              </w:rPr>
              <w:t>No use restriction.</w:t>
            </w:r>
          </w:p>
        </w:tc>
        <w:tc>
          <w:tcPr>
            <w:tcW w:type="dxa" w:w="3384"/>
          </w:tcPr>
          <w:p>
            <w:pPr>
              <w:spacing w:after="0"/>
            </w:pPr>
            <w:r/>
            <w:r>
              <w:rPr>
                <w:b w:val="0"/>
                <w:sz w:val="15"/>
              </w:rPr>
              <w:t>Use restriction, standard of care, return or destroy.</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Stellarion</w:t>
            </w:r>
          </w:p>
        </w:tc>
        <w:tc>
          <w:tcPr>
            <w:tcW w:type="dxa" w:w="1872"/>
          </w:tcPr>
          <w:p>
            <w:pPr>
              <w:spacing w:after="0"/>
            </w:pPr>
            <w:r/>
            <w:r>
              <w:rPr>
                <w:b/>
                <w:sz w:val="15"/>
              </w:rPr>
              <w:t>Accept</w:t>
            </w:r>
          </w:p>
        </w:tc>
      </w:tr>
      <w:tr>
        <w:trPr>
          <w:cantSplit w:val="true"/>
        </w:trPr>
        <w:tc>
          <w:tcPr>
            <w:tcW w:type="dxa" w:w="648"/>
          </w:tcPr>
          <w:p>
            <w:pPr>
              <w:spacing w:after="0"/>
            </w:pPr>
            <w:r/>
            <w:r>
              <w:rPr>
                <w:b/>
                <w:sz w:val="15"/>
              </w:rPr>
              <w:t>D-43</w:t>
            </w:r>
          </w:p>
        </w:tc>
        <w:tc>
          <w:tcPr>
            <w:tcW w:type="dxa" w:w="2520"/>
          </w:tcPr>
          <w:p>
            <w:pPr>
              <w:spacing w:after="0"/>
            </w:pPr>
            <w:r/>
            <w:r>
              <w:rPr>
                <w:b/>
                <w:sz w:val="15"/>
              </w:rPr>
              <w:t>Breach termination: 30-day notice running concurrently with a 30-day cure (about 30 days) instead of 60-day notice plus 30-day cure (90 days); double materiality qualifier</w:t>
            </w:r>
            <w:r>
              <w:rPr>
                <w:i/>
                <w:sz w:val="14"/>
              </w:rPr>
              <w:br/>
              <w:t>TS §12.1 / EL §11.1</w:t>
            </w:r>
          </w:p>
        </w:tc>
        <w:tc>
          <w:tcPr>
            <w:tcW w:type="dxa" w:w="3384"/>
          </w:tcPr>
          <w:p>
            <w:pPr>
              <w:spacing w:after="0"/>
            </w:pPr>
            <w:r/>
            <w:r>
              <w:rPr>
                <w:b w:val="0"/>
                <w:sz w:val="15"/>
              </w:rPr>
              <w:t>60-day notice + 30-day cure (90 days).</w:t>
            </w:r>
          </w:p>
        </w:tc>
        <w:tc>
          <w:tcPr>
            <w:tcW w:type="dxa" w:w="3384"/>
          </w:tcPr>
          <w:p>
            <w:pPr>
              <w:spacing w:after="0"/>
            </w:pPr>
            <w:r/>
            <w:r>
              <w:rPr>
                <w:b w:val="0"/>
                <w:sz w:val="15"/>
              </w:rPr>
              <w:t>30-day notice running with a 30-day cure; “material provision.”</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Mixed</w:t>
            </w:r>
          </w:p>
        </w:tc>
        <w:tc>
          <w:tcPr>
            <w:tcW w:type="dxa" w:w="1872"/>
          </w:tcPr>
          <w:p>
            <w:pPr>
              <w:spacing w:after="0"/>
            </w:pPr>
            <w:r/>
            <w:r>
              <w:rPr>
                <w:b/>
                <w:sz w:val="15"/>
              </w:rPr>
              <w:t>Negotiate</w:t>
            </w:r>
          </w:p>
        </w:tc>
      </w:tr>
      <w:tr>
        <w:trPr>
          <w:cantSplit w:val="true"/>
        </w:trPr>
        <w:tc>
          <w:tcPr>
            <w:tcW w:type="dxa" w:w="648"/>
          </w:tcPr>
          <w:p>
            <w:pPr>
              <w:spacing w:after="0"/>
            </w:pPr>
            <w:r/>
            <w:r>
              <w:rPr>
                <w:b/>
                <w:sz w:val="15"/>
              </w:rPr>
              <w:t>D-44</w:t>
            </w:r>
          </w:p>
        </w:tc>
        <w:tc>
          <w:tcPr>
            <w:tcW w:type="dxa" w:w="2520"/>
          </w:tcPr>
          <w:p>
            <w:pPr>
              <w:spacing w:after="0"/>
            </w:pPr>
            <w:r/>
            <w:r>
              <w:rPr>
                <w:b/>
                <w:sz w:val="15"/>
              </w:rPr>
              <w:t>Insolvency termination: 60-day dismissal window for involuntary petitions; “general” assignment; “all or a substantial portion” of assets</w:t>
            </w:r>
            <w:r>
              <w:rPr>
                <w:i/>
                <w:sz w:val="14"/>
              </w:rPr>
              <w:br/>
              <w:t>TS §12.2 / EL §11.2</w:t>
            </w:r>
          </w:p>
        </w:tc>
        <w:tc>
          <w:tcPr>
            <w:tcW w:type="dxa" w:w="3384"/>
          </w:tcPr>
          <w:p>
            <w:pPr>
              <w:spacing w:after="0"/>
            </w:pPr>
            <w:r/>
            <w:r>
              <w:rPr>
                <w:b w:val="0"/>
                <w:sz w:val="15"/>
              </w:rPr>
              <w:t>Immediate on insolvency events.</w:t>
            </w:r>
          </w:p>
        </w:tc>
        <w:tc>
          <w:tcPr>
            <w:tcW w:type="dxa" w:w="3384"/>
          </w:tcPr>
          <w:p>
            <w:pPr>
              <w:spacing w:after="0"/>
            </w:pPr>
            <w:r/>
            <w:r>
              <w:rPr>
                <w:b w:val="0"/>
                <w:sz w:val="15"/>
              </w:rPr>
              <w:t>60-day dismissal window for involuntary petitions.</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Accept</w:t>
            </w:r>
          </w:p>
        </w:tc>
      </w:tr>
      <w:tr>
        <w:trPr>
          <w:cantSplit w:val="true"/>
        </w:trPr>
        <w:tc>
          <w:tcPr>
            <w:tcW w:type="dxa" w:w="648"/>
          </w:tcPr>
          <w:p>
            <w:pPr>
              <w:spacing w:after="0"/>
            </w:pPr>
            <w:r/>
            <w:r>
              <w:rPr>
                <w:b/>
                <w:sz w:val="15"/>
              </w:rPr>
              <w:t>D-45</w:t>
            </w:r>
          </w:p>
        </w:tc>
        <w:tc>
          <w:tcPr>
            <w:tcW w:type="dxa" w:w="2520"/>
          </w:tcPr>
          <w:p>
            <w:pPr>
              <w:spacing w:after="0"/>
            </w:pPr>
            <w:r/>
            <w:r>
              <w:rPr>
                <w:b/>
                <w:sz w:val="15"/>
              </w:rPr>
              <w:t>New 90-day Wind-Down Period on any expiration or termination (including for Helix breach); royalties on wind-down sales not addressed</w:t>
            </w:r>
            <w:r>
              <w:rPr>
                <w:i/>
                <w:sz w:val="14"/>
              </w:rPr>
              <w:br/>
              <w:t>TS §12.3(a), (b) / EL §11.3</w:t>
            </w:r>
          </w:p>
        </w:tc>
        <w:tc>
          <w:tcPr>
            <w:tcW w:type="dxa" w:w="3384"/>
          </w:tcPr>
          <w:p>
            <w:pPr>
              <w:spacing w:after="0"/>
            </w:pPr>
            <w:r/>
            <w:r>
              <w:rPr>
                <w:b w:val="0"/>
                <w:sz w:val="15"/>
              </w:rPr>
              <w:t>Immediately cease; wind-down per Definitive Agreement.</w:t>
            </w:r>
          </w:p>
        </w:tc>
        <w:tc>
          <w:tcPr>
            <w:tcW w:type="dxa" w:w="3384"/>
          </w:tcPr>
          <w:p>
            <w:pPr>
              <w:spacing w:after="0"/>
            </w:pPr>
            <w:r/>
            <w:r>
              <w:rPr>
                <w:b w:val="0"/>
                <w:sz w:val="15"/>
              </w:rPr>
              <w:t>90-day wind-down for any termination; royalty silent.</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D-46</w:t>
            </w:r>
          </w:p>
        </w:tc>
        <w:tc>
          <w:tcPr>
            <w:tcW w:type="dxa" w:w="2520"/>
          </w:tcPr>
          <w:p>
            <w:pPr>
              <w:spacing w:after="0"/>
            </w:pPr>
            <w:r/>
            <w:r>
              <w:rPr>
                <w:b/>
                <w:sz w:val="15"/>
              </w:rPr>
              <w:t>Survival list omits Joint IP (§6.3), reservation of rights (§4.3), wind-down terms and escrow post-release limits (§12); lists §9 and §9.2 redundantly</w:t>
            </w:r>
            <w:r>
              <w:rPr>
                <w:i/>
                <w:sz w:val="14"/>
              </w:rPr>
              <w:br/>
              <w:t>TS §12.3 / EL §11.3</w:t>
            </w:r>
          </w:p>
        </w:tc>
        <w:tc>
          <w:tcPr>
            <w:tcW w:type="dxa" w:w="3384"/>
          </w:tcPr>
          <w:p>
            <w:pPr>
              <w:spacing w:after="0"/>
            </w:pPr>
            <w:r/>
            <w:r>
              <w:rPr>
                <w:b w:val="0"/>
                <w:sz w:val="15"/>
              </w:rPr>
              <w:t>Accrued payments, non-compete and confidentiality survive.</w:t>
            </w:r>
          </w:p>
        </w:tc>
        <w:tc>
          <w:tcPr>
            <w:tcW w:type="dxa" w:w="3384"/>
          </w:tcPr>
          <w:p>
            <w:pPr>
              <w:spacing w:after="0"/>
            </w:pPr>
            <w:r/>
            <w:r>
              <w:rPr>
                <w:b w:val="0"/>
                <w:sz w:val="15"/>
              </w:rPr>
              <w:t>Omits §§4.3, 6.3, 8.1, 11.3, 12.</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Ambiguous</w:t>
            </w:r>
          </w:p>
        </w:tc>
        <w:tc>
          <w:tcPr>
            <w:tcW w:type="dxa" w:w="1872"/>
          </w:tcPr>
          <w:p>
            <w:pPr>
              <w:spacing w:after="0"/>
            </w:pPr>
            <w:r/>
            <w:r>
              <w:rPr>
                <w:b/>
                <w:sz w:val="15"/>
              </w:rPr>
              <w:t>Negotiate</w:t>
            </w:r>
          </w:p>
        </w:tc>
      </w:tr>
      <w:tr>
        <w:trPr>
          <w:cantSplit w:val="true"/>
        </w:trPr>
        <w:tc>
          <w:tcPr>
            <w:tcW w:type="dxa" w:w="648"/>
          </w:tcPr>
          <w:p>
            <w:pPr>
              <w:spacing w:after="0"/>
            </w:pPr>
            <w:r/>
            <w:r>
              <w:rPr>
                <w:b/>
                <w:sz w:val="15"/>
              </w:rPr>
              <w:t>D-47</w:t>
            </w:r>
          </w:p>
        </w:tc>
        <w:tc>
          <w:tcPr>
            <w:tcW w:type="dxa" w:w="2520"/>
          </w:tcPr>
          <w:p>
            <w:pPr>
              <w:spacing w:after="0"/>
            </w:pPr>
            <w:r/>
            <w:r>
              <w:rPr>
                <w:b/>
                <w:sz w:val="15"/>
              </w:rPr>
              <w:t>Source code deposit due within 30 days of the Engagement Letter Effective Date (before the Definitive Agreement and before any payment)</w:t>
            </w:r>
            <w:r>
              <w:rPr>
                <w:i/>
                <w:sz w:val="14"/>
              </w:rPr>
              <w:br/>
              <w:t>TS §13 / EL §12</w:t>
            </w:r>
          </w:p>
        </w:tc>
        <w:tc>
          <w:tcPr>
            <w:tcW w:type="dxa" w:w="3384"/>
          </w:tcPr>
          <w:p>
            <w:pPr>
              <w:spacing w:after="0"/>
            </w:pPr>
            <w:r/>
            <w:r>
              <w:rPr>
                <w:b w:val="0"/>
                <w:sz w:val="15"/>
              </w:rPr>
              <w:t>Escrow agreement contemporaneous with the Definitive Agreement.</w:t>
            </w:r>
          </w:p>
        </w:tc>
        <w:tc>
          <w:tcPr>
            <w:tcW w:type="dxa" w:w="3384"/>
          </w:tcPr>
          <w:p>
            <w:pPr>
              <w:spacing w:after="0"/>
            </w:pPr>
            <w:r/>
            <w:r>
              <w:rPr>
                <w:b w:val="0"/>
                <w:sz w:val="15"/>
              </w:rPr>
              <w:t>Deposit within 30 days of EL signing.</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Reject</w:t>
            </w:r>
          </w:p>
        </w:tc>
      </w:tr>
      <w:tr>
        <w:trPr>
          <w:cantSplit w:val="true"/>
        </w:trPr>
        <w:tc>
          <w:tcPr>
            <w:tcW w:type="dxa" w:w="648"/>
          </w:tcPr>
          <w:p>
            <w:pPr>
              <w:spacing w:after="0"/>
            </w:pPr>
            <w:r/>
            <w:r>
              <w:rPr>
                <w:b/>
                <w:sz w:val="15"/>
              </w:rPr>
              <w:t>D-48</w:t>
            </w:r>
          </w:p>
        </w:tc>
        <w:tc>
          <w:tcPr>
            <w:tcW w:type="dxa" w:w="2520"/>
          </w:tcPr>
          <w:p>
            <w:pPr>
              <w:spacing w:after="0"/>
            </w:pPr>
            <w:r/>
            <w:r>
              <w:rPr>
                <w:b/>
                <w:sz w:val="15"/>
              </w:rPr>
              <w:t>Release conditions changed: insolvency trigger narrowed to bankruptcy filings; uncured material breach trigger deleted; discontinuation trigger redefined (no 12-month cessation period, but a successor-product cure added)</w:t>
            </w:r>
            <w:r>
              <w:rPr>
                <w:i/>
                <w:sz w:val="14"/>
              </w:rPr>
              <w:br/>
              <w:t>TS §13(a)–(c) / EL §12</w:t>
            </w:r>
          </w:p>
        </w:tc>
        <w:tc>
          <w:tcPr>
            <w:tcW w:type="dxa" w:w="3384"/>
          </w:tcPr>
          <w:p>
            <w:pPr>
              <w:spacing w:after="0"/>
            </w:pPr>
            <w:r/>
            <w:r>
              <w:rPr>
                <w:b w:val="0"/>
                <w:sz w:val="15"/>
              </w:rPr>
              <w:t>Release: insolvency; uncured breach; 12-month cessation.</w:t>
            </w:r>
          </w:p>
        </w:tc>
        <w:tc>
          <w:tcPr>
            <w:tcW w:type="dxa" w:w="3384"/>
          </w:tcPr>
          <w:p>
            <w:pPr>
              <w:spacing w:after="0"/>
            </w:pPr>
            <w:r/>
            <w:r>
              <w:rPr>
                <w:b w:val="0"/>
                <w:sz w:val="15"/>
              </w:rPr>
              <w:t>Release: bankruptcy; discontinuation without successor in 120 days.</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Mixed (net Stellarion)</w:t>
            </w:r>
          </w:p>
        </w:tc>
        <w:tc>
          <w:tcPr>
            <w:tcW w:type="dxa" w:w="1872"/>
          </w:tcPr>
          <w:p>
            <w:pPr>
              <w:spacing w:after="0"/>
            </w:pPr>
            <w:r/>
            <w:r>
              <w:rPr>
                <w:b/>
                <w:sz w:val="15"/>
              </w:rPr>
              <w:t>Negotiate</w:t>
            </w:r>
          </w:p>
        </w:tc>
      </w:tr>
      <w:tr>
        <w:trPr>
          <w:cantSplit w:val="true"/>
        </w:trPr>
        <w:tc>
          <w:tcPr>
            <w:tcW w:type="dxa" w:w="648"/>
          </w:tcPr>
          <w:p>
            <w:pPr>
              <w:spacing w:after="0"/>
            </w:pPr>
            <w:r/>
            <w:r>
              <w:rPr>
                <w:b/>
                <w:sz w:val="15"/>
              </w:rPr>
              <w:t>D-49</w:t>
            </w:r>
          </w:p>
        </w:tc>
        <w:tc>
          <w:tcPr>
            <w:tcW w:type="dxa" w:w="2520"/>
          </w:tcPr>
          <w:p>
            <w:pPr>
              <w:spacing w:after="0"/>
            </w:pPr>
            <w:r/>
            <w:r>
              <w:rPr>
                <w:b/>
                <w:sz w:val="15"/>
              </w:rPr>
              <w:t>Escrow scope and mechanics: build materials included; updates only with each major release; written verification; costs shared equally; post-release license for internal maintenance only</w:t>
            </w:r>
            <w:r>
              <w:rPr>
                <w:i/>
                <w:sz w:val="14"/>
              </w:rPr>
              <w:br/>
              <w:t>TS §13 / EL §12</w:t>
            </w:r>
          </w:p>
        </w:tc>
        <w:tc>
          <w:tcPr>
            <w:tcW w:type="dxa" w:w="3384"/>
          </w:tcPr>
          <w:p>
            <w:pPr>
              <w:spacing w:after="0"/>
            </w:pPr>
            <w:r/>
            <w:r>
              <w:rPr>
                <w:b w:val="0"/>
                <w:sz w:val="15"/>
              </w:rPr>
              <w:t>All updates; mechanics to escrow agreement.</w:t>
            </w:r>
          </w:p>
        </w:tc>
        <w:tc>
          <w:tcPr>
            <w:tcW w:type="dxa" w:w="3384"/>
          </w:tcPr>
          <w:p>
            <w:pPr>
              <w:spacing w:after="0"/>
            </w:pPr>
            <w:r/>
            <w:r>
              <w:rPr>
                <w:b w:val="0"/>
                <w:sz w:val="15"/>
              </w:rPr>
              <w:t>Major releases; costs split equally; internal-use license on release.</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Mixed (net Stellarion)</w:t>
            </w:r>
          </w:p>
        </w:tc>
        <w:tc>
          <w:tcPr>
            <w:tcW w:type="dxa" w:w="1872"/>
          </w:tcPr>
          <w:p>
            <w:pPr>
              <w:spacing w:after="0"/>
            </w:pPr>
            <w:r/>
            <w:r>
              <w:rPr>
                <w:b/>
                <w:sz w:val="15"/>
              </w:rPr>
              <w:t>Accept</w:t>
            </w:r>
          </w:p>
        </w:tc>
      </w:tr>
      <w:tr>
        <w:trPr>
          <w:cantSplit w:val="true"/>
        </w:trPr>
        <w:tc>
          <w:tcPr>
            <w:tcW w:type="dxa" w:w="648"/>
          </w:tcPr>
          <w:p>
            <w:pPr>
              <w:spacing w:after="0"/>
            </w:pPr>
            <w:r/>
            <w:r>
              <w:rPr>
                <w:b/>
                <w:sz w:val="15"/>
              </w:rPr>
              <w:t>D-50</w:t>
            </w:r>
          </w:p>
        </w:tc>
        <w:tc>
          <w:tcPr>
            <w:tcW w:type="dxa" w:w="2520"/>
          </w:tcPr>
          <w:p>
            <w:pPr>
              <w:spacing w:after="0"/>
            </w:pPr>
            <w:r/>
            <w:r>
              <w:rPr>
                <w:b/>
                <w:sz w:val="15"/>
              </w:rPr>
              <w:t>New representations and warranties (including Stellarion sole ownership, knowledge-qualified non-infringement and no-claims representations) and disclaimer</w:t>
            </w:r>
            <w:r>
              <w:rPr>
                <w:i/>
                <w:sz w:val="14"/>
              </w:rPr>
              <w:br/>
              <w:t>TS §16 (reps to Definitive Agreement) / EL §13</w:t>
            </w:r>
          </w:p>
        </w:tc>
        <w:tc>
          <w:tcPr>
            <w:tcW w:type="dxa" w:w="3384"/>
          </w:tcPr>
          <w:p>
            <w:pPr>
              <w:spacing w:after="0"/>
            </w:pPr>
            <w:r/>
            <w:r>
              <w:rPr>
                <w:b w:val="0"/>
                <w:sz w:val="15"/>
              </w:rPr>
              <w:t>Reps to Definitive Agreement.</w:t>
            </w:r>
          </w:p>
        </w:tc>
        <w:tc>
          <w:tcPr>
            <w:tcW w:type="dxa" w:w="3384"/>
          </w:tcPr>
          <w:p>
            <w:pPr>
              <w:spacing w:after="0"/>
            </w:pPr>
            <w:r/>
            <w:r>
              <w:rPr>
                <w:b w:val="0"/>
                <w:sz w:val="15"/>
              </w:rPr>
              <w:t>Interim reps incl. Stellarion sole ownership free of liens.</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 (asymmetric)</w:t>
            </w:r>
          </w:p>
        </w:tc>
        <w:tc>
          <w:tcPr>
            <w:tcW w:type="dxa" w:w="1872"/>
          </w:tcPr>
          <w:p>
            <w:pPr>
              <w:spacing w:after="0"/>
            </w:pPr>
            <w:r/>
            <w:r>
              <w:rPr>
                <w:b/>
                <w:sz w:val="15"/>
              </w:rPr>
              <w:t>Flag for further discussion</w:t>
            </w:r>
          </w:p>
        </w:tc>
      </w:tr>
      <w:tr>
        <w:trPr>
          <w:cantSplit w:val="true"/>
        </w:trPr>
        <w:tc>
          <w:tcPr>
            <w:tcW w:type="dxa" w:w="648"/>
          </w:tcPr>
          <w:p>
            <w:pPr>
              <w:spacing w:after="0"/>
            </w:pPr>
            <w:r/>
            <w:r>
              <w:rPr>
                <w:b/>
                <w:sz w:val="15"/>
              </w:rPr>
              <w:t>D-51</w:t>
            </w:r>
          </w:p>
        </w:tc>
        <w:tc>
          <w:tcPr>
            <w:tcW w:type="dxa" w:w="2520"/>
          </w:tcPr>
          <w:p>
            <w:pPr>
              <w:spacing w:after="0"/>
            </w:pPr>
            <w:r/>
            <w:r>
              <w:rPr>
                <w:b/>
                <w:sz w:val="15"/>
              </w:rPr>
              <w:t>Definitive Agreement to include new categories: warranty terms, service levels, support and maintenance, data security, insurance</w:t>
            </w:r>
            <w:r>
              <w:rPr>
                <w:i/>
                <w:sz w:val="14"/>
              </w:rPr>
              <w:br/>
              <w:t>TS §16 / EL §14</w:t>
            </w:r>
          </w:p>
        </w:tc>
        <w:tc>
          <w:tcPr>
            <w:tcW w:type="dxa" w:w="3384"/>
          </w:tcPr>
          <w:p>
            <w:pPr>
              <w:spacing w:after="0"/>
            </w:pPr>
            <w:r/>
            <w:r>
              <w:rPr>
                <w:b w:val="0"/>
                <w:sz w:val="15"/>
              </w:rPr>
              <w:t>Customary terms incl. reps and closing conditions.</w:t>
            </w:r>
          </w:p>
        </w:tc>
        <w:tc>
          <w:tcPr>
            <w:tcW w:type="dxa" w:w="3384"/>
          </w:tcPr>
          <w:p>
            <w:pPr>
              <w:spacing w:after="0"/>
            </w:pPr>
            <w:r/>
            <w:r>
              <w:rPr>
                <w:b w:val="0"/>
                <w:sz w:val="15"/>
              </w:rPr>
              <w:t>Adds warranties, SLAs, support, data security, insurance.</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D-52</w:t>
            </w:r>
          </w:p>
        </w:tc>
        <w:tc>
          <w:tcPr>
            <w:tcW w:type="dxa" w:w="2520"/>
          </w:tcPr>
          <w:p>
            <w:pPr>
              <w:spacing w:after="0"/>
            </w:pPr>
            <w:r/>
            <w:r>
              <w:rPr>
                <w:b/>
                <w:sz w:val="15"/>
              </w:rPr>
              <w:t>Arbitration mechanics: arbitrators selected under JAMS rules rather than the Term Sheet party-appointment timetable; expertise requirement; arbitrability delegated; confidentiality added; English language omitted</w:t>
            </w:r>
            <w:r>
              <w:rPr>
                <w:i/>
                <w:sz w:val="14"/>
              </w:rPr>
              <w:br/>
              <w:t>TS §15 (Binding) / EL §15</w:t>
            </w:r>
          </w:p>
        </w:tc>
        <w:tc>
          <w:tcPr>
            <w:tcW w:type="dxa" w:w="3384"/>
          </w:tcPr>
          <w:p>
            <w:pPr>
              <w:spacing w:after="0"/>
            </w:pPr>
            <w:r/>
            <w:r>
              <w:rPr>
                <w:b w:val="0"/>
                <w:sz w:val="15"/>
              </w:rPr>
              <w:t>Party-appointed panel timetable; English.</w:t>
            </w:r>
          </w:p>
        </w:tc>
        <w:tc>
          <w:tcPr>
            <w:tcW w:type="dxa" w:w="3384"/>
          </w:tcPr>
          <w:p>
            <w:pPr>
              <w:spacing w:after="0"/>
            </w:pPr>
            <w:r/>
            <w:r>
              <w:rPr>
                <w:b w:val="0"/>
                <w:sz w:val="15"/>
              </w:rPr>
              <w:t>JAMS selection; expertise; confidential.</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Negotiate</w:t>
            </w:r>
          </w:p>
        </w:tc>
      </w:tr>
      <w:tr>
        <w:trPr>
          <w:cantSplit w:val="true"/>
        </w:trPr>
        <w:tc>
          <w:tcPr>
            <w:tcW w:type="dxa" w:w="648"/>
          </w:tcPr>
          <w:p>
            <w:pPr>
              <w:spacing w:after="0"/>
            </w:pPr>
            <w:r/>
            <w:r>
              <w:rPr>
                <w:b/>
                <w:sz w:val="15"/>
              </w:rPr>
              <w:t>D-53</w:t>
            </w:r>
          </w:p>
        </w:tc>
        <w:tc>
          <w:tcPr>
            <w:tcW w:type="dxa" w:w="2520"/>
          </w:tcPr>
          <w:p>
            <w:pPr>
              <w:spacing w:after="0"/>
            </w:pPr>
            <w:r/>
            <w:r>
              <w:rPr>
                <w:b/>
                <w:sz w:val="15"/>
              </w:rPr>
              <w:t>No carve-out for injunctive relief in court; Steering Committee “dispute resolution” overlaps with arbitration (a gap in both documents)</w:t>
            </w:r>
            <w:r>
              <w:rPr>
                <w:i/>
                <w:sz w:val="14"/>
              </w:rPr>
              <w:br/>
              <w:t>TS §15 / EL §15.2, §6.1</w:t>
            </w:r>
          </w:p>
        </w:tc>
        <w:tc>
          <w:tcPr>
            <w:tcW w:type="dxa" w:w="3384"/>
          </w:tcPr>
          <w:p>
            <w:pPr>
              <w:spacing w:after="0"/>
            </w:pPr>
            <w:r/>
            <w:r>
              <w:rPr>
                <w:b w:val="0"/>
                <w:sz w:val="15"/>
              </w:rPr>
              <w:t>No injunctive relief carve-out.</w:t>
            </w:r>
          </w:p>
        </w:tc>
        <w:tc>
          <w:tcPr>
            <w:tcW w:type="dxa" w:w="3384"/>
          </w:tcPr>
          <w:p>
            <w:pPr>
              <w:spacing w:after="0"/>
            </w:pPr>
            <w:r/>
            <w:r>
              <w:rPr>
                <w:b w:val="0"/>
                <w:sz w:val="15"/>
              </w:rPr>
              <w:t>“Exclusively” arbitration; no carve-out.</w:t>
            </w:r>
          </w:p>
        </w:tc>
        <w:tc>
          <w:tcPr>
            <w:tcW w:type="dxa" w:w="1224"/>
            <w:shd w:val="clear" w:color="auto" w:fill="FFE699"/>
          </w:tcPr>
          <w:p>
            <w:pPr>
              <w:spacing w:after="0"/>
            </w:pPr>
            <w:r/>
            <w:r>
              <w:rPr>
                <w:b/>
                <w:color w:val="000000"/>
                <w:sz w:val="15"/>
              </w:rPr>
              <w:t>Moderate</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D-54</w:t>
            </w:r>
          </w:p>
        </w:tc>
        <w:tc>
          <w:tcPr>
            <w:tcW w:type="dxa" w:w="2520"/>
          </w:tcPr>
          <w:p>
            <w:pPr>
              <w:spacing w:after="0"/>
            </w:pPr>
            <w:r/>
            <w:r>
              <w:rPr>
                <w:b/>
                <w:sz w:val="15"/>
              </w:rPr>
              <w:t>Assignment: consent “not unreasonably withheld,” and free assignment without consent on a merger, consolidation, reorganization or sale of substantially all assets</w:t>
            </w:r>
            <w:r>
              <w:rPr>
                <w:i/>
                <w:sz w:val="14"/>
              </w:rPr>
              <w:br/>
              <w:t>TS §18 (No Assignment) / EL §16.2</w:t>
            </w:r>
          </w:p>
        </w:tc>
        <w:tc>
          <w:tcPr>
            <w:tcW w:type="dxa" w:w="3384"/>
          </w:tcPr>
          <w:p>
            <w:pPr>
              <w:spacing w:after="0"/>
            </w:pPr>
            <w:r/>
            <w:r>
              <w:rPr>
                <w:b w:val="0"/>
                <w:sz w:val="15"/>
              </w:rPr>
              <w:t>No assignment without consent.</w:t>
            </w:r>
          </w:p>
        </w:tc>
        <w:tc>
          <w:tcPr>
            <w:tcW w:type="dxa" w:w="3384"/>
          </w:tcPr>
          <w:p>
            <w:pPr>
              <w:spacing w:after="0"/>
            </w:pPr>
            <w:r/>
            <w:r>
              <w:rPr>
                <w:b w:val="0"/>
                <w:sz w:val="15"/>
              </w:rPr>
              <w:t>Consent not unreasonably withheld; free M&amp;A assignment.</w:t>
            </w:r>
          </w:p>
        </w:tc>
        <w:tc>
          <w:tcPr>
            <w:tcW w:type="dxa" w:w="1224"/>
            <w:shd w:val="clear" w:color="auto" w:fill="F4B183"/>
          </w:tcPr>
          <w:p>
            <w:pPr>
              <w:spacing w:after="0"/>
            </w:pPr>
            <w:r/>
            <w:r>
              <w:rPr>
                <w:b/>
                <w:color w:val="000000"/>
                <w:sz w:val="15"/>
              </w:rPr>
              <w:t>Material</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D-55</w:t>
            </w:r>
          </w:p>
        </w:tc>
        <w:tc>
          <w:tcPr>
            <w:tcW w:type="dxa" w:w="2520"/>
          </w:tcPr>
          <w:p>
            <w:pPr>
              <w:spacing w:after="0"/>
            </w:pPr>
            <w:r/>
            <w:r>
              <w:rPr>
                <w:b/>
                <w:sz w:val="15"/>
              </w:rPr>
              <w:t>Notices: detailed delivery mechanics; copy to Helix’s counsel but none to Stellarion’s counsel</w:t>
            </w:r>
            <w:r>
              <w:rPr>
                <w:i/>
                <w:sz w:val="14"/>
              </w:rPr>
              <w:br/>
              <w:t>TS §18 (Notices), §3.2 / EL §16.1</w:t>
            </w:r>
          </w:p>
        </w:tc>
        <w:tc>
          <w:tcPr>
            <w:tcW w:type="dxa" w:w="3384"/>
          </w:tcPr>
          <w:p>
            <w:pPr>
              <w:spacing w:after="0"/>
            </w:pPr>
            <w:r/>
            <w:r>
              <w:rPr>
                <w:b w:val="0"/>
                <w:sz w:val="15"/>
              </w:rPr>
              <w:t>Notices to party addresses.</w:t>
            </w:r>
          </w:p>
        </w:tc>
        <w:tc>
          <w:tcPr>
            <w:tcW w:type="dxa" w:w="3384"/>
          </w:tcPr>
          <w:p>
            <w:pPr>
              <w:spacing w:after="0"/>
            </w:pPr>
            <w:r/>
            <w:r>
              <w:rPr>
                <w:b w:val="0"/>
                <w:sz w:val="15"/>
              </w:rPr>
              <w:t>Copy to Helix counsel only.</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Helix</w:t>
            </w:r>
          </w:p>
        </w:tc>
        <w:tc>
          <w:tcPr>
            <w:tcW w:type="dxa" w:w="1872"/>
          </w:tcPr>
          <w:p>
            <w:pPr>
              <w:spacing w:after="0"/>
            </w:pPr>
            <w:r/>
            <w:r>
              <w:rPr>
                <w:b/>
                <w:sz w:val="15"/>
              </w:rPr>
              <w:t>Negotiate</w:t>
            </w:r>
          </w:p>
        </w:tc>
      </w:tr>
      <w:tr>
        <w:trPr>
          <w:cantSplit w:val="true"/>
        </w:trPr>
        <w:tc>
          <w:tcPr>
            <w:tcW w:type="dxa" w:w="648"/>
          </w:tcPr>
          <w:p>
            <w:pPr>
              <w:spacing w:after="0"/>
            </w:pPr>
            <w:r/>
            <w:r>
              <w:rPr>
                <w:b/>
                <w:sz w:val="15"/>
              </w:rPr>
              <w:t>D-56</w:t>
            </w:r>
          </w:p>
        </w:tc>
        <w:tc>
          <w:tcPr>
            <w:tcW w:type="dxa" w:w="2520"/>
          </w:tcPr>
          <w:p>
            <w:pPr>
              <w:spacing w:after="0"/>
            </w:pPr>
            <w:r/>
            <w:r>
              <w:rPr>
                <w:b/>
                <w:sz w:val="15"/>
              </w:rPr>
              <w:t>New force majeure clause (payment obligations excluded; includes internet and telecommunications failures; no long-stop termination right)</w:t>
            </w:r>
            <w:r>
              <w:rPr>
                <w:i/>
                <w:sz w:val="14"/>
              </w:rPr>
              <w:br/>
              <w:t>TS — / EL §16.8</w:t>
            </w:r>
          </w:p>
        </w:tc>
        <w:tc>
          <w:tcPr>
            <w:tcW w:type="dxa" w:w="3384"/>
          </w:tcPr>
          <w:p>
            <w:pPr>
              <w:spacing w:after="0"/>
            </w:pPr>
            <w:r/>
            <w:r>
              <w:rPr>
                <w:b w:val="0"/>
                <w:sz w:val="15"/>
              </w:rPr>
              <w:t>Silent.</w:t>
            </w:r>
          </w:p>
        </w:tc>
        <w:tc>
          <w:tcPr>
            <w:tcW w:type="dxa" w:w="3384"/>
          </w:tcPr>
          <w:p>
            <w:pPr>
              <w:spacing w:after="0"/>
            </w:pPr>
            <w:r/>
            <w:r>
              <w:rPr>
                <w:b w:val="0"/>
                <w:sz w:val="15"/>
              </w:rPr>
              <w:t>Force majeure added (excl. payment).</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Accept</w:t>
            </w:r>
          </w:p>
        </w:tc>
      </w:tr>
      <w:tr>
        <w:trPr>
          <w:cantSplit w:val="true"/>
        </w:trPr>
        <w:tc>
          <w:tcPr>
            <w:tcW w:type="dxa" w:w="648"/>
          </w:tcPr>
          <w:p>
            <w:pPr>
              <w:spacing w:after="0"/>
            </w:pPr>
            <w:r/>
            <w:r>
              <w:rPr>
                <w:b/>
                <w:sz w:val="15"/>
              </w:rPr>
              <w:t>D-57</w:t>
            </w:r>
          </w:p>
        </w:tc>
        <w:tc>
          <w:tcPr>
            <w:tcW w:type="dxa" w:w="2520"/>
          </w:tcPr>
          <w:p>
            <w:pPr>
              <w:spacing w:after="0"/>
            </w:pPr>
            <w:r/>
            <w:r>
              <w:rPr>
                <w:b/>
                <w:sz w:val="15"/>
              </w:rPr>
              <w:t>New boilerplate: relationship of the parties, severability (with reformation), waiver; counterparts updated</w:t>
            </w:r>
            <w:r>
              <w:rPr>
                <w:i/>
                <w:sz w:val="14"/>
              </w:rPr>
              <w:br/>
              <w:t>TS §18 / EL §§16.4–16.7</w:t>
            </w:r>
          </w:p>
        </w:tc>
        <w:tc>
          <w:tcPr>
            <w:tcW w:type="dxa" w:w="3384"/>
          </w:tcPr>
          <w:p>
            <w:pPr>
              <w:spacing w:after="0"/>
            </w:pPr>
            <w:r/>
            <w:r>
              <w:rPr>
                <w:b w:val="0"/>
                <w:sz w:val="15"/>
              </w:rPr>
              <w:t>Counterparts, amendments.</w:t>
            </w:r>
          </w:p>
        </w:tc>
        <w:tc>
          <w:tcPr>
            <w:tcW w:type="dxa" w:w="3384"/>
          </w:tcPr>
          <w:p>
            <w:pPr>
              <w:spacing w:after="0"/>
            </w:pPr>
            <w:r/>
            <w:r>
              <w:rPr>
                <w:b w:val="0"/>
                <w:sz w:val="15"/>
              </w:rPr>
              <w:t>Severability, waiver, relationship added.</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Accept</w:t>
            </w:r>
          </w:p>
        </w:tc>
      </w:tr>
      <w:tr>
        <w:trPr>
          <w:cantSplit w:val="true"/>
        </w:trPr>
        <w:tc>
          <w:tcPr>
            <w:tcW w:type="dxa" w:w="648"/>
          </w:tcPr>
          <w:p>
            <w:pPr>
              <w:spacing w:after="0"/>
            </w:pPr>
            <w:r/>
            <w:r>
              <w:rPr>
                <w:b/>
                <w:sz w:val="15"/>
              </w:rPr>
              <w:t>D-58</w:t>
            </w:r>
          </w:p>
        </w:tc>
        <w:tc>
          <w:tcPr>
            <w:tcW w:type="dxa" w:w="2520"/>
          </w:tcPr>
          <w:p>
            <w:pPr>
              <w:spacing w:after="0"/>
            </w:pPr>
            <w:r/>
            <w:r>
              <w:rPr>
                <w:b/>
                <w:sz w:val="15"/>
              </w:rPr>
              <w:t>Term Sheet costs and expenses provision not carried forward</w:t>
            </w:r>
            <w:r>
              <w:rPr>
                <w:i/>
                <w:sz w:val="14"/>
              </w:rPr>
              <w:br/>
              <w:t>TS §17 (final paragraph) / EL —</w:t>
            </w:r>
          </w:p>
        </w:tc>
        <w:tc>
          <w:tcPr>
            <w:tcW w:type="dxa" w:w="3384"/>
          </w:tcPr>
          <w:p>
            <w:pPr>
              <w:spacing w:after="0"/>
            </w:pPr>
            <w:r/>
            <w:r>
              <w:rPr>
                <w:b w:val="0"/>
                <w:sz w:val="15"/>
              </w:rPr>
              <w:t>Each party bears own costs.</w:t>
            </w:r>
          </w:p>
        </w:tc>
        <w:tc>
          <w:tcPr>
            <w:tcW w:type="dxa" w:w="3384"/>
          </w:tcPr>
          <w:p>
            <w:pPr>
              <w:spacing w:after="0"/>
            </w:pPr>
            <w:r/>
            <w:r>
              <w:rPr>
                <w:b w:val="0"/>
                <w:sz w:val="15"/>
              </w:rPr>
              <w:t>Omitted.</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Negotiate</w:t>
            </w:r>
          </w:p>
        </w:tc>
      </w:tr>
      <w:tr>
        <w:trPr>
          <w:cantSplit w:val="true"/>
        </w:trPr>
        <w:tc>
          <w:tcPr>
            <w:tcW w:type="dxa" w:w="648"/>
          </w:tcPr>
          <w:p>
            <w:pPr>
              <w:spacing w:after="0"/>
            </w:pPr>
            <w:r/>
            <w:r>
              <w:rPr>
                <w:b/>
                <w:sz w:val="15"/>
              </w:rPr>
              <w:t>D-59</w:t>
            </w:r>
          </w:p>
        </w:tc>
        <w:tc>
          <w:tcPr>
            <w:tcW w:type="dxa" w:w="2520"/>
          </w:tcPr>
          <w:p>
            <w:pPr>
              <w:spacing w:after="0"/>
            </w:pPr>
            <w:r/>
            <w:r>
              <w:rPr>
                <w:b/>
                <w:sz w:val="15"/>
              </w:rPr>
              <w:t>Recitals: Helix revenue omitted; Stellarion described as specializing in “predictive analytics and supply chain optimization”; recital that Helix’s counsel prepared the letter</w:t>
            </w:r>
            <w:r>
              <w:rPr>
                <w:i/>
                <w:sz w:val="14"/>
              </w:rPr>
              <w:br/>
              <w:t>TS §1 / EL §2</w:t>
            </w:r>
          </w:p>
        </w:tc>
        <w:tc>
          <w:tcPr>
            <w:tcW w:type="dxa" w:w="3384"/>
          </w:tcPr>
          <w:p>
            <w:pPr>
              <w:spacing w:after="0"/>
            </w:pPr>
            <w:r/>
            <w:r>
              <w:rPr>
                <w:b w:val="0"/>
                <w:sz w:val="15"/>
              </w:rPr>
              <w:t>Party descriptions.</w:t>
            </w:r>
          </w:p>
        </w:tc>
        <w:tc>
          <w:tcPr>
            <w:tcW w:type="dxa" w:w="3384"/>
          </w:tcPr>
          <w:p>
            <w:pPr>
              <w:spacing w:after="0"/>
            </w:pPr>
            <w:r/>
            <w:r>
              <w:rPr>
                <w:b w:val="0"/>
                <w:sz w:val="15"/>
              </w:rPr>
              <w:t>Stellarion “predictive analytics and supply chain”; drafter recital.</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Stellarion (useful)</w:t>
            </w:r>
          </w:p>
        </w:tc>
        <w:tc>
          <w:tcPr>
            <w:tcW w:type="dxa" w:w="1872"/>
          </w:tcPr>
          <w:p>
            <w:pPr>
              <w:spacing w:after="0"/>
            </w:pPr>
            <w:r/>
            <w:r>
              <w:rPr>
                <w:b/>
                <w:sz w:val="15"/>
              </w:rPr>
              <w:t>Accept</w:t>
            </w:r>
          </w:p>
        </w:tc>
      </w:tr>
      <w:tr>
        <w:trPr>
          <w:cantSplit w:val="true"/>
        </w:trPr>
        <w:tc>
          <w:tcPr>
            <w:tcW w:type="dxa" w:w="648"/>
          </w:tcPr>
          <w:p>
            <w:pPr>
              <w:spacing w:after="0"/>
            </w:pPr>
            <w:r/>
            <w:r>
              <w:rPr>
                <w:b/>
                <w:sz w:val="15"/>
              </w:rPr>
              <w:t>D-60</w:t>
            </w:r>
          </w:p>
        </w:tc>
        <w:tc>
          <w:tcPr>
            <w:tcW w:type="dxa" w:w="2520"/>
          </w:tcPr>
          <w:p>
            <w:pPr>
              <w:spacing w:after="0"/>
            </w:pPr>
            <w:r/>
            <w:r>
              <w:rPr>
                <w:b/>
                <w:sz w:val="15"/>
              </w:rPr>
              <w:t>Execution status and signature blocks: version received is unsigned; Helix signatory is its CEO (Jonathan Faircloth); Stellarion signs only under “Acknowledged and Agreed”</w:t>
            </w:r>
            <w:r>
              <w:rPr>
                <w:i/>
                <w:sz w:val="14"/>
              </w:rPr>
              <w:br/>
              <w:t>TS signature page / EL signature page</w:t>
            </w:r>
          </w:p>
        </w:tc>
        <w:tc>
          <w:tcPr>
            <w:tcW w:type="dxa" w:w="3384"/>
          </w:tcPr>
          <w:p>
            <w:pPr>
              <w:spacing w:after="0"/>
            </w:pPr>
            <w:r/>
            <w:r>
              <w:rPr>
                <w:b w:val="0"/>
                <w:sz w:val="15"/>
              </w:rPr>
              <w:t>Signed by CEO and SVP; GC acknowledgments.</w:t>
            </w:r>
          </w:p>
        </w:tc>
        <w:tc>
          <w:tcPr>
            <w:tcW w:type="dxa" w:w="3384"/>
          </w:tcPr>
          <w:p>
            <w:pPr>
              <w:spacing w:after="0"/>
            </w:pPr>
            <w:r/>
            <w:r>
              <w:rPr>
                <w:b w:val="0"/>
                <w:sz w:val="15"/>
              </w:rPr>
              <w:t>Unsigned; Stellarion only “Acknowledged and Agreed.”</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Neutral</w:t>
            </w:r>
          </w:p>
        </w:tc>
        <w:tc>
          <w:tcPr>
            <w:tcW w:type="dxa" w:w="1872"/>
          </w:tcPr>
          <w:p>
            <w:pPr>
              <w:spacing w:after="0"/>
            </w:pPr>
            <w:r/>
            <w:r>
              <w:rPr>
                <w:b/>
                <w:sz w:val="15"/>
              </w:rPr>
              <w:t>Flag for further discussion</w:t>
            </w:r>
          </w:p>
        </w:tc>
      </w:tr>
      <w:tr>
        <w:trPr>
          <w:cantSplit w:val="true"/>
        </w:trPr>
        <w:tc>
          <w:tcPr>
            <w:tcW w:type="dxa" w:w="648"/>
          </w:tcPr>
          <w:p>
            <w:pPr>
              <w:spacing w:after="0"/>
            </w:pPr>
            <w:r/>
            <w:r>
              <w:rPr>
                <w:b/>
                <w:sz w:val="15"/>
              </w:rPr>
              <w:t>D-61</w:t>
            </w:r>
          </w:p>
        </w:tc>
        <w:tc>
          <w:tcPr>
            <w:tcW w:type="dxa" w:w="2520"/>
          </w:tcPr>
          <w:p>
            <w:pPr>
              <w:spacing w:after="0"/>
            </w:pPr>
            <w:r/>
            <w:r>
              <w:rPr>
                <w:b/>
                <w:sz w:val="15"/>
              </w:rPr>
              <w:t>“Stellarion EdgeAI™” defined to include all updates, upgrades, patches and successive versions made available during the License Term</w:t>
            </w:r>
            <w:r>
              <w:rPr>
                <w:i/>
                <w:sz w:val="14"/>
              </w:rPr>
              <w:br/>
              <w:t>TS — / EL §3</w:t>
            </w:r>
          </w:p>
        </w:tc>
        <w:tc>
          <w:tcPr>
            <w:tcW w:type="dxa" w:w="3384"/>
          </w:tcPr>
          <w:p>
            <w:pPr>
              <w:spacing w:after="0"/>
            </w:pPr>
            <w:r/>
            <w:r>
              <w:rPr>
                <w:b w:val="0"/>
                <w:sz w:val="15"/>
              </w:rPr>
              <w:t>Not defined.</w:t>
            </w:r>
          </w:p>
        </w:tc>
        <w:tc>
          <w:tcPr>
            <w:tcW w:type="dxa" w:w="3384"/>
          </w:tcPr>
          <w:p>
            <w:pPr>
              <w:spacing w:after="0"/>
            </w:pPr>
            <w:r/>
            <w:r>
              <w:rPr>
                <w:b w:val="0"/>
                <w:sz w:val="15"/>
              </w:rPr>
              <w:t>EdgeAI includes all successive versions.</w:t>
            </w:r>
          </w:p>
        </w:tc>
        <w:tc>
          <w:tcPr>
            <w:tcW w:type="dxa" w:w="1224"/>
            <w:shd w:val="clear" w:color="auto" w:fill="E2EFDA"/>
          </w:tcPr>
          <w:p>
            <w:pPr>
              <w:spacing w:after="0"/>
            </w:pPr>
            <w:r/>
            <w:r>
              <w:rPr>
                <w:b/>
                <w:color w:val="000000"/>
                <w:sz w:val="15"/>
              </w:rPr>
              <w:t>Minor</w:t>
            </w:r>
          </w:p>
        </w:tc>
        <w:tc>
          <w:tcPr>
            <w:tcW w:type="dxa" w:w="1080"/>
          </w:tcPr>
          <w:p>
            <w:pPr>
              <w:spacing w:after="0"/>
            </w:pPr>
            <w:r/>
            <w:r>
              <w:rPr>
                <w:b w:val="0"/>
                <w:sz w:val="15"/>
              </w:rPr>
              <w:t>Helix</w:t>
            </w:r>
          </w:p>
        </w:tc>
        <w:tc>
          <w:tcPr>
            <w:tcW w:type="dxa" w:w="1872"/>
          </w:tcPr>
          <w:p>
            <w:pPr>
              <w:spacing w:after="0"/>
            </w:pPr>
            <w:r/>
            <w:r>
              <w:rPr>
                <w:b/>
                <w:sz w:val="15"/>
              </w:rPr>
              <w:t>Negotiate</w:t>
            </w:r>
          </w:p>
        </w:tc>
      </w:tr>
    </w:tbl>
    <w:p>
      <w:pPr>
        <w:sectPr>
          <w:headerReference w:type="default" r:id="rId11"/>
          <w:footerReference w:type="default" r:id="rId12"/>
          <w:pgSz w:w="15840" w:h="12240" w:orient="landscape"/>
          <w:pgMar w:top="1008" w:right="864" w:bottom="1008" w:left="864" w:header="720" w:footer="720" w:gutter="0"/>
          <w:cols w:space="720"/>
          <w:docGrid w:linePitch="360"/>
        </w:sectPr>
      </w:pPr>
    </w:p>
    <w:p>
      <w:pPr>
        <w:pStyle w:val="Heading1"/>
      </w:pPr>
      <w:r>
        <w:t>IV. Priority Issues Identified by the General Counsel</w:t>
      </w:r>
    </w:p>
    <w:p>
      <w:pPr>
        <w:pStyle w:val="Heading2"/>
      </w:pPr>
      <w:r>
        <w:t>IV.1  Field-of-Use Restriction (GC Priority 1): CONFIRMED DEVIATION — DEALBREAKER</w:t>
      </w:r>
    </w:p>
    <w:tbl>
      <w:tblPr>
        <w:tblStyle w:val="TableGrid"/>
        <w:tblW w:type="auto" w:w="0"/>
        <w:tblLayout w:type="fixed"/>
        <w:tblLook w:firstColumn="1" w:firstRow="1" w:lastColumn="0" w:lastRow="0" w:noHBand="0" w:noVBand="1" w:val="04A0"/>
      </w:tblPr>
      <w:tblGrid>
        <w:gridCol w:w="2304"/>
        <w:gridCol w:w="7056"/>
      </w:tblGrid>
      <w:tr>
        <w:tc>
          <w:tcPr>
            <w:tcW w:type="dxa" w:w="2304"/>
            <w:shd w:val="clear" w:color="auto" w:fill="D9E2F3"/>
          </w:tcPr>
          <w:p>
            <w:pPr>
              <w:spacing w:after="0"/>
            </w:pPr>
            <w:r/>
            <w:r>
              <w:rPr>
                <w:b/>
                <w:sz w:val="18"/>
              </w:rPr>
              <w:t>Term Sheet §2 (Field of Use)</w:t>
            </w:r>
          </w:p>
        </w:tc>
        <w:tc>
          <w:tcPr>
            <w:tcW w:type="dxa" w:w="7056"/>
          </w:tcPr>
          <w:p>
            <w:pPr>
              <w:spacing w:after="0"/>
            </w:pPr>
            <w:r/>
            <w:r>
              <w:rPr>
                <w:b w:val="0"/>
                <w:sz w:val="18"/>
              </w:rPr>
              <w:t>“The license shall be limited to data infrastructure and edge computing applications. The license expressly excludes supply chain optimization, which constitutes Stellarion’s core market. Helix shall not use, market, or deploy Stellarion EdgeAI™ in any product, service, or solution directed at supply chain optimization use cases.”</w:t>
            </w:r>
          </w:p>
        </w:tc>
      </w:tr>
      <w:tr>
        <w:tc>
          <w:tcPr>
            <w:tcW w:type="dxa" w:w="2304"/>
            <w:shd w:val="clear" w:color="auto" w:fill="D9E2F3"/>
          </w:tcPr>
          <w:p>
            <w:pPr>
              <w:spacing w:after="0"/>
            </w:pPr>
            <w:r/>
            <w:r>
              <w:rPr>
                <w:b/>
                <w:sz w:val="18"/>
              </w:rPr>
              <w:t>Engagement Letter §4.1</w:t>
            </w:r>
          </w:p>
        </w:tc>
        <w:tc>
          <w:tcPr>
            <w:tcW w:type="dxa" w:w="7056"/>
          </w:tcPr>
          <w:p>
            <w:pPr>
              <w:spacing w:after="0"/>
            </w:pPr>
            <w:r/>
            <w:r>
              <w:rPr>
                <w:b w:val="0"/>
                <w:sz w:val="18"/>
              </w:rPr>
              <w:t>“The license granted hereunder shall be limited to use in connection with data infrastructure, edge computing, and predictive analytics applications.”</w:t>
            </w:r>
          </w:p>
        </w:tc>
      </w:tr>
    </w:tbl>
    <w:p>
      <w:pPr>
        <w:spacing w:after="40"/>
      </w:pPr>
      <w:r>
        <w:rPr>
          <w:i w:val="0"/>
        </w:rPr>
      </w:r>
    </w:p>
    <w:p>
      <w:r>
        <w:rPr>
          <w:b/>
        </w:rPr>
        <w:t xml:space="preserve">Conclusion. </w:t>
      </w:r>
      <w:r>
        <w:rPr>
          <w:i w:val="0"/>
        </w:rPr>
        <w:t>The Engagement Letter expands the licensed field in exactly the way the GC was concerned about, through three separate changes in a single sentence. Each change independently moves Helix toward Stellarion’s core market; together they reverse the result Priya Ranganathan secured at the Term Sheet stage.</w:t>
      </w:r>
    </w:p>
    <w:p>
      <w:r>
        <w:rPr>
          <w:b/>
        </w:rPr>
        <w:t xml:space="preserve">Change 1: “predictive analytics” added to the field. </w:t>
      </w:r>
      <w:r>
        <w:rPr>
          <w:i w:val="0"/>
        </w:rPr>
        <w:t>This is not a neutral addition. Supply chain optimization is a predictive analytics application: Stellarion’s own business is described in the Term Sheet as “predictive analytics for supply chain optimization” (TS §1.1), and the Engagement Letter’s own recital describes Stellarion as “specializing in enterprise artificial intelligence platforms for predictive analytics and supply chain optimization” (EL §2). Licensing EdgeAI for “predictive analytics applications” therefore licenses it for the very category of applications that defines Stellarion’s market. The letter’s own recital is useful evidence in the negotiation: Helix cannot credibly argue that the addition is innocuous.</w:t>
      </w:r>
    </w:p>
    <w:p>
      <w:r>
        <w:rPr>
          <w:b/>
        </w:rPr>
        <w:t xml:space="preserve">Change 2: the express supply chain exclusion is deleted. </w:t>
      </w:r>
      <w:r>
        <w:rPr>
          <w:i w:val="0"/>
        </w:rPr>
        <w:t>Even without “predictive analytics,” the remaining field (“data infrastructure” and “edge computing”) is broad enough to reach supply chain deployments: edge inference in warehouses, distribution centers, fleet telematics and manufacturing IoT are all edge computing applications. The express exclusion is what kept those uses out. Without it, the general field language governs, and Helix would argue that a supply chain use is permitted so long as it runs on edge infrastructure. The reservation of rights in EL §4.3 does not help, because it reserves only rights not expressly granted.</w:t>
      </w:r>
    </w:p>
    <w:p>
      <w:r>
        <w:rPr>
          <w:b/>
        </w:rPr>
        <w:t xml:space="preserve">Change 3: the negative covenant is deleted, and the limiting language is softened. </w:t>
      </w:r>
      <w:r>
        <w:rPr>
          <w:i w:val="0"/>
        </w:rPr>
        <w:t>The Term Sheet did two things: it limited the scope of the license and it imposed an affirmative covenant that Helix “shall not use, market, or deploy” EdgeAI in any product, service or solution “directed at” supply chain optimization. The covenant matters because it reaches marketing and positioning conduct (not just technical use) and makes any such conduct a breach of contract in addition to use outside the license. The Engagement Letter drops the covenant entirely. It also changes “limited to … applications” to “limited to use in connection with … applications,” and “in connection with” is a looser connector that Helix could invoke for mixed-use deployments.</w:t>
      </w:r>
    </w:p>
    <w:p>
      <w:r>
        <w:rPr>
          <w:b/>
        </w:rPr>
        <w:t xml:space="preserve">Interaction with other deviations. </w:t>
      </w:r>
      <w:r>
        <w:rPr>
          <w:i w:val="0"/>
        </w:rPr>
        <w:t>Restoring the field sentence alone would not fully protect Stellarion, because several other Engagement Letter changes provide alternative routes into the supply chain market: (i) the licensed perimeter now includes “services” and all successor versions of Helix Edge Runtime (D-5); (ii) Joint IP from Project Meridian, a real-time anomaly detection module built on EdgeAI and directly useful in logistics and supply chain monitoring, may be licensed by Helix freely and carries no field restriction at all (D-24); (iii) the royalty-free Background IP cross-license has no field restriction (D-28); (iv) Helix may assign the whole arrangement to an acquirer, including a supply chain competitor, without consent (D-54); (v) the consequential damages waiver expressly bars lost profits, which would be Stellarion’s principal damages for a field breach (D-39); and (vi) exclusive arbitration with no injunctive relief carve-out weakens the remedy that matters most (D-53). Each of those items should be addressed in the same redline.</w:t>
      </w:r>
    </w:p>
    <w:p>
      <w:r>
        <w:rPr>
          <w:b/>
        </w:rPr>
        <w:t xml:space="preserve">Recommended action: REJECT (non-negotiable). </w:t>
      </w:r>
      <w:r>
        <w:rPr>
          <w:i w:val="0"/>
        </w:rPr>
        <w:t>Restore the Term Sheet field language verbatim, convert it into defined terms (“Licensed Field” and “Excluded Field”), restore the negative covenant, and extend the Excluded Field to the Joint IP, the Background IP performance license and any escrow release license. A definition of supply chain optimization with illustrative examples is proposed in Appendix A-1; because Helix may characterize a detailed definition as a broadening of the exclusion, the fallback is the Term Sheet text verbatim, which is itself adequate if the related items above are fixed. We recommend that the response to Hargrove, Tilden &amp; Strauss state plainly that the Term Sheet field-of-use provision was a negotiated, final point and that the Engagement Letter must reflect it without modification.</w:t>
      </w:r>
    </w:p>
    <w:p>
      <w:pPr>
        <w:pStyle w:val="Heading2"/>
      </w:pPr>
      <w:r>
        <w:t>IV.2  Sublicense Restriction on Joint IP — Project Meridian (GC Priority 2): CONFIRMED DEVIATION — DEALBREAKER</w:t>
      </w:r>
    </w:p>
    <w:tbl>
      <w:tblPr>
        <w:tblStyle w:val="TableGrid"/>
        <w:tblW w:type="auto" w:w="0"/>
        <w:tblLayout w:type="fixed"/>
        <w:tblLook w:firstColumn="1" w:firstRow="1" w:lastColumn="0" w:lastRow="0" w:noHBand="0" w:noVBand="1" w:val="04A0"/>
      </w:tblPr>
      <w:tblGrid>
        <w:gridCol w:w="2304"/>
        <w:gridCol w:w="7056"/>
      </w:tblGrid>
      <w:tr>
        <w:tc>
          <w:tcPr>
            <w:tcW w:type="dxa" w:w="2304"/>
            <w:shd w:val="clear" w:color="auto" w:fill="D9E2F3"/>
          </w:tcPr>
          <w:p>
            <w:pPr>
              <w:spacing w:after="0"/>
            </w:pPr>
            <w:r/>
            <w:r>
              <w:rPr>
                <w:b/>
                <w:sz w:val="18"/>
              </w:rPr>
              <w:t>Term Sheet §5.3</w:t>
            </w:r>
          </w:p>
        </w:tc>
        <w:tc>
          <w:tcPr>
            <w:tcW w:type="dxa" w:w="7056"/>
          </w:tcPr>
          <w:p>
            <w:pPr>
              <w:spacing w:after="0"/>
            </w:pPr>
            <w:r/>
            <w:r>
              <w:rPr>
                <w:b w:val="0"/>
                <w:sz w:val="18"/>
              </w:rPr>
              <w:t>“Each party shall have the right to exploit jointly-owned Co-Developed IP without the consent of or accounting to the other party, subject to the restriction set forth below. However, neither party may sublicense jointly-owned Co-Developed IP to any third party without the prior written consent of the other party. Such consent shall not be unreasonably withheld, conditioned, or delayed.”</w:t>
            </w:r>
          </w:p>
        </w:tc>
      </w:tr>
      <w:tr>
        <w:tc>
          <w:tcPr>
            <w:tcW w:type="dxa" w:w="2304"/>
            <w:shd w:val="clear" w:color="auto" w:fill="D9E2F3"/>
          </w:tcPr>
          <w:p>
            <w:pPr>
              <w:spacing w:after="0"/>
            </w:pPr>
            <w:r/>
            <w:r>
              <w:rPr>
                <w:b/>
                <w:sz w:val="18"/>
              </w:rPr>
              <w:t>Engagement Letter §6.3</w:t>
            </w:r>
          </w:p>
        </w:tc>
        <w:tc>
          <w:tcPr>
            <w:tcW w:type="dxa" w:w="7056"/>
          </w:tcPr>
          <w:p>
            <w:pPr>
              <w:spacing w:after="0"/>
            </w:pPr>
            <w:r/>
            <w:r>
              <w:rPr>
                <w:b w:val="0"/>
                <w:sz w:val="18"/>
              </w:rPr>
              <w:t>“All Joint IP shall be jointly owned by the Parties. Each Party shall have the right to exploit, use, license, and otherwise commercialize the Joint IP without the consent of, or any obligation to account to, the other Party.”</w:t>
            </w:r>
          </w:p>
        </w:tc>
      </w:tr>
    </w:tbl>
    <w:p>
      <w:pPr>
        <w:spacing w:after="40"/>
      </w:pPr>
      <w:r>
        <w:rPr>
          <w:i w:val="0"/>
        </w:rPr>
      </w:r>
    </w:p>
    <w:p>
      <w:r>
        <w:rPr>
          <w:b/>
        </w:rPr>
        <w:t xml:space="preserve">Conclusion. </w:t>
      </w:r>
      <w:r>
        <w:rPr>
          <w:i w:val="0"/>
        </w:rPr>
        <w:t>The sublicense consent requirement is not merely weakened; it is gone, and the Engagement Letter goes further by affirmatively granting each party the right to “license” Joint IP without consent. We cannot confirm that the requirement is reflected: it is not reflected in any form, and no substitute protection appears anywhere else in the letter.</w:t>
      </w:r>
    </w:p>
    <w:p>
      <w:r>
        <w:rPr>
          <w:b/>
        </w:rPr>
        <w:t xml:space="preserve">Why silence is not neutral. </w:t>
      </w:r>
      <w:r>
        <w:rPr>
          <w:i w:val="0"/>
        </w:rPr>
        <w:t>Absent a contractual restriction, U.S. default rules favor free licensing by each co-owner. Under 35 U.S.C. §262, each joint owner of a patent may make, use, sell and license the patented invention without the consent of, and without accounting to, the other owners. Co-owners of a copyright may each grant non-exclusive licenses without the others’ consent (subject to a duty to account for profits, which the Engagement Letter waives). The Term Sheet consent requirement was therefore the only thing standing between Helix and unrestricted third-party licensing of Meridian IP. Deleting it resets the position to the default that most favors Helix, and the express words “license” and “without … any obligation to account” remove any residual argument to the contrary.</w:t>
      </w:r>
    </w:p>
    <w:p>
      <w:r>
        <w:rPr>
          <w:b/>
        </w:rPr>
        <w:t xml:space="preserve">Practical effect. </w:t>
      </w:r>
      <w:r>
        <w:rPr>
          <w:i w:val="0"/>
        </w:rPr>
        <w:t>Helix has roughly 3,400 enterprise customers across multiple verticals and established channel relationships. Under the Engagement Letter Helix could license Project Meridian technology, an anomaly detection module built to integrate with EdgeAI, to any third party, including direct competitors of Stellarion in supply chain analytics, and Joint IP carries no field-of-use restriction (see IV.1). Stellarion would also bear 45% of the cost (D-21) of developing technology that Helix could then license to Stellarion’s competitors without consent or payment.</w:t>
      </w:r>
    </w:p>
    <w:p>
      <w:r>
        <w:rPr>
          <w:b/>
        </w:rPr>
        <w:t xml:space="preserve">The compromise is unwound. </w:t>
      </w:r>
      <w:r>
        <w:rPr>
          <w:i w:val="0"/>
        </w:rPr>
        <w:t>As the GC notes, Stellarion accepted joint ownership instead of its opening position of sole Stellarion ownership only because of this guardrail. Without it, joint ownership is close to the worst outcome for Stellarion: Helix gets an unrestricted, royalty-free right to exploit and license, while Stellarion shares the cost and loses control.</w:t>
      </w:r>
    </w:p>
    <w:p>
      <w:r>
        <w:rPr>
          <w:b/>
        </w:rPr>
        <w:t xml:space="preserve">Compounding changes. </w:t>
      </w:r>
      <w:r>
        <w:rPr>
          <w:i w:val="0"/>
        </w:rPr>
        <w:t>(i) “Joint IP” is narrowed to IP jointly created by both parties’ personnel (D-25), so Meridian work product developed by Helix alone may be Helix’s sole property with no restriction at all; (ii) the Background IP performance license (D-28) is silent on post-Meridian commercialization, and Helix may argue that its right to license Joint IP carries an implied right to the EdgeAI technology needed to practice it; (iii) the free M&amp;A assignment right (D-54) would let an acquirer of Helix take the Joint IP rights; (iv) the survival clause does not list §6.3 (D-46).</w:t>
      </w:r>
    </w:p>
    <w:p>
      <w:r>
        <w:rPr>
          <w:b/>
        </w:rPr>
        <w:t xml:space="preserve">Recommended action: REJECT (non-negotiable). </w:t>
      </w:r>
      <w:r>
        <w:rPr>
          <w:i w:val="0"/>
        </w:rPr>
        <w:t>Restore the Term Sheet consent requirement and make it robust. Proposed markup (Appendix A-2): (a) neither party may license, sublicense, grant a covenant not to sue or option under, or assign or transfer any undivided interest in, Joint IP to a third party without the other party’s prior written consent; (b) the “not unreasonably withheld” standard is retained (it is the Term Sheet bargain) but it is expressly reasonable to withhold consent where the proposed licensee competes with the consenting party or the license would permit use in the Excluded Field; (c) a carve-out permitting each party to grant end-user rights to its own customers as part of its own products (so that both parties can still commercialize Meridian); (d) any purported license in breach is void, and breach is excluded from the cap and consequential damages waiver with injunctive relief available; (e) restore the Term Sheet’s scope of Co-Developed IP, with improvements to each party’s Background IP vesting in that party; and (f) add §6.3 to the survival list. Note that the restriction is mutual (it also binds Stellarion), which is what the parties agreed and makes it easier to defend.</w:t>
      </w:r>
    </w:p>
    <w:p>
      <w:pPr>
        <w:pStyle w:val="Heading2"/>
      </w:pPr>
      <w:r>
        <w:t>IV.3  Most-Favored-Nation Clause (GC Priority 3): CONFIRMED OMISSION — FLAG FOR FURTHER DISCUSSION (RECOMMEND REINSTATEMENT)</w:t>
      </w:r>
    </w:p>
    <w:tbl>
      <w:tblPr>
        <w:tblStyle w:val="TableGrid"/>
        <w:tblW w:type="auto" w:w="0"/>
        <w:tblLayout w:type="fixed"/>
        <w:tblLook w:firstColumn="1" w:firstRow="1" w:lastColumn="0" w:lastRow="0" w:noHBand="0" w:noVBand="1" w:val="04A0"/>
      </w:tblPr>
      <w:tblGrid>
        <w:gridCol w:w="2304"/>
        <w:gridCol w:w="7056"/>
      </w:tblGrid>
      <w:tr>
        <w:tc>
          <w:tcPr>
            <w:tcW w:type="dxa" w:w="2304"/>
            <w:shd w:val="clear" w:color="auto" w:fill="D9E2F3"/>
          </w:tcPr>
          <w:p>
            <w:pPr>
              <w:spacing w:after="0"/>
            </w:pPr>
            <w:r/>
            <w:r>
              <w:rPr>
                <w:b/>
                <w:sz w:val="18"/>
              </w:rPr>
              <w:t>Term Sheet §9</w:t>
            </w:r>
          </w:p>
        </w:tc>
        <w:tc>
          <w:tcPr>
            <w:tcW w:type="dxa" w:w="7056"/>
          </w:tcPr>
          <w:p>
            <w:pPr>
              <w:spacing w:after="0"/>
            </w:pPr>
            <w:r/>
            <w:r>
              <w:rPr>
                <w:b w:val="0"/>
                <w:sz w:val="18"/>
              </w:rPr>
              <w:t>During the exclusivity period, if Stellarion licenses EdgeAI to a third party (other than those on the Restricted Competitor Schedule) on terms that are, “taken as a whole, more favorable” than Helix’s, Stellarion must promptly notify Helix and offer those terms; Helix has 30 days to elect; the parties negotiate in good faith to implement within 30 days of Helix’s request.</w:t>
            </w:r>
          </w:p>
        </w:tc>
      </w:tr>
      <w:tr>
        <w:tc>
          <w:tcPr>
            <w:tcW w:type="dxa" w:w="2304"/>
            <w:shd w:val="clear" w:color="auto" w:fill="D9E2F3"/>
          </w:tcPr>
          <w:p>
            <w:pPr>
              <w:spacing w:after="0"/>
            </w:pPr>
            <w:r/>
            <w:r>
              <w:rPr>
                <w:b/>
                <w:sz w:val="18"/>
              </w:rPr>
              <w:t>Engagement Letter</w:t>
            </w:r>
          </w:p>
        </w:tc>
        <w:tc>
          <w:tcPr>
            <w:tcW w:type="dxa" w:w="7056"/>
          </w:tcPr>
          <w:p>
            <w:pPr>
              <w:spacing w:after="0"/>
            </w:pPr>
            <w:r/>
            <w:r>
              <w:rPr>
                <w:b w:val="0"/>
                <w:sz w:val="18"/>
              </w:rPr>
              <w:t>No MFN provision anywhere. The supersession language (EL §1) and the integration clause (EL §16.3) would extinguish TS §9.</w:t>
            </w:r>
          </w:p>
        </w:tc>
      </w:tr>
    </w:tbl>
    <w:p>
      <w:pPr>
        <w:spacing w:after="40"/>
      </w:pPr>
      <w:r>
        <w:rPr>
          <w:i w:val="0"/>
        </w:rPr>
      </w:r>
    </w:p>
    <w:p>
      <w:r>
        <w:rPr>
          <w:b/>
        </w:rPr>
        <w:t xml:space="preserve">Conclusion. </w:t>
      </w:r>
      <w:r>
        <w:rPr>
          <w:i w:val="0"/>
        </w:rPr>
        <w:t>The MFN is missing entirely. There is no provision in the Engagement Letter that performs the same function in any form, and the supersession and integration clauses would eliminate the Term Sheet version.</w:t>
      </w:r>
    </w:p>
    <w:p>
      <w:r>
        <w:rPr>
          <w:b/>
        </w:rPr>
        <w:t xml:space="preserve">On its face, the omission benefits Stellarion. </w:t>
      </w:r>
      <w:r>
        <w:rPr>
          <w:i w:val="0"/>
        </w:rPr>
        <w:t>The MFN was a Helix-favorable concession. Without it, Stellarion would be free during the exclusivity window to license EdgeAI to non-restricted third parties on better terms without offering them to Helix.</w:t>
      </w:r>
    </w:p>
    <w:p>
      <w:r>
        <w:rPr>
          <w:b/>
        </w:rPr>
        <w:t xml:space="preserve">Why it should nonetheless be flagged. </w:t>
      </w:r>
      <w:r>
        <w:rPr>
          <w:i w:val="0"/>
        </w:rPr>
        <w:t>The MFN did not stand alone. It was part of the consideration package for Helix’s non-compete (18 months post-term, covering development or exploitation of any competing ML inference engine, standalone or embedded, alone or with third parties). The Engagement Letter drops the MFN and, at the same time, weakens each element of the non-compete: the tail is cut to 12 months (D-29), the operative verbs and third-party collaboration language are narrowed and a “standalone” carve-out is added (D-30), and the non-compete is left out of the survival clause (D-31). Read together, the pattern is consistent with a deliberate re-cut of the package: Helix gives up a benefit it may value less (the MFN) and takes back much of the restriction it gave in exchange. It is also consistent with a drafting oversight. We should not assume either; the point should be raised directly with Rachel Moynihan.</w:t>
      </w:r>
    </w:p>
    <w:p>
      <w:r>
        <w:rPr>
          <w:b/>
        </w:rPr>
        <w:t xml:space="preserve">Enforceability of the linked non-compete. </w:t>
      </w:r>
      <w:r>
        <w:rPr>
          <w:i w:val="0"/>
        </w:rPr>
        <w:t>Delaware law, which governs, will enforce restrictive covenants that are reasonable in scope and duration, protect a legitimate business interest and are supported by consideration, and Delaware courts are generally more receptive to such covenants between sophisticated commercial parties than in the employment context. Here the license itself is substantial consideration for the non-compete, so a pure failure-of-consideration challenge would be weak. The risk is subtler: once the integration clause wipes out the Term Sheet, the documented record of the bargain is the Engagement Letter alone. If the MFN is absent from every binding instrument, Helix could later argue that the non-compete was given in exchange for consideration that was never documented or delivered, and use that argument either defensively (to resist enforcement, or seek reformation or rescission of the restriction) or offensively in the Definitive Agreement negotiation (to reopen the non-compete). We regard the litigation risk as moderate rather than high, but it is avoidable at low cost.</w:t>
      </w:r>
    </w:p>
    <w:p>
      <w:r>
        <w:rPr>
          <w:b/>
        </w:rPr>
        <w:t xml:space="preserve">Options. </w:t>
      </w:r>
      <w:r>
        <w:rPr>
          <w:i w:val="0"/>
        </w:rPr>
        <w:t>(A) Reinstate the Term Sheet MFN in its narrow form, expressly linked as consideration to a restored 18-month non-compete. (B) Leave the MFN out but add an express acknowledgment that the non-compete is supported by adequate consideration (the license, exclusivity and other terms) and that no other consideration was promised. (C) Treat the omission as a Helix concession to be banked, offering nothing in return.</w:t>
      </w:r>
    </w:p>
    <w:p>
      <w:r>
        <w:rPr>
          <w:b/>
        </w:rPr>
        <w:t xml:space="preserve">Recommended action: FLAG FOR FURTHER DISCUSSION — we recommend Option A. </w:t>
      </w:r>
      <w:r>
        <w:rPr>
          <w:i w:val="0"/>
        </w:rPr>
        <w:t>The cost of the MFN to Stellarion is limited: it applies only during the exclusivity period (18 months under the Engagement Letter, 24 under the Term Sheet), only to licenses to parties not on the Restricted Competitor Schedule, and only on a “taken as a whole” basis. The value of a robust, clearly bargained-for non-compete is much higher. Reinstating the MFN also strengthens Stellarion’s overall negotiating posture: Stellarion is asking Helix to conform the letter to the Term Sheet on more than 40 points, and it is more persuasive to insist on the Term Sheet across the board, including a Helix-favorable term, than to keep the omissions that happen to favor Stellarion. If reinstated, the MFN should be tightened in drafting (Appendix A-3): Helix must accept all terms of the comparator license, not cherry-pick; exclusions for settlement and litigation licenses, licenses outside the Licensed Field, evaluation, academic and affiliate licenses and bundled transactions; summary-form disclosure consistent with Stellarion’s confidentiality obligations; prospective effect only. Option B is a reasonable fallback if Priya prefers not to reinstate the MFN, but it should be paired with full restoration of the non-compete. Option C is not recommended.</w:t>
      </w:r>
    </w:p>
    <w:p>
      <w:pPr>
        <w:pStyle w:val="Heading1"/>
      </w:pPr>
      <w:r>
        <w:t>V. Detailed Section-by-Section Analysis</w:t>
      </w:r>
    </w:p>
    <w:p>
      <w:r>
        <w:rPr>
          <w:i/>
        </w:rPr>
        <w:t>Each item states the Term Sheet position, the Engagement Letter position, the severity, the party favored, our analysis, and the recommended action and markup position. Items D-4, D-24 and D-34 are analyzed in full in Part IV and are summarized here only for completeness.</w:t>
      </w:r>
    </w:p>
    <w:p>
      <w:pPr>
        <w:pStyle w:val="Heading2"/>
      </w:pPr>
      <w:r>
        <w:t>A. Structure and Interim Status</w:t>
      </w:r>
    </w:p>
    <w:p>
      <w:pPr>
        <w:pStyle w:val="Heading3"/>
      </w:pPr>
      <w:r>
        <w:t>D-1  Supersession of the Term Sheet; integration clause; Engagement Letter becomes the baseline for the Definitive Agreement</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§§16, 17, 18 / EL §1, §14, §16.3</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TS §16: the binding engagement letter for the interim period “shall be consistent with the terms of this Term Sheet”; the Definitive Agreement “shall incorporate the terms set forth in this Term Sheet.” TS §17: §8 (Exclusivity), §14 (Confidentiality) and §15 (Governing Law/Dispute Resolution) are binding and “shall remain in effect regardless of whether the Definitive Agreement is executed.”</w:t>
      </w:r>
    </w:p>
    <w:p>
      <w:pPr>
        <w:spacing w:after="60"/>
      </w:pPr>
      <w:r>
        <w:rPr>
          <w:b/>
        </w:rPr>
        <w:t xml:space="preserve">Engagement Letter: </w:t>
      </w:r>
      <w:r>
        <w:rPr>
          <w:i w:val="0"/>
        </w:rPr>
        <w:t>EL §1: “supersedes the Term Sheet in its entirety”; EL controls in any conflict; undefined capitalized terms take Term Sheet meanings. EL §16.3: entire agreement superseding all prior agreements “including without limitation the Term Sheet.” EL §14: the Definitive Agreement “shall incorporate the terms set forth in this Engagement Letter.”</w:t>
      </w:r>
    </w:p>
    <w:p>
      <w:pPr>
        <w:spacing w:after="60"/>
      </w:pPr>
      <w:r>
        <w:rPr>
          <w:b/>
        </w:rPr>
        <w:t xml:space="preserve">Analysis: </w:t>
      </w:r>
      <w:r>
        <w:rPr>
          <w:i w:val="0"/>
        </w:rPr>
        <w:t>This is the mechanism that makes every other deviation in this report operative. Once countersigned, the Engagement Letter (i) extinguishes the Term Sheet, including the three provisions that are binding today (TS §§8, 14 and 15); (ii) replaces the Term Sheet as the reference document for the Definitive Agreement (EL §14 now says the Definitive Agreement will incorporate the terms of the Engagement Letter, not the Term Sheet); and (iii) through the integration clause in EL §16.3, eliminates any argument that the Term Sheet bargain (the field-of-use compromise, the Joint IP sublicensing guardrail, the MFN/non-compete package) informs interpretation.</w:t>
      </w:r>
    </w:p>
    <w:p>
      <w:pPr>
        <w:spacing w:after="60"/>
      </w:pPr>
      <w:r>
        <w:rPr>
          <w:i w:val="0"/>
        </w:rPr>
        <w:t>Practical consequence: if Stellarion signs this letter as drafted, Helix will open the Definitive Agreement negotiation from the Engagement Letter positions (broader field, free Joint IP licensing, lower minimum royalty, uncapped indemnity, and so on), and Stellarion would have to re-trade terms it already won in February.</w:t>
      </w:r>
    </w:p>
    <w:p>
      <w:pPr>
        <w:spacing w:after="60"/>
      </w:pPr>
      <w:r>
        <w:rPr>
          <w:i w:val="0"/>
        </w:rPr>
        <w:t>Collateral effects: (a) the binding Term Sheet confidentiality covenant (TS §14) covers all information exchanged “in connection with the transactions contemplated” since discussions began in Q4 2024; the Engagement Letter covenant covers information “received in connection with this Agreement” (EL §10.1), leaving a gap for pre-letter disclosures once TS §14 is superseded; (b) importing Term Sheet definitions is internally inconsistent with superseding the Term Sheet “in its entirety” and with the Engagement Letter’s own, different definitions (e.g., “Effective Date”).</w:t>
      </w:r>
    </w:p>
    <w:p>
      <w:pPr>
        <w:spacing w:after="60"/>
      </w:pPr>
      <w:r>
        <w:rPr>
          <w:i w:val="0"/>
        </w:rPr>
        <w:t>Leverage note: the Term Sheet’s “consistent with” covenant (TS §16) is not one of the listed Binding Provisions, so Stellarion’s leverage is primarily commercial rather than a breach claim. The cleanest leverage is that Stellarion has not signed: the version we received is unsigned by either party (see D-60), and nothing in it binds Stellarion until countersignature.</w:t>
      </w:r>
    </w:p>
    <w:p>
      <w:r>
        <w:rPr>
          <w:b/>
        </w:rPr>
        <w:t xml:space="preserve">Recommended action / position: </w:t>
      </w:r>
      <w:r>
        <w:rPr>
          <w:i w:val="0"/>
        </w:rPr>
        <w:t>Replace the supersession language with a statement that the Engagement Letter implements the Term Sheet for the interim period; provide that the Term Sheet Binding Provisions remain in effect except to the extent expressly restated; provide that the Definitive Agreement “shall incorporate the terms set forth in the Term Sheet, as supplemented by this Engagement Letter”; and expressly extend the confidentiality covenant to all information disclosed since the start of discussions in Q4 2024.</w:t>
      </w:r>
    </w:p>
    <w:p>
      <w:pPr>
        <w:pStyle w:val="Heading3"/>
      </w:pPr>
      <w:r>
        <w:t>D-2  Present, binding license grant effective on signing of the Engagement Letter; “Effective Date” moved from Definitive Agreement execution to Engagement Letter countersignature</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§2, §3.1, §4.1 / EL §3 (“Effective Date”), §4.1, §4.2, §5.1</w:t>
            </w:r>
          </w:p>
        </w:tc>
        <w:tc>
          <w:tcPr>
            <w:tcW w:type="dxa" w:w="1872"/>
            <w:shd w:val="clear" w:color="auto" w:fill="C00000"/>
          </w:tcPr>
          <w:p>
            <w:pPr>
              <w:spacing w:after="0"/>
            </w:pPr>
            <w:r>
              <w:rPr>
                <w:color w:val="FFFFFF"/>
              </w:rPr>
            </w:r>
            <w:r>
              <w:rPr>
                <w:b/>
                <w:color w:val="FFFFFF"/>
                <w:sz w:val="16"/>
              </w:rPr>
              <w:t xml:space="preserve">Severity: </w:t>
            </w:r>
            <w:r>
              <w:rPr>
                <w:color w:val="FFFFFF"/>
                <w:sz w:val="16"/>
              </w:rPr>
              <w:t>Dealbreaker</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TS §2: Stellarion “proposes to grant” the license “[s]ubject to the terms and conditions of the Definitive Agreement.” TS §3.1: the Effective Date “shall be defined as the date of execution of the Definitive Agreement.” Upfront fee payable on execution of the Definitive Agreement (TS §4.1).</w:t>
      </w:r>
    </w:p>
    <w:p>
      <w:pPr>
        <w:spacing w:after="60"/>
      </w:pPr>
      <w:r>
        <w:rPr>
          <w:b/>
        </w:rPr>
        <w:t xml:space="preserve">Engagement Letter: </w:t>
      </w:r>
      <w:r>
        <w:rPr>
          <w:i w:val="0"/>
        </w:rPr>
        <w:t>EL §4.1: Stellarion “hereby grants” the license now. EL §3: “Effective Date” is the date of last countersignature of the Engagement Letter. The upfront fee is still payable only after execution of the Definitive Agreement (EL §5.1). License Term, Project Meridian period, Exclusivity Period and escrow deposit deadline all run from the Engagement Letter Effective Date.</w:t>
      </w:r>
    </w:p>
    <w:p>
      <w:pPr>
        <w:spacing w:after="60"/>
      </w:pPr>
      <w:r>
        <w:rPr>
          <w:b/>
        </w:rPr>
        <w:t xml:space="preserve">Analysis: </w:t>
      </w:r>
      <w:r>
        <w:rPr>
          <w:i w:val="0"/>
        </w:rPr>
        <w:t>The Term Sheet contemplated that the interim engagement letter would govern the parties’ obligations pending the Definitive Agreement, not that it would itself convey the license. As drafted, Helix receives an immediate, binding, worldwide license to Stellarion’s crown-jewel technology on countersignature, while the $12.5 million upfront fee is not payable until a Definitive Agreement that may never be signed. Combined with the open-ended interim term in EL §14 (D-3), Helix could hold a live license indefinitely without paying any upfront consideration, paying only running royalties and, from Year 2, a reduced minimum royalty.</w:t>
      </w:r>
    </w:p>
    <w:p>
      <w:pPr>
        <w:spacing w:after="60"/>
      </w:pPr>
      <w:r>
        <w:rPr>
          <w:i w:val="0"/>
        </w:rPr>
        <w:t>Moving the Effective Date to the Engagement Letter date also shifts every clock in the deal: the five-year Initial Term, the 24-month Project Meridian window, the Exclusivity Period and the 30-day escrow deposit deadline (EL §12) all start before any money changes hands, and a source code deposit is triggered before Stellarion has been paid (D-47).</w:t>
      </w:r>
    </w:p>
    <w:p>
      <w:pPr>
        <w:spacing w:after="60"/>
      </w:pPr>
      <w:r>
        <w:rPr>
          <w:i w:val="0"/>
        </w:rPr>
        <w:t>This structural change is not one of the three items the GC flagged but, in our view, belongs in the dealbreaker category because it converts an interim letter into the operative license on Helix-favorable terms.</w:t>
      </w:r>
    </w:p>
    <w:p>
      <w:r>
        <w:rPr>
          <w:b/>
        </w:rPr>
        <w:t xml:space="preserve">Recommended action / position: </w:t>
      </w:r>
      <w:r>
        <w:rPr>
          <w:i w:val="0"/>
        </w:rPr>
        <w:t>Reject. The Engagement Letter should contain no present license grant. Either (a) delete the grant in EL §4.1 and state that the license “shall be granted under, and effective upon execution of, the Definitive Agreement, and conditioned upon Stellarion’s receipt of the first installment of the Upfront License Fee”; or (b) if Helix needs pre-closing integration access, grant a narrow evaluation license (object code, internal non-production use only, within the Licensed Field, terminable on notice). Restore “Effective Date” to mean the date of execution of the Definitive Agreement (TS §3.1).</w:t>
      </w:r>
    </w:p>
    <w:p>
      <w:pPr>
        <w:pStyle w:val="Heading3"/>
      </w:pPr>
      <w:r>
        <w:t>D-3  Target date for the Definitive Agreement moved to May 30, 2025; Engagement Letter continues indefinitely if no Definitive Agreement is signed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§16 / EL §14</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Negotiate in good faith to execute the Definitive Agreement on or before May 15, 2025 (the Target Closing Date).</w:t>
      </w:r>
    </w:p>
    <w:p>
      <w:pPr>
        <w:spacing w:after="60"/>
      </w:pPr>
      <w:r>
        <w:rPr>
          <w:b/>
        </w:rPr>
        <w:t xml:space="preserve">Engagement Letter: </w:t>
      </w:r>
      <w:r>
        <w:rPr>
          <w:i w:val="0"/>
        </w:rPr>
        <w:t>Good faith and commercially reasonable efforts to execute by May 30, 2025; if not executed by then, the Engagement Letter “shall continue in full force and effect until terminated by either Party upon sixty (60) days’ prior written notice.”</w:t>
      </w:r>
    </w:p>
    <w:p>
      <w:pPr>
        <w:spacing w:after="60"/>
      </w:pPr>
      <w:r>
        <w:rPr>
          <w:b/>
        </w:rPr>
        <w:t xml:space="preserve">Analysis: </w:t>
      </w:r>
      <w:r>
        <w:rPr>
          <w:i w:val="0"/>
        </w:rPr>
        <w:t>The 15-day slip is modest in itself, and the added “commercially reasonable efforts” standard is a slight improvement over good faith alone. The real issue is the evergreen tail: because the Engagement Letter grants a present license (D-2) at reduced economics, an indefinite interim period lets Helix operate under Engagement Letter terms without ever closing, which gives Helix an incentive to slow-walk the Definitive Agreement.</w:t>
      </w:r>
    </w:p>
    <w:p>
      <w:pPr>
        <w:spacing w:after="60"/>
      </w:pPr>
      <w:r>
        <w:rPr>
          <w:i w:val="0"/>
        </w:rPr>
        <w:t>The 60-day termination right is mutual and gives Stellarion an exit, and termination ends the license (EL §11.3). That right is worth keeping, but the default should be automatic expiry, not continuation.</w:t>
      </w:r>
    </w:p>
    <w:p>
      <w:r>
        <w:rPr>
          <w:b/>
        </w:rPr>
        <w:t xml:space="preserve">Recommended action / position: </w:t>
      </w:r>
      <w:r>
        <w:rPr>
          <w:i w:val="0"/>
        </w:rPr>
        <w:t>Restore May 15, 2025 as the Target Closing Date; add an outside date (e.g., June 30, 2025) on which the Engagement Letter automatically expires unless extended in writing, with confidentiality, exclusivity and dispute resolution surviving; keep Stellarion’s right to terminate on notice at any time after the outside date.</w:t>
      </w:r>
    </w:p>
    <w:p>
      <w:pPr>
        <w:pStyle w:val="Heading2"/>
      </w:pPr>
      <w:r>
        <w:t>B. License Grant, Field of Use and Term</w:t>
      </w:r>
    </w:p>
    <w:p>
      <w:pPr>
        <w:pStyle w:val="Heading3"/>
      </w:pPr>
      <w:r>
        <w:t>D-4  FIELD OF USE: “predictive analytics” added; supply chain optimization exclusion and Helix covenant not to use, market or deploy in supply chain deleted [GC PRIORITY 1]</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§2 (Field of Use) / EL §4.1</w:t>
            </w:r>
          </w:p>
        </w:tc>
        <w:tc>
          <w:tcPr>
            <w:tcW w:type="dxa" w:w="1872"/>
            <w:shd w:val="clear" w:color="auto" w:fill="C00000"/>
          </w:tcPr>
          <w:p>
            <w:pPr>
              <w:spacing w:after="0"/>
            </w:pPr>
            <w:r>
              <w:rPr>
                <w:color w:val="FFFFFF"/>
              </w:rPr>
            </w:r>
            <w:r>
              <w:rPr>
                <w:b/>
                <w:color w:val="FFFFFF"/>
                <w:sz w:val="16"/>
              </w:rPr>
              <w:t xml:space="preserve">Severity: </w:t>
            </w:r>
            <w:r>
              <w:rPr>
                <w:color w:val="FFFFFF"/>
                <w:sz w:val="16"/>
              </w:rPr>
              <w:t>Dealbreaker</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“The license shall be limited to data infrastructure and edge computing applications. The license expressly excludes supply chain optimization, which constitutes Stellarion’s core market. Helix shall not use, market, or deploy Stellarion EdgeAI™ in any product, service, or solution directed at supply chain optimization use cases.”</w:t>
      </w:r>
    </w:p>
    <w:p>
      <w:pPr>
        <w:spacing w:after="60"/>
      </w:pPr>
      <w:r>
        <w:rPr>
          <w:b/>
        </w:rPr>
        <w:t xml:space="preserve">Engagement Letter: </w:t>
      </w:r>
      <w:r>
        <w:rPr>
          <w:i w:val="0"/>
        </w:rPr>
        <w:t>“The license granted hereunder shall be limited to use in connection with data infrastructure, edge computing, and predictive analytics applications.” No supply chain exclusion; no negative covenant.</w:t>
      </w:r>
    </w:p>
    <w:p>
      <w:pPr>
        <w:spacing w:after="60"/>
      </w:pPr>
      <w:r>
        <w:rPr>
          <w:b/>
        </w:rPr>
        <w:t xml:space="preserve">Analysis: </w:t>
      </w:r>
      <w:r>
        <w:rPr>
          <w:i w:val="0"/>
        </w:rPr>
        <w:t>See Part IV.1 for the full analysis.</w:t>
      </w:r>
    </w:p>
    <w:p>
      <w:r>
        <w:rPr>
          <w:b/>
        </w:rPr>
        <w:t xml:space="preserve">Recommended action / position: </w:t>
      </w:r>
      <w:r>
        <w:rPr>
          <w:i w:val="0"/>
        </w:rPr>
        <w:t>Reject and restore the Term Sheet language verbatim, with defined terms (Part IV.1; Appendix A-1).</w:t>
      </w:r>
    </w:p>
    <w:p>
      <w:pPr>
        <w:pStyle w:val="Heading3"/>
      </w:pPr>
      <w:r>
        <w:t>D-5  Licensed products expanded to “products and services”; “Helix Edge Runtime” defined to include all updates, upgrades and successive versions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§2 (Grant) / EL §3, §4.1</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Integration “solely into Helix Edge Runtime products and related documentation.” Helix Edge Runtime not defined.</w:t>
      </w:r>
    </w:p>
    <w:p>
      <w:pPr>
        <w:spacing w:after="60"/>
      </w:pPr>
      <w:r>
        <w:rPr>
          <w:b/>
        </w:rPr>
        <w:t xml:space="preserve">Engagement Letter: </w:t>
      </w:r>
      <w:r>
        <w:rPr>
          <w:i w:val="0"/>
        </w:rPr>
        <w:t>“[S]olely for integration into Helix Edge Runtime products and services”; “Helix Edge Runtime” includes “all updates, upgrades, and successive versions thereof.”</w:t>
      </w:r>
    </w:p>
    <w:p>
      <w:pPr>
        <w:spacing w:after="60"/>
      </w:pPr>
      <w:r>
        <w:rPr>
          <w:b/>
        </w:rPr>
        <w:t xml:space="preserve">Analysis: </w:t>
      </w:r>
      <w:r>
        <w:rPr>
          <w:i w:val="0"/>
        </w:rPr>
        <w:t>Adding “services” extends the license from distributed product to hosted, managed and professional-services offerings (e.g., Helix-operated analytics delivered to customers), which are harder to monitor, harder to audit for royalties and easier to direct at supply chain customers. The open-ended “successive versions” definition invites Helix to argue that a re-platformed or rebranded product family, potentially including analytics products far from the edge runtime, is still “Helix Edge Runtime.”</w:t>
      </w:r>
    </w:p>
    <w:p>
      <w:pPr>
        <w:spacing w:after="60"/>
      </w:pPr>
      <w:r>
        <w:rPr>
          <w:i w:val="0"/>
        </w:rPr>
        <w:t>This compounds the field-of-use expansion: the broader the product perimeter, the more weight the field restriction must bear.</w:t>
      </w:r>
    </w:p>
    <w:p>
      <w:r>
        <w:rPr>
          <w:b/>
        </w:rPr>
        <w:t xml:space="preserve">Recommended action / position: </w:t>
      </w:r>
      <w:r>
        <w:rPr>
          <w:i w:val="0"/>
        </w:rPr>
        <w:t>Revert to “Helix Edge Runtime products and related documentation.” If Helix needs a services right, limit it to hosted delivery of Helix Edge Runtime itself, within the Licensed Field, with royalties on all associated revenue. Define Helix Edge Runtime by a product description schedule; successor versions qualify only if they remain an edge compute platform of substantially the same function; merging Helix Edge Runtime into other Helix products does not expand the license.</w:t>
      </w:r>
    </w:p>
    <w:p>
      <w:pPr>
        <w:pStyle w:val="Heading3"/>
      </w:pPr>
      <w:r>
        <w:t>D-6  Sublicensing of the licensed technology: consent mechanism replaced with “except as expressly set forth in this Agreement”; Affiliate use unaddressed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§2 (Sublicensing) / EL §4.1, §3 (“Gross Revenue”)</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Neutral / ambiguous</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“Helix may not sublicense the licensed technology to any third party without the prior written consent of Stellarion.”</w:t>
      </w:r>
    </w:p>
    <w:p>
      <w:pPr>
        <w:spacing w:after="60"/>
      </w:pPr>
      <w:r>
        <w:rPr>
          <w:b/>
        </w:rPr>
        <w:t xml:space="preserve">Engagement Letter: </w:t>
      </w:r>
      <w:r>
        <w:rPr>
          <w:i w:val="0"/>
        </w:rPr>
        <w:t>“Helix shall have no right to sublicense the rights granted hereunder except as expressly set forth in this Agreement.”</w:t>
      </w:r>
    </w:p>
    <w:p>
      <w:pPr>
        <w:spacing w:after="60"/>
      </w:pPr>
      <w:r>
        <w:rPr>
          <w:b/>
        </w:rPr>
        <w:t xml:space="preserve">Analysis: </w:t>
      </w:r>
      <w:r>
        <w:rPr>
          <w:i w:val="0"/>
        </w:rPr>
        <w:t>On its face the Engagement Letter is not less restrictive: nothing in it expressly permits sublicensing, and the escrow license in EL §12 expressly prohibits it. However, (i) “except as expressly set forth” is a hook Helix will try to fill in the Definitive Agreement (Affiliates, OEMs, channel partners, contractors); (ii) the royalty base counts revenue of Helix’s “Affiliates” (EL §3), implying Affiliate exploitation, although the license runs only to Helix; and (iii) the free M&amp;A assignment right (EL §16.2; D-54) operates as a de facto transfer of the license without consent.</w:t>
      </w:r>
    </w:p>
    <w:p>
      <w:pPr>
        <w:spacing w:after="60"/>
      </w:pPr>
      <w:r>
        <w:rPr>
          <w:i w:val="0"/>
        </w:rPr>
        <w:t>Neither document addresses end-customer terms. The Definitive Agreement should require Helix to distribute EdgeAI only in object code, embedded in Helix Edge Runtime, under end-user terms at least as protective as a Stellarion-approved minimum (no reverse engineering, field restriction, no further sublicensing).</w:t>
      </w:r>
    </w:p>
    <w:p>
      <w:r>
        <w:rPr>
          <w:b/>
        </w:rPr>
        <w:t xml:space="preserve">Recommended action / position: </w:t>
      </w:r>
      <w:r>
        <w:rPr>
          <w:i w:val="0"/>
        </w:rPr>
        <w:t>Restore the Term Sheet formulation (“Helix may not sublicense … without the prior written consent of Stellarion”); Affiliates may exercise rights only with Stellarion’s consent, with Helix liable for their compliance; add minimum end-user license terms.</w:t>
      </w:r>
    </w:p>
    <w:p>
      <w:pPr>
        <w:pStyle w:val="Heading3"/>
      </w:pPr>
      <w:r>
        <w:t>D-7  License limited to object code; source code access only through escrow</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§2 / EL §4.1</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Stellarion</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Silent on code form.</w:t>
      </w:r>
    </w:p>
    <w:p>
      <w:pPr>
        <w:spacing w:after="60"/>
      </w:pPr>
      <w:r>
        <w:rPr>
          <w:b/>
        </w:rPr>
        <w:t xml:space="preserve">Engagement Letter: </w:t>
      </w:r>
      <w:r>
        <w:rPr>
          <w:i w:val="0"/>
        </w:rPr>
        <w:t>Distribution “in object code form”; no source code access except under the escrow release conditions (EL §12).</w:t>
      </w:r>
    </w:p>
    <w:p>
      <w:pPr>
        <w:spacing w:after="60"/>
      </w:pPr>
      <w:r>
        <w:rPr>
          <w:b/>
        </w:rPr>
        <w:t xml:space="preserve">Analysis: </w:t>
      </w:r>
      <w:r>
        <w:rPr>
          <w:i w:val="0"/>
        </w:rPr>
        <w:t>Stellarion-favorable clarification consistent with the intent of the Term Sheet.</w:t>
      </w:r>
    </w:p>
    <w:p>
      <w:r>
        <w:rPr>
          <w:b/>
        </w:rPr>
        <w:t xml:space="preserve">Recommended action / position: </w:t>
      </w:r>
      <w:r>
        <w:rPr>
          <w:i w:val="0"/>
        </w:rPr>
        <w:t>Accept.</w:t>
      </w:r>
    </w:p>
    <w:p>
      <w:pPr>
        <w:pStyle w:val="Heading3"/>
      </w:pPr>
      <w:r>
        <w:t>D-8  New reservation of rights clause</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 / EL §4.3</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Stellarion</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No express reservation of rights (TS §6.1 confirms Stellarion retains ownership).</w:t>
      </w:r>
    </w:p>
    <w:p>
      <w:pPr>
        <w:spacing w:after="60"/>
      </w:pPr>
      <w:r>
        <w:rPr>
          <w:b/>
        </w:rPr>
        <w:t xml:space="preserve">Engagement Letter: </w:t>
      </w:r>
      <w:r>
        <w:rPr>
          <w:i w:val="0"/>
        </w:rPr>
        <w:t>All rights not expressly granted are reserved; Stellarion may exploit EdgeAI “in any manner and for any purpose not inconsistent with the express terms of this Agreement.”</w:t>
      </w:r>
    </w:p>
    <w:p>
      <w:pPr>
        <w:spacing w:after="60"/>
      </w:pPr>
      <w:r>
        <w:rPr>
          <w:b/>
        </w:rPr>
        <w:t xml:space="preserve">Analysis: </w:t>
      </w:r>
      <w:r>
        <w:rPr>
          <w:i w:val="0"/>
        </w:rPr>
        <w:t>Stellarion-favorable. A reservation of rights does not cure the field-of-use problem in D-4: predictive analytics is expressly granted, so it is not a reserved right.</w:t>
      </w:r>
    </w:p>
    <w:p>
      <w:r>
        <w:rPr>
          <w:b/>
        </w:rPr>
        <w:t xml:space="preserve">Recommended action / position: </w:t>
      </w:r>
      <w:r>
        <w:rPr>
          <w:i w:val="0"/>
        </w:rPr>
        <w:t>Accept.</w:t>
      </w:r>
    </w:p>
    <w:p>
      <w:pPr>
        <w:pStyle w:val="Heading3"/>
      </w:pPr>
      <w:r>
        <w:t>D-9  Renewal: two 3-year renewal terms (maximum 11 years) instead of two 2-year terms (maximum 9 years); non-renewal notice cut from 180 to 120 days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§3.2 / EL §4.2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Two successive 2-year renewals; maximum total term 9 years; non-renewal notice at least 180 days before expiry.</w:t>
      </w:r>
    </w:p>
    <w:p>
      <w:pPr>
        <w:spacing w:after="60"/>
      </w:pPr>
      <w:r>
        <w:rPr>
          <w:b/>
        </w:rPr>
        <w:t xml:space="preserve">Engagement Letter: </w:t>
      </w:r>
      <w:r>
        <w:rPr>
          <w:i w:val="0"/>
        </w:rPr>
        <w:t>Two successive 3-year renewals (maximum 11 years); non-renewal notice at least 120 days before expiry.</w:t>
      </w:r>
    </w:p>
    <w:p>
      <w:pPr>
        <w:spacing w:after="60"/>
      </w:pPr>
      <w:r>
        <w:rPr>
          <w:b/>
        </w:rPr>
        <w:t xml:space="preserve">Analysis: </w:t>
      </w:r>
      <w:r>
        <w:rPr>
          <w:i w:val="0"/>
        </w:rPr>
        <w:t>The renewal structure adds two years of potential license term to Stellarion’s flagship technology at economics fixed in 2025, and lengthens each lock-in increment from two to three years. Non-renewal is mutual, but the longer increments reduce Stellarion’s ability to reprice or exit, and the 120-day window gives Stellarion less time to plan a transition once Helix’s intentions are known.</w:t>
      </w:r>
    </w:p>
    <w:p>
      <w:pPr>
        <w:spacing w:after="60"/>
      </w:pPr>
      <w:r>
        <w:rPr>
          <w:i w:val="0"/>
        </w:rPr>
        <w:t>Offsetting point: the non-compete runs during the License Term, so a longer term extends Helix’s restriction. With the shorter post-term tail (D-29) and lower minimum royalty (D-15), however, the longer term is not a good trade for Stellarion.</w:t>
      </w:r>
    </w:p>
    <w:p>
      <w:r>
        <w:rPr>
          <w:b/>
        </w:rPr>
        <w:t xml:space="preserve">Recommended action / position: </w:t>
      </w:r>
      <w:r>
        <w:rPr>
          <w:i w:val="0"/>
        </w:rPr>
        <w:t>Restore two successive two-year renewal periods (maximum nine years) and the 180-day non-renewal notice.</w:t>
      </w:r>
    </w:p>
    <w:p>
      <w:pPr>
        <w:pStyle w:val="Heading2"/>
      </w:pPr>
      <w:r>
        <w:t>C. Financial Terms</w:t>
      </w:r>
    </w:p>
    <w:p>
      <w:pPr>
        <w:pStyle w:val="Heading3"/>
      </w:pPr>
      <w:r>
        <w:t>D-10  Upfront fee installments restructured from $7.5M / $5.0M to two equal $6.25M installments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§4.1 / EL §5.1</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$12,500,000 total: $7,500,000 due upon execution of the Definitive Agreement; $5,000,000 due on the six-month anniversary.</w:t>
      </w:r>
    </w:p>
    <w:p>
      <w:pPr>
        <w:spacing w:after="60"/>
      </w:pPr>
      <w:r>
        <w:rPr>
          <w:b/>
        </w:rPr>
        <w:t xml:space="preserve">Engagement Letter: </w:t>
      </w:r>
      <w:r>
        <w:rPr>
          <w:i w:val="0"/>
        </w:rPr>
        <w:t>$12,500,000 total: $6,250,000 within 10 business days following execution of the Definitive Agreement; $6,250,000 on the six-month anniversary.</w:t>
      </w:r>
    </w:p>
    <w:p>
      <w:pPr>
        <w:spacing w:after="60"/>
      </w:pPr>
      <w:r>
        <w:rPr>
          <w:b/>
        </w:rPr>
        <w:t xml:space="preserve">Analysis: </w:t>
      </w:r>
      <w:r>
        <w:rPr>
          <w:i w:val="0"/>
        </w:rPr>
        <w:t>The headline number is unchanged, which makes this easy to miss on a skim. But $1,250,000 moves from the signing installment to the six-month installment, increasing Stellarion’s credit exposure to Helix on the deferred tranche from $5.0 million to $6.25 million (25% more) and deferring cash Stellarion expected at closing. Illustratively, at an 8% annual cost of capital the time-value cost of the shift alone is about $48,000, before credit risk and the extra 10-business-day delay on the first installment (D-11).</w:t>
      </w:r>
    </w:p>
    <w:p>
      <w:pPr>
        <w:spacing w:after="60"/>
      </w:pPr>
      <w:r>
        <w:rPr>
          <w:i w:val="0"/>
        </w:rPr>
        <w:t>Stellarion’s protection on the deferred tranche is also weak: no acceleration on Helix termination, assignment or change of control, and no late-payment interest outside the audit context (D-19).</w:t>
      </w:r>
    </w:p>
    <w:p>
      <w:r>
        <w:rPr>
          <w:b/>
        </w:rPr>
        <w:t xml:space="preserve">Recommended action / position: </w:t>
      </w:r>
      <w:r>
        <w:rPr>
          <w:i w:val="0"/>
        </w:rPr>
        <w:t>Restore $7,500,000 on execution and $5,000,000 at six months. Add acceleration of the second installment on any termination by Helix (other than for Stellarion’s uncured breach), any termination by Stellarion for Helix breach or insolvency, and any assignment by Helix under the M&amp;A exception.</w:t>
      </w:r>
    </w:p>
    <w:p>
      <w:pPr>
        <w:pStyle w:val="Heading3"/>
      </w:pPr>
      <w:r>
        <w:t>D-11  First installment payable “within ten (10) business days following” execution rather than “upon execution”; wire instruction deadline added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§4.1(a) / EL §5.1(a) and final paragraph</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First installment due upon execution of the Definitive Agreement; payment by wire to an account designated by Stellarion in writing.</w:t>
      </w:r>
    </w:p>
    <w:p>
      <w:pPr>
        <w:spacing w:after="60"/>
      </w:pPr>
      <w:r>
        <w:rPr>
          <w:b/>
        </w:rPr>
        <w:t xml:space="preserve">Engagement Letter: </w:t>
      </w:r>
      <w:r>
        <w:rPr>
          <w:i w:val="0"/>
        </w:rPr>
        <w:t>First installment due within 10 business days after execution; Stellarion must provide wire instructions at least 5 business days before the payment date.</w:t>
      </w:r>
    </w:p>
    <w:p>
      <w:pPr>
        <w:spacing w:after="60"/>
      </w:pPr>
      <w:r>
        <w:rPr>
          <w:b/>
        </w:rPr>
        <w:t xml:space="preserve">Analysis: </w:t>
      </w:r>
      <w:r>
        <w:rPr>
          <w:i w:val="0"/>
        </w:rPr>
        <w:t>Up to two additional weeks of delay on $6.25 million (or $7.5 million once restored), during which Helix would already hold the license. The wire instruction requirement is operationally sensible but, as drafted, could be argued to be a condition to Helix’s payment obligation.</w:t>
      </w:r>
    </w:p>
    <w:p>
      <w:r>
        <w:rPr>
          <w:b/>
        </w:rPr>
        <w:t xml:space="preserve">Recommended action / position: </w:t>
      </w:r>
      <w:r>
        <w:rPr>
          <w:i w:val="0"/>
        </w:rPr>
        <w:t>Payment due upon execution of the Definitive Agreement. Stellarion delivers wire instructions at signing; any delay in instructions extends the due date only day-for-day.</w:t>
      </w:r>
    </w:p>
    <w:p>
      <w:pPr>
        <w:pStyle w:val="Heading3"/>
      </w:pPr>
      <w:r>
        <w:t>D-12  Royalty base changed from Net Revenue (received, less returns, allowances, trade discounts, sales taxes) to Gross Revenue (GAAP-recognized revenue of Helix and its Affiliates, before any deductions)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§4.2 / EL §3 (“Gross Revenue”), §5.2</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Stellarion</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4.5% of Net Revenue: “gross revenue actually received by Helix … less returns, allowances, trade discounts, and sales taxes actually incurred.”</w:t>
      </w:r>
    </w:p>
    <w:p>
      <w:pPr>
        <w:spacing w:after="60"/>
      </w:pPr>
      <w:r>
        <w:rPr>
          <w:b/>
        </w:rPr>
        <w:t xml:space="preserve">Engagement Letter: </w:t>
      </w:r>
      <w:r>
        <w:rPr>
          <w:i w:val="0"/>
        </w:rPr>
        <w:t>4.5% of Gross Revenue: “all revenue recognized by Helix or its Affiliates” from products and services that “incorporate or utilize” EdgeAI, under GAAP, “prior to any deductions for returns, allowances, discounts, shipping, taxes, or other adjustments.”</w:t>
      </w:r>
    </w:p>
    <w:p>
      <w:pPr>
        <w:spacing w:after="60"/>
      </w:pPr>
      <w:r>
        <w:rPr>
          <w:b/>
        </w:rPr>
        <w:t xml:space="preserve">Analysis: </w:t>
      </w:r>
      <w:r>
        <w:rPr>
          <w:i w:val="0"/>
        </w:rPr>
        <w:t>This deviation favors Stellarion: the rate is unchanged but the base is larger (no deductions), includes Affiliate revenue, covers products that merely “utilize” EdgeAI, and is measured on recognition rather than cash receipt. Illustratively, on $50 million of attributable gross revenue with 8% deductions, the Engagement Letter royalty is $2.25 million against $2.07 million under the Term Sheet (about $180,000 more per year).</w:t>
      </w:r>
    </w:p>
    <w:p>
      <w:pPr>
        <w:spacing w:after="60"/>
      </w:pPr>
      <w:r>
        <w:rPr>
          <w:i w:val="0"/>
        </w:rPr>
        <w:t>Cautions: (i) Helix may have intended this as a trade for other concessions (e.g., the lower minimum royalty), or it may be an error Helix will reverse once noticed; (ii) GAAP recognition for subscription offerings is ratable, which can defer royalties relative to billings; (iii) “attributable to” is undefined, so for bundled offerings Helix will argue only a fraction of the bundle price is attributable. The Definitive Agreement needs an allocation method (e.g., royalty on the full price of any SKU that includes EdgeAI functionality, or a per-unit minimum).</w:t>
      </w:r>
    </w:p>
    <w:p>
      <w:pPr>
        <w:spacing w:after="60"/>
      </w:pPr>
      <w:r>
        <w:rPr>
          <w:i w:val="0"/>
        </w:rPr>
        <w:t>Negotiating posture: Stellarion’s overall message is “conform to the Term Sheet,” and holding on to a Stellarion-favorable deviation slightly weakens that message. We recommend retaining Gross Revenue in the redline as a tradable item that can be conceded (reverting to Net Revenue) in exchange for restoration of the dealbreaker items.</w:t>
      </w:r>
    </w:p>
    <w:p>
      <w:r>
        <w:rPr>
          <w:b/>
        </w:rPr>
        <w:t xml:space="preserve">Recommended action / position: </w:t>
      </w:r>
      <w:r>
        <w:rPr>
          <w:i w:val="0"/>
        </w:rPr>
        <w:t>Accept (retain) in the redline; add a bundled-revenue allocation rule and extend audit rights to Affiliates. Be prepared to revert to Term Sheet Net Revenue as a concession.</w:t>
      </w:r>
    </w:p>
    <w:p>
      <w:pPr>
        <w:pStyle w:val="Heading3"/>
      </w:pPr>
      <w:r>
        <w:t>D-13  Royalty payment deadline extended from 30 to 45 days after quarter-end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§4.2 / EL §5.2</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Quarterly in arrears, within 30 days after the end of each calendar quarter.</w:t>
      </w:r>
    </w:p>
    <w:p>
      <w:pPr>
        <w:spacing w:after="60"/>
      </w:pPr>
      <w:r>
        <w:rPr>
          <w:b/>
        </w:rPr>
        <w:t xml:space="preserve">Engagement Letter: </w:t>
      </w:r>
      <w:r>
        <w:rPr>
          <w:i w:val="0"/>
        </w:rPr>
        <w:t>Quarterly in arrears, within 45 days after the end of each calendar quarter.</w:t>
      </w:r>
    </w:p>
    <w:p>
      <w:pPr>
        <w:spacing w:after="60"/>
      </w:pPr>
      <w:r>
        <w:rPr>
          <w:b/>
        </w:rPr>
        <w:t xml:space="preserve">Analysis: </w:t>
      </w:r>
      <w:r>
        <w:rPr>
          <w:i w:val="0"/>
        </w:rPr>
        <w:t>A 50% extension of the payment window on every quarterly royalty for the life of the license, and one of the timing changes the GC noticed on his initial skim.</w:t>
      </w:r>
    </w:p>
    <w:p>
      <w:r>
        <w:rPr>
          <w:b/>
        </w:rPr>
        <w:t xml:space="preserve">Recommended action / position: </w:t>
      </w:r>
      <w:r>
        <w:rPr>
          <w:i w:val="0"/>
        </w:rPr>
        <w:t>Restore 30 days.</w:t>
      </w:r>
    </w:p>
    <w:p>
      <w:pPr>
        <w:pStyle w:val="Heading3"/>
      </w:pPr>
      <w:r>
        <w:t>D-14  Royalty report content specified (Gross Revenue by product line, rate, total)</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§4.2 / EL §5.2</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Stellarion</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“Reasonably detailed royalty report” with the calculation of Net Revenue and royalty due.</w:t>
      </w:r>
    </w:p>
    <w:p>
      <w:pPr>
        <w:spacing w:after="60"/>
      </w:pPr>
      <w:r>
        <w:rPr>
          <w:b/>
        </w:rPr>
        <w:t xml:space="preserve">Engagement Letter: </w:t>
      </w:r>
      <w:r>
        <w:rPr>
          <w:i w:val="0"/>
        </w:rPr>
        <w:t>Written report including, at a minimum, aggregate Gross Revenue by product line, applicable rate and total royalty.</w:t>
      </w:r>
    </w:p>
    <w:p>
      <w:pPr>
        <w:spacing w:after="60"/>
      </w:pPr>
      <w:r>
        <w:rPr>
          <w:b/>
        </w:rPr>
        <w:t xml:space="preserve">Analysis: </w:t>
      </w:r>
      <w:r>
        <w:rPr>
          <w:i w:val="0"/>
        </w:rPr>
        <w:t>Stellarion-favorable. Consider adding units, revenue by customer vertical (to monitor field-of-use compliance), and an Affiliate breakdown.</w:t>
      </w:r>
    </w:p>
    <w:p>
      <w:r>
        <w:rPr>
          <w:b/>
        </w:rPr>
        <w:t xml:space="preserve">Recommended action / position: </w:t>
      </w:r>
      <w:r>
        <w:rPr>
          <w:i w:val="0"/>
        </w:rPr>
        <w:t>Accept; add a per-vertical breakdown and an officer certification.</w:t>
      </w:r>
    </w:p>
    <w:p>
      <w:pPr>
        <w:pStyle w:val="Heading3"/>
      </w:pPr>
      <w:r>
        <w:t>D-15  Minimum Annual Royalty reduced from $3,000,000 to $2,500,000</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§4.3 / EL §5.3</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Minimum annual royalty of $3,000,000 from Year 2 onward, including renewal periods.</w:t>
      </w:r>
    </w:p>
    <w:p>
      <w:pPr>
        <w:spacing w:after="60"/>
      </w:pPr>
      <w:r>
        <w:rPr>
          <w:b/>
        </w:rPr>
        <w:t xml:space="preserve">Engagement Letter: </w:t>
      </w:r>
      <w:r>
        <w:rPr>
          <w:i w:val="0"/>
        </w:rPr>
        <w:t>Minimum Annual Royalty of $2,500,000 from the second year of the License Term onward.</w:t>
      </w:r>
    </w:p>
    <w:p>
      <w:pPr>
        <w:spacing w:after="60"/>
      </w:pPr>
      <w:r>
        <w:rPr>
          <w:b/>
        </w:rPr>
        <w:t xml:space="preserve">Analysis: </w:t>
      </w:r>
      <w:r>
        <w:rPr>
          <w:i w:val="0"/>
        </w:rPr>
        <w:t>A 16.7% cut in Stellarion’s guaranteed floor: $500,000 less per Royalty Year. Over the Initial Term (Royalty Years 2 through 5) the guaranteed floor falls from $12.0 million to $10.0 million, a $2.0 million reduction; over a full nine-year Term Sheet term (Years 2 through 9) the reduction is $4.0 million ($24.0 million to $20.0 million).</w:t>
      </w:r>
    </w:p>
    <w:p>
      <w:pPr>
        <w:spacing w:after="60"/>
      </w:pPr>
      <w:r>
        <w:rPr>
          <w:i w:val="0"/>
        </w:rPr>
        <w:t>The minimum royalty is Stellarion’s main protection against Helix taking the license and under-commercializing (or shelving) EdgeAI, and it is one of the numbers the board will focus on.</w:t>
      </w:r>
    </w:p>
    <w:p>
      <w:r>
        <w:rPr>
          <w:b/>
        </w:rPr>
        <w:t xml:space="preserve">Recommended action / position: </w:t>
      </w:r>
      <w:r>
        <w:rPr>
          <w:i w:val="0"/>
        </w:rPr>
        <w:t>Restore $3,000,000.</w:t>
      </w:r>
    </w:p>
    <w:p>
      <w:pPr>
        <w:pStyle w:val="Heading3"/>
      </w:pPr>
      <w:r>
        <w:t>D-16  Minimum royalty shortfall payable within 60 days (not 30); reconciliation date fixed at the last day of each Royalty Year</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§4.3 / EL §5.3</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Shortfall payable within 30 days of the annual reconciliation date (date to be set in the Definitive Agreement).</w:t>
      </w:r>
    </w:p>
    <w:p>
      <w:pPr>
        <w:spacing w:after="60"/>
      </w:pPr>
      <w:r>
        <w:rPr>
          <w:b/>
        </w:rPr>
        <w:t xml:space="preserve">Engagement Letter: </w:t>
      </w:r>
      <w:r>
        <w:rPr>
          <w:i w:val="0"/>
        </w:rPr>
        <w:t>Shortfall payable within 60 days following the reconciliation date; reconciliation date is the last day of the Royalty Year; the minimum is credited against Running Royalties “paid or payable.”</w:t>
      </w:r>
    </w:p>
    <w:p>
      <w:pPr>
        <w:spacing w:after="60"/>
      </w:pPr>
      <w:r>
        <w:rPr>
          <w:b/>
        </w:rPr>
        <w:t xml:space="preserve">Analysis: </w:t>
      </w:r>
      <w:r>
        <w:rPr>
          <w:i w:val="0"/>
        </w:rPr>
        <w:t>Doubling the shortfall payment window is another timing concession. Fixing the reconciliation date at year-end is a reasonable gap-filler. Because the fourth-quarter royalty (45 days) and the shortfall are both computed after year-end, the Definitive Agreement should state that “payable” royalties count toward the minimum only if actually paid when due.</w:t>
      </w:r>
    </w:p>
    <w:p>
      <w:r>
        <w:rPr>
          <w:b/>
        </w:rPr>
        <w:t xml:space="preserve">Recommended action / position: </w:t>
      </w:r>
      <w:r>
        <w:rPr>
          <w:i w:val="0"/>
        </w:rPr>
        <w:t>Restore 30 days; accept the year-end reconciliation date; credit only royalties actually paid.</w:t>
      </w:r>
    </w:p>
    <w:p>
      <w:pPr>
        <w:pStyle w:val="Heading3"/>
      </w:pPr>
      <w:r>
        <w:t>D-17  Audit cost-shifting threshold raised from 5% to 10% underpayment</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§4.4 / EL §5.4</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Helix bears audit cost if the underpayment is 5% or more.</w:t>
      </w:r>
    </w:p>
    <w:p>
      <w:pPr>
        <w:spacing w:after="60"/>
      </w:pPr>
      <w:r>
        <w:rPr>
          <w:b/>
        </w:rPr>
        <w:t xml:space="preserve">Engagement Letter: </w:t>
      </w:r>
      <w:r>
        <w:rPr>
          <w:i w:val="0"/>
        </w:rPr>
        <w:t>Helix bears audit cost if the underpayment is 10% or more.</w:t>
      </w:r>
    </w:p>
    <w:p>
      <w:pPr>
        <w:spacing w:after="60"/>
      </w:pPr>
      <w:r>
        <w:rPr>
          <w:b/>
        </w:rPr>
        <w:t xml:space="preserve">Analysis: </w:t>
      </w:r>
      <w:r>
        <w:rPr>
          <w:i w:val="0"/>
        </w:rPr>
        <w:t>Doubling the threshold lets Helix under-report by up to just under 10% with no consequence beyond paying the shortfall, weakening the deterrent value of the audit right at the very point (bundled revenue allocations, D-12) where deterrence matters most.</w:t>
      </w:r>
    </w:p>
    <w:p>
      <w:r>
        <w:rPr>
          <w:b/>
        </w:rPr>
        <w:t xml:space="preserve">Recommended action / position: </w:t>
      </w:r>
      <w:r>
        <w:rPr>
          <w:i w:val="0"/>
        </w:rPr>
        <w:t>Restore 5%.</w:t>
      </w:r>
    </w:p>
    <w:p>
      <w:pPr>
        <w:pStyle w:val="Heading3"/>
      </w:pPr>
      <w:r>
        <w:t>D-18  Audit mechanics: nationally recognized firm; on-site at Helix; 1.5% per month interest; records retained 3 years after each Royalty Year; Affiliates not covered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§4.4 / EL §5.4</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Mixed</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Independent CPA selected by Stellarion and reasonably acceptable to Helix; interest at the rate in the Definitive Agreement; records for at least 3 years after the applicable royalty period.</w:t>
      </w:r>
    </w:p>
    <w:p>
      <w:pPr>
        <w:spacing w:after="60"/>
      </w:pPr>
      <w:r>
        <w:rPr>
          <w:b/>
        </w:rPr>
        <w:t xml:space="preserve">Engagement Letter: </w:t>
      </w:r>
      <w:r>
        <w:rPr>
          <w:i w:val="0"/>
        </w:rPr>
        <w:t>“Independent, nationally recognized accounting firm reasonably acceptable to Helix”; at Helix’s principal offices; interest at the lesser of 1.5% per month or the legal maximum from the original due date; records for 3 years after the end of the applicable Royalty Year.</w:t>
      </w:r>
    </w:p>
    <w:p>
      <w:pPr>
        <w:spacing w:after="60"/>
      </w:pPr>
      <w:r>
        <w:rPr>
          <w:b/>
        </w:rPr>
        <w:t xml:space="preserve">Analysis: </w:t>
      </w:r>
      <w:r>
        <w:rPr>
          <w:i w:val="0"/>
        </w:rPr>
        <w:t>The fixed interest rate favors Stellarion; retention is equal or slightly longer. “Nationally recognized” narrows the auditor pool modestly. Gaps: the audit right covers only Helix’s books although Gross Revenue includes Affiliate revenue, and because “Royalty Year” begins only in Year 2, retention for Year 1 records is ambiguous.</w:t>
      </w:r>
    </w:p>
    <w:p>
      <w:r>
        <w:rPr>
          <w:b/>
        </w:rPr>
        <w:t xml:space="preserve">Recommended action / position: </w:t>
      </w:r>
      <w:r>
        <w:rPr>
          <w:i w:val="0"/>
        </w:rPr>
        <w:t>Accept, extending audit to Affiliates and running retention from the end of each calendar year (including Year 1).</w:t>
      </w:r>
    </w:p>
    <w:p>
      <w:pPr>
        <w:pStyle w:val="Heading3"/>
      </w:pPr>
      <w:r>
        <w:t>D-19  No general late-payment interest or remedy for late fees and royalties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§4.4 / EL §5</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Interest on audit underpayments at a rate to be specified in the Definitive Agreement.</w:t>
      </w:r>
    </w:p>
    <w:p>
      <w:pPr>
        <w:spacing w:after="60"/>
      </w:pPr>
      <w:r>
        <w:rPr>
          <w:b/>
        </w:rPr>
        <w:t xml:space="preserve">Engagement Letter: </w:t>
      </w:r>
      <w:r>
        <w:rPr>
          <w:i w:val="0"/>
        </w:rPr>
        <w:t>Interest only on audit-revealed underpayments; none on late upfront installments, royalties or minimum shortfalls.</w:t>
      </w:r>
    </w:p>
    <w:p>
      <w:pPr>
        <w:spacing w:after="60"/>
      </w:pPr>
      <w:r>
        <w:rPr>
          <w:b/>
        </w:rPr>
        <w:t xml:space="preserve">Analysis: </w:t>
      </w:r>
      <w:r>
        <w:rPr>
          <w:i w:val="0"/>
        </w:rPr>
        <w:t>A gap rather than a deviation, but it matters given the longer payment windows in D-11, D-13 and D-16.</w:t>
      </w:r>
    </w:p>
    <w:p>
      <w:r>
        <w:rPr>
          <w:b/>
        </w:rPr>
        <w:t xml:space="preserve">Recommended action / position: </w:t>
      </w:r>
      <w:r>
        <w:rPr>
          <w:i w:val="0"/>
        </w:rPr>
        <w:t>Add interest at 1.5% per month (or the legal maximum, if lower) on all overdue amounts, and a right to suspend Helix’s distribution rights after 30 days of uncured non-payment.</w:t>
      </w:r>
    </w:p>
    <w:p>
      <w:pPr>
        <w:pStyle w:val="Heading2"/>
      </w:pPr>
      <w:r>
        <w:t>D. Project Meridian Co-Development</w:t>
      </w:r>
    </w:p>
    <w:p>
      <w:pPr>
        <w:pStyle w:val="Heading3"/>
      </w:pPr>
      <w:r>
        <w:t>D-20  New Steering Committee with authority to set milestones, approve work plans, allocate resources and resolve disputes; no voting or deadlock mechanism</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§5.1 / EL §6.1</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Neutral / ambiguous</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Joint development plan (specifications, milestones, staffing, acceptance criteria) to be set out in the Definitive Agreement or a statement of work; integration into Helix Edge Runtime “and potentially other authorized products as mutually agreed.”</w:t>
      </w:r>
    </w:p>
    <w:p>
      <w:pPr>
        <w:spacing w:after="60"/>
      </w:pPr>
      <w:r>
        <w:rPr>
          <w:b/>
        </w:rPr>
        <w:t xml:space="preserve">Engagement Letter: </w:t>
      </w:r>
      <w:r>
        <w:rPr>
          <w:i w:val="0"/>
        </w:rPr>
        <w:t>Equal-representation Steering Committee responsible for “setting milestones, approving work plans, allocating resources, and resolving any disputes.” Reference to other authorized products omitted.</w:t>
      </w:r>
    </w:p>
    <w:p>
      <w:pPr>
        <w:spacing w:after="60"/>
      </w:pPr>
      <w:r>
        <w:rPr>
          <w:b/>
        </w:rPr>
        <w:t xml:space="preserve">Analysis: </w:t>
      </w:r>
      <w:r>
        <w:rPr>
          <w:i w:val="0"/>
        </w:rPr>
        <w:t>A steering committee is customary, but as drafted (i) “allocating resources” could be read to let the committee commit Stellarion personnel and spending, which with the uncapped overrun rule (D-22) creates open-ended exposure; (ii) there is no voting rule or deadlock-breaker; and (iii) committee “dispute resolution” sits uneasily with exclusive arbitration (EL §15.2).</w:t>
      </w:r>
    </w:p>
    <w:p>
      <w:r>
        <w:rPr>
          <w:b/>
        </w:rPr>
        <w:t xml:space="preserve">Recommended action / position: </w:t>
      </w:r>
      <w:r>
        <w:rPr>
          <w:i w:val="0"/>
        </w:rPr>
        <w:t>Accept a Steering Committee with unanimous decisions; no authority to amend the Agreement, raise the budget or commit resources beyond the approved plan; escalation to the CEOs within 15 business days, then arbitration; no power to waive field, sublicensing or IP provisions.</w:t>
      </w:r>
    </w:p>
    <w:p>
      <w:pPr>
        <w:pStyle w:val="Heading3"/>
      </w:pPr>
      <w:r>
        <w:t>D-21  Cost split changed from 60% Helix / 40% Stellarion to 55% Helix / 45% Stellarion</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§5.2 / EL §6.2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$8,200,000 budget: Helix 60% ($4,920,000); Stellarion 40% ($3,280,000).</w:t>
      </w:r>
    </w:p>
    <w:p>
      <w:pPr>
        <w:spacing w:after="60"/>
      </w:pPr>
      <w:r>
        <w:rPr>
          <w:b/>
        </w:rPr>
        <w:t xml:space="preserve">Engagement Letter: </w:t>
      </w:r>
      <w:r>
        <w:rPr>
          <w:i w:val="0"/>
        </w:rPr>
        <w:t>$8,200,000 budget: Helix 55% ($4,510,000); Stellarion 45% ($3,690,000).</w:t>
      </w:r>
    </w:p>
    <w:p>
      <w:pPr>
        <w:spacing w:after="60"/>
      </w:pPr>
      <w:r>
        <w:rPr>
          <w:b/>
        </w:rPr>
        <w:t xml:space="preserve">Analysis: </w:t>
      </w:r>
      <w:r>
        <w:rPr>
          <w:i w:val="0"/>
        </w:rPr>
        <w:t>Shifts $410,000 of budgeted cost to Stellarion (a 12.5% increase in Stellarion’s share), and the same 45% ratio applies to every overrun dollar (D-22). The Engagement Letter arithmetic is internally correct.</w:t>
      </w:r>
    </w:p>
    <w:p>
      <w:r>
        <w:rPr>
          <w:b/>
        </w:rPr>
        <w:t xml:space="preserve">Recommended action / position: </w:t>
      </w:r>
      <w:r>
        <w:rPr>
          <w:i w:val="0"/>
        </w:rPr>
        <w:t>Restore 60/40 ($4,920,000 / $3,280,000).</w:t>
      </w:r>
    </w:p>
    <w:p>
      <w:pPr>
        <w:pStyle w:val="Heading3"/>
      </w:pPr>
      <w:r>
        <w:t>D-22  Cost overruns shared automatically pro rata; Term Sheet requirement of mutual written approval for overruns above 10% deleted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§5.2 / EL §6.2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“Any cost overruns exceeding ten percent (10%) of the estimated budget shall require mutual written approval of both parties before such overruns are incurred.”</w:t>
      </w:r>
    </w:p>
    <w:p>
      <w:pPr>
        <w:spacing w:after="60"/>
      </w:pPr>
      <w:r>
        <w:rPr>
          <w:b/>
        </w:rPr>
        <w:t xml:space="preserve">Engagement Letter: </w:t>
      </w:r>
      <w:r>
        <w:rPr>
          <w:i w:val="0"/>
        </w:rPr>
        <w:t>“Costs incurred in excess of the Project Budget shall be allocated between the Parties in the same proportion … (i.e., 55% to Helix and 45% to Stellarion), unless otherwise agreed by the Parties in writing.”</w:t>
      </w:r>
    </w:p>
    <w:p>
      <w:pPr>
        <w:spacing w:after="60"/>
      </w:pPr>
      <w:r>
        <w:rPr>
          <w:b/>
        </w:rPr>
        <w:t xml:space="preserve">Analysis: </w:t>
      </w:r>
      <w:r>
        <w:rPr>
          <w:i w:val="0"/>
        </w:rPr>
        <w:t>Removes Stellarion’s veto over budget growth and makes its exposure uncapped. Illustration: a 25% overrun ($2,050,000) would cost Stellarion $922,500 under the Engagement Letter with no approval right; under the Term Sheet the overrun could not be incurred without Stellarion’s prior written approval (and would be shared 40%, $820,000, only if approved). With the Steering Committee’s resource authority (D-20) and the invoicing mechanics (D-23), Helix could drive spending Stellarion must fund.</w:t>
      </w:r>
    </w:p>
    <w:p>
      <w:r>
        <w:rPr>
          <w:b/>
        </w:rPr>
        <w:t xml:space="preserve">Recommended action / position: </w:t>
      </w:r>
      <w:r>
        <w:rPr>
          <w:i w:val="0"/>
        </w:rPr>
        <w:t>Restore the Term Sheet rule: no overrun above 10% of the budget may be incurred as a shared cost without both parties’ prior written approval; overruns within the 10% band shared 60/40.</w:t>
      </w:r>
    </w:p>
    <w:p>
      <w:pPr>
        <w:pStyle w:val="Heading3"/>
      </w:pPr>
      <w:r>
        <w:t>D-23  Rule that each party bears its own personnel costs omitted; reciprocal quarterly invoicing for “costs incurred” (shared cost pool undefined)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§5.2 / EL §6.2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Each party bears its own personnel costs (salaries, benefits, overhead); only shared costs (third-party tools, cloud infrastructure, testing services) are split; quarterly allocation per the plan.</w:t>
      </w:r>
    </w:p>
    <w:p>
      <w:pPr>
        <w:spacing w:after="60"/>
      </w:pPr>
      <w:r>
        <w:rPr>
          <w:b/>
        </w:rPr>
        <w:t xml:space="preserve">Engagement Letter: </w:t>
      </w:r>
      <w:r>
        <w:rPr>
          <w:i w:val="0"/>
        </w:rPr>
        <w:t>Each party invoices the other quarterly “for the other Party’s share of costs incurred during the preceding quarter,” payable within 30 days. No personnel cost rule.</w:t>
      </w:r>
    </w:p>
    <w:p>
      <w:pPr>
        <w:spacing w:after="60"/>
      </w:pPr>
      <w:r>
        <w:rPr>
          <w:b/>
        </w:rPr>
        <w:t xml:space="preserve">Analysis: </w:t>
      </w:r>
      <w:r>
        <w:rPr>
          <w:i w:val="0"/>
        </w:rPr>
        <w:t>Without the personnel cost rule, either party can treat its internal engineering salaries, benefits and overhead as “costs incurred” and invoice the other for its percentage. Helix, with roughly $1.2 billion in revenue and a far larger organization, is better placed to load costs (including overhead allocations) into the pool. The Term Sheet deliberately limited cross-charging to genuine third-party shared costs.</w:t>
      </w:r>
    </w:p>
    <w:p>
      <w:r>
        <w:rPr>
          <w:b/>
        </w:rPr>
        <w:t xml:space="preserve">Recommended action / position: </w:t>
      </w:r>
      <w:r>
        <w:rPr>
          <w:i w:val="0"/>
        </w:rPr>
        <w:t>Restore: “Each Party shall bear its own personnel costs (including salaries, benefits and overhead). Only Shared Costs (third-party tools, cloud infrastructure and testing services, incurred under the approved plan and supported by third-party invoices) shall be allocated 60% to Helix and 40% to Stellarion.” Add audit rights over shared cost invoices.</w:t>
      </w:r>
    </w:p>
    <w:p>
      <w:pPr>
        <w:pStyle w:val="Heading3"/>
      </w:pPr>
      <w:r>
        <w:t>D-24  JOINT IP SUBLICENSING: prior written consent requirement deleted; each party may “license” Joint IP without consent [GC PRIORITY 2]</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§5.3 / EL §6.3</w:t>
            </w:r>
          </w:p>
        </w:tc>
        <w:tc>
          <w:tcPr>
            <w:tcW w:type="dxa" w:w="1872"/>
            <w:shd w:val="clear" w:color="auto" w:fill="C00000"/>
          </w:tcPr>
          <w:p>
            <w:pPr>
              <w:spacing w:after="0"/>
            </w:pPr>
            <w:r>
              <w:rPr>
                <w:color w:val="FFFFFF"/>
              </w:rPr>
            </w:r>
            <w:r>
              <w:rPr>
                <w:b/>
                <w:color w:val="FFFFFF"/>
                <w:sz w:val="16"/>
              </w:rPr>
              <w:t xml:space="preserve">Severity: </w:t>
            </w:r>
            <w:r>
              <w:rPr>
                <w:color w:val="FFFFFF"/>
                <w:sz w:val="16"/>
              </w:rPr>
              <w:t>Dealbreaker</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Each party may exploit Co-Developed IP without consent or accounting, “subject to the restriction set forth below. However, neither party may sublicense jointly-owned Co-Developed IP to any third party without the prior written consent of the other party.” Consent not to be unreasonably withheld, conditioned or delayed.</w:t>
      </w:r>
    </w:p>
    <w:p>
      <w:pPr>
        <w:spacing w:after="60"/>
      </w:pPr>
      <w:r>
        <w:rPr>
          <w:b/>
        </w:rPr>
        <w:t xml:space="preserve">Engagement Letter: </w:t>
      </w:r>
      <w:r>
        <w:rPr>
          <w:i w:val="0"/>
        </w:rPr>
        <w:t>“Each Party shall have the right to exploit, use, license, and otherwise commercialize the Joint IP without the consent of, or any obligation to account to, the other Party.” No sublicensing restriction.</w:t>
      </w:r>
    </w:p>
    <w:p>
      <w:pPr>
        <w:spacing w:after="60"/>
      </w:pPr>
      <w:r>
        <w:rPr>
          <w:b/>
        </w:rPr>
        <w:t xml:space="preserve">Analysis: </w:t>
      </w:r>
      <w:r>
        <w:rPr>
          <w:i w:val="0"/>
        </w:rPr>
        <w:t>See Part IV.2 for the full analysis.</w:t>
      </w:r>
    </w:p>
    <w:p>
      <w:r>
        <w:rPr>
          <w:b/>
        </w:rPr>
        <w:t xml:space="preserve">Recommended action / position: </w:t>
      </w:r>
      <w:r>
        <w:rPr>
          <w:i w:val="0"/>
        </w:rPr>
        <w:t>Reject and restore the Term Sheet consent requirement, extended to all forms of licensing (Part IV.2; Appendix A-2).</w:t>
      </w:r>
    </w:p>
    <w:p>
      <w:pPr>
        <w:pStyle w:val="Heading3"/>
      </w:pPr>
      <w:r>
        <w:t>D-25  “Joint IP” narrowed to IP jointly created by both parties’ personnel; Meridian IP created by one party alone falls outside joint ownership</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§5.3 (“Co-Developed IP”) / EL §3 (“Joint IP”), §6.3</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Ambiguous (likely 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“All intellectual property arising from Project Meridian, including all inventions, discoveries, improvements, works of authorship, software, algorithms, and related documentation” is jointly owned.</w:t>
      </w:r>
    </w:p>
    <w:p>
      <w:pPr>
        <w:spacing w:after="60"/>
      </w:pPr>
      <w:r>
        <w:rPr>
          <w:b/>
        </w:rPr>
        <w:t xml:space="preserve">Engagement Letter: </w:t>
      </w:r>
      <w:r>
        <w:rPr>
          <w:i w:val="0"/>
        </w:rPr>
        <w:t>Joint IP is IP “conceived, created, developed, or reduced to practice jointly by employees or contractors of both Parties in the course of, and arising from, Project Meridian.” No rule for IP created by one party alone.</w:t>
      </w:r>
    </w:p>
    <w:p>
      <w:pPr>
        <w:spacing w:after="60"/>
      </w:pPr>
      <w:r>
        <w:rPr>
          <w:b/>
        </w:rPr>
        <w:t xml:space="preserve">Analysis: </w:t>
      </w:r>
      <w:r>
        <w:rPr>
          <w:i w:val="0"/>
        </w:rPr>
        <w:t>Under the Term Sheet everything arising from Project Meridian is joint; under the Engagement Letter only jointly-created IP is joint, and Meridian work product created by one party’s team alone would by default belong to the creating party. Helix is likely to perform most of the integration engineering on Helix Edge Runtime, so this gap could leave Helix as sole owner of significant Meridian deliverables, free of any sublicensing restriction at all.</w:t>
      </w:r>
    </w:p>
    <w:p>
      <w:pPr>
        <w:spacing w:after="60"/>
      </w:pPr>
      <w:r>
        <w:rPr>
          <w:i w:val="0"/>
        </w:rPr>
        <w:t>The narrower definition also interacts with the Background IP boundary (D-27): EdgeAI improvements Stellarion makes alone during Meridian fall outside Joint IP (good for Stellarion) but may also fall outside Stellarion Background IP if any Helix “resources” were used.</w:t>
      </w:r>
    </w:p>
    <w:p>
      <w:pPr>
        <w:spacing w:after="60"/>
      </w:pPr>
      <w:r>
        <w:rPr>
          <w:i w:val="0"/>
        </w:rPr>
        <w:t>A related gap exists in both documents: neither carves out improvements to, or derivatives of, a party’s Background IP from co-developed IP. Under the Term Sheet’s broad definition, improvements to EdgeAI arising from Meridian would be jointly owned. The Definitive Agreement should provide that improvements and derivatives of Stellarion Background IP (including EdgeAI) vest solely in Stellarion, and of Helix Background IP solely in Helix, with the rest of the Meridian output jointly owned.</w:t>
      </w:r>
    </w:p>
    <w:p>
      <w:r>
        <w:rPr>
          <w:b/>
        </w:rPr>
        <w:t xml:space="preserve">Recommended action / position: </w:t>
      </w:r>
      <w:r>
        <w:rPr>
          <w:i w:val="0"/>
        </w:rPr>
        <w:t>Restore the Term Sheet scope (all IP arising from Project Meridian), subject to a carve-out that improvements, modifications and derivatives of a party’s Background IP belong to that party, with a license back for Meridian purposes only.</w:t>
      </w:r>
    </w:p>
    <w:p>
      <w:pPr>
        <w:pStyle w:val="Heading3"/>
      </w:pPr>
      <w:r>
        <w:t>D-26  New Joint IP prosecution cooperation, vesting cooperation and equal (50/50) sharing of filing and prosecution costs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 / EL §6.3</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Silent.</w:t>
      </w:r>
    </w:p>
    <w:p>
      <w:pPr>
        <w:spacing w:after="60"/>
      </w:pPr>
      <w:r>
        <w:rPr>
          <w:b/>
        </w:rPr>
        <w:t xml:space="preserve">Engagement Letter: </w:t>
      </w:r>
      <w:r>
        <w:rPr>
          <w:i w:val="0"/>
        </w:rPr>
        <w:t>Parties cooperate in filing, prosecution and maintenance of Joint IP patents and share reasonable costs equally; each executes instruments to vest joint ownership.</w:t>
      </w:r>
    </w:p>
    <w:p>
      <w:pPr>
        <w:spacing w:after="60"/>
      </w:pPr>
      <w:r>
        <w:rPr>
          <w:b/>
        </w:rPr>
        <w:t xml:space="preserve">Analysis: </w:t>
      </w:r>
      <w:r>
        <w:rPr>
          <w:i w:val="0"/>
        </w:rPr>
        <w:t>Reasonable gap-filler. Address in the Definitive Agreement: who controls prosecution (Stellarion, as the patent-focused party, should lead); a step-in right if one party declines to fund an application; and enforcement and joinder (in the U.S. all patent co-owners generally must join an infringement suit).</w:t>
      </w:r>
    </w:p>
    <w:p>
      <w:r>
        <w:rPr>
          <w:b/>
        </w:rPr>
        <w:t xml:space="preserve">Recommended action / position: </w:t>
      </w:r>
      <w:r>
        <w:rPr>
          <w:i w:val="0"/>
        </w:rPr>
        <w:t>Accept, adding prosecution control, step-in and enforcement terms in the Definitive Agreement.</w:t>
      </w:r>
    </w:p>
    <w:p>
      <w:pPr>
        <w:pStyle w:val="Heading2"/>
      </w:pPr>
      <w:r>
        <w:t>E. Background IP</w:t>
      </w:r>
    </w:p>
    <w:p>
      <w:pPr>
        <w:pStyle w:val="Heading3"/>
      </w:pPr>
      <w:r>
        <w:t>D-27  “Background IP” redefined: includes IP “licensed to” a party; measured at the Engagement Letter date; independently developed IP excluded if it uses any of the other party’s Confidential Information or “resources”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§6 / EL §3 (“Background IP”), §7</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Mixed</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All pre-existing IP of each party, and IP developed by it “prior to or independently of the co-development activities,” remains that party’s sole property.</w:t>
      </w:r>
    </w:p>
    <w:p>
      <w:pPr>
        <w:spacing w:after="60"/>
      </w:pPr>
      <w:r>
        <w:rPr>
          <w:b/>
        </w:rPr>
        <w:t xml:space="preserve">Engagement Letter: </w:t>
      </w:r>
      <w:r>
        <w:rPr>
          <w:i w:val="0"/>
        </w:rPr>
        <w:t>Background IP is IP “owned by or licensed to a Party as of the Effective Date, or developed or acquired by a Party independently of this Agreement and without use of the other Party’s Confidential Information or resources.” Ownership language in §7 otherwise tracks the Term Sheet and adds “by implication, estoppel, or otherwise.”</w:t>
      </w:r>
    </w:p>
    <w:p>
      <w:pPr>
        <w:spacing w:after="60"/>
      </w:pPr>
      <w:r>
        <w:rPr>
          <w:b/>
        </w:rPr>
        <w:t xml:space="preserve">Analysis: </w:t>
      </w:r>
      <w:r>
        <w:rPr>
          <w:i w:val="0"/>
        </w:rPr>
        <w:t>(i) “Licensed to”: Background IP is the trigger for each party’s indemnity (EL §9.1), so including in-licensed IP expands Stellarion’s indemnity to third-party components in EdgeAI (open source or commercial libraries), uncapped under EL §9.2 (D-35). (ii) The “without use of … resources” test is vague; Helix could argue that EdgeAI improvements Stellarion develops using Helix-provided test environments are not Stellarion Background IP. (iii) The added “by implication, estoppel, or otherwise” language helps Stellarion and should be kept.</w:t>
      </w:r>
    </w:p>
    <w:p>
      <w:r>
        <w:rPr>
          <w:b/>
        </w:rPr>
        <w:t xml:space="preserve">Recommended action / position: </w:t>
      </w:r>
      <w:r>
        <w:rPr>
          <w:i w:val="0"/>
        </w:rPr>
        <w:t>Define Stellarion Background IP to include EdgeAI and all improvements, modifications and derivatives of it however and whenever developed; delete “or resources”; decouple the indemnity trigger from in-licensed IP (D-37).</w:t>
      </w:r>
    </w:p>
    <w:p>
      <w:pPr>
        <w:pStyle w:val="Heading3"/>
      </w:pPr>
      <w:r>
        <w:t>D-28  New royalty-free cross-license of each party’s Background IP to perform Project Meridian</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 / EL §7 (third paragraph)</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No Background IP license for co-development (the EdgeAI license itself is royalty-bearing and field-limited).</w:t>
      </w:r>
    </w:p>
    <w:p>
      <w:pPr>
        <w:spacing w:after="60"/>
      </w:pPr>
      <w:r>
        <w:rPr>
          <w:b/>
        </w:rPr>
        <w:t xml:space="preserve">Engagement Letter: </w:t>
      </w:r>
      <w:r>
        <w:rPr>
          <w:i w:val="0"/>
        </w:rPr>
        <w:t>Each party grants the other “a limited, non-exclusive, non-transferable, royalty-free license to use such Party’s Background IP solely to the extent necessary … to perform its obligations under Project Meridian,” ending on completion of Meridian or termination.</w:t>
      </w:r>
    </w:p>
    <w:p>
      <w:pPr>
        <w:spacing w:after="60"/>
      </w:pPr>
      <w:r>
        <w:rPr>
          <w:b/>
        </w:rPr>
        <w:t xml:space="preserve">Analysis: </w:t>
      </w:r>
      <w:r>
        <w:rPr>
          <w:i w:val="0"/>
        </w:rPr>
        <w:t>A performance license is reasonable in principle, but as drafted it gives Helix a royalty-free right to use all Stellarion Background IP (including the 14 patents, 7 applications and EdgeAI trade secrets) without the field-of-use limit, without an express no-sublicense rule (it is only “non-transferable”), and without express confidentiality conditions. It is also silent on what rights Helix has in Stellarion Background IP to commercialize Meridian afterwards; Helix may argue that its right to “exploit, use, license” Joint IP (EL §6.3) carries an implied license to the EdgeAI technology needed to practice it.</w:t>
      </w:r>
    </w:p>
    <w:p>
      <w:r>
        <w:rPr>
          <w:b/>
        </w:rPr>
        <w:t xml:space="preserve">Recommended action / position: </w:t>
      </w:r>
      <w:r>
        <w:rPr>
          <w:i w:val="0"/>
        </w:rPr>
        <w:t>Limit to internal development use for Project Meridian within the Licensed Field, non-sublicensable (other than to approved subcontractors bound by confidentiality), subject to EL §10; and state expressly that commercial exploitation of Meridian that incorporates or requires Stellarion Background IP requires, and is subject to the field, royalty and sublicensing terms of, the EdgeAI license.</w:t>
      </w:r>
    </w:p>
    <w:p>
      <w:pPr>
        <w:pStyle w:val="Heading2"/>
      </w:pPr>
      <w:r>
        <w:t>F. Non-Compete, Exclusivity and MFN</w:t>
      </w:r>
    </w:p>
    <w:p>
      <w:pPr>
        <w:pStyle w:val="Heading3"/>
      </w:pPr>
      <w:r>
        <w:t>D-29  Non-compete post-termination period cut from 18 to 12 months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§7 / EL §8.1</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During the license term and 18 months after expiration or termination (the Restricted Period).</w:t>
      </w:r>
    </w:p>
    <w:p>
      <w:pPr>
        <w:spacing w:after="60"/>
      </w:pPr>
      <w:r>
        <w:rPr>
          <w:b/>
        </w:rPr>
        <w:t xml:space="preserve">Engagement Letter: </w:t>
      </w:r>
      <w:r>
        <w:rPr>
          <w:i w:val="0"/>
        </w:rPr>
        <w:t>During the License Term and 12 months after expiration or termination (the Non-Compete Period).</w:t>
      </w:r>
    </w:p>
    <w:p>
      <w:pPr>
        <w:spacing w:after="60"/>
      </w:pPr>
      <w:r>
        <w:rPr>
          <w:b/>
        </w:rPr>
        <w:t xml:space="preserve">Analysis: </w:t>
      </w:r>
      <w:r>
        <w:rPr>
          <w:i w:val="0"/>
        </w:rPr>
        <w:t>A one-third reduction in the post-term protection. The 18-month tail was part of the package in which Stellarion conceded the MFN (Part IV.3). Helix appears to have kept a reduced restriction while dropping the term that was its consideration, which suggests the package may have been deliberately re-cut.</w:t>
      </w:r>
    </w:p>
    <w:p>
      <w:r>
        <w:rPr>
          <w:b/>
        </w:rPr>
        <w:t xml:space="preserve">Recommended action / position: </w:t>
      </w:r>
      <w:r>
        <w:rPr>
          <w:i w:val="0"/>
        </w:rPr>
        <w:t>Restore 18 months.</w:t>
      </w:r>
    </w:p>
    <w:p>
      <w:pPr>
        <w:pStyle w:val="Heading3"/>
      </w:pPr>
      <w:r>
        <w:t>D-30  Non-compete scope narrowed: “otherwise exploit” and “in collaboration with any third party” deleted; new carve-out for third-party components that are not a “standalone” ML inference engine</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§7 / EL §8.1</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Helix shall not “develop, market, license, or otherwise exploit” a competing ML inference engine for edge computing, “whether independently or in collaboration with any third party”; the restriction covers “standalone or embedded ML inference engine technology that would be a functional substitute” for EdgeAI.</w:t>
      </w:r>
    </w:p>
    <w:p>
      <w:pPr>
        <w:spacing w:after="60"/>
      </w:pPr>
      <w:r>
        <w:rPr>
          <w:b/>
        </w:rPr>
        <w:t xml:space="preserve">Engagement Letter: </w:t>
      </w:r>
      <w:r>
        <w:rPr>
          <w:i w:val="0"/>
        </w:rPr>
        <w:t>Helix shall not “develop, market, distribute, or license (or engage any third party to develop on its behalf)” a competing engine. New: use of third-party components that provide “ancillary analytics or data processing functions but do not constitute a standalone ML inference engine” is not a breach.</w:t>
      </w:r>
    </w:p>
    <w:p>
      <w:pPr>
        <w:spacing w:after="60"/>
      </w:pPr>
      <w:r>
        <w:rPr>
          <w:b/>
        </w:rPr>
        <w:t xml:space="preserve">Analysis: </w:t>
      </w:r>
      <w:r>
        <w:rPr>
          <w:i w:val="0"/>
        </w:rPr>
        <w:t>Three loopholes: (i) deleting “otherwise exploit” removes Helix’s own use and deployment of a competing engine (including in hosted services) and investment in, or acquisition of, a competing engine business; (ii) replacing “in collaboration with any third party” with “engage any third party to develop on its behalf” permits joint ventures, co-development, reseller and OEM arrangements in which the third party owns the competing engine; (iii) the new “standalone” carve-out inverts the Term Sheet, which expressly covered “standalone or embedded” engines. Helix could embed a third-party inference capability inside Helix Edge Runtime and argue it is an “ancillary” component that is not “standalone.”</w:t>
      </w:r>
    </w:p>
    <w:p>
      <w:r>
        <w:rPr>
          <w:b/>
        </w:rPr>
        <w:t xml:space="preserve">Recommended action / position: </w:t>
      </w:r>
      <w:r>
        <w:rPr>
          <w:i w:val="0"/>
        </w:rPr>
        <w:t>Restore the Term Sheet operative language (“develop, market, license, distribute, use, deploy or otherwise exploit … whether independently or in collaboration with any third party”; “standalone or embedded”). Any carve-out should be limited to third-party components that do not perform machine learning inference and are not a functional substitute for any EdgeAI function.</w:t>
      </w:r>
    </w:p>
    <w:p>
      <w:pPr>
        <w:pStyle w:val="Heading3"/>
      </w:pPr>
      <w:r>
        <w:t>D-31  Non-compete omitted from the express survival list</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§12.3(d) / EL §11.3</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“[T]he non-compete obligation set forth in Section 7 shall survive for the Restricted Period specified therein.”</w:t>
      </w:r>
    </w:p>
    <w:p>
      <w:pPr>
        <w:spacing w:after="60"/>
      </w:pPr>
      <w:r>
        <w:rPr>
          <w:b/>
        </w:rPr>
        <w:t xml:space="preserve">Engagement Letter: </w:t>
      </w:r>
      <w:r>
        <w:rPr>
          <w:i w:val="0"/>
        </w:rPr>
        <w:t>Survival list covers §§3, 5 (accrued payments), 7, 9, 9.2, 10, 15 and 16. Section 8 is not listed.</w:t>
      </w:r>
    </w:p>
    <w:p>
      <w:pPr>
        <w:spacing w:after="60"/>
      </w:pPr>
      <w:r>
        <w:rPr>
          <w:b/>
        </w:rPr>
        <w:t xml:space="preserve">Analysis: </w:t>
      </w:r>
      <w:r>
        <w:rPr>
          <w:i w:val="0"/>
        </w:rPr>
        <w:t>Although EL §8.1 refers to a post-termination period, an express survival clause listing specific sections invites the argument (expressio unius) that unlisted provisions, including §8.1, do not survive. A post-term restriction whose survival is disputed is worth much less. Whether oversight or deliberate, it must be fixed.</w:t>
      </w:r>
    </w:p>
    <w:p>
      <w:r>
        <w:rPr>
          <w:b/>
        </w:rPr>
        <w:t xml:space="preserve">Recommended action / position: </w:t>
      </w:r>
      <w:r>
        <w:rPr>
          <w:i w:val="0"/>
        </w:rPr>
        <w:t>Add “Section 8.1 (Helix Non-Compete), for the Non-Compete Period” to the survival list (see also D-46).</w:t>
      </w:r>
    </w:p>
    <w:p>
      <w:pPr>
        <w:pStyle w:val="Heading3"/>
      </w:pPr>
      <w:r>
        <w:t>D-32  Stellarion exclusivity period shortened from 24 to 18 months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§8 (Binding) / EL §8.2</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Stellarion</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24 months from the Effective Date; a Binding Provision.</w:t>
      </w:r>
    </w:p>
    <w:p>
      <w:pPr>
        <w:spacing w:after="60"/>
      </w:pPr>
      <w:r>
        <w:rPr>
          <w:b/>
        </w:rPr>
        <w:t xml:space="preserve">Engagement Letter: </w:t>
      </w:r>
      <w:r>
        <w:rPr>
          <w:i w:val="0"/>
        </w:rPr>
        <w:t>18 months from the Effective Date (now the Engagement Letter date).</w:t>
      </w:r>
    </w:p>
    <w:p>
      <w:pPr>
        <w:spacing w:after="60"/>
      </w:pPr>
      <w:r>
        <w:rPr>
          <w:b/>
        </w:rPr>
        <w:t xml:space="preserve">Analysis: </w:t>
      </w:r>
      <w:r>
        <w:rPr>
          <w:i w:val="0"/>
        </w:rPr>
        <w:t>This shortens a restriction on Stellarion and is Stellarion-favorable. Notes: (i) because the Effective Date moves earlier (D-2), the 18 months also start sooner; (ii) the Term Sheet exclusivity is a Binding Provision that the Engagement Letter would supersede; (iii) if the MFN is reinstated with its Term Sheet link to “the exclusivity period” (D-34), the MFN window would also be 18 months. Helix may notice and ask to revert to 24 months; as that is the Term Sheet position, Stellarion should not resist it strongly.</w:t>
      </w:r>
    </w:p>
    <w:p>
      <w:r>
        <w:rPr>
          <w:b/>
        </w:rPr>
        <w:t xml:space="preserve">Recommended action / position: </w:t>
      </w:r>
      <w:r>
        <w:rPr>
          <w:i w:val="0"/>
        </w:rPr>
        <w:t>Accept 18 months; do not spend leverage defending it.</w:t>
      </w:r>
    </w:p>
    <w:p>
      <w:pPr>
        <w:pStyle w:val="Heading3"/>
      </w:pPr>
      <w:r>
        <w:t>D-33  Restricted Competitor Schedule (Schedule A) deferred to the Definitive Agreement; interim good faith identification; safe harbor shifts from “not listed” to “not a direct competitor”</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§8 / EL §8.2</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Schedule to be negotiated in good faith and “finalized prior to execution of the Definitive Agreement”; Stellarion free to license to “any party not listed” on the schedule.</w:t>
      </w:r>
    </w:p>
    <w:p>
      <w:pPr>
        <w:spacing w:after="60"/>
      </w:pPr>
      <w:r>
        <w:rPr>
          <w:b/>
        </w:rPr>
        <w:t xml:space="preserve">Engagement Letter: </w:t>
      </w:r>
      <w:r>
        <w:rPr>
          <w:i w:val="0"/>
        </w:rPr>
        <w:t>Schedule A “shall be negotiated and finalized … as part of the Definitive Agreement”; pending finalization the parties cooperate in good faith to identify direct competitors; Stellarion free to license to “any Person that is not a direct competitor of Helix.” Schedule A is referred to as attached “hereto” but is not attached.</w:t>
      </w:r>
    </w:p>
    <w:p>
      <w:pPr>
        <w:spacing w:after="60"/>
      </w:pPr>
      <w:r>
        <w:rPr>
          <w:b/>
        </w:rPr>
        <w:t xml:space="preserve">Analysis: </w:t>
      </w:r>
      <w:r>
        <w:rPr>
          <w:i w:val="0"/>
        </w:rPr>
        <w:t>In the interim there is no list, so the restriction is either empty (no one is “listed on Schedule A”) or, as Helix will argue from the final sentence, applies to any “direct competitor of Helix,” an undefined and potentially broad category given Helix’s breadth (data lakes, streaming pipelines, edge compute). The Term Sheet’s “not listed” safe harbor was a bright line; the Engagement Letter clouds Stellarion’s freedom to license EdgeAI in the interim.</w:t>
      </w:r>
    </w:p>
    <w:p>
      <w:r>
        <w:rPr>
          <w:b/>
        </w:rPr>
        <w:t xml:space="preserve">Recommended action / position: </w:t>
      </w:r>
      <w:r>
        <w:rPr>
          <w:i w:val="0"/>
        </w:rPr>
        <w:t>Attach an agreed Schedule A now (preferred), or state that until it is attached no Person is restricted; restore “not listed on Schedule A” as the safe harbor; cap the list (e.g., no more than eight to ten named entities, excluding their non-competing affiliates).</w:t>
      </w:r>
    </w:p>
    <w:p>
      <w:pPr>
        <w:pStyle w:val="Heading3"/>
      </w:pPr>
      <w:r>
        <w:t>D-34  MOST-FAVORED-NATION provision omitted entirely [GC PRIORITY 3]</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§9 / EL — (no corresponding provision)</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Stellarion on its face; creates risk</w:t>
            </w:r>
          </w:p>
        </w:tc>
        <w:tc>
          <w:tcPr>
            <w:tcW w:type="dxa" w:w="2016"/>
          </w:tcPr>
          <w:p>
            <w:pPr>
              <w:spacing w:after="0"/>
            </w:pPr>
            <w:r/>
            <w:r>
              <w:rPr>
                <w:b/>
                <w:sz w:val="16"/>
              </w:rPr>
              <w:t xml:space="preserve">Action: </w:t>
            </w:r>
            <w:r>
              <w:rPr>
                <w:sz w:val="16"/>
              </w:rPr>
              <w:t>Flag for further discussion</w:t>
            </w:r>
          </w:p>
        </w:tc>
      </w:tr>
    </w:tbl>
    <w:p>
      <w:pPr>
        <w:spacing w:after="60" w:before="80"/>
      </w:pPr>
      <w:r>
        <w:rPr>
          <w:b/>
        </w:rPr>
        <w:t xml:space="preserve">Term Sheet: </w:t>
      </w:r>
      <w:r>
        <w:rPr>
          <w:i w:val="0"/>
        </w:rPr>
        <w:t>During the exclusivity period, if Stellarion licenses EdgeAI to a third party (other than Restricted Competitors) on terms more favorable “taken as a whole,” Stellarion must notify Helix and offer those terms; 30 days to elect; 30 days to implement.</w:t>
      </w:r>
    </w:p>
    <w:p>
      <w:pPr>
        <w:spacing w:after="60"/>
      </w:pPr>
      <w:r>
        <w:rPr>
          <w:b/>
        </w:rPr>
        <w:t xml:space="preserve">Engagement Letter: </w:t>
      </w:r>
      <w:r>
        <w:rPr>
          <w:i w:val="0"/>
        </w:rPr>
        <w:t>No MFN provision. The supersession language (EL §1) and integration clause (EL §16.3) would extinguish TS §9.</w:t>
      </w:r>
    </w:p>
    <w:p>
      <w:pPr>
        <w:spacing w:after="60"/>
      </w:pPr>
      <w:r>
        <w:rPr>
          <w:b/>
        </w:rPr>
        <w:t xml:space="preserve">Analysis: </w:t>
      </w:r>
      <w:r>
        <w:rPr>
          <w:i w:val="0"/>
        </w:rPr>
        <w:t>See Part IV.3 for the full analysis.</w:t>
      </w:r>
    </w:p>
    <w:p>
      <w:r>
        <w:rPr>
          <w:b/>
        </w:rPr>
        <w:t xml:space="preserve">Recommended action / position: </w:t>
      </w:r>
      <w:r>
        <w:rPr>
          <w:i w:val="0"/>
        </w:rPr>
        <w:t>Flag for discussion. Our recommendation is to reinstate the Term Sheet MFN in its narrow form, expressly tied as consideration to a restored 18-month non-compete (Part IV.3; Appendix A-3).</w:t>
      </w:r>
    </w:p>
    <w:p>
      <w:pPr>
        <w:pStyle w:val="Heading2"/>
      </w:pPr>
      <w:r>
        <w:t>G. Indemnification and Limitation of Liability</w:t>
      </w:r>
    </w:p>
    <w:p>
      <w:pPr>
        <w:pStyle w:val="Heading3"/>
      </w:pPr>
      <w:r>
        <w:t>D-35  Indemnification carved OUT of the liability cap (uncapped), reversing the Term Sheet’s express statement that indemnity is within the cap</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§10, §11 / EL §9.2</w:t>
            </w:r>
          </w:p>
        </w:tc>
        <w:tc>
          <w:tcPr>
            <w:tcW w:type="dxa" w:w="1872"/>
            <w:shd w:val="clear" w:color="auto" w:fill="C00000"/>
          </w:tcPr>
          <w:p>
            <w:pPr>
              <w:spacing w:after="0"/>
            </w:pPr>
            <w:r>
              <w:rPr>
                <w:color w:val="FFFFFF"/>
              </w:rPr>
            </w:r>
            <w:r>
              <w:rPr>
                <w:b/>
                <w:color w:val="FFFFFF"/>
                <w:sz w:val="16"/>
              </w:rPr>
              <w:t xml:space="preserve">Severity: </w:t>
            </w:r>
            <w:r>
              <w:rPr>
                <w:color w:val="FFFFFF"/>
                <w:sz w:val="16"/>
              </w:rPr>
              <w:t>Dealbreaker</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“For the avoidance of doubt, indemnification obligations under Section 10 are subject to and included within the aggregate liability cap.” Only exclusions: confidentiality breaches; willful misconduct or fraud.</w:t>
      </w:r>
    </w:p>
    <w:p>
      <w:pPr>
        <w:spacing w:after="60"/>
      </w:pPr>
      <w:r>
        <w:rPr>
          <w:b/>
        </w:rPr>
        <w:t xml:space="preserve">Engagement Letter: </w:t>
      </w:r>
      <w:r>
        <w:rPr>
          <w:i w:val="0"/>
        </w:rPr>
        <w:t>Cap does not apply to “(A) a Party’s indemnification obligations under Section 9.1,” confidentiality breaches, or willful misconduct or fraud. The consequential damages waiver also does not apply to these carve-outs.</w:t>
      </w:r>
    </w:p>
    <w:p>
      <w:pPr>
        <w:spacing w:after="60"/>
      </w:pPr>
      <w:r>
        <w:rPr>
          <w:b/>
        </w:rPr>
        <w:t xml:space="preserve">Analysis: </w:t>
      </w:r>
      <w:r>
        <w:rPr>
          <w:i w:val="0"/>
        </w:rPr>
        <w:t>The indemnity is mutual in form but asymmetric in substance. Stellarion contributes the core licensed technology, which Helix will distribute worldwide across roughly 3,400 enterprise customers, so Stellarion’s IP indemnity is the obligation most likely to be called. Removing it from the cap and from the consequential damages waiver exposes Stellarion to unlimited liability, including customers’ consequential losses passed through as third-party claims, in exchange for a $12.5 million upfront fee. For a company with $67.3 million ARR, a single significant patent assertion against Helix’s installed base could exceed Stellarion’s total consideration under the deal.</w:t>
      </w:r>
    </w:p>
    <w:p>
      <w:pPr>
        <w:spacing w:after="60"/>
      </w:pPr>
      <w:r>
        <w:rPr>
          <w:i w:val="0"/>
        </w:rPr>
        <w:t>The Term Sheet language was explicit (“for the avoidance of doubt … included within”), so this is a direct reversal of a negotiated point, not a gap-fill.</w:t>
      </w:r>
    </w:p>
    <w:p>
      <w:r>
        <w:rPr>
          <w:b/>
        </w:rPr>
        <w:t xml:space="preserve">Recommended action / position: </w:t>
      </w:r>
      <w:r>
        <w:rPr>
          <w:i w:val="0"/>
        </w:rPr>
        <w:t>Reject. Restore: indemnification obligations are subject to and included within the aggregate cap. If Helix insists on separate treatment, at most consider a separate IP indemnity super-cap no higher than the $25 million general cap, with customary exclusions and remedies (D-37).</w:t>
      </w:r>
    </w:p>
    <w:p>
      <w:pPr>
        <w:pStyle w:val="Heading3"/>
      </w:pPr>
      <w:r>
        <w:t>D-36  Aggregate liability cap reduced from $25,000,000 to $20,000,000</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§11 / EL §9.2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$25,000,000 aggregate cap per party.</w:t>
      </w:r>
    </w:p>
    <w:p>
      <w:pPr>
        <w:spacing w:after="60"/>
      </w:pPr>
      <w:r>
        <w:rPr>
          <w:b/>
        </w:rPr>
        <w:t xml:space="preserve">Engagement Letter: </w:t>
      </w:r>
      <w:r>
        <w:rPr>
          <w:i w:val="0"/>
        </w:rPr>
        <w:t>$20,000,000 aggregate cap per party.</w:t>
      </w:r>
    </w:p>
    <w:p>
      <w:pPr>
        <w:spacing w:after="60"/>
      </w:pPr>
      <w:r>
        <w:rPr>
          <w:b/>
        </w:rPr>
        <w:t xml:space="preserve">Analysis: </w:t>
      </w:r>
      <w:r>
        <w:rPr>
          <w:i w:val="0"/>
        </w:rPr>
        <w:t>With indemnity carved out (D-35), a lower cap mainly limits what Stellarion can recover from Helix (for misuse outside the field, non-compete breach, unauthorized sublicensing, non-payment) while Stellarion’s own largest exposure (indemnity) is uncapped; the combination is doubly adverse. As drafted, Helix’s unpaid fees and royalties could also count toward the cap.</w:t>
      </w:r>
    </w:p>
    <w:p>
      <w:r>
        <w:rPr>
          <w:b/>
        </w:rPr>
        <w:t xml:space="preserve">Recommended action / position: </w:t>
      </w:r>
      <w:r>
        <w:rPr>
          <w:i w:val="0"/>
        </w:rPr>
        <w:t>Restore $25,000,000 and provide that Helix’s payment obligations (upfront fee, royalties, minimum royalty) are neither limited by nor counted toward the cap.</w:t>
      </w:r>
    </w:p>
    <w:p>
      <w:pPr>
        <w:pStyle w:val="Heading3"/>
      </w:pPr>
      <w:r>
        <w:t>D-37  Indemnity scope broadened (“infringes, misappropriates, or otherwise violates”; “arising out of or relating to”; successors and assigns) without customary IP indemnity exclusions or remedies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§10 / EL §9.1</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Indemnity for third-party claims “arising from alleged infringement of intellectual property rights by the indemnifying party’s Background IP”; procedures to be set out in the Definitive Agreement; subject to the cap.</w:t>
      </w:r>
    </w:p>
    <w:p>
      <w:pPr>
        <w:spacing w:after="60"/>
      </w:pPr>
      <w:r>
        <w:rPr>
          <w:b/>
        </w:rPr>
        <w:t xml:space="preserve">Engagement Letter: </w:t>
      </w:r>
      <w:r>
        <w:rPr>
          <w:i w:val="0"/>
        </w:rPr>
        <w:t>Indemnity for Losses “arising out of or relating to any claim that the Indemnifying Party’s Background IP, as contributed to or utilized in the arrangement … infringes, misappropriates, or otherwise violates” third-party IP; Indemnified Parties include successors and assigns. No exclusions; no mitigation remedies.</w:t>
      </w:r>
    </w:p>
    <w:p>
      <w:pPr>
        <w:spacing w:after="60"/>
      </w:pPr>
      <w:r>
        <w:rPr>
          <w:b/>
        </w:rPr>
        <w:t xml:space="preserve">Analysis: </w:t>
      </w:r>
      <w:r>
        <w:rPr>
          <w:i w:val="0"/>
        </w:rPr>
        <w:t>Adding misappropriation and “otherwise violates” broadens Stellarion’s exposure beyond infringement, and “as … utilized in the arrangement” extends cover to EdgeAI as integrated, modified and combined by Helix. The letter omits standard licensor protections: no indemnity for claims caused by (a) Helix modifications (Helix has a modification right under EL §4.1), (b) combination with Helix Edge Runtime or other non-Stellarion technology, (c) use outside the Licensed Field or in breach, or (d) continued use after Stellarion supplies a non-infringing update; and no right for Stellarion to procure a license, modify or replace, or terminate and refund as its remedy. Coverage of “successors and assigns” matters given the free M&amp;A assignment right (D-54).</w:t>
      </w:r>
    </w:p>
    <w:p>
      <w:r>
        <w:rPr>
          <w:b/>
        </w:rPr>
        <w:t xml:space="preserve">Recommended action / position: </w:t>
      </w:r>
      <w:r>
        <w:rPr>
          <w:i w:val="0"/>
        </w:rPr>
        <w:t>Limit to infringement or misappropriation by EdgeAI as delivered by Stellarion and used in accordance with the Agreement; add customary exclusions and procure/modify/replace/terminate remedies; keep within the cap (D-35).</w:t>
      </w:r>
    </w:p>
    <w:p>
      <w:pPr>
        <w:pStyle w:val="Heading3"/>
      </w:pPr>
      <w:r>
        <w:t>D-38  Indemnification procedures added (prompt notice with prejudice standard; control of defense; settlement consent)</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§10 / EL §9.1</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Standard procedures to be set out in the Definitive Agreement.</w:t>
      </w:r>
    </w:p>
    <w:p>
      <w:pPr>
        <w:spacing w:after="60"/>
      </w:pPr>
      <w:r>
        <w:rPr>
          <w:b/>
        </w:rPr>
        <w:t xml:space="preserve">Engagement Letter: </w:t>
      </w:r>
      <w:r>
        <w:rPr>
          <w:i w:val="0"/>
        </w:rPr>
        <w:t>Prompt notice (failure excuses only to the extent of material prejudice); indemnitor controls defense with counsel reasonably acceptable to the indemnitee; indemnitee “shall cooperate fully”; no settlement imposing obligations or lacking a full release without consent.</w:t>
      </w:r>
    </w:p>
    <w:p>
      <w:pPr>
        <w:spacing w:after="60"/>
      </w:pPr>
      <w:r>
        <w:rPr>
          <w:b/>
        </w:rPr>
        <w:t xml:space="preserve">Analysis: </w:t>
      </w:r>
      <w:r>
        <w:rPr>
          <w:i w:val="0"/>
        </w:rPr>
        <w:t>Market-standard and mutual. Minor refinements: cooperation at the indemnitor’s expense; a clearer standard for approval of defense counsel.</w:t>
      </w:r>
    </w:p>
    <w:p>
      <w:r>
        <w:rPr>
          <w:b/>
        </w:rPr>
        <w:t xml:space="preserve">Recommended action / position: </w:t>
      </w:r>
      <w:r>
        <w:rPr>
          <w:i w:val="0"/>
        </w:rPr>
        <w:t>Accept with minor refinements.</w:t>
      </w:r>
    </w:p>
    <w:p>
      <w:pPr>
        <w:pStyle w:val="Heading3"/>
      </w:pPr>
      <w:r>
        <w:t>D-39  Consequential damages waiver expressly covers lost profits and revenue, with no carve-out for license scope, field-of-use, non-compete, sublicensing or payment breaches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§11 / EL §9.2 (second paragraph)</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Mutual waiver of indirect, incidental, consequential, special or punitive damages. Cap exclusions: confidentiality; willful misconduct or fraud.</w:t>
      </w:r>
    </w:p>
    <w:p>
      <w:pPr>
        <w:spacing w:after="60"/>
      </w:pPr>
      <w:r>
        <w:rPr>
          <w:b/>
        </w:rPr>
        <w:t xml:space="preserve">Engagement Letter: </w:t>
      </w:r>
      <w:r>
        <w:rPr>
          <w:i w:val="0"/>
        </w:rPr>
        <w:t>Waiver adds “exemplary” damages and expressly “loss of profits, loss of revenue, loss of data, loss of business opportunity, or loss of goodwill”; excepted only for the cap carve-outs (indemnity, confidentiality, willful misconduct or fraud).</w:t>
      </w:r>
    </w:p>
    <w:p>
      <w:pPr>
        <w:spacing w:after="60"/>
      </w:pPr>
      <w:r>
        <w:rPr>
          <w:b/>
        </w:rPr>
        <w:t xml:space="preserve">Analysis: </w:t>
      </w:r>
      <w:r>
        <w:rPr>
          <w:i w:val="0"/>
        </w:rPr>
        <w:t>Stellarion’s principal damages if Helix deploys EdgeAI in supply chain optimization, breaches the non-compete or sublicenses without consent would be lost profits in its core market. Expressly waiving lost profits and lost business opportunity would bar most of that recovery, leaving injunctive relief, which the exclusive arbitration clause itself makes uncertain (D-53). The Term Sheet waiver had the same basic architecture, so part of this is a gap common to both documents, but the express listing of lost profits makes the Engagement Letter materially worse.</w:t>
      </w:r>
    </w:p>
    <w:p>
      <w:r>
        <w:rPr>
          <w:b/>
        </w:rPr>
        <w:t xml:space="preserve">Recommended action / position: </w:t>
      </w:r>
      <w:r>
        <w:rPr>
          <w:i w:val="0"/>
        </w:rPr>
        <w:t>Carve out from both the cap and the waiver: (i) use of EdgeAI or Joint IP outside the scope of the license (including the Excluded Field); (ii) breach of the non-compete and sublicensing restrictions; (iii) infringement or misappropriation of the other party’s IP; (iv) payment obligations.</w:t>
      </w:r>
    </w:p>
    <w:p>
      <w:pPr>
        <w:pStyle w:val="Heading2"/>
      </w:pPr>
      <w:r>
        <w:t>H. Confidentiality</w:t>
      </w:r>
    </w:p>
    <w:p>
      <w:pPr>
        <w:pStyle w:val="Heading3"/>
      </w:pPr>
      <w:r>
        <w:t>D-40  Confidentiality survival cut from 3 years to 2 years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§14 (Binding) / EL §10.2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Survives three years after expiration or termination of the Definitive Agreement.</w:t>
      </w:r>
    </w:p>
    <w:p>
      <w:pPr>
        <w:spacing w:after="60"/>
      </w:pPr>
      <w:r>
        <w:rPr>
          <w:b/>
        </w:rPr>
        <w:t xml:space="preserve">Engagement Letter: </w:t>
      </w:r>
      <w:r>
        <w:rPr>
          <w:i w:val="0"/>
        </w:rPr>
        <w:t>Survives two years after expiration or termination of “this Agreement.”</w:t>
      </w:r>
    </w:p>
    <w:p>
      <w:pPr>
        <w:spacing w:after="60"/>
      </w:pPr>
      <w:r>
        <w:rPr>
          <w:b/>
        </w:rPr>
        <w:t xml:space="preserve">Analysis: </w:t>
      </w:r>
      <w:r>
        <w:rPr>
          <w:i w:val="0"/>
        </w:rPr>
        <w:t>Helix will receive EdgeAI technical information and co-develop alongside Stellarion engineers. A two-year tail is short for trade secrets in transformer-based ML architectures, and a contractual confidentiality obligation that expires can undercut the “reasonable measures” element of trade secret protection. The clock also runs from termination of the Engagement Letter itself, which could end soon (on supersession or 60 days’ notice).</w:t>
      </w:r>
    </w:p>
    <w:p>
      <w:r>
        <w:rPr>
          <w:b/>
        </w:rPr>
        <w:t xml:space="preserve">Recommended action / position: </w:t>
      </w:r>
      <w:r>
        <w:rPr>
          <w:i w:val="0"/>
        </w:rPr>
        <w:t>Restore three years minimum; trade secrets and source code protected for as long as they remain trade secrets; clarify that supersession by the Definitive Agreement does not start or end the tail.</w:t>
      </w:r>
    </w:p>
    <w:p>
      <w:pPr>
        <w:pStyle w:val="Heading3"/>
      </w:pPr>
      <w:r>
        <w:t>D-41  “Confidential Information” narrowed (designated or reasonably understood as confidential); exceptions loosened; permitted recipients expanded to consultants and contractors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§14 / EL §3 (“Confidential Information”), §10.1</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Mixed (net 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All non-public technical, business, financial and other information disclosed in connection with the transactions, in any form. Prior-knowledge exception requires evidence by written records; public-domain exception requires no breach by the recipient. Disclosure to employees, directors, advisors and professional representatives with a need to know.</w:t>
      </w:r>
    </w:p>
    <w:p>
      <w:pPr>
        <w:spacing w:after="60"/>
      </w:pPr>
      <w:r>
        <w:rPr>
          <w:b/>
        </w:rPr>
        <w:t xml:space="preserve">Engagement Letter: </w:t>
      </w:r>
      <w:r>
        <w:rPr>
          <w:i w:val="0"/>
        </w:rPr>
        <w:t>Information “designated as confidential or that … reasonably should be understood to be confidential”; prior-knowledge exception without written records; public-domain exception “through no fault”; disclosure also to “officers, … consultants, and contractors” bound by written obligations; compelled disclosure exception added; agreement terms expressly confidential.</w:t>
      </w:r>
    </w:p>
    <w:p>
      <w:pPr>
        <w:spacing w:after="60"/>
      </w:pPr>
      <w:r>
        <w:rPr>
          <w:b/>
        </w:rPr>
        <w:t xml:space="preserve">Analysis: </w:t>
      </w:r>
      <w:r>
        <w:rPr>
          <w:i w:val="0"/>
        </w:rPr>
        <w:t>The marking/reasonable-understanding test is common but narrower than “all non-public information” and shifts the burden to Stellarion in a dispute. Dropping the written-records requirement makes the prior-knowledge exception easier for Helix to invoke against EdgeAI information. Permitting disclosure to consultants and contractors lets EdgeAI information reach third parties (possibly ones who also work for Stellarion competitors). The compelled disclosure exception, confidentiality of agreement terms and written-obligation requirement for recipients are acceptable or favorable.</w:t>
      </w:r>
    </w:p>
    <w:p>
      <w:r>
        <w:rPr>
          <w:b/>
        </w:rPr>
        <w:t xml:space="preserve">Recommended action / position: </w:t>
      </w:r>
      <w:r>
        <w:rPr>
          <w:i w:val="0"/>
        </w:rPr>
        <w:t>Restore the Term Sheet definition (or deem EdgeAI technical information, source code and Stellarion roadmaps confidential regardless of marking); restore the written-records requirement; disclosure of EdgeAI technical information to contractors only with Stellarion’s prior consent; each party liable for its recipients.</w:t>
      </w:r>
    </w:p>
    <w:p>
      <w:pPr>
        <w:pStyle w:val="Heading3"/>
      </w:pPr>
      <w:r>
        <w:t>D-42  New use restriction, standard of care and return/destruction obligations (one archival copy permitted)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§14 / EL §10.1</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Stellarion</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Non-disclosure only; no express use restriction.</w:t>
      </w:r>
    </w:p>
    <w:p>
      <w:pPr>
        <w:spacing w:after="60"/>
      </w:pPr>
      <w:r>
        <w:rPr>
          <w:b/>
        </w:rPr>
        <w:t xml:space="preserve">Engagement Letter: </w:t>
      </w:r>
      <w:r>
        <w:rPr>
          <w:i w:val="0"/>
        </w:rPr>
        <w:t>No use except to perform obligations or exercise rights; at least the care used for own information (no less than reasonable); return or destroy at the discloser’s election with certification; one archival copy for legal and compliance purposes.</w:t>
      </w:r>
    </w:p>
    <w:p>
      <w:pPr>
        <w:spacing w:after="60"/>
      </w:pPr>
      <w:r>
        <w:rPr>
          <w:b/>
        </w:rPr>
        <w:t xml:space="preserve">Analysis: </w:t>
      </w:r>
      <w:r>
        <w:rPr>
          <w:i w:val="0"/>
        </w:rPr>
        <w:t>Favorable to Stellarion as the main discloser. The archival-copy exception should exclude source code and EdgeAI technical materials.</w:t>
      </w:r>
    </w:p>
    <w:p>
      <w:r>
        <w:rPr>
          <w:b/>
        </w:rPr>
        <w:t xml:space="preserve">Recommended action / position: </w:t>
      </w:r>
      <w:r>
        <w:rPr>
          <w:i w:val="0"/>
        </w:rPr>
        <w:t>Accept, excluding source code and EdgeAI technical documentation from the archival copy right.</w:t>
      </w:r>
    </w:p>
    <w:p>
      <w:pPr>
        <w:pStyle w:val="Heading2"/>
      </w:pPr>
      <w:r>
        <w:t>I. Termination</w:t>
      </w:r>
    </w:p>
    <w:p>
      <w:pPr>
        <w:pStyle w:val="Heading3"/>
      </w:pPr>
      <w:r>
        <w:t>D-43  Breach termination: 30-day notice running concurrently with a 30-day cure (about 30 days) instead of 60-day notice plus 30-day cure (90 days); double materiality qualifier</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§12.1 / EL §11.1</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Mixed</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60 days’ written notice; 30-day cure period; termination effective at the end of the cure period, “i.e., ninety (90) days total from delivery of the initial notice of breach.”</w:t>
      </w:r>
    </w:p>
    <w:p>
      <w:pPr>
        <w:spacing w:after="60"/>
      </w:pPr>
      <w:r>
        <w:rPr>
          <w:b/>
        </w:rPr>
        <w:t xml:space="preserve">Engagement Letter: </w:t>
      </w:r>
      <w:r>
        <w:rPr>
          <w:i w:val="0"/>
        </w:rPr>
        <w:t>Termination on 30 days’ prior written notice for “a material breach … of any material provision,” if uncured 30 days after receipt of notice.</w:t>
      </w:r>
    </w:p>
    <w:p>
      <w:pPr>
        <w:spacing w:after="60"/>
      </w:pPr>
      <w:r>
        <w:rPr>
          <w:b/>
        </w:rPr>
        <w:t xml:space="preserve">Analysis: </w:t>
      </w:r>
      <w:r>
        <w:rPr>
          <w:i w:val="0"/>
        </w:rPr>
        <w:t>The timeline compresses from about 90 days to about 30. Because the right is mutual, it cuts both ways: Stellarion could terminate faster for Helix breaches (non-payment, field-of-use violations), but Helix could also terminate quickly (for example over a Meridian dispute) shortly after Stellarion has deposited source code and committed development resources. The double qualifier (“material breach” of a “material provision”) raises the bar to terminate and is generally unhelpful to a licensor.</w:t>
      </w:r>
    </w:p>
    <w:p>
      <w:pPr>
        <w:spacing w:after="60"/>
      </w:pPr>
      <w:r>
        <w:rPr>
          <w:i w:val="0"/>
        </w:rPr>
        <w:t>Term Sheet drafting note: TS §12.1 is internally inconsistent. A 30-day cure running “following receipt of such notice” expires on day 30, not day 90; the parenthetical shows the intended reading (60-day notice period followed by a 30-day cure). The Definitive Agreement should state the mechanics unambiguously.</w:t>
      </w:r>
    </w:p>
    <w:p>
      <w:r>
        <w:rPr>
          <w:b/>
        </w:rPr>
        <w:t xml:space="preserve">Recommended action / position: </w:t>
      </w:r>
      <w:r>
        <w:rPr>
          <w:i w:val="0"/>
        </w:rPr>
        <w:t>Split regime: (i) payment defaults: 15 to 30 day cure, then termination; (ii) breaches of the field-of-use, sublicensing, confidentiality or non-compete provisions: 30 days if curable, immediate if not curable or willful; (iii) other material breaches: the Term Sheet 90-day framework. Delete “of any material provision.”</w:t>
      </w:r>
    </w:p>
    <w:p>
      <w:pPr>
        <w:pStyle w:val="Heading3"/>
      </w:pPr>
      <w:r>
        <w:t>D-44  Insolvency termination: 60-day dismissal window for involuntary petitions; “general” assignment; “all or a substantial portion” of assets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§12.2 / EL §11.2</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Immediate termination on insolvency, bankruptcy petition (voluntary or involuntary), assignment for the benefit of creditors, or receiver for substantially all assets.</w:t>
      </w:r>
    </w:p>
    <w:p>
      <w:pPr>
        <w:spacing w:after="60"/>
      </w:pPr>
      <w:r>
        <w:rPr>
          <w:b/>
        </w:rPr>
        <w:t xml:space="preserve">Engagement Letter: </w:t>
      </w:r>
      <w:r>
        <w:rPr>
          <w:i w:val="0"/>
        </w:rPr>
        <w:t>Same triggers, but involuntary petitions count only if not dismissed within 60 days; receiver trigger extends to “all or a substantial portion” of assets.</w:t>
      </w:r>
    </w:p>
    <w:p>
      <w:pPr>
        <w:spacing w:after="60"/>
      </w:pPr>
      <w:r>
        <w:rPr>
          <w:b/>
        </w:rPr>
        <w:t xml:space="preserve">Analysis: </w:t>
      </w:r>
      <w:r>
        <w:rPr>
          <w:i w:val="0"/>
        </w:rPr>
        <w:t>Market-standard and mutual. Ipso facto termination rights may be unenforceable against a debtor under the U.S. Bankruptcy Code, and Helix as licensee would have rights under 11 U.S.C. §365(n) if Stellarion were the debtor; neither point is a reason to reject the clause.</w:t>
      </w:r>
    </w:p>
    <w:p>
      <w:r>
        <w:rPr>
          <w:b/>
        </w:rPr>
        <w:t xml:space="preserve">Recommended action / position: </w:t>
      </w:r>
      <w:r>
        <w:rPr>
          <w:i w:val="0"/>
        </w:rPr>
        <w:t>Accept.</w:t>
      </w:r>
    </w:p>
    <w:p>
      <w:pPr>
        <w:pStyle w:val="Heading3"/>
      </w:pPr>
      <w:r>
        <w:t>D-45  New 90-day Wind-Down Period on any expiration or termination (including for Helix breach); royalties on wind-down sales not addressed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§12.3(a), (b) / EL §11.3</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License ends “subject to any wind-down period to be agreed upon in the Definitive Agreement”; Helix “shall immediately cease” all use, reproduction and distribution.</w:t>
      </w:r>
    </w:p>
    <w:p>
      <w:pPr>
        <w:spacing w:after="60"/>
      </w:pPr>
      <w:r>
        <w:rPr>
          <w:b/>
        </w:rPr>
        <w:t xml:space="preserve">Engagement Letter: </w:t>
      </w:r>
      <w:r>
        <w:rPr>
          <w:i w:val="0"/>
        </w:rPr>
        <w:t>Helix must cease use within 90 days and may continue distribution during that period to fulfil orders accepted before termination; applies to termination “for any reason.”</w:t>
      </w:r>
    </w:p>
    <w:p>
      <w:pPr>
        <w:spacing w:after="60"/>
      </w:pPr>
      <w:r>
        <w:rPr>
          <w:b/>
        </w:rPr>
        <w:t xml:space="preserve">Analysis: </w:t>
      </w:r>
      <w:r>
        <w:rPr>
          <w:i w:val="0"/>
        </w:rPr>
        <w:t>A 90-day wind-down is not unusual, but (i) it applies even where Stellarion terminates for Helix’s breach, including field-of-use or sublicensing violations; (ii) Running Royalties are payable “during the License Term” (EL §5.2), so Helix may argue no royalty is owed on wind-down sales; and (iii) existing customer deployments are not addressed.</w:t>
      </w:r>
    </w:p>
    <w:p>
      <w:r>
        <w:rPr>
          <w:b/>
        </w:rPr>
        <w:t xml:space="preserve">Recommended action / position: </w:t>
      </w:r>
      <w:r>
        <w:rPr>
          <w:i w:val="0"/>
        </w:rPr>
        <w:t>Wind-down only for expiration or termination other than for Helix’s breach; royalties expressly payable on all wind-down revenue; no new customers; all license restrictions, including the Excluded Field, continue to apply.</w:t>
      </w:r>
    </w:p>
    <w:p>
      <w:pPr>
        <w:pStyle w:val="Heading3"/>
      </w:pPr>
      <w:r>
        <w:t>D-46  Survival list omits Joint IP (§6.3), reservation of rights (§4.3), wind-down terms and escrow post-release limits (§12); lists §9 and §9.2 redundantly</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§12.3 / EL §11.3</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Ambiguous</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Accrued payments, non-compete and confidentiality survive.</w:t>
      </w:r>
    </w:p>
    <w:p>
      <w:pPr>
        <w:spacing w:after="60"/>
      </w:pPr>
      <w:r>
        <w:rPr>
          <w:b/>
        </w:rPr>
        <w:t xml:space="preserve">Engagement Letter: </w:t>
      </w:r>
      <w:r>
        <w:rPr>
          <w:i w:val="0"/>
        </w:rPr>
        <w:t>Survival of §§3, 5 (accrued payments only), 7, 9, 9.2, 10 (subject to §10.2), 15, 16.</w:t>
      </w:r>
    </w:p>
    <w:p>
      <w:pPr>
        <w:spacing w:after="60"/>
      </w:pPr>
      <w:r>
        <w:rPr>
          <w:b/>
        </w:rPr>
        <w:t xml:space="preserve">Analysis: </w:t>
      </w:r>
      <w:r>
        <w:rPr>
          <w:i w:val="0"/>
        </w:rPr>
        <w:t>Beyond the non-compete (D-31), the list omits the Joint IP provisions (which must survive for ownership and, once restored, for the sublicensing consent requirement), the reservation of rights, the limits on released escrow materials, and royalties on wind-down sales. Because the Definitive Agreement “shall supersede this Engagement Letter in its entirety” (EL §14), the parties should also confirm that accrued rights and obligations carry over.</w:t>
      </w:r>
    </w:p>
    <w:p>
      <w:r>
        <w:rPr>
          <w:b/>
        </w:rPr>
        <w:t xml:space="preserve">Recommended action / position: </w:t>
      </w:r>
      <w:r>
        <w:rPr>
          <w:i w:val="0"/>
        </w:rPr>
        <w:t>Add §4.3, §6.3, §8.1, §11.3 (wind-down), §12 (post-release limits) and royalties on wind-down sales to the survival list.</w:t>
      </w:r>
    </w:p>
    <w:p>
      <w:pPr>
        <w:pStyle w:val="Heading2"/>
      </w:pPr>
      <w:r>
        <w:t>J. Source Code Escrow</w:t>
      </w:r>
    </w:p>
    <w:p>
      <w:pPr>
        <w:pStyle w:val="Heading3"/>
      </w:pPr>
      <w:r>
        <w:t>D-47  Source code deposit due within 30 days of the Engagement Letter Effective Date (before the Definitive Agreement and before any payment)</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§13 / EL §12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Reject</w:t>
            </w:r>
          </w:p>
        </w:tc>
      </w:tr>
    </w:tbl>
    <w:p>
      <w:pPr>
        <w:spacing w:after="60" w:before="80"/>
      </w:pPr>
      <w:r>
        <w:rPr>
          <w:b/>
        </w:rPr>
        <w:t xml:space="preserve">Term Sheet: </w:t>
      </w:r>
      <w:r>
        <w:rPr>
          <w:i w:val="0"/>
        </w:rPr>
        <w:t>Three-party escrow agreement “to be executed contemporaneously with the Definitive Agreement.”</w:t>
      </w:r>
    </w:p>
    <w:p>
      <w:pPr>
        <w:spacing w:after="60"/>
      </w:pPr>
      <w:r>
        <w:rPr>
          <w:b/>
        </w:rPr>
        <w:t xml:space="preserve">Engagement Letter: </w:t>
      </w:r>
      <w:r>
        <w:rPr>
          <w:i w:val="0"/>
        </w:rPr>
        <w:t>Deposit within 30 days following the Effective Date (the Engagement Letter date) under a three-party agreement “to be entered into”; costs shared equally.</w:t>
      </w:r>
    </w:p>
    <w:p>
      <w:pPr>
        <w:spacing w:after="60"/>
      </w:pPr>
      <w:r>
        <w:rPr>
          <w:b/>
        </w:rPr>
        <w:t xml:space="preserve">Analysis: </w:t>
      </w:r>
      <w:r>
        <w:rPr>
          <w:i w:val="0"/>
        </w:rPr>
        <w:t>Stellarion would have to place its crown-jewel source code, build scripts, tools and documentation in escrow for Helix’s benefit before a Definitive Agreement exists, before Helix pays anything, and possibly before the escrow agreement terms are settled. If the Definitive Agreement fails, Stellarion would have to unwind the deposit.</w:t>
      </w:r>
    </w:p>
    <w:p>
      <w:r>
        <w:rPr>
          <w:b/>
        </w:rPr>
        <w:t xml:space="preserve">Recommended action / position: </w:t>
      </w:r>
      <w:r>
        <w:rPr>
          <w:i w:val="0"/>
        </w:rPr>
        <w:t>Deposit within 30 days after the later of execution of the Definitive Agreement and the three-party escrow agreement and receipt of the first upfront installment.</w:t>
      </w:r>
    </w:p>
    <w:p>
      <w:pPr>
        <w:pStyle w:val="Heading3"/>
      </w:pPr>
      <w:r>
        <w:t>D-48  Release conditions changed: insolvency trigger narrowed to bankruptcy filings; uncured material breach trigger deleted; discontinuation trigger redefined (no 12-month cessation period, but a successor-product cure added)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§13(a)–(c) / EL §12</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Mixed (net Stellarion)</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Release only on (a) bankruptcy or insolvency as described in TS §12.2; (b) Stellarion material breach uncured after notice and cure; (c) discontinuation, meaning Stellarion ceases to actively develop, maintain and support EdgeAI for a continuous period of 12 months or more.</w:t>
      </w:r>
    </w:p>
    <w:p>
      <w:pPr>
        <w:spacing w:after="60"/>
      </w:pPr>
      <w:r>
        <w:rPr>
          <w:b/>
        </w:rPr>
        <w:t xml:space="preserve">Engagement Letter: </w:t>
      </w:r>
      <w:r>
        <w:rPr>
          <w:i w:val="0"/>
        </w:rPr>
        <w:t>Release only on (a) a Stellarion bankruptcy filing, or an involuntary petition not dismissed within 60 days; or (b) Stellarion “discontinues the Stellarion EdgeAI™ product line and fails to provide a commercially reasonable successor product within one hundred twenty (120) days.”</w:t>
      </w:r>
    </w:p>
    <w:p>
      <w:pPr>
        <w:spacing w:after="60"/>
      </w:pPr>
      <w:r>
        <w:rPr>
          <w:b/>
        </w:rPr>
        <w:t xml:space="preserve">Analysis: </w:t>
      </w:r>
      <w:r>
        <w:rPr>
          <w:i w:val="0"/>
        </w:rPr>
        <w:t>Deleting the breach trigger and narrowing the insolvency trigger favor Stellarion and should be accepted. The discontinuation trigger is mixed: the successor-product cure helps Stellarion, but the objective 12-month cessation test is replaced by an undefined “discontinues the … product line,” which Helix could try to apply to end-of-life of a version or a rebranding, with release possible after only 120 days.</w:t>
      </w:r>
    </w:p>
    <w:p>
      <w:r>
        <w:rPr>
          <w:b/>
        </w:rPr>
        <w:t xml:space="preserve">Recommended action / position: </w:t>
      </w:r>
      <w:r>
        <w:rPr>
          <w:i w:val="0"/>
        </w:rPr>
        <w:t>Accept (a) and the deletion of the breach trigger; for discontinuation, combine both protections: release only if Stellarion ceases to actively develop, maintain and support EdgeAI for a continuous 12 months and does not make available a commercially reasonable successor product.</w:t>
      </w:r>
    </w:p>
    <w:p>
      <w:pPr>
        <w:pStyle w:val="Heading3"/>
      </w:pPr>
      <w:r>
        <w:t>D-49  Escrow scope and mechanics: build materials included; updates only with each major release; written verification; costs shared equally; post-release license for internal maintenance only</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§13 / EL §12</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Mixed (net Stellarion)</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Deposit source code “and all updates thereto”; deposit frequency, verification and release procedures to be in the escrow agreement.</w:t>
      </w:r>
    </w:p>
    <w:p>
      <w:pPr>
        <w:spacing w:after="60"/>
      </w:pPr>
      <w:r>
        <w:rPr>
          <w:b/>
        </w:rPr>
        <w:t xml:space="preserve">Engagement Letter: </w:t>
      </w:r>
      <w:r>
        <w:rPr>
          <w:i w:val="0"/>
        </w:rPr>
        <w:t>Escrowed Materials include build scripts, libraries, tools and documentation; updates with each major release; written verification; costs borne equally; after release, a non-exclusive, non-transferable license for internal maintenance and support only, with no distribution or sublicensing of source code.</w:t>
      </w:r>
    </w:p>
    <w:p>
      <w:pPr>
        <w:spacing w:after="60"/>
      </w:pPr>
      <w:r>
        <w:rPr>
          <w:b/>
        </w:rPr>
        <w:t xml:space="preserve">Analysis: </w:t>
      </w:r>
      <w:r>
        <w:rPr>
          <w:i w:val="0"/>
        </w:rPr>
        <w:t>Major-release-only updates reduce Stellarion’s burden compared with “all updates,” and the post-release limits are favorable. Equal cost sharing is a new allocation (the beneficiary customarily pays). The post-release license should confirm that field-of-use, confidentiality and royalty obligations continue.</w:t>
      </w:r>
    </w:p>
    <w:p>
      <w:r>
        <w:rPr>
          <w:b/>
        </w:rPr>
        <w:t xml:space="preserve">Recommended action / position: </w:t>
      </w:r>
      <w:r>
        <w:rPr>
          <w:i w:val="0"/>
        </w:rPr>
        <w:t>Accept; propose that Helix bear escrow fees; released materials remain Stellarion Confidential Information subject to the Licensed Field and continuing royalties.</w:t>
      </w:r>
    </w:p>
    <w:p>
      <w:pPr>
        <w:pStyle w:val="Heading2"/>
      </w:pPr>
      <w:r>
        <w:t>K. Representations and Warranties</w:t>
      </w:r>
    </w:p>
    <w:p>
      <w:pPr>
        <w:pStyle w:val="Heading3"/>
      </w:pPr>
      <w:r>
        <w:t>D-50  New representations and warranties (including Stellarion sole ownership, knowledge-qualified non-infringement and no-claims representations) and disclaimer</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§16 (reps to Definitive Agreement) / EL §13</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 (asymmetric)</w:t>
            </w:r>
          </w:p>
        </w:tc>
        <w:tc>
          <w:tcPr>
            <w:tcW w:type="dxa" w:w="2016"/>
          </w:tcPr>
          <w:p>
            <w:pPr>
              <w:spacing w:after="0"/>
            </w:pPr>
            <w:r/>
            <w:r>
              <w:rPr>
                <w:b/>
                <w:sz w:val="16"/>
              </w:rPr>
              <w:t xml:space="preserve">Action: </w:t>
            </w:r>
            <w:r>
              <w:rPr>
                <w:sz w:val="16"/>
              </w:rPr>
              <w:t>Flag for further discussion</w:t>
            </w:r>
          </w:p>
        </w:tc>
      </w:tr>
    </w:tbl>
    <w:p>
      <w:pPr>
        <w:spacing w:after="60" w:before="80"/>
      </w:pPr>
      <w:r>
        <w:rPr>
          <w:b/>
        </w:rPr>
        <w:t xml:space="preserve">Term Sheet: </w:t>
      </w:r>
      <w:r>
        <w:rPr>
          <w:i w:val="0"/>
        </w:rPr>
        <w:t>Representations and warranties to be included in the Definitive Agreement.</w:t>
      </w:r>
    </w:p>
    <w:p>
      <w:pPr>
        <w:spacing w:after="60"/>
      </w:pPr>
      <w:r>
        <w:rPr>
          <w:b/>
        </w:rPr>
        <w:t xml:space="preserve">Engagement Letter: </w:t>
      </w:r>
      <w:r>
        <w:rPr>
          <w:i w:val="0"/>
        </w:rPr>
        <w:t>Mutual organization and authority reps; Stellarion: sole owner of EdgeAI free and clear of liens, non-infringing to its knowledge, no pending or (to its knowledge) threatened claims, full right to grant; Helix: owns Helix Edge Runtime, non-infringing to its knowledge, has resources for Meridian. Broad disclaimer.</w:t>
      </w:r>
    </w:p>
    <w:p>
      <w:pPr>
        <w:spacing w:after="60"/>
      </w:pPr>
      <w:r>
        <w:rPr>
          <w:b/>
        </w:rPr>
        <w:t xml:space="preserve">Analysis: </w:t>
      </w:r>
      <w:r>
        <w:rPr>
          <w:i w:val="0"/>
        </w:rPr>
        <w:t>The Stellarion representations are not unreasonable in principle, but they are given now, in an interim letter, and are asymmetric (Helix gives no no-claims or full-right representation). Before signing, Stellarion should confirm: (i) no lender liens or security interests over its IP (a routine IP security interest under a credit facility would breach a “free and clear” representation); (ii) open source and third-party components in EdgeAI (“sole and exclusive owner of all right, title, and interest” is inaccurate if EdgeAI includes licensed components); and (iii) no existing license, exclusivity or MFN granted to anyone else conflicts with the Helix grant (mutual rep 13.1(d)). The disclaimer helps Stellarion and should be kept.</w:t>
      </w:r>
    </w:p>
    <w:p>
      <w:r>
        <w:rPr>
          <w:b/>
        </w:rPr>
        <w:t xml:space="preserve">Recommended action / position: </w:t>
      </w:r>
      <w:r>
        <w:rPr>
          <w:i w:val="0"/>
        </w:rPr>
        <w:t>Move substantive IP representations to the Definitive Agreement; if given now, qualify them by a disclosure schedule, limit “sole owner” to Stellarion-developed components, disclose liens and open source, and make the no-claims representation mutual.</w:t>
      </w:r>
    </w:p>
    <w:p>
      <w:pPr>
        <w:pStyle w:val="Heading2"/>
      </w:pPr>
      <w:r>
        <w:t>L. Definitive Agreement</w:t>
      </w:r>
    </w:p>
    <w:p>
      <w:pPr>
        <w:pStyle w:val="Heading3"/>
      </w:pPr>
      <w:r>
        <w:t>D-51  Definitive Agreement to include new categories: warranty terms, service levels, support and maintenance, data security, insurance</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§16 / EL §14</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Additional customary provisions, “including representations and warranties, conditions to closing, and such other terms as the parties may agree.”</w:t>
      </w:r>
    </w:p>
    <w:p>
      <w:pPr>
        <w:spacing w:after="60"/>
      </w:pPr>
      <w:r>
        <w:rPr>
          <w:b/>
        </w:rPr>
        <w:t xml:space="preserve">Engagement Letter: </w:t>
      </w:r>
      <w:r>
        <w:rPr>
          <w:i w:val="0"/>
        </w:rPr>
        <w:t>Additional terms “customary for transactions of this nature, including without limitation … warranty terms, service level commitments, support and maintenance obligations, data security requirements, insurance provisions.”</w:t>
      </w:r>
    </w:p>
    <w:p>
      <w:pPr>
        <w:spacing w:after="60"/>
      </w:pPr>
      <w:r>
        <w:rPr>
          <w:b/>
        </w:rPr>
        <w:t xml:space="preserve">Analysis: </w:t>
      </w:r>
      <w:r>
        <w:rPr>
          <w:i w:val="0"/>
        </w:rPr>
        <w:t>Listing service levels, support and maintenance as agreed categories signals that Stellarion will owe operational support commitments the Term Sheet economics did not price. Helix will cite this binding text to argue that Stellarion agreed in principle to provide them.</w:t>
      </w:r>
    </w:p>
    <w:p>
      <w:r>
        <w:rPr>
          <w:b/>
        </w:rPr>
        <w:t xml:space="preserve">Recommended action / position: </w:t>
      </w:r>
      <w:r>
        <w:rPr>
          <w:i w:val="0"/>
        </w:rPr>
        <w:t>Replace with “such additional terms as the Parties may mutually agree,” and state that any Stellarion support, maintenance or service level obligations will be subject to separate agreement and fees.</w:t>
      </w:r>
    </w:p>
    <w:p>
      <w:pPr>
        <w:pStyle w:val="Heading2"/>
      </w:pPr>
      <w:r>
        <w:t>M. Governing Law and Dispute Resolution</w:t>
      </w:r>
    </w:p>
    <w:p>
      <w:pPr>
        <w:pStyle w:val="Heading3"/>
      </w:pPr>
      <w:r>
        <w:t>D-52  Arbitration mechanics: arbitrators selected under JAMS rules rather than the Term Sheet party-appointment timetable; expertise requirement; arbitrability delegated; confidentiality added; English language omitted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§15 (Binding) / EL §15</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Delaware law; JAMS; seat Wilmington; three arbitrators: each party appoints one within 30 days and the two appoint the third within 15 days; English language.</w:t>
      </w:r>
    </w:p>
    <w:p>
      <w:pPr>
        <w:spacing w:after="60"/>
      </w:pPr>
      <w:r>
        <w:rPr>
          <w:b/>
        </w:rPr>
        <w:t xml:space="preserve">Engagement Letter: </w:t>
      </w:r>
      <w:r>
        <w:rPr>
          <w:i w:val="0"/>
        </w:rPr>
        <w:t>Delaware law; JAMS Comprehensive Rules; seat Wilmington; three arbitrators “selected in accordance with the applicable JAMS rules”; technology licensing expertise; arbitrability for the arbitrators; confidential proceedings.</w:t>
      </w:r>
    </w:p>
    <w:p>
      <w:pPr>
        <w:spacing w:after="60"/>
      </w:pPr>
      <w:r>
        <w:rPr>
          <w:b/>
        </w:rPr>
        <w:t xml:space="preserve">Analysis: </w:t>
      </w:r>
      <w:r>
        <w:rPr>
          <w:i w:val="0"/>
        </w:rPr>
        <w:t>Core terms (Delaware law, JAMS, Wilmington, three arbitrators) are preserved. The party-appointment timetable gives way to JAMS default selection; the confidentiality and expertise additions are acceptable. Restoring the Term Sheet selection mechanics and English language is a simple conforming change.</w:t>
      </w:r>
    </w:p>
    <w:p>
      <w:r>
        <w:rPr>
          <w:b/>
        </w:rPr>
        <w:t xml:space="preserve">Recommended action / position: </w:t>
      </w:r>
      <w:r>
        <w:rPr>
          <w:i w:val="0"/>
        </w:rPr>
        <w:t>Restore the Term Sheet selection mechanics and English language; accept the confidentiality, expertise and delegation language.</w:t>
      </w:r>
    </w:p>
    <w:p>
      <w:pPr>
        <w:pStyle w:val="Heading3"/>
      </w:pPr>
      <w:r>
        <w:t>D-53  No carve-out for injunctive relief in court; Steering Committee “dispute resolution” overlaps with arbitration (a gap in both documents)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§15 / EL §15.2, §6.1</w:t>
            </w:r>
          </w:p>
        </w:tc>
        <w:tc>
          <w:tcPr>
            <w:tcW w:type="dxa" w:w="1872"/>
            <w:shd w:val="clear" w:color="auto" w:fill="FFE699"/>
          </w:tcPr>
          <w:p>
            <w:pPr>
              <w:spacing w:after="0"/>
            </w:pPr>
            <w:r/>
            <w:r>
              <w:rPr>
                <w:b/>
                <w:sz w:val="16"/>
              </w:rPr>
              <w:t xml:space="preserve">Severity: </w:t>
            </w:r>
            <w:r>
              <w:rPr>
                <w:sz w:val="16"/>
              </w:rPr>
              <w:t>Moderate</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All disputes to binding JAMS arbitration; no injunctive relief carve-out.</w:t>
      </w:r>
    </w:p>
    <w:p>
      <w:pPr>
        <w:spacing w:after="60"/>
      </w:pPr>
      <w:r>
        <w:rPr>
          <w:b/>
        </w:rPr>
        <w:t xml:space="preserve">Engagement Letter: </w:t>
      </w:r>
      <w:r>
        <w:rPr>
          <w:i w:val="0"/>
        </w:rPr>
        <w:t>All disputes “resolved exclusively by binding arbitration”; no injunctive relief carve-out; Steering Committee charged with resolving co-development disputes.</w:t>
      </w:r>
    </w:p>
    <w:p>
      <w:pPr>
        <w:spacing w:after="60"/>
      </w:pPr>
      <w:r>
        <w:rPr>
          <w:b/>
        </w:rPr>
        <w:t xml:space="preserve">Analysis: </w:t>
      </w:r>
      <w:r>
        <w:rPr>
          <w:i w:val="0"/>
        </w:rPr>
        <w:t>For an IP licensor, the most important remedy for field-of-use, confidentiality, sublicensing and non-compete breaches is a fast injunction. “Exclusively” makes it harder to seek a TRO in court. The gap also exists in the Term Sheet, but it matters more now that the consequential damages waiver would bar most monetary recovery for those breaches (D-39).</w:t>
      </w:r>
    </w:p>
    <w:p>
      <w:r>
        <w:rPr>
          <w:b/>
        </w:rPr>
        <w:t xml:space="preserve">Recommended action / position: </w:t>
      </w:r>
      <w:r>
        <w:rPr>
          <w:i w:val="0"/>
        </w:rPr>
        <w:t>Add that either party may seek temporary, preliminary or permanent injunctive relief in any court of competent jurisdiction to protect its IP or Confidential Information or to enforce §§4.1, 6.3 and 8; acknowledge irreparable harm for such breaches; Steering Committee escalation precedes but does not replace arbitration.</w:t>
      </w:r>
    </w:p>
    <w:p>
      <w:pPr>
        <w:pStyle w:val="Heading2"/>
      </w:pPr>
      <w:r>
        <w:t>N. General Provisions</w:t>
      </w:r>
    </w:p>
    <w:p>
      <w:pPr>
        <w:pStyle w:val="Heading3"/>
      </w:pPr>
      <w:r>
        <w:t>D-54  Assignment: consent “not unreasonably withheld,” and free assignment without consent on a merger, consolidation, reorganization or sale of substantially all assets</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§18 (No Assignment) / EL §16.2</w:t>
            </w:r>
          </w:p>
        </w:tc>
        <w:tc>
          <w:tcPr>
            <w:tcW w:type="dxa" w:w="1872"/>
            <w:shd w:val="clear" w:color="auto" w:fill="F4B183"/>
          </w:tcPr>
          <w:p>
            <w:pPr>
              <w:spacing w:after="0"/>
            </w:pPr>
            <w:r/>
            <w:r>
              <w:rPr>
                <w:b/>
                <w:sz w:val="16"/>
              </w:rPr>
              <w:t xml:space="preserve">Severity: </w:t>
            </w:r>
            <w:r>
              <w:rPr>
                <w:sz w:val="16"/>
              </w:rPr>
              <w:t>Material</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No assignment without the prior written consent of the other party; non-consensual assignment void.</w:t>
      </w:r>
    </w:p>
    <w:p>
      <w:pPr>
        <w:spacing w:after="60"/>
      </w:pPr>
      <w:r>
        <w:rPr>
          <w:b/>
        </w:rPr>
        <w:t xml:space="preserve">Engagement Letter: </w:t>
      </w:r>
      <w:r>
        <w:rPr>
          <w:i w:val="0"/>
        </w:rPr>
        <w:t>Consent not to be unreasonably withheld, conditioned or delayed; either party may assign without consent in a merger, consolidation, reorganization or sale of all or substantially all assets, if the assignee agrees in writing to be bound.</w:t>
      </w:r>
    </w:p>
    <w:p>
      <w:pPr>
        <w:spacing w:after="60"/>
      </w:pPr>
      <w:r>
        <w:rPr>
          <w:b/>
        </w:rPr>
        <w:t xml:space="preserve">Analysis: </w:t>
      </w:r>
      <w:r>
        <w:rPr>
          <w:i w:val="0"/>
        </w:rPr>
        <w:t>The M&amp;A exception lets Helix transfer the EdgeAI license, its Joint IP rights and its escrow rights to an acquirer without Stellarion’s consent, including a Stellarion competitor in supply chain analytics or an ML inference vendor. A change of control of Helix (e.g., a stock acquisition) is not addressed at all. This is a backdoor around the sublicensing and field-of-use protections and the non-compete, since an acquirer’s existing competing engine business would not clearly be bound.</w:t>
      </w:r>
    </w:p>
    <w:p>
      <w:pPr>
        <w:spacing w:after="60"/>
      </w:pPr>
      <w:r>
        <w:rPr>
          <w:i w:val="0"/>
        </w:rPr>
        <w:t>Balancing point: the exception is mutual, and Stellarion, as the smaller company, may value its own freedom to be acquired without Helix’s consent. The recommended fix is therefore targeted rather than a blanket reversion.</w:t>
      </w:r>
    </w:p>
    <w:p>
      <w:r>
        <w:rPr>
          <w:b/>
        </w:rPr>
        <w:t xml:space="preserve">Recommended action / position: </w:t>
      </w:r>
      <w:r>
        <w:rPr>
          <w:i w:val="0"/>
        </w:rPr>
        <w:t>Either restore the Term Sheet (consent required) or, preferably, keep a mutual M&amp;A exception subject to: (i) no assignment by Helix to a Stellarion competitor (defined list or category, including supply chain analytics and ML inference providers) without consent; (ii) a Stellarion right to terminate, with acceleration of unpaid fees, on a Helix change of control in favor of such a competitor; (iii) the license and field limit do not extend to the acquirer’s other businesses, and the non-compete binds the acquirer’s group with respect to the Helix business.</w:t>
      </w:r>
    </w:p>
    <w:p>
      <w:pPr>
        <w:pStyle w:val="Heading3"/>
      </w:pPr>
      <w:r>
        <w:t>D-55  Notices: detailed delivery mechanics; copy to Helix’s counsel but none to Stellarion’s counsel</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§18 (Notices), §3.2 / EL §16.1</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Written notice to the Section 1.1 addresses.</w:t>
      </w:r>
    </w:p>
    <w:p>
      <w:pPr>
        <w:spacing w:after="60"/>
      </w:pPr>
      <w:r>
        <w:rPr>
          <w:b/>
        </w:rPr>
        <w:t xml:space="preserve">Engagement Letter: </w:t>
      </w:r>
      <w:r>
        <w:rPr>
          <w:i w:val="0"/>
        </w:rPr>
        <w:t>Personal delivery, overnight courier or certified mail; Stellarion attention General Counsel; Helix attention General Counsel with a copy to Hargrove, Tilden &amp; Strauss LLP (Rachel Moynihan). No email notice.</w:t>
      </w:r>
    </w:p>
    <w:p>
      <w:pPr>
        <w:spacing w:after="60"/>
      </w:pPr>
      <w:r>
        <w:rPr>
          <w:b/>
        </w:rPr>
        <w:t xml:space="preserve">Analysis: </w:t>
      </w:r>
      <w:r>
        <w:rPr>
          <w:i w:val="0"/>
        </w:rPr>
        <w:t>Conforming change: add a copy to Clearfield Locke LLP (Thomas Whitaker; Emily Chen-Ramirez), 555 Mission Street, 34th Floor, San Francisco, CA 94105. Non-renewal, breach and termination notices are time-critical; consider email with confirmation.</w:t>
      </w:r>
    </w:p>
    <w:p>
      <w:r>
        <w:rPr>
          <w:b/>
        </w:rPr>
        <w:t xml:space="preserve">Recommended action / position: </w:t>
      </w:r>
      <w:r>
        <w:rPr>
          <w:i w:val="0"/>
        </w:rPr>
        <w:t>Add a Clearfield Locke copy; consider email notice with confirmation.</w:t>
      </w:r>
    </w:p>
    <w:p>
      <w:pPr>
        <w:pStyle w:val="Heading3"/>
      </w:pPr>
      <w:r>
        <w:t>D-56  New force majeure clause (payment obligations excluded; includes internet and telecommunications failures; no long-stop termination right)</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 / EL §16.8</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Silent.</w:t>
      </w:r>
    </w:p>
    <w:p>
      <w:pPr>
        <w:spacing w:after="60"/>
      </w:pPr>
      <w:r>
        <w:rPr>
          <w:b/>
        </w:rPr>
        <w:t xml:space="preserve">Engagement Letter: </w:t>
      </w:r>
      <w:r>
        <w:rPr>
          <w:i w:val="0"/>
        </w:rPr>
        <w:t>Mutual excuse for events beyond reasonable control, other than payment obligations; notice and mitigation.</w:t>
      </w:r>
    </w:p>
    <w:p>
      <w:pPr>
        <w:spacing w:after="60"/>
      </w:pPr>
      <w:r>
        <w:rPr>
          <w:b/>
        </w:rPr>
        <w:t xml:space="preserve">Analysis: </w:t>
      </w:r>
      <w:r>
        <w:rPr>
          <w:i w:val="0"/>
        </w:rPr>
        <w:t>Market-standard; the payment carve-out is appropriate. Consider excluding confidentiality, field-of-use, sublicensing and non-compete obligations (which cannot sensibly be excused) and adding a termination right if a force majeure event lasts more than 90 days.</w:t>
      </w:r>
    </w:p>
    <w:p>
      <w:r>
        <w:rPr>
          <w:b/>
        </w:rPr>
        <w:t xml:space="preserve">Recommended action / position: </w:t>
      </w:r>
      <w:r>
        <w:rPr>
          <w:i w:val="0"/>
        </w:rPr>
        <w:t>Accept with those refinements.</w:t>
      </w:r>
    </w:p>
    <w:p>
      <w:pPr>
        <w:pStyle w:val="Heading3"/>
      </w:pPr>
      <w:r>
        <w:t>D-57  New boilerplate: relationship of the parties, severability (with reformation), waiver; counterparts updated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§18 / EL §§16.4–16.7</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Counterparts and amendments only.</w:t>
      </w:r>
    </w:p>
    <w:p>
      <w:pPr>
        <w:spacing w:after="60"/>
      </w:pPr>
      <w:r>
        <w:rPr>
          <w:b/>
        </w:rPr>
        <w:t xml:space="preserve">Engagement Letter: </w:t>
      </w:r>
      <w:r>
        <w:rPr>
          <w:i w:val="0"/>
        </w:rPr>
        <w:t>Severability with good faith replacement; written waivers; counterparts with electronic signatures; independent contractors (no partnership or joint venture).</w:t>
      </w:r>
    </w:p>
    <w:p>
      <w:pPr>
        <w:spacing w:after="60"/>
      </w:pPr>
      <w:r>
        <w:rPr>
          <w:b/>
        </w:rPr>
        <w:t xml:space="preserve">Analysis: </w:t>
      </w:r>
      <w:r>
        <w:rPr>
          <w:i w:val="0"/>
        </w:rPr>
        <w:t>Acceptable. The “no joint venture” statement is useful given the joint development and joint ownership structure. The reformation language could support blue-penciling of the non-compete if it is challenged, which helps Stellarion.</w:t>
      </w:r>
    </w:p>
    <w:p>
      <w:r>
        <w:rPr>
          <w:b/>
        </w:rPr>
        <w:t xml:space="preserve">Recommended action / position: </w:t>
      </w:r>
      <w:r>
        <w:rPr>
          <w:i w:val="0"/>
        </w:rPr>
        <w:t>Accept.</w:t>
      </w:r>
    </w:p>
    <w:p>
      <w:pPr>
        <w:pStyle w:val="Heading3"/>
      </w:pPr>
      <w:r>
        <w:t>D-58  Term Sheet costs and expenses provision not carried forward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§17 (final paragraph) / EL —</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Each party bears its own costs of negotiating the Term Sheet and Definitive Agreement unless otherwise agreed in writing.</w:t>
      </w:r>
    </w:p>
    <w:p>
      <w:pPr>
        <w:spacing w:after="60"/>
      </w:pPr>
      <w:r>
        <w:rPr>
          <w:b/>
        </w:rPr>
        <w:t xml:space="preserve">Engagement Letter: </w:t>
      </w:r>
      <w:r>
        <w:rPr>
          <w:i w:val="0"/>
        </w:rPr>
        <w:t>No provision (and the Term Sheet is superseded).</w:t>
      </w:r>
    </w:p>
    <w:p>
      <w:pPr>
        <w:spacing w:after="60"/>
      </w:pPr>
      <w:r>
        <w:rPr>
          <w:b/>
        </w:rPr>
        <w:t xml:space="preserve">Analysis: </w:t>
      </w:r>
      <w:r>
        <w:rPr>
          <w:i w:val="0"/>
        </w:rPr>
        <w:t>Low risk, but because the Term Sheet is superseded the expense allocation disappears; reinstating it avoids a later claim for transaction costs if the deal fails.</w:t>
      </w:r>
    </w:p>
    <w:p>
      <w:r>
        <w:rPr>
          <w:b/>
        </w:rPr>
        <w:t xml:space="preserve">Recommended action / position: </w:t>
      </w:r>
      <w:r>
        <w:rPr>
          <w:i w:val="0"/>
        </w:rPr>
        <w:t>Reinstate.</w:t>
      </w:r>
    </w:p>
    <w:p>
      <w:pPr>
        <w:pStyle w:val="Heading3"/>
      </w:pPr>
      <w:r>
        <w:t>D-59  Recitals: Helix revenue omitted; Stellarion described as specializing in “predictive analytics and supply chain optimization”; recital that Helix’s counsel prepared the letter</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§1 / EL §2</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Stellarion (useful)</w:t>
            </w:r>
          </w:p>
        </w:tc>
        <w:tc>
          <w:tcPr>
            <w:tcW w:type="dxa" w:w="2016"/>
          </w:tcPr>
          <w:p>
            <w:pPr>
              <w:spacing w:after="0"/>
            </w:pPr>
            <w:r/>
            <w:r>
              <w:rPr>
                <w:b/>
                <w:sz w:val="16"/>
              </w:rPr>
              <w:t xml:space="preserve">Action: </w:t>
            </w:r>
            <w:r>
              <w:rPr>
                <w:sz w:val="16"/>
              </w:rPr>
              <w:t>Accept</w:t>
            </w:r>
          </w:p>
        </w:tc>
      </w:tr>
    </w:tbl>
    <w:p>
      <w:pPr>
        <w:spacing w:after="60" w:before="80"/>
      </w:pPr>
      <w:r>
        <w:rPr>
          <w:b/>
        </w:rPr>
        <w:t xml:space="preserve">Term Sheet: </w:t>
      </w:r>
      <w:r>
        <w:rPr>
          <w:i w:val="0"/>
        </w:rPr>
        <w:t>Stellarion “specializing in predictive analytics for supply chain optimization”; Helix about $1.2 billion revenue and 3,400+ customers.</w:t>
      </w:r>
    </w:p>
    <w:p>
      <w:pPr>
        <w:spacing w:after="60"/>
      </w:pPr>
      <w:r>
        <w:rPr>
          <w:b/>
        </w:rPr>
        <w:t xml:space="preserve">Engagement Letter: </w:t>
      </w:r>
      <w:r>
        <w:rPr>
          <w:i w:val="0"/>
        </w:rPr>
        <w:t>Stellarion “specializing in enterprise artificial intelligence platforms for predictive analytics and supply chain optimization”; Helix about 3,400 customers (revenue omitted); recital that Hargrove, Tilden &amp; Strauss LLP prepared the letter on behalf of Helix.</w:t>
      </w:r>
    </w:p>
    <w:p>
      <w:pPr>
        <w:spacing w:after="60"/>
      </w:pPr>
      <w:r>
        <w:rPr>
          <w:b/>
        </w:rPr>
        <w:t xml:space="preserve">Analysis: </w:t>
      </w:r>
      <w:r>
        <w:rPr>
          <w:i w:val="0"/>
        </w:rPr>
        <w:t>The recital describing Stellarion’s business as predictive analytics is useful evidence against the field-of-use expansion: the letter itself acknowledges that predictive analytics is Stellarion’s core business. The drafter recital supports construing ambiguities against Helix (contra proferentem) and should be kept. Omitting Helix’s revenue figure is immaterial.</w:t>
      </w:r>
    </w:p>
    <w:p>
      <w:r>
        <w:rPr>
          <w:b/>
        </w:rPr>
        <w:t xml:space="preserve">Recommended action / position: </w:t>
      </w:r>
      <w:r>
        <w:rPr>
          <w:i w:val="0"/>
        </w:rPr>
        <w:t>Accept; keep the drafter recital.</w:t>
      </w:r>
    </w:p>
    <w:p>
      <w:pPr>
        <w:pStyle w:val="Heading3"/>
      </w:pPr>
      <w:r>
        <w:t>D-60  Execution status and signature blocks: version received is unsigned; Helix signatory is its CEO (Jonathan Faircloth); Stellarion signs only under “Acknowledged and Agreed”</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signature page / EL signature page</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Neutral</w:t>
            </w:r>
          </w:p>
        </w:tc>
        <w:tc>
          <w:tcPr>
            <w:tcW w:type="dxa" w:w="2016"/>
          </w:tcPr>
          <w:p>
            <w:pPr>
              <w:spacing w:after="0"/>
            </w:pPr>
            <w:r/>
            <w:r>
              <w:rPr>
                <w:b/>
                <w:sz w:val="16"/>
              </w:rPr>
              <w:t xml:space="preserve">Action: </w:t>
            </w:r>
            <w:r>
              <w:rPr>
                <w:sz w:val="16"/>
              </w:rPr>
              <w:t>Flag for further discussion</w:t>
            </w:r>
          </w:p>
        </w:tc>
      </w:tr>
    </w:tbl>
    <w:p>
      <w:pPr>
        <w:spacing w:after="60" w:before="80"/>
      </w:pPr>
      <w:r>
        <w:rPr>
          <w:b/>
        </w:rPr>
        <w:t xml:space="preserve">Term Sheet: </w:t>
      </w:r>
      <w:r>
        <w:rPr>
          <w:i w:val="0"/>
        </w:rPr>
        <w:t>Signed by Priya Ranganathan (CEO) and Allison Kemper (SVP, Corporate Development), acknowledged by both General Counsel.</w:t>
      </w:r>
    </w:p>
    <w:p>
      <w:pPr>
        <w:spacing w:after="60"/>
      </w:pPr>
      <w:r>
        <w:rPr>
          <w:b/>
        </w:rPr>
        <w:t xml:space="preserve">Engagement Letter: </w:t>
      </w:r>
      <w:r>
        <w:rPr>
          <w:i w:val="0"/>
        </w:rPr>
        <w:t>Signature and date lines blank for both parties; Helix to sign by Jonathan Faircloth (CEO); Stellarion under “Acknowledged and Agreed”; no General Counsel acknowledgment.</w:t>
      </w:r>
    </w:p>
    <w:p>
      <w:pPr>
        <w:spacing w:after="60"/>
      </w:pPr>
      <w:r>
        <w:rPr>
          <w:b/>
        </w:rPr>
        <w:t xml:space="preserve">Analysis: </w:t>
      </w:r>
      <w:r>
        <w:rPr>
          <w:i w:val="0"/>
        </w:rPr>
        <w:t>The GC’s email describes the attachment as an “executed draft” in PDF; the version provided to us is a Word document with blank signature and date lines for both parties. We should confirm that it is identical to the PDF Rachel Moynihan circulated and that no one at Stellarion has signed. Stellarion should sign as a full party, not merely acknowledge Helix’s letter.</w:t>
      </w:r>
    </w:p>
    <w:p>
      <w:r>
        <w:rPr>
          <w:b/>
        </w:rPr>
        <w:t xml:space="preserve">Recommended action / position: </w:t>
      </w:r>
      <w:r>
        <w:rPr>
          <w:i w:val="0"/>
        </w:rPr>
        <w:t>Confirm version identity and that nothing has been signed; revise the signature block so both parties sign as parties.</w:t>
      </w:r>
    </w:p>
    <w:p>
      <w:pPr>
        <w:pStyle w:val="Heading3"/>
      </w:pPr>
      <w:r>
        <w:t>D-61  “Stellarion EdgeAI™” defined to include all updates, upgrades, patches and successive versions made available during the License Term</w:t>
      </w:r>
    </w:p>
    <w:tbl>
      <w:tblPr>
        <w:tblStyle w:val="TableGrid"/>
        <w:tblW w:type="auto" w:w="0"/>
        <w:tblLayout w:type="fixed"/>
        <w:tblLook w:firstColumn="1" w:firstRow="1" w:lastColumn="0" w:lastRow="0" w:noHBand="0" w:noVBand="1" w:val="04A0"/>
      </w:tblPr>
      <w:tblGrid>
        <w:gridCol w:w="3456"/>
        <w:gridCol w:w="1872"/>
        <w:gridCol w:w="2015"/>
        <w:gridCol w:w="2015"/>
      </w:tblGrid>
      <w:tr>
        <w:tc>
          <w:tcPr>
            <w:tcW w:type="dxa" w:w="3456"/>
          </w:tcPr>
          <w:p>
            <w:pPr>
              <w:spacing w:after="0"/>
            </w:pPr>
            <w:r/>
            <w:r>
              <w:rPr>
                <w:b/>
                <w:sz w:val="16"/>
              </w:rPr>
              <w:t xml:space="preserve">Reference: </w:t>
            </w:r>
            <w:r>
              <w:rPr>
                <w:sz w:val="16"/>
              </w:rPr>
              <w:t>TS — / EL §3</w:t>
            </w:r>
          </w:p>
        </w:tc>
        <w:tc>
          <w:tcPr>
            <w:tcW w:type="dxa" w:w="1872"/>
            <w:shd w:val="clear" w:color="auto" w:fill="E2EFDA"/>
          </w:tcPr>
          <w:p>
            <w:pPr>
              <w:spacing w:after="0"/>
            </w:pPr>
            <w:r/>
            <w:r>
              <w:rPr>
                <w:b/>
                <w:sz w:val="16"/>
              </w:rPr>
              <w:t xml:space="preserve">Severity: </w:t>
            </w:r>
            <w:r>
              <w:rPr>
                <w:sz w:val="16"/>
              </w:rPr>
              <w:t>Minor</w:t>
            </w:r>
          </w:p>
        </w:tc>
        <w:tc>
          <w:tcPr>
            <w:tcW w:type="dxa" w:w="2016"/>
          </w:tcPr>
          <w:p>
            <w:pPr>
              <w:spacing w:after="0"/>
            </w:pPr>
            <w:r/>
            <w:r>
              <w:rPr>
                <w:b/>
                <w:sz w:val="16"/>
              </w:rPr>
              <w:t xml:space="preserve">Favors: </w:t>
            </w:r>
            <w:r>
              <w:rPr>
                <w:sz w:val="16"/>
              </w:rPr>
              <w:t>Helix</w:t>
            </w:r>
          </w:p>
        </w:tc>
        <w:tc>
          <w:tcPr>
            <w:tcW w:type="dxa" w:w="2016"/>
          </w:tcPr>
          <w:p>
            <w:pPr>
              <w:spacing w:after="0"/>
            </w:pPr>
            <w:r/>
            <w:r>
              <w:rPr>
                <w:b/>
                <w:sz w:val="16"/>
              </w:rPr>
              <w:t xml:space="preserve">Action: </w:t>
            </w:r>
            <w:r>
              <w:rPr>
                <w:sz w:val="16"/>
              </w:rPr>
              <w:t>Negotiate</w:t>
            </w:r>
          </w:p>
        </w:tc>
      </w:tr>
    </w:tbl>
    <w:p>
      <w:pPr>
        <w:spacing w:after="60" w:before="80"/>
      </w:pPr>
      <w:r>
        <w:rPr>
          <w:b/>
        </w:rPr>
        <w:t xml:space="preserve">Term Sheet: </w:t>
      </w:r>
      <w:r>
        <w:rPr>
          <w:i w:val="0"/>
        </w:rPr>
        <w:t>Not defined.</w:t>
      </w:r>
    </w:p>
    <w:p>
      <w:pPr>
        <w:spacing w:after="60"/>
      </w:pPr>
      <w:r>
        <w:rPr>
          <w:b/>
        </w:rPr>
        <w:t xml:space="preserve">Engagement Letter: </w:t>
      </w:r>
      <w:r>
        <w:rPr>
          <w:i w:val="0"/>
        </w:rPr>
        <w:t>Includes “all updates, upgrades, patches, and successive versions thereof made available by Stellarion during the License Term.”</w:t>
      </w:r>
    </w:p>
    <w:p>
      <w:pPr>
        <w:spacing w:after="60"/>
      </w:pPr>
      <w:r>
        <w:rPr>
          <w:b/>
        </w:rPr>
        <w:t xml:space="preserve">Analysis: </w:t>
      </w:r>
      <w:r>
        <w:rPr>
          <w:i w:val="0"/>
        </w:rPr>
        <w:t>Combined with the escrow update obligation, Helix may argue the definition implies an obligation to deliver all future versions (including next-generation products) at no extra fee. “Made available” helps but is ambiguous (made available to whom?).</w:t>
      </w:r>
    </w:p>
    <w:p>
      <w:r>
        <w:rPr>
          <w:b/>
        </w:rPr>
        <w:t xml:space="preserve">Recommended action / position: </w:t>
      </w:r>
      <w:r>
        <w:rPr>
          <w:i w:val="0"/>
        </w:rPr>
        <w:t>Clarify that the license covers updates Stellarion elects to deliver to Helix under the Definitive Agreement support terms, and that new products are excluded unless agreed.</w:t>
      </w:r>
    </w:p>
    <w:p>
      <w:pPr>
        <w:pStyle w:val="Heading1"/>
      </w:pPr>
      <w:r>
        <w:t>VI. Quantified Financial Impact (Stellarion perspective)</w:t>
      </w:r>
    </w:p>
    <w:p>
      <w:r>
        <w:rPr>
          <w:i/>
        </w:rPr>
        <w:t>All figures come from the two documents. Items marked “illustrative” depend on assumptions stated in the row and are not projections.</w:t>
      </w:r>
    </w:p>
    <w:tbl>
      <w:tblPr>
        <w:tblStyle w:val="TableGrid"/>
        <w:tblW w:type="auto" w:w="0"/>
        <w:tblLayout w:type="fixed"/>
        <w:tblLook w:firstColumn="1" w:firstRow="1" w:lastColumn="0" w:lastRow="0" w:noHBand="0" w:noVBand="1" w:val="04A0"/>
      </w:tblPr>
      <w:tblGrid>
        <w:gridCol w:w="2880"/>
        <w:gridCol w:w="2160"/>
        <w:gridCol w:w="2160"/>
        <w:gridCol w:w="2160"/>
      </w:tblGrid>
      <w:tr>
        <w:trPr>
          <w:tblHeader w:val="true"/>
        </w:trPr>
        <w:tc>
          <w:tcPr>
            <w:tcW w:type="dxa" w:w="2880"/>
            <w:shd w:val="clear" w:color="auto" w:fill="1F3A5F"/>
          </w:tcPr>
          <w:p>
            <w:pPr>
              <w:spacing w:after="0"/>
            </w:pPr>
            <w:r/>
            <w:r>
              <w:rPr>
                <w:b/>
                <w:color w:val="FFFFFF"/>
                <w:sz w:val="17"/>
              </w:rPr>
              <w:t>Item</w:t>
            </w:r>
          </w:p>
        </w:tc>
        <w:tc>
          <w:tcPr>
            <w:tcW w:type="dxa" w:w="2160"/>
            <w:shd w:val="clear" w:color="auto" w:fill="1F3A5F"/>
          </w:tcPr>
          <w:p>
            <w:pPr>
              <w:spacing w:after="0"/>
            </w:pPr>
            <w:r/>
            <w:r>
              <w:rPr>
                <w:b/>
                <w:color w:val="FFFFFF"/>
                <w:sz w:val="17"/>
              </w:rPr>
              <w:t>Term Sheet</w:t>
            </w:r>
          </w:p>
        </w:tc>
        <w:tc>
          <w:tcPr>
            <w:tcW w:type="dxa" w:w="2160"/>
            <w:shd w:val="clear" w:color="auto" w:fill="1F3A5F"/>
          </w:tcPr>
          <w:p>
            <w:pPr>
              <w:spacing w:after="0"/>
            </w:pPr>
            <w:r/>
            <w:r>
              <w:rPr>
                <w:b/>
                <w:color w:val="FFFFFF"/>
                <w:sz w:val="17"/>
              </w:rPr>
              <w:t>Engagement Letter</w:t>
            </w:r>
          </w:p>
        </w:tc>
        <w:tc>
          <w:tcPr>
            <w:tcW w:type="dxa" w:w="2160"/>
            <w:shd w:val="clear" w:color="auto" w:fill="1F3A5F"/>
          </w:tcPr>
          <w:p>
            <w:pPr>
              <w:spacing w:after="0"/>
            </w:pPr>
            <w:r/>
            <w:r>
              <w:rPr>
                <w:b/>
                <w:color w:val="FFFFFF"/>
                <w:sz w:val="17"/>
              </w:rPr>
              <w:t>Impact on Stellarion</w:t>
            </w:r>
          </w:p>
        </w:tc>
      </w:tr>
      <w:tr>
        <w:tc>
          <w:tcPr>
            <w:tcW w:type="dxa" w:w="2880"/>
          </w:tcPr>
          <w:p>
            <w:pPr>
              <w:spacing w:after="0"/>
            </w:pPr>
            <w:r/>
            <w:r>
              <w:rPr>
                <w:b/>
                <w:sz w:val="17"/>
              </w:rPr>
              <w:t>Upfront fee due at Definitive Agreement signing</w:t>
            </w:r>
          </w:p>
        </w:tc>
        <w:tc>
          <w:tcPr>
            <w:tcW w:type="dxa" w:w="2160"/>
          </w:tcPr>
          <w:p>
            <w:pPr>
              <w:spacing w:after="0"/>
            </w:pPr>
            <w:r/>
            <w:r>
              <w:rPr>
                <w:b w:val="0"/>
                <w:sz w:val="17"/>
              </w:rPr>
              <w:t>$7,500,000 (upon execution)</w:t>
            </w:r>
          </w:p>
        </w:tc>
        <w:tc>
          <w:tcPr>
            <w:tcW w:type="dxa" w:w="2160"/>
          </w:tcPr>
          <w:p>
            <w:pPr>
              <w:spacing w:after="0"/>
            </w:pPr>
            <w:r/>
            <w:r>
              <w:rPr>
                <w:b w:val="0"/>
                <w:sz w:val="17"/>
              </w:rPr>
              <w:t>$6,250,000 (within 10 business days)</w:t>
            </w:r>
          </w:p>
        </w:tc>
        <w:tc>
          <w:tcPr>
            <w:tcW w:type="dxa" w:w="2160"/>
          </w:tcPr>
          <w:p>
            <w:pPr>
              <w:spacing w:after="0"/>
            </w:pPr>
            <w:r/>
            <w:r>
              <w:rPr>
                <w:b w:val="0"/>
                <w:sz w:val="17"/>
              </w:rPr>
              <w:t>($1,250,000) deferred six months; approx. ($48,000) time value at an illustrative 8%</w:t>
            </w:r>
          </w:p>
        </w:tc>
      </w:tr>
      <w:tr>
        <w:tc>
          <w:tcPr>
            <w:tcW w:type="dxa" w:w="2880"/>
          </w:tcPr>
          <w:p>
            <w:pPr>
              <w:spacing w:after="0"/>
            </w:pPr>
            <w:r/>
            <w:r>
              <w:rPr>
                <w:b/>
                <w:sz w:val="17"/>
              </w:rPr>
              <w:t>Upfront fee at credit risk (6-month installment)</w:t>
            </w:r>
          </w:p>
        </w:tc>
        <w:tc>
          <w:tcPr>
            <w:tcW w:type="dxa" w:w="2160"/>
          </w:tcPr>
          <w:p>
            <w:pPr>
              <w:spacing w:after="0"/>
            </w:pPr>
            <w:r/>
            <w:r>
              <w:rPr>
                <w:b w:val="0"/>
                <w:sz w:val="17"/>
              </w:rPr>
              <w:t>$5,000,000</w:t>
            </w:r>
          </w:p>
        </w:tc>
        <w:tc>
          <w:tcPr>
            <w:tcW w:type="dxa" w:w="2160"/>
          </w:tcPr>
          <w:p>
            <w:pPr>
              <w:spacing w:after="0"/>
            </w:pPr>
            <w:r/>
            <w:r>
              <w:rPr>
                <w:b w:val="0"/>
                <w:sz w:val="17"/>
              </w:rPr>
              <w:t>$6,250,000</w:t>
            </w:r>
          </w:p>
        </w:tc>
        <w:tc>
          <w:tcPr>
            <w:tcW w:type="dxa" w:w="2160"/>
          </w:tcPr>
          <w:p>
            <w:pPr>
              <w:spacing w:after="0"/>
            </w:pPr>
            <w:r/>
            <w:r>
              <w:rPr>
                <w:b w:val="0"/>
                <w:sz w:val="17"/>
              </w:rPr>
              <w:t>+$1,250,000 exposure to Helix credit</w:t>
            </w:r>
          </w:p>
        </w:tc>
      </w:tr>
      <w:tr>
        <w:tc>
          <w:tcPr>
            <w:tcW w:type="dxa" w:w="2880"/>
          </w:tcPr>
          <w:p>
            <w:pPr>
              <w:spacing w:after="0"/>
            </w:pPr>
            <w:r/>
            <w:r>
              <w:rPr>
                <w:b/>
                <w:sz w:val="17"/>
              </w:rPr>
              <w:t>Minimum annual royalty (per Royalty Year)</w:t>
            </w:r>
          </w:p>
        </w:tc>
        <w:tc>
          <w:tcPr>
            <w:tcW w:type="dxa" w:w="2160"/>
          </w:tcPr>
          <w:p>
            <w:pPr>
              <w:spacing w:after="0"/>
            </w:pPr>
            <w:r/>
            <w:r>
              <w:rPr>
                <w:b w:val="0"/>
                <w:sz w:val="17"/>
              </w:rPr>
              <w:t>$3,000,000</w:t>
            </w:r>
          </w:p>
        </w:tc>
        <w:tc>
          <w:tcPr>
            <w:tcW w:type="dxa" w:w="2160"/>
          </w:tcPr>
          <w:p>
            <w:pPr>
              <w:spacing w:after="0"/>
            </w:pPr>
            <w:r/>
            <w:r>
              <w:rPr>
                <w:b w:val="0"/>
                <w:sz w:val="17"/>
              </w:rPr>
              <w:t>$2,500,000</w:t>
            </w:r>
          </w:p>
        </w:tc>
        <w:tc>
          <w:tcPr>
            <w:tcW w:type="dxa" w:w="2160"/>
          </w:tcPr>
          <w:p>
            <w:pPr>
              <w:spacing w:after="0"/>
            </w:pPr>
            <w:r/>
            <w:r>
              <w:rPr>
                <w:b w:val="0"/>
                <w:sz w:val="17"/>
              </w:rPr>
              <w:t>($500,000) per year</w:t>
            </w:r>
          </w:p>
        </w:tc>
      </w:tr>
      <w:tr>
        <w:tc>
          <w:tcPr>
            <w:tcW w:type="dxa" w:w="2880"/>
          </w:tcPr>
          <w:p>
            <w:pPr>
              <w:spacing w:after="0"/>
            </w:pPr>
            <w:r/>
            <w:r>
              <w:rPr>
                <w:b/>
                <w:sz w:val="17"/>
              </w:rPr>
              <w:t>Guaranteed floor, Initial Term (Royalty Years 2–5)</w:t>
            </w:r>
          </w:p>
        </w:tc>
        <w:tc>
          <w:tcPr>
            <w:tcW w:type="dxa" w:w="2160"/>
          </w:tcPr>
          <w:p>
            <w:pPr>
              <w:spacing w:after="0"/>
            </w:pPr>
            <w:r/>
            <w:r>
              <w:rPr>
                <w:b w:val="0"/>
                <w:sz w:val="17"/>
              </w:rPr>
              <w:t>$12,000,000</w:t>
            </w:r>
          </w:p>
        </w:tc>
        <w:tc>
          <w:tcPr>
            <w:tcW w:type="dxa" w:w="2160"/>
          </w:tcPr>
          <w:p>
            <w:pPr>
              <w:spacing w:after="0"/>
            </w:pPr>
            <w:r/>
            <w:r>
              <w:rPr>
                <w:b w:val="0"/>
                <w:sz w:val="17"/>
              </w:rPr>
              <w:t>$10,000,000</w:t>
            </w:r>
          </w:p>
        </w:tc>
        <w:tc>
          <w:tcPr>
            <w:tcW w:type="dxa" w:w="2160"/>
          </w:tcPr>
          <w:p>
            <w:pPr>
              <w:spacing w:after="0"/>
            </w:pPr>
            <w:r/>
            <w:r>
              <w:rPr>
                <w:b w:val="0"/>
                <w:sz w:val="17"/>
              </w:rPr>
              <w:t>($2,000,000)</w:t>
            </w:r>
          </w:p>
        </w:tc>
      </w:tr>
      <w:tr>
        <w:tc>
          <w:tcPr>
            <w:tcW w:type="dxa" w:w="2880"/>
          </w:tcPr>
          <w:p>
            <w:pPr>
              <w:spacing w:after="0"/>
            </w:pPr>
            <w:r/>
            <w:r>
              <w:rPr>
                <w:b/>
                <w:sz w:val="17"/>
              </w:rPr>
              <w:t>Guaranteed floor, 9-year term (Royalty Years 2–9)</w:t>
            </w:r>
          </w:p>
        </w:tc>
        <w:tc>
          <w:tcPr>
            <w:tcW w:type="dxa" w:w="2160"/>
          </w:tcPr>
          <w:p>
            <w:pPr>
              <w:spacing w:after="0"/>
            </w:pPr>
            <w:r/>
            <w:r>
              <w:rPr>
                <w:b w:val="0"/>
                <w:sz w:val="17"/>
              </w:rPr>
              <w:t>$24,000,000</w:t>
            </w:r>
          </w:p>
        </w:tc>
        <w:tc>
          <w:tcPr>
            <w:tcW w:type="dxa" w:w="2160"/>
          </w:tcPr>
          <w:p>
            <w:pPr>
              <w:spacing w:after="0"/>
            </w:pPr>
            <w:r/>
            <w:r>
              <w:rPr>
                <w:b w:val="0"/>
                <w:sz w:val="17"/>
              </w:rPr>
              <w:t>$20,000,000</w:t>
            </w:r>
          </w:p>
        </w:tc>
        <w:tc>
          <w:tcPr>
            <w:tcW w:type="dxa" w:w="2160"/>
          </w:tcPr>
          <w:p>
            <w:pPr>
              <w:spacing w:after="0"/>
            </w:pPr>
            <w:r/>
            <w:r>
              <w:rPr>
                <w:b w:val="0"/>
                <w:sz w:val="17"/>
              </w:rPr>
              <w:t>($4,000,000)</w:t>
            </w:r>
          </w:p>
        </w:tc>
      </w:tr>
      <w:tr>
        <w:tc>
          <w:tcPr>
            <w:tcW w:type="dxa" w:w="2880"/>
          </w:tcPr>
          <w:p>
            <w:pPr>
              <w:spacing w:after="0"/>
            </w:pPr>
            <w:r/>
            <w:r>
              <w:rPr>
                <w:b/>
                <w:sz w:val="17"/>
              </w:rPr>
              <w:t>Running royalty base (illustrative: $50M attributable gross revenue; 8% deductions)</w:t>
            </w:r>
          </w:p>
        </w:tc>
        <w:tc>
          <w:tcPr>
            <w:tcW w:type="dxa" w:w="2160"/>
          </w:tcPr>
          <w:p>
            <w:pPr>
              <w:spacing w:after="0"/>
            </w:pPr>
            <w:r/>
            <w:r>
              <w:rPr>
                <w:b w:val="0"/>
                <w:sz w:val="17"/>
              </w:rPr>
              <w:t>4.5% × $46.0M = $2,070,000</w:t>
            </w:r>
          </w:p>
        </w:tc>
        <w:tc>
          <w:tcPr>
            <w:tcW w:type="dxa" w:w="2160"/>
          </w:tcPr>
          <w:p>
            <w:pPr>
              <w:spacing w:after="0"/>
            </w:pPr>
            <w:r/>
            <w:r>
              <w:rPr>
                <w:b w:val="0"/>
                <w:sz w:val="17"/>
              </w:rPr>
              <w:t>4.5% × $50.0M = $2,250,000</w:t>
            </w:r>
          </w:p>
        </w:tc>
        <w:tc>
          <w:tcPr>
            <w:tcW w:type="dxa" w:w="2160"/>
          </w:tcPr>
          <w:p>
            <w:pPr>
              <w:spacing w:after="0"/>
            </w:pPr>
            <w:r/>
            <w:r>
              <w:rPr>
                <w:b w:val="0"/>
                <w:sz w:val="17"/>
              </w:rPr>
              <w:t>+$180,000 per year (favorable)</w:t>
            </w:r>
          </w:p>
        </w:tc>
      </w:tr>
      <w:tr>
        <w:tc>
          <w:tcPr>
            <w:tcW w:type="dxa" w:w="2880"/>
          </w:tcPr>
          <w:p>
            <w:pPr>
              <w:spacing w:after="0"/>
            </w:pPr>
            <w:r/>
            <w:r>
              <w:rPr>
                <w:b/>
                <w:sz w:val="17"/>
              </w:rPr>
              <w:t>Royalty / shortfall / first installment timing</w:t>
            </w:r>
          </w:p>
        </w:tc>
        <w:tc>
          <w:tcPr>
            <w:tcW w:type="dxa" w:w="2160"/>
          </w:tcPr>
          <w:p>
            <w:pPr>
              <w:spacing w:after="0"/>
            </w:pPr>
            <w:r/>
            <w:r>
              <w:rPr>
                <w:b w:val="0"/>
                <w:sz w:val="17"/>
              </w:rPr>
              <w:t>30 days / 30 days / at signing</w:t>
            </w:r>
          </w:p>
        </w:tc>
        <w:tc>
          <w:tcPr>
            <w:tcW w:type="dxa" w:w="2160"/>
          </w:tcPr>
          <w:p>
            <w:pPr>
              <w:spacing w:after="0"/>
            </w:pPr>
            <w:r/>
            <w:r>
              <w:rPr>
                <w:b w:val="0"/>
                <w:sz w:val="17"/>
              </w:rPr>
              <w:t>45 days / 60 days / +10 business days</w:t>
            </w:r>
          </w:p>
        </w:tc>
        <w:tc>
          <w:tcPr>
            <w:tcW w:type="dxa" w:w="2160"/>
          </w:tcPr>
          <w:p>
            <w:pPr>
              <w:spacing w:after="0"/>
            </w:pPr>
            <w:r/>
            <w:r>
              <w:rPr>
                <w:b w:val="0"/>
                <w:sz w:val="17"/>
              </w:rPr>
              <w:t>Slower cash collection throughout the term</w:t>
            </w:r>
          </w:p>
        </w:tc>
      </w:tr>
      <w:tr>
        <w:tc>
          <w:tcPr>
            <w:tcW w:type="dxa" w:w="2880"/>
          </w:tcPr>
          <w:p>
            <w:pPr>
              <w:spacing w:after="0"/>
            </w:pPr>
            <w:r/>
            <w:r>
              <w:rPr>
                <w:b/>
                <w:sz w:val="17"/>
              </w:rPr>
              <w:t>Audit cost-shift threshold</w:t>
            </w:r>
          </w:p>
        </w:tc>
        <w:tc>
          <w:tcPr>
            <w:tcW w:type="dxa" w:w="2160"/>
          </w:tcPr>
          <w:p>
            <w:pPr>
              <w:spacing w:after="0"/>
            </w:pPr>
            <w:r/>
            <w:r>
              <w:rPr>
                <w:b w:val="0"/>
                <w:sz w:val="17"/>
              </w:rPr>
              <w:t>5% underpayment</w:t>
            </w:r>
          </w:p>
        </w:tc>
        <w:tc>
          <w:tcPr>
            <w:tcW w:type="dxa" w:w="2160"/>
          </w:tcPr>
          <w:p>
            <w:pPr>
              <w:spacing w:after="0"/>
            </w:pPr>
            <w:r/>
            <w:r>
              <w:rPr>
                <w:b w:val="0"/>
                <w:sz w:val="17"/>
              </w:rPr>
              <w:t>10% underpayment</w:t>
            </w:r>
          </w:p>
        </w:tc>
        <w:tc>
          <w:tcPr>
            <w:tcW w:type="dxa" w:w="2160"/>
          </w:tcPr>
          <w:p>
            <w:pPr>
              <w:spacing w:after="0"/>
            </w:pPr>
            <w:r/>
            <w:r>
              <w:rPr>
                <w:b w:val="0"/>
                <w:sz w:val="17"/>
              </w:rPr>
              <w:t>Weaker deterrent</w:t>
            </w:r>
          </w:p>
        </w:tc>
      </w:tr>
      <w:tr>
        <w:tc>
          <w:tcPr>
            <w:tcW w:type="dxa" w:w="2880"/>
          </w:tcPr>
          <w:p>
            <w:pPr>
              <w:spacing w:after="0"/>
            </w:pPr>
            <w:r/>
            <w:r>
              <w:rPr>
                <w:b/>
                <w:sz w:val="17"/>
              </w:rPr>
              <w:t>Project Meridian budgeted cost to Stellarion</w:t>
            </w:r>
          </w:p>
        </w:tc>
        <w:tc>
          <w:tcPr>
            <w:tcW w:type="dxa" w:w="2160"/>
          </w:tcPr>
          <w:p>
            <w:pPr>
              <w:spacing w:after="0"/>
            </w:pPr>
            <w:r/>
            <w:r>
              <w:rPr>
                <w:b w:val="0"/>
                <w:sz w:val="17"/>
              </w:rPr>
              <w:t>$3,280,000 (40%)</w:t>
            </w:r>
          </w:p>
        </w:tc>
        <w:tc>
          <w:tcPr>
            <w:tcW w:type="dxa" w:w="2160"/>
          </w:tcPr>
          <w:p>
            <w:pPr>
              <w:spacing w:after="0"/>
            </w:pPr>
            <w:r/>
            <w:r>
              <w:rPr>
                <w:b w:val="0"/>
                <w:sz w:val="17"/>
              </w:rPr>
              <w:t>$3,690,000 (45%)</w:t>
            </w:r>
          </w:p>
        </w:tc>
        <w:tc>
          <w:tcPr>
            <w:tcW w:type="dxa" w:w="2160"/>
          </w:tcPr>
          <w:p>
            <w:pPr>
              <w:spacing w:after="0"/>
            </w:pPr>
            <w:r/>
            <w:r>
              <w:rPr>
                <w:b w:val="0"/>
                <w:sz w:val="17"/>
              </w:rPr>
              <w:t>($410,000)</w:t>
            </w:r>
          </w:p>
        </w:tc>
      </w:tr>
      <w:tr>
        <w:tc>
          <w:tcPr>
            <w:tcW w:type="dxa" w:w="2880"/>
          </w:tcPr>
          <w:p>
            <w:pPr>
              <w:spacing w:after="0"/>
            </w:pPr>
            <w:r/>
            <w:r>
              <w:rPr>
                <w:b/>
                <w:sz w:val="17"/>
              </w:rPr>
              <w:t>Illustrative 25% Meridian overrun ($2,050,000)</w:t>
            </w:r>
          </w:p>
        </w:tc>
        <w:tc>
          <w:tcPr>
            <w:tcW w:type="dxa" w:w="2160"/>
          </w:tcPr>
          <w:p>
            <w:pPr>
              <w:spacing w:after="0"/>
            </w:pPr>
            <w:r/>
            <w:r>
              <w:rPr>
                <w:b w:val="0"/>
                <w:sz w:val="17"/>
              </w:rPr>
              <w:t>Cannot be incurred without Stellarion approval; $820,000 if approved</w:t>
            </w:r>
          </w:p>
        </w:tc>
        <w:tc>
          <w:tcPr>
            <w:tcW w:type="dxa" w:w="2160"/>
          </w:tcPr>
          <w:p>
            <w:pPr>
              <w:spacing w:after="0"/>
            </w:pPr>
            <w:r/>
            <w:r>
              <w:rPr>
                <w:b w:val="0"/>
                <w:sz w:val="17"/>
              </w:rPr>
              <w:t>$922,500 automatic, no approval</w:t>
            </w:r>
          </w:p>
        </w:tc>
        <w:tc>
          <w:tcPr>
            <w:tcW w:type="dxa" w:w="2160"/>
          </w:tcPr>
          <w:p>
            <w:pPr>
              <w:spacing w:after="0"/>
            </w:pPr>
            <w:r/>
            <w:r>
              <w:rPr>
                <w:b w:val="0"/>
                <w:sz w:val="17"/>
              </w:rPr>
              <w:t>Loss of veto; ($102,500) on these assumptions, uncapped</w:t>
            </w:r>
          </w:p>
        </w:tc>
      </w:tr>
      <w:tr>
        <w:tc>
          <w:tcPr>
            <w:tcW w:type="dxa" w:w="2880"/>
          </w:tcPr>
          <w:p>
            <w:pPr>
              <w:spacing w:after="0"/>
            </w:pPr>
            <w:r/>
            <w:r>
              <w:rPr>
                <w:b/>
                <w:sz w:val="17"/>
              </w:rPr>
              <w:t>Aggregate liability cap</w:t>
            </w:r>
          </w:p>
        </w:tc>
        <w:tc>
          <w:tcPr>
            <w:tcW w:type="dxa" w:w="2160"/>
          </w:tcPr>
          <w:p>
            <w:pPr>
              <w:spacing w:after="0"/>
            </w:pPr>
            <w:r/>
            <w:r>
              <w:rPr>
                <w:b w:val="0"/>
                <w:sz w:val="17"/>
              </w:rPr>
              <w:t>$25,000,000; indemnity inside cap</w:t>
            </w:r>
          </w:p>
        </w:tc>
        <w:tc>
          <w:tcPr>
            <w:tcW w:type="dxa" w:w="2160"/>
          </w:tcPr>
          <w:p>
            <w:pPr>
              <w:spacing w:after="0"/>
            </w:pPr>
            <w:r/>
            <w:r>
              <w:rPr>
                <w:b w:val="0"/>
                <w:sz w:val="17"/>
              </w:rPr>
              <w:t>$20,000,000; indemnity uncapped</w:t>
            </w:r>
          </w:p>
        </w:tc>
        <w:tc>
          <w:tcPr>
            <w:tcW w:type="dxa" w:w="2160"/>
          </w:tcPr>
          <w:p>
            <w:pPr>
              <w:spacing w:after="0"/>
            </w:pPr>
            <w:r/>
            <w:r>
              <w:rPr>
                <w:b w:val="0"/>
                <w:sz w:val="17"/>
              </w:rPr>
              <w:t>Lower recovery from Helix; unlimited IP indemnity exposure for Stellarion</w:t>
            </w:r>
          </w:p>
        </w:tc>
      </w:tr>
      <w:tr>
        <w:tc>
          <w:tcPr>
            <w:tcW w:type="dxa" w:w="2880"/>
          </w:tcPr>
          <w:p>
            <w:pPr>
              <w:spacing w:after="0"/>
            </w:pPr>
            <w:r/>
            <w:r>
              <w:rPr>
                <w:b/>
                <w:sz w:val="17"/>
              </w:rPr>
              <w:t>Maximum license term</w:t>
            </w:r>
          </w:p>
        </w:tc>
        <w:tc>
          <w:tcPr>
            <w:tcW w:type="dxa" w:w="2160"/>
          </w:tcPr>
          <w:p>
            <w:pPr>
              <w:spacing w:after="0"/>
            </w:pPr>
            <w:r/>
            <w:r>
              <w:rPr>
                <w:b w:val="0"/>
                <w:sz w:val="17"/>
              </w:rPr>
              <w:t>9 years</w:t>
            </w:r>
          </w:p>
        </w:tc>
        <w:tc>
          <w:tcPr>
            <w:tcW w:type="dxa" w:w="2160"/>
          </w:tcPr>
          <w:p>
            <w:pPr>
              <w:spacing w:after="0"/>
            </w:pPr>
            <w:r/>
            <w:r>
              <w:rPr>
                <w:b w:val="0"/>
                <w:sz w:val="17"/>
              </w:rPr>
              <w:t>11 years</w:t>
            </w:r>
          </w:p>
        </w:tc>
        <w:tc>
          <w:tcPr>
            <w:tcW w:type="dxa" w:w="2160"/>
          </w:tcPr>
          <w:p>
            <w:pPr>
              <w:spacing w:after="0"/>
            </w:pPr>
            <w:r/>
            <w:r>
              <w:rPr>
                <w:b w:val="0"/>
                <w:sz w:val="17"/>
              </w:rPr>
              <w:t>+2 years at 2025 economics</w:t>
            </w:r>
          </w:p>
        </w:tc>
      </w:tr>
    </w:tbl>
    <w:p>
      <w:pPr>
        <w:pStyle w:val="Heading1"/>
      </w:pPr>
      <w:r>
        <w:t>VII. Negotiating Strategy and Tradeable Items</w:t>
      </w:r>
    </w:p>
    <w:p>
      <w:r>
        <w:rPr>
          <w:b/>
        </w:rPr>
        <w:t xml:space="preserve">Framing. </w:t>
      </w:r>
      <w:r>
        <w:rPr>
          <w:i w:val="0"/>
        </w:rPr>
        <w:t>The response should present the redline as conforming the letter to the Term Sheet that both principals signed, not as a reopening of the deal. That framing is strongest if Stellarion applies it consistently. We recommend three tiers:</w:t>
      </w:r>
    </w:p>
    <w:p>
      <w:pPr>
        <w:pStyle w:val="ListBullet"/>
        <w:spacing w:after="60"/>
      </w:pPr>
      <w:r>
        <w:rPr>
          <w:b/>
        </w:rPr>
        <w:t xml:space="preserve">Tier 1, non-negotiable: </w:t>
      </w:r>
      <w:r>
        <w:t>D-2 (present license before payment), D-4 (field of use), D-24 (Joint IP sublicensing), D-35 (uncapped indemnity). Together with the closely related D-1, D-5, D-25, D-28, D-29 to D-31, D-36 and D-47, these should be presented as conditions to signing.</w:t>
      </w:r>
    </w:p>
    <w:p>
      <w:pPr>
        <w:pStyle w:val="ListBullet"/>
        <w:spacing w:after="60"/>
      </w:pPr>
      <w:r>
        <w:rPr>
          <w:b/>
        </w:rPr>
        <w:t xml:space="preserve">Tier 2, restore the Term Sheet: </w:t>
      </w:r>
      <w:r>
        <w:t>Restore the Term Sheet economics and timing: D-9, D-10, D-11, D-13, D-15, D-16, D-17, D-21 to D-23, D-40, D-54. These can be traded only for equivalent value.</w:t>
      </w:r>
    </w:p>
    <w:p>
      <w:pPr>
        <w:pStyle w:val="ListBullet"/>
        <w:spacing w:after="60"/>
      </w:pPr>
      <w:r>
        <w:rPr>
          <w:b/>
        </w:rPr>
        <w:t xml:space="preserve">Tier 3, improve and clarify: </w:t>
      </w:r>
      <w:r>
        <w:t>D-3, D-6, D-20, D-27, D-33, D-37, D-39, D-41, D-43, D-45, D-46, D-48, D-50, D-51, D-53 and the minor conforming items. Here Stellarion should propose specific improved language and accept reasonable middle ground.</w:t>
      </w:r>
    </w:p>
    <w:p>
      <w:r>
        <w:rPr>
          <w:b/>
        </w:rPr>
        <w:t xml:space="preserve">Currency. </w:t>
      </w:r>
      <w:r>
        <w:rPr>
          <w:i w:val="0"/>
        </w:rPr>
        <w:t>The Stellarion-favorable deviations can be offered back as concessions if Helix resists Tier 1 or Tier 2 points: the Gross Revenue base (D-12; most valuable to Stellarion, so offer it last), the 18-month exclusivity (D-32), the escrow trigger narrowing (D-48), and the fixed audit interest rate (D-18). Stellarion should keep the object code limitation (D-7), the reservation of rights (D-8), the use restriction (D-42) and the drafter recital (D-59), which are clarifications rather than economic terms. Reinstating the MFN (D-34) should be presented as Stellarion honoring the Term Sheet package, paired with restoration of the 18-month non-compete.</w:t>
      </w:r>
    </w:p>
    <w:p>
      <w:r>
        <w:rPr>
          <w:b/>
        </w:rPr>
        <w:t xml:space="preserve">Tone. </w:t>
      </w:r>
      <w:r>
        <w:rPr>
          <w:i w:val="0"/>
        </w:rPr>
        <w:t>The deviations are concentrated in the areas that were hardest fought at the Term Sheet stage (field of use, Joint IP, the non-compete package) and in the economic terms. We recommend that the cover note to Ms. Moynihan identify the Tier 1 items by name and ask Hargrove, Tilden &amp; Strauss to confirm whether each departure was intended, without prejudging intent.</w:t>
      </w:r>
    </w:p>
    <w:p>
      <w:pPr>
        <w:pStyle w:val="Heading1"/>
      </w:pPr>
      <w:r>
        <w:t>VIII. Term Sheet Issues and Common Gaps to Address in the Definitive Agreement</w:t>
      </w:r>
    </w:p>
    <w:p>
      <w:pPr>
        <w:pStyle w:val="ListBullet"/>
        <w:spacing w:after="60"/>
      </w:pPr>
      <w:r>
        <w:rPr>
          <w:b/>
        </w:rPr>
        <w:t xml:space="preserve">Cure period arithmetic (TS §12.1). </w:t>
      </w:r>
      <w:r>
        <w:t>The Term Sheet says a 30-day cure runs from receipt of notice but that termination occurs at “ninety (90) days total.” The Definitive Agreement should state the mechanics unambiguously (D-43).</w:t>
      </w:r>
    </w:p>
    <w:p>
      <w:pPr>
        <w:pStyle w:val="ListBullet"/>
        <w:spacing w:after="60"/>
      </w:pPr>
      <w:r>
        <w:rPr>
          <w:b/>
        </w:rPr>
        <w:t xml:space="preserve">Improvements to Background IP. </w:t>
      </w:r>
      <w:r>
        <w:t>Neither document provides that improvements to and derivatives of EdgeAI made during Project Meridian belong to Stellarion. Under the Term Sheet’s broad Co-Developed IP definition, they would be jointly owned (D-25).</w:t>
      </w:r>
    </w:p>
    <w:p>
      <w:pPr>
        <w:pStyle w:val="ListBullet"/>
        <w:spacing w:after="60"/>
      </w:pPr>
      <w:r>
        <w:rPr>
          <w:b/>
        </w:rPr>
        <w:t xml:space="preserve">Remedies for license-scope breaches. </w:t>
      </w:r>
      <w:r>
        <w:t>Neither document carves field-of-use, sublicensing, non-compete or IP misuse breaches out of the consequential damages waiver, and neither preserves court access for injunctive relief (D-39, D-53).</w:t>
      </w:r>
    </w:p>
    <w:p>
      <w:pPr>
        <w:pStyle w:val="ListBullet"/>
        <w:spacing w:after="60"/>
      </w:pPr>
      <w:r>
        <w:rPr>
          <w:b/>
        </w:rPr>
        <w:t xml:space="preserve">Royalty allocation for bundled offerings. </w:t>
      </w:r>
      <w:r>
        <w:t>Neither document explains how revenue “attributable to” EdgeAI is measured when EdgeAI is bundled into Helix Edge Runtime (D-12).</w:t>
      </w:r>
    </w:p>
    <w:p>
      <w:pPr>
        <w:pStyle w:val="ListBullet"/>
        <w:spacing w:after="60"/>
      </w:pPr>
      <w:r>
        <w:rPr>
          <w:b/>
        </w:rPr>
        <w:t xml:space="preserve">MFN mechanics. </w:t>
      </w:r>
      <w:r>
        <w:t>If reinstated, “taken as a whole” needs a definition and exclusions (Part IV.3; Appendix A-3).</w:t>
      </w:r>
    </w:p>
    <w:p>
      <w:pPr>
        <w:pStyle w:val="ListBullet"/>
        <w:spacing w:after="60"/>
      </w:pPr>
      <w:r>
        <w:rPr>
          <w:b/>
        </w:rPr>
        <w:t xml:space="preserve">Restricted Competitor Schedule. </w:t>
      </w:r>
      <w:r>
        <w:t>Stellarion should prepare its proposed list now so that Schedule A can be attached to the Engagement Letter (D-33).</w:t>
      </w:r>
    </w:p>
    <w:p>
      <w:pPr>
        <w:pStyle w:val="ListBullet"/>
        <w:spacing w:after="60"/>
      </w:pPr>
      <w:r>
        <w:rPr>
          <w:b/>
        </w:rPr>
        <w:t xml:space="preserve">Change of control. </w:t>
      </w:r>
      <w:r>
        <w:t>Neither document addresses a change of control of Helix (D-54).</w:t>
      </w:r>
    </w:p>
    <w:p>
      <w:pPr>
        <w:pStyle w:val="ListBullet"/>
        <w:spacing w:after="60"/>
      </w:pPr>
      <w:r>
        <w:rPr>
          <w:b/>
        </w:rPr>
        <w:t xml:space="preserve">Bankruptcy. </w:t>
      </w:r>
      <w:r>
        <w:t>Helix will likely request an express §365(n) acknowledgment in the Definitive Agreement. That is customary and can be accepted if the escrow and field-of-use protections are in place (D-44).</w:t>
      </w:r>
    </w:p>
    <w:p>
      <w:pPr>
        <w:pStyle w:val="Heading1"/>
      </w:pPr>
      <w:r>
        <w:t>IX. Recommended Next Steps</w:t>
      </w:r>
    </w:p>
    <w:p>
      <w:r>
        <w:rPr>
          <w:b/>
        </w:rPr>
        <w:t xml:space="preserve">1. Do not sign. </w:t>
      </w:r>
      <w:r>
        <w:rPr>
          <w:i w:val="0"/>
        </w:rPr>
        <w:t>Stellarion should not countersign the Engagement Letter. Until a conforming letter is signed, it should make no escrow deposit, source code delivery or technical disclosure beyond what TS §14 covers.</w:t>
      </w:r>
    </w:p>
    <w:p>
      <w:r>
        <w:rPr>
          <w:b/>
        </w:rPr>
        <w:t xml:space="preserve">2. Version check (today). </w:t>
      </w:r>
      <w:r>
        <w:rPr>
          <w:i w:val="0"/>
        </w:rPr>
        <w:t>Confirm that the reviewed version matches the PDF circulated by Rachel Moynihan on March 3, 2025, and that nothing has been signed (D-60).</w:t>
      </w:r>
    </w:p>
    <w:p>
      <w:r>
        <w:rPr>
          <w:b/>
        </w:rPr>
        <w:t xml:space="preserve">3. Thursday, March 6 (morning) walkthrough. </w:t>
      </w:r>
      <w:r>
        <w:rPr>
          <w:i w:val="0"/>
        </w:rPr>
        <w:t>Emily Chen-Ramirez to schedule the call. Proposed agenda: (a) the four dealbreakers; (b) the MFN and non-compete decision (Part IV.3); (c) which Stellarion-favorable items to hold or trade; (d) Board messaging.</w:t>
      </w:r>
    </w:p>
    <w:p>
      <w:r>
        <w:rPr>
          <w:b/>
        </w:rPr>
        <w:t xml:space="preserve">4. Board briefing (Friday, March 7). </w:t>
      </w:r>
      <w:r>
        <w:rPr>
          <w:i w:val="0"/>
        </w:rPr>
        <w:t>Suggested message: the Helix draft departs from the signed Term Sheet on the field of use, Joint IP control, indemnity exposure and core economics; management will not sign until it conforms; the timetable to a Definitive Agreement (target May 15, 2025) remains achievable if Helix conforms promptly.</w:t>
      </w:r>
    </w:p>
    <w:p>
      <w:r>
        <w:rPr>
          <w:b/>
        </w:rPr>
        <w:t xml:space="preserve">5. Reservation of rights. </w:t>
      </w:r>
      <w:r>
        <w:rPr>
          <w:i w:val="0"/>
        </w:rPr>
        <w:t>With the redline, send a short letter stating that Stellarion regards the Term Sheet Binding Provisions (§§8, 14, 15) as remaining in full force, and that TS §16 contemplates an engagement letter consistent with the Term Sheet.</w:t>
      </w:r>
    </w:p>
    <w:p>
      <w:r>
        <w:rPr>
          <w:b/>
        </w:rPr>
        <w:t xml:space="preserve">6. Redline and cover note. </w:t>
      </w:r>
      <w:r>
        <w:rPr>
          <w:i w:val="0"/>
        </w:rPr>
        <w:t>Prepare the redline from Parts IV and V and Appendix A for delivery to Hargrove, Tilden &amp; Strauss after the client call.</w:t>
      </w:r>
    </w:p>
    <w:p>
      <w:r>
        <w:rPr>
          <w:b/>
        </w:rPr>
        <w:t xml:space="preserve">7. Internal diligence. </w:t>
      </w:r>
      <w:r>
        <w:rPr>
          <w:i w:val="0"/>
        </w:rPr>
        <w:t>Before giving any representations (D-50): check for liens or security interests over Stellarion IP, the open-source and third-party components in EdgeAI, and any existing licenses, exclusivities or MFNs. Prepare the proposed Restricted Competitor list (D-33).</w:t>
      </w:r>
    </w:p>
    <w:p>
      <w:pPr>
        <w:pStyle w:val="Heading1"/>
      </w:pPr>
      <w:r>
        <w:t>Appendix A — Proposed Markup Language for Key Provisions</w:t>
      </w:r>
    </w:p>
    <w:p>
      <w:r>
        <w:rPr>
          <w:i/>
        </w:rPr>
        <w:t>This language is proposed for the redline and is subject to client review. Bracketed text marks business points or optional additions.</w:t>
      </w:r>
    </w:p>
    <w:p>
      <w:pPr>
        <w:pStyle w:val="Heading2"/>
      </w:pPr>
      <w:r>
        <w:t>A-1  Field of Use (replace the second sentence of EL §4.1)</w:t>
      </w:r>
    </w:p>
    <w:p>
      <w:pPr>
        <w:ind w:left="432"/>
      </w:pPr>
      <w:r>
        <w:rPr>
          <w:i w:val="0"/>
          <w:sz w:val="19"/>
        </w:rPr>
        <w:t>“The license granted hereunder is limited solely to data infrastructure and edge computing applications (the “Licensed Field”). The license expressly excludes supply chain optimization, which constitutes Stellarion’s core market (the “Excluded Field”). Helix shall not, and shall cause its Affiliates and any permitted sublicensees not to, use, market, deploy, distribute or otherwise make available Stellarion EdgeAI™, any product or service incorporating Stellarion EdgeAI™, or any Joint IP, in or for any product, service, or solution directed at supply chain optimization use cases. [For purposes of this Agreement, “supply chain optimization” includes demand forecasting, inventory and replenishment optimization, logistics, transportation and route optimization, warehouse and fulfillment optimization, procurement and supplier-risk analytics, and other predictive analytics applied to supply chain planning or execution.] Any use outside the Licensed Field or within the Excluded Field is outside the scope of the license granted hereunder and constitutes a material breach of this Agreement.”</w:t>
      </w:r>
    </w:p>
    <w:p>
      <w:pPr>
        <w:ind w:left="432"/>
      </w:pPr>
      <w:r>
        <w:rPr>
          <w:i w:val="0"/>
          <w:sz w:val="19"/>
        </w:rPr>
        <w:t>Conforming changes: replace “products and services” with “products and related documentation” in EL §4.1; apply the Excluded Field to EL §6.3, EL §7 (third paragraph) and EL §12 (post-release license).</w:t>
      </w:r>
    </w:p>
    <w:p>
      <w:pPr>
        <w:pStyle w:val="Heading2"/>
      </w:pPr>
      <w:r>
        <w:t>A-2  Joint IP Sublicensing (add at the end of the second sentence of EL §6.3)</w:t>
      </w:r>
    </w:p>
    <w:p>
      <w:pPr>
        <w:ind w:left="432"/>
      </w:pPr>
      <w:r>
        <w:rPr>
          <w:i w:val="0"/>
          <w:sz w:val="19"/>
        </w:rPr>
        <w:t>“…; provided, however, that, notwithstanding anything to the contrary in this Agreement, neither Party may license, sublicense, grant any covenant not to sue, option or other right under, or assign or otherwise transfer any undivided interest in, any Joint IP to any third party without the prior written consent of the other Party, which consent shall not be unreasonably withheld, conditioned, or delayed. It shall be deemed reasonable for a Party to withhold consent where the proposed recipient (or any of its Affiliates) competes with the consenting Party, or where the proposed grant would permit use in the Excluded Field. The foregoing shall not restrict a Party from granting non-exclusive end-user rights to its customers solely as necessary to use such Party’s own products that incorporate Joint IP, in each case consistent with Section 4.1. Any purported grant or transfer in violation of this Section 6.3 shall be null and void.”</w:t>
      </w:r>
    </w:p>
    <w:p>
      <w:pPr>
        <w:ind w:left="432"/>
      </w:pPr>
      <w:r>
        <w:rPr>
          <w:i w:val="0"/>
          <w:sz w:val="19"/>
        </w:rPr>
        <w:t>Also: restore the Term Sheet scope of “Joint IP” (all IP arising from Project Meridian), with improvements to and derivatives of each Party’s Background IP owned by that Party; add §6.3 to the survival list in EL §11.3.</w:t>
      </w:r>
    </w:p>
    <w:p>
      <w:pPr>
        <w:pStyle w:val="Heading2"/>
      </w:pPr>
      <w:r>
        <w:t>A-3  MFN (new EL §8.3) and Non-Compete Consideration</w:t>
      </w:r>
    </w:p>
    <w:p>
      <w:pPr>
        <w:ind w:left="432"/>
      </w:pPr>
      <w:r>
        <w:rPr>
          <w:i w:val="0"/>
          <w:sz w:val="19"/>
        </w:rPr>
        <w:t>“8.3 Most-Favored Licensee. If, during the Exclusivity Period, Stellarion grants a license to Stellarion EdgeAI™ to any third party (other than a Person listed on Schedule A) on terms that are, taken as a whole, more favorable to such licensee than those granted to Helix under this Agreement, Stellarion shall promptly notify Helix in writing and offer Helix such terms. Helix shall have thirty (30) days following receipt of such notice to elect to accept such terms in their entirety, including any terms less favorable to Helix, and, if Helix so elects, the Parties shall negotiate in good faith to implement such terms within thirty (30) days of Helix’s election, with effect only from the date of implementation. This Section 8.3 shall not apply to licenses granted in settlement of litigation or disputes, licenses outside the Licensed Field, evaluation, research or academic licenses, licenses to Stellarion Affiliates, or licenses granted as part of a broader transaction involving other material consideration. Stellarion may provide the relevant terms in summary form consistent with its confidentiality obligations.”</w:t>
      </w:r>
    </w:p>
    <w:p>
      <w:pPr>
        <w:ind w:left="432"/>
      </w:pPr>
      <w:r>
        <w:rPr>
          <w:i w:val="0"/>
          <w:sz w:val="19"/>
        </w:rPr>
        <w:t>“8.4 Consideration. Helix acknowledges that the covenants in Section 8.1 are a material inducement to Stellarion’s entry into this Agreement, are reasonable in scope and duration, and are supported by adequate consideration, including the license granted [under the Definitive Agreement], Stellarion’s commitments in Sections 8.2 and 8.3, and the other terms of this Agreement.”</w:t>
      </w:r>
    </w:p>
    <w:p>
      <w:pPr>
        <w:ind w:left="432"/>
      </w:pPr>
      <w:r>
        <w:rPr>
          <w:i w:val="0"/>
          <w:sz w:val="19"/>
        </w:rPr>
        <w:t>Paired change in EL §8.1: “twelve (12) months” becomes “eighteen (18) months.”</w:t>
      </w:r>
    </w:p>
    <w:p>
      <w:pPr>
        <w:pStyle w:val="Heading2"/>
      </w:pPr>
      <w:r>
        <w:t>A-4  Limitation of Liability (replace the first paragraph of EL §9.2)</w:t>
      </w:r>
    </w:p>
    <w:p>
      <w:pPr>
        <w:ind w:left="432"/>
      </w:pPr>
      <w:r>
        <w:rPr>
          <w:i w:val="0"/>
          <w:sz w:val="19"/>
        </w:rPr>
        <w:t>“EXCEPT FOR (A) A PARTY’S BREACH OF ITS CONFIDENTIALITY OBLIGATIONS UNDER SECTION 10, (B) A PARTY’S WILLFUL MISCONDUCT OR FRAUD, [(C) HELIX’S USE OF STELLARION EDGEAI™ OR JOINT IP OUTSIDE THE SCOPE OF THE LICENSE OR IN BREACH OF SECTIONS 4.1, 6.3 OR 8.1,] AND (D) HELIX’S OBLIGATIONS TO PAY AMOUNTS DUE UNDER SECTION 5, IN NO EVENT SHALL EITHER PARTY’S AGGREGATE LIABILITY ARISING OUT OF OR RELATING TO THIS AGREEMENT … EXCEED TWENTY-FIVE MILLION DOLLARS ($25,000,000). FOR THE AVOIDANCE OF DOUBT, INDEMNIFICATION OBLIGATIONS UNDER SECTION 9.1 ARE SUBJECT TO AND INCLUDED WITHIN THE FOREGOING CAP.”</w:t>
      </w:r>
    </w:p>
    <w:p>
      <w:pPr>
        <w:ind w:left="432"/>
      </w:pPr>
      <w:r>
        <w:rPr>
          <w:i w:val="0"/>
          <w:sz w:val="19"/>
        </w:rPr>
        <w:t>Apply the same carve-outs (other than indemnity) to the consequential damages waiver, and add the customary IP indemnity exclusions and remedies to EL §9.1 (D-37).</w:t>
      </w:r>
    </w:p>
    <w:p>
      <w:pPr>
        <w:pStyle w:val="Heading2"/>
      </w:pPr>
      <w:r>
        <w:t>A-5  Non-Compete Scope (EL §8.1)</w:t>
      </w:r>
    </w:p>
    <w:p>
      <w:pPr>
        <w:ind w:left="432"/>
      </w:pPr>
      <w:r>
        <w:rPr>
          <w:i w:val="0"/>
          <w:sz w:val="19"/>
        </w:rPr>
        <w:t>“… Helix shall not, directly or indirectly, develop, market, license, distribute, use, deploy, or otherwise exploit, whether independently or in collaboration with any third party, any machine learning inference engine for edge computing that competes with Stellarion EdgeAI™, including any standalone or embedded ML inference engine technology that would be a functional substitute for Stellarion EdgeAI™ in edge computing environments. … For the avoidance of doubt, Helix’s use of third-party software components that do not perform machine learning inference and are not a functional substitute for any function of Stellarion EdgeAI™ shall not be deemed a breach of this Section 8.1.”</w:t>
      </w:r>
    </w:p>
    <w:p>
      <w:pPr>
        <w:ind w:left="432"/>
      </w:pPr>
      <w:r>
        <w:rPr>
          <w:i w:val="0"/>
          <w:sz w:val="19"/>
        </w:rPr>
        <w:t>Add “Section 8.1 (Helix Non-Compete), for the Non-Compete Period” to the EL §11.3 survival list.</w:t>
      </w:r>
    </w:p>
    <w:p>
      <w:pPr>
        <w:pStyle w:val="Heading2"/>
      </w:pPr>
      <w:r>
        <w:t>A-6  Status of the License and the Term Sheet (EL §1, §3, §4.1, §14, §16.3)</w:t>
      </w:r>
    </w:p>
    <w:p>
      <w:pPr>
        <w:ind w:left="432"/>
      </w:pPr>
      <w:r>
        <w:rPr>
          <w:i w:val="0"/>
          <w:sz w:val="19"/>
        </w:rPr>
        <w:t>EL §4.1: “Subject to the execution of the Definitive Agreement and Stellarion’s receipt of the first installment of the Upfront License Fee, Stellarion shall grant to Helix under the Definitive Agreement a non-exclusive, worldwide, royalty-bearing license …”</w:t>
      </w:r>
    </w:p>
    <w:p>
      <w:pPr>
        <w:ind w:left="432"/>
      </w:pPr>
      <w:r>
        <w:rPr>
          <w:i w:val="0"/>
          <w:sz w:val="19"/>
        </w:rPr>
        <w:t>EL §3: “Effective Date” means the date of execution and delivery of the Definitive Agreement by both Parties; “Letter Date” means the date of the last countersignature of this Engagement Letter. [Use “Letter Date” for interim obligations.]</w:t>
      </w:r>
    </w:p>
    <w:p>
      <w:pPr>
        <w:ind w:left="432"/>
      </w:pPr>
      <w:r>
        <w:rPr>
          <w:i w:val="0"/>
          <w:sz w:val="19"/>
        </w:rPr>
        <w:t>EL §1 and §16.3: “This Engagement Letter implements the Term Sheet for the interim period. The Binding Provisions of the Term Sheet remain in full force and effect except to the extent expressly restated herein. The Definitive Agreement shall incorporate the terms of the Term Sheet as supplemented by this Engagement Letter.”</w:t>
      </w:r>
    </w:p>
    <w:p>
      <w:pPr>
        <w:ind w:left="432"/>
      </w:pPr>
      <w:r>
        <w:rPr>
          <w:i w:val="0"/>
          <w:sz w:val="19"/>
        </w:rPr>
        <w:t>EL §14: the target date returns to May 15, 2025, and this Engagement Letter automatically expires on [June 30, 2025] unless extended in writing, with §§10 and 15 [and 8.2] surviving.</w:t>
      </w:r>
    </w:p>
    <w:p>
      <w:r>
        <w:rPr>
          <w:i w:val="0"/>
        </w:rPr>
      </w:r>
    </w:p>
    <w:p>
      <w:r>
        <w:rPr>
          <w:i/>
          <w:sz w:val="18"/>
        </w:rPr>
        <w:t>Clearfield Locke LLP — Thomas Whitaker / Emily Chen-Ramirez</w:t>
      </w:r>
    </w:p>
    <w:p>
      <w:r>
        <w:rPr>
          <w:i/>
          <w:sz w:val="17"/>
        </w:rPr>
        <w:t>This report is based solely on the Term Sheet dated February 14, 2025, the Engagement Letter dated March 3, 2025 (in the version provided to us), and the GC’s email of March 4, 2025. It does not reflect any other correspondence, side letters or oral understandings between the parties. Statements of law are general and given for the purposes of negotiation strategy; they are not a formal opinion.</w:t>
      </w:r>
    </w:p>
    <w:sectPr w:rsidR="00FC693F" w:rsidRPr="0006063C" w:rsidSect="00034616">
      <w:headerReference w:type="default" r:id="rId13"/>
      <w:footerReference w:type="default" r:id="rId14"/>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Clearfield Locke LLP — Stellarion/Helix Engagement Letter Deviation Report — Page </w:t>
    </w:r>
    <w:r>
      <w:rPr>
        <w:sz w:val="15"/>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Clearfield Locke LLP — Stellarion/Helix Engagement Letter Deviation Report — Page </w:t>
    </w:r>
    <w:r>
      <w:rPr>
        <w:sz w:val="15"/>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Clearfield Locke LLP — Stellarion/Helix Engagement Letter Deviation Report — Page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800000"/>
        <w:sz w:val="15"/>
      </w:rPr>
      <w:t>PRIVILEGED &amp; CONFIDENTIAL — ATTORNEY-CLIENT COMMUNICATION / ATTORNEY WORK PRODUCT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800000"/>
        <w:sz w:val="15"/>
      </w:rPr>
      <w:t>PRIVILEGED &amp; CONFIDENTIAL — ATTORNEY-CLIENT COMMUNICATION / ATTORNEY WORK PRODUCT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800000"/>
        <w:sz w:val="15"/>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