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MEMORANDUM</w:t>
      </w:r>
    </w:p>
    <w:tbl>
      <w:tblPr>
        <w:tblW w:type="auto" w:w="0"/>
        <w:tblLook w:firstColumn="1" w:firstRow="1" w:lastColumn="0" w:lastRow="0" w:noHBand="0" w:noVBand="1" w:val="04A0"/>
      </w:tblPr>
      <w:tblGrid>
        <w:gridCol w:w="4680"/>
        <w:gridCol w:w="4680"/>
      </w:tblGrid>
      <w:tr>
        <w:tc>
          <w:tcPr>
            <w:tcW w:type="dxa" w:w="1296"/>
          </w:tcPr>
          <w:p>
            <w:r/>
            <w:r>
              <w:rPr>
                <w:b/>
              </w:rPr>
              <w:t>TO:</w:t>
            </w:r>
          </w:p>
        </w:tc>
        <w:tc>
          <w:tcPr>
            <w:tcW w:type="dxa" w:w="8064"/>
          </w:tcPr>
          <w:p>
            <w:r/>
            <w:r>
              <w:t>Marcus Ellison, Vice President, IT Procurement, Meridian Health Systems, Inc.</w:t>
            </w:r>
          </w:p>
        </w:tc>
      </w:tr>
      <w:tr>
        <w:tc>
          <w:tcPr>
            <w:tcW w:type="dxa" w:w="1296"/>
          </w:tcPr>
          <w:p>
            <w:r/>
            <w:r>
              <w:rPr>
                <w:b/>
              </w:rPr>
              <w:t>CC:</w:t>
            </w:r>
          </w:p>
        </w:tc>
        <w:tc>
          <w:tcPr>
            <w:tcW w:type="dxa" w:w="8064"/>
          </w:tcPr>
          <w:p>
            <w:r/>
            <w:r>
              <w:t>Dr. Priya Nandakumar, Chief Information Security Officer, Meridian Health Systems, Inc.</w:t>
            </w:r>
          </w:p>
        </w:tc>
      </w:tr>
      <w:tr>
        <w:tc>
          <w:tcPr>
            <w:tcW w:type="dxa" w:w="1296"/>
          </w:tcPr>
          <w:p>
            <w:r/>
            <w:r>
              <w:rPr>
                <w:b/>
              </w:rPr>
              <w:t>FROM:</w:t>
            </w:r>
          </w:p>
        </w:tc>
        <w:tc>
          <w:tcPr>
            <w:tcW w:type="dxa" w:w="8064"/>
          </w:tcPr>
          <w:p>
            <w:r/>
            <w:r>
              <w:t>Sarah Langford, Whitfield Crane</w:t>
            </w:r>
          </w:p>
        </w:tc>
      </w:tr>
      <w:tr>
        <w:tc>
          <w:tcPr>
            <w:tcW w:type="dxa" w:w="1296"/>
          </w:tcPr>
          <w:p>
            <w:r/>
            <w:r>
              <w:rPr>
                <w:b/>
              </w:rPr>
              <w:t>DATE:</w:t>
            </w:r>
          </w:p>
        </w:tc>
        <w:tc>
          <w:tcPr>
            <w:tcW w:type="dxa" w:w="8064"/>
          </w:tcPr>
          <w:p>
            <w:r/>
            <w:r>
              <w:t>November 24, 2025</w:t>
            </w:r>
          </w:p>
        </w:tc>
      </w:tr>
      <w:tr>
        <w:tc>
          <w:tcPr>
            <w:tcW w:type="dxa" w:w="1296"/>
          </w:tcPr>
          <w:p>
            <w:r/>
            <w:r>
              <w:rPr>
                <w:b/>
              </w:rPr>
              <w:t>RE:</w:t>
            </w:r>
          </w:p>
        </w:tc>
        <w:tc>
          <w:tcPr>
            <w:tcW w:type="dxa" w:w="8064"/>
          </w:tcPr>
          <w:p>
            <w:r/>
            <w:r>
              <w:t>Gap Analysis: Cloudvance Technologies, Inc. Master SaaS Agreement (ClinicalEdge™ Platform, dated November 4, 2025, Exhibits A to E) Compared with Meridian Service Level Standards for IT Procurement, Version 4.2 (October 15, 2025)</w:t>
            </w:r>
          </w:p>
        </w:tc>
      </w:tr>
    </w:tbl>
    <w:p>
      <w:pPr>
        <w:spacing w:after="0"/>
        <w:pBdr>
          <w:bottom w:val="single" w:sz="8" w:space="1" w:color="1F3A5F"/>
        </w:pBdr>
      </w:pPr>
    </w:p>
    <w:p>
      <w:pPr>
        <w:pStyle w:val="Heading1"/>
      </w:pPr>
      <w:r>
        <w:t>I. Executive Summary</w:t>
      </w:r>
    </w:p>
    <w:p>
      <w:pPr>
        <w:spacing w:after="120"/>
      </w:pPr>
      <w:r>
        <w:t>You asked for a comprehensive gap analysis comparing the proposed Cloudvance Master SaaS Agreement (the "</w:t>
      </w:r>
      <w:r>
        <w:rPr>
          <w:b/>
        </w:rPr>
        <w:t>Agreement</w:t>
      </w:r>
      <w:r>
        <w:t>"), including Exhibits A to E, with Meridian's Service Level Standards v4.2 (the "</w:t>
      </w:r>
      <w:r>
        <w:rPr>
          <w:b/>
        </w:rPr>
        <w:t>SLS</w:t>
      </w:r>
      <w:r>
        <w:t>"). The Agreement covers the ClinicalEdge EHR, clinical decision support, patient portal and revenue cycle management modules for a total contract value of $38.7 million over five years.</w:t>
      </w:r>
    </w:p>
    <w:p>
      <w:pPr>
        <w:spacing w:after="120"/>
      </w:pPr>
      <w:r>
        <w:rPr>
          <w:b/>
        </w:rPr>
        <w:t>Bottom line: the Agreement should not be executed in its current form.</w:t>
      </w:r>
      <w:r>
        <w:t xml:space="preserve"> It is a vendor-favorable form that falls below the SLS in every area you asked us to review. We identified </w:t>
      </w:r>
      <w:r>
        <w:rPr>
          <w:b/>
        </w:rPr>
        <w:t>38 material deviations</w:t>
      </w:r>
      <w:r>
        <w:t xml:space="preserve">, of which </w:t>
      </w:r>
      <w:r>
        <w:rPr>
          <w:b/>
        </w:rPr>
        <w:t>14 are rated Critical</w:t>
      </w:r>
      <w:r>
        <w:t xml:space="preserve"> and </w:t>
      </w:r>
      <w:r>
        <w:rPr>
          <w:b/>
        </w:rPr>
        <w:t>20 High</w:t>
      </w:r>
      <w:r>
        <w:t>. Many of these involve specific language the SLS says must be rejected. Under SLS §1.1, any deviation that remains at signing requires written approval from both the CISO and the VP of IT Procurement, documented on the deviation approval form. Some deviations also require General Counsel approval (SLS §9.1 for the liability cap and §12.1 for governing law).</w:t>
      </w:r>
    </w:p>
    <w:p>
      <w:pPr>
        <w:spacing w:after="120"/>
      </w:pPr>
      <w:r>
        <w:rPr>
          <w:b/>
        </w:rPr>
        <w:t>Three provisions trigger the SLS "return to vendor" rule.</w:t>
      </w:r>
      <w:r>
        <w:t xml:space="preserve"> The SLS directs that a draft containing any of the following be returned to the vendor for revision. We recommend that the first redline be sent to Cloudvance with these three items identified as preconditions to substantive negotiation:</w:t>
      </w:r>
    </w:p>
    <w:p>
      <w:pPr>
        <w:pStyle w:val="ListBullet"/>
        <w:spacing w:after="60"/>
      </w:pPr>
      <w:r>
        <w:rPr>
          <w:b/>
        </w:rPr>
        <w:t>Ex. C §C.5:</w:t>
      </w:r>
      <w:r>
        <w:t xml:space="preserve"> service credits are the "sole and exclusive remedy" for uptime failures (SLS §4.3).</w:t>
      </w:r>
    </w:p>
    <w:p>
      <w:pPr>
        <w:pStyle w:val="ListBullet"/>
        <w:spacing w:after="60"/>
      </w:pPr>
      <w:r>
        <w:rPr>
          <w:b/>
        </w:rPr>
        <w:t>Ex. C §C.7 and Ex. A §A.3(c):</w:t>
      </w:r>
      <w:r>
        <w:t xml:space="preserve"> incident response and resolution times are "commercially reasonable targets" that "do not constitute binding commitments" (SLS §5.4).</w:t>
      </w:r>
    </w:p>
    <w:p>
      <w:pPr>
        <w:pStyle w:val="ListBullet"/>
        <w:spacing w:after="60"/>
      </w:pPr>
      <w:r>
        <w:rPr>
          <w:b/>
        </w:rPr>
        <w:t>§10.1:</w:t>
      </w:r>
      <w:r>
        <w:t xml:space="preserve"> an unqualified consequential-damages exclusion that applies expressly to "data security, data breaches, and the BAA" (SLS §9.2).</w:t>
      </w:r>
    </w:p>
    <w:p>
      <w:pPr>
        <w:spacing w:after="120"/>
      </w:pPr>
      <w:r>
        <w:rPr>
          <w:b/>
        </w:rPr>
        <w:t>Answers to the specific questions in your November 10 email:</w:t>
      </w:r>
    </w:p>
    <w:p>
      <w:pPr>
        <w:pStyle w:val="ListBullet"/>
        <w:spacing w:after="60"/>
      </w:pPr>
      <w:r>
        <w:rPr>
          <w:b/>
        </w:rPr>
        <w:t>Uptime and maintenance.</w:t>
      </w:r>
      <w:r>
        <w:t xml:space="preserve"> You are right to be concerned. The 99.5% figure is the SLS </w:t>
      </w:r>
      <w:r>
        <w:rPr>
          <w:b/>
        </w:rPr>
        <w:t>Tier 3</w:t>
      </w:r>
      <w:r>
        <w:t xml:space="preserve"> standard, and it is only a "commercially reasonable efforts" covenant. Tier 1 requires a guaranteed 99.95%. The maintenance terms make the gap much worse: up to 8 hours per week of excluded Scheduled Maintenance (versus 4 hours per month), 24 hours' notice (versus 72), and a blanket exclusion of Emergency Maintenance, which Cloudvance alone defines. On a worst-case reading, the Platform could be unavailable about 6% of a month (effective availability of roughly 94%) and still be reported as meeting the SLA (A-2 to A-5).</w:t>
      </w:r>
    </w:p>
    <w:p>
      <w:pPr>
        <w:pStyle w:val="ListBullet"/>
        <w:spacing w:after="60"/>
      </w:pPr>
      <w:r>
        <w:rPr>
          <w:b/>
        </w:rPr>
        <w:t>Do the service credits have real teeth?</w:t>
      </w:r>
      <w:r>
        <w:t xml:space="preserve"> No. Credits begin only below 99.5%, top out at 15% of the monthly fee ($85,500), and are capped at about $1.03M per year (roughly 2.7% of contract value). They are lost if Meridian does not claim them within 30 days, cannot be paid in cash, are forfeited on termination, and are the sole and exclusive remedy. The Agreement contains no chronic-failure termination right, and §11.4 rules one out (B-1 to B-4).</w:t>
      </w:r>
    </w:p>
    <w:p>
      <w:pPr>
        <w:pStyle w:val="ListBullet"/>
        <w:spacing w:after="60"/>
      </w:pPr>
      <w:r>
        <w:rPr>
          <w:b/>
        </w:rPr>
        <w:t>Exit and data.</w:t>
      </w:r>
      <w:r>
        <w:t xml:space="preserve"> Retrieval is limited to 30 days (versus 90), in a "commercially standard format" (versus HL7 FHIR and CSV), with Meridian "solely responsible" for retrieval and Cloudvance free to delete afterward in its sole discretion. The Agreement has </w:t>
      </w:r>
      <w:r>
        <w:rPr>
          <w:b/>
        </w:rPr>
        <w:t>no transition assistance at all</w:t>
      </w:r>
      <w:r>
        <w:t xml:space="preserve"> (E-3, E-4). A convenience exit costs 180 days' notice plus a fee of up to $5.13M (G-2).</w:t>
      </w:r>
    </w:p>
    <w:p>
      <w:pPr>
        <w:pStyle w:val="ListBullet"/>
        <w:spacing w:after="60"/>
      </w:pPr>
      <w:r>
        <w:rPr>
          <w:b/>
        </w:rPr>
        <w:t>Data license.</w:t>
      </w:r>
      <w:r>
        <w:t xml:space="preserve"> It is broader than the SLS allows in every respect. It is a worldwide license to modify and create derivative works from identifiable Customer Data in order to "improve" Cloudvance's services, with unrestricted rights to de-identified data, Cloudvance ownership of "Aggregated Data" for "any lawful business purpose," and survival of all of these rights after termination (E-1, E-2).</w:t>
      </w:r>
    </w:p>
    <w:p>
      <w:pPr>
        <w:pStyle w:val="ListBullet"/>
        <w:spacing w:after="60"/>
      </w:pPr>
      <w:r>
        <w:rPr>
          <w:b/>
        </w:rPr>
        <w:t>BAA and HIPAA/HITECH.</w:t>
      </w:r>
      <w:r>
        <w:t xml:space="preserve"> Dr. Nandakumar's concern is confirmed. Exhibit D references only HIPAA and 45 CFR Parts 160 and 164. It does not mention the HITECH Act (42 U.S.C. §17931 et seq.) or the Omnibus Rule, and so fails SLS §6.1 on its face. The BAA also sets a 30-day breach notice period, sets no deadline for reporting Security Incidents, and authorizes Cloudvance's de-identified data program (D-1, D-2).</w:t>
      </w:r>
    </w:p>
    <w:p>
      <w:pPr>
        <w:pStyle w:val="ListBullet"/>
        <w:spacing w:after="60"/>
      </w:pPr>
      <w:r>
        <w:rPr>
          <w:b/>
        </w:rPr>
        <w:t>Security certifications.</w:t>
      </w:r>
      <w:r>
        <w:t xml:space="preserve"> The Agreement requires only SOC 2 Type II, with no scope or currency requirements. HITRUST CSF, annual penetration testing and quarterly vulnerability scanning are all absent. Encryption is described only as "industry-standard," language the SLS expressly prohibits (D-3, D-4).</w:t>
      </w:r>
    </w:p>
    <w:p>
      <w:pPr>
        <w:pStyle w:val="ListBullet"/>
        <w:spacing w:after="60"/>
      </w:pPr>
      <w:r>
        <w:rPr>
          <w:b/>
        </w:rPr>
        <w:t>Stratos and subcontractors.</w:t>
      </w:r>
      <w:r>
        <w:t xml:space="preserve"> Cloudvance may add subcontractors without consent and need only give notice within 30 days afterward. Flow-down obligations are weak. Most significantly, the force majeure clause (§15.1) treats "failure of third-party hosting or cloud infrastructure services" as force majeure, so a Stratos outage would excuse Cloudvance and would not count against uptime. Hosting may be at any Stratos U.S. site, and there is no restriction on offshore access (A-6, S-1 to S-3).</w:t>
      </w:r>
    </w:p>
    <w:p>
      <w:pPr>
        <w:pStyle w:val="ListBullet"/>
        <w:spacing w:after="60"/>
      </w:pPr>
      <w:r>
        <w:rPr>
          <w:b/>
        </w:rPr>
        <w:t>Liability and indemnity.</w:t>
      </w:r>
      <w:r>
        <w:t xml:space="preserve"> The cap is 12 months of subscription fees ($6.84M), compared with the SLS minimum of 24 months of total fees ($15.48M), a shortfall of $8.64M. None of the required carve-outs is present, so gross negligence is capped. The vendor indemnity covers only U.S. IP infringement, while Meridian gives a broad indemnity for anything "relating to Customer Data" that is </w:t>
      </w:r>
      <w:r>
        <w:rPr>
          <w:b/>
        </w:rPr>
        <w:t>uncapped</w:t>
      </w:r>
      <w:r>
        <w:t xml:space="preserve"> (F-1 to F-3).</w:t>
      </w:r>
    </w:p>
    <w:p>
      <w:pPr>
        <w:pStyle w:val="ListBullet"/>
        <w:spacing w:after="60"/>
      </w:pPr>
      <w:r>
        <w:rPr>
          <w:b/>
        </w:rPr>
        <w:t>Insurance.</w:t>
      </w:r>
      <w:r>
        <w:t xml:space="preserve"> As you suspected, the Agreement is effectively silent. §12 requires only "commercially reasonable insurance," compared with the SLS minimum of $10M in cyber and technology E&amp;O coverage, additional-insured status, certificates of insurance and cancellation notice (D-6).</w:t>
      </w:r>
    </w:p>
    <w:p>
      <w:pPr>
        <w:pStyle w:val="ListBullet"/>
        <w:spacing w:after="60"/>
      </w:pPr>
      <w:r>
        <w:rPr>
          <w:b/>
        </w:rPr>
        <w:t>Audit, governing law and disputes.</w:t>
      </w:r>
      <w:r>
        <w:t xml:space="preserve"> The Agreement allows one BAA-only audit per year, which Cloudvance can satisfy by sending its SOC 2 report. It selects Texas law and mandatory AAA arbitration in Austin, with a jury waiver embedded in the form. Each of these contravenes SLS §§11 and 12 (H-1, I-1, I-2).</w:t>
      </w:r>
    </w:p>
    <w:p>
      <w:pPr>
        <w:spacing w:after="120"/>
      </w:pPr>
      <w:r>
        <w:rPr>
          <w:b/>
        </w:rPr>
        <w:t>Timeline note.</w:t>
      </w:r>
      <w:r>
        <w:t xml:space="preserve"> LegacyMed expires on </w:t>
      </w:r>
      <w:r>
        <w:rPr>
          <w:b/>
        </w:rPr>
        <w:t>March 31, 2026</w:t>
      </w:r>
      <w:r>
        <w:t xml:space="preserve">, but the target ClinicalEdge Go-Live is </w:t>
      </w:r>
      <w:r>
        <w:rPr>
          <w:b/>
        </w:rPr>
        <w:t>July 1, 2026</w:t>
      </w:r>
      <w:r>
        <w:t>, and Cloudvance commits only to "commercially reasonable efforts" to meet it (§3.3). The Agreement does not address the three-month gap, and Cloudvance bears no consequence for delay. Unless a LegacyMed extension or bridge is already secured, this is an operational risk that sits alongside the SLS issues, and it affects Meridian's negotiating leverage: Cloudvance may assume that Meridian has to sign quickly. See Part VI, item J-1.</w:t>
      </w:r>
    </w:p>
    <w:p>
      <w:pPr>
        <w:pStyle w:val="Heading1"/>
      </w:pPr>
      <w:r>
        <w:t>II. Scope, Documents Reviewed and Methodology</w:t>
      </w:r>
    </w:p>
    <w:p>
      <w:pPr>
        <w:spacing w:after="120"/>
      </w:pPr>
      <w:r>
        <w:rPr>
          <w:b/>
        </w:rPr>
        <w:t>Documents reviewed.</w:t>
      </w:r>
      <w:r>
        <w:t xml:space="preserve"> (1) Cloudvance Master SaaS Agreement dated November 4, 2025, Sections 1 to 15 and Exhibits A (Scope of Services), B (Fees and Payment), C (Service Level Agreement), D (Business Associate Agreement) and E (Data Security). (2) Meridian Service Level Standards for Information Technology Procurement, v4.2, effective October 15, 2025, including Appendices A and B. (3) Your email of November 10, 2025, which sets out the business context and focus areas.</w:t>
      </w:r>
    </w:p>
    <w:p>
      <w:pPr>
        <w:spacing w:after="120"/>
      </w:pPr>
      <w:r>
        <w:rPr>
          <w:b/>
        </w:rPr>
        <w:t>Methodology.</w:t>
      </w:r>
      <w:r>
        <w:t xml:space="preserve"> We first determined the applicable tier. Under SLS §2.2.1 and §2.3, all four ClinicalEdge modules (EHR, CDS, patient portal and clinically integrated RCM) are Tier 1 "without exception." We then compared each SLS requirement with the corresponding Agreement provision, and also flagged requirements on which the Agreement is silent. Each deviation is rated as follows: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1440"/>
            <w:shd w:val="clear" w:color="auto" w:fill="1F3A5F"/>
          </w:tcPr>
          <w:p>
            <w:r/>
            <w:r>
              <w:rPr>
                <w:b/>
                <w:color w:val="FFFFFF"/>
                <w:sz w:val="18"/>
              </w:rPr>
              <w:t>Rating</w:t>
            </w:r>
          </w:p>
        </w:tc>
        <w:tc>
          <w:tcPr>
            <w:tcW w:type="dxa" w:w="7920"/>
            <w:shd w:val="clear" w:color="auto" w:fill="1F3A5F"/>
          </w:tcPr>
          <w:p>
            <w:r/>
            <w:r>
              <w:rPr>
                <w:b/>
                <w:color w:val="FFFFFF"/>
                <w:sz w:val="18"/>
              </w:rPr>
              <w:t>Meaning</w:t>
            </w:r>
          </w:p>
        </w:tc>
      </w:tr>
      <w:tr>
        <w:tc>
          <w:tcPr>
            <w:tcW w:type="dxa" w:w="1440"/>
          </w:tcPr>
          <w:p>
            <w:r>
              <w:rPr>
                <w:b/>
                <w:color w:val="C00000"/>
                <w:sz w:val="18"/>
              </w:rPr>
            </w:r>
            <w:r>
              <w:rPr>
                <w:b/>
                <w:color w:val="C00000"/>
                <w:sz w:val="18"/>
              </w:rPr>
              <w:t>Critical</w:t>
            </w:r>
          </w:p>
        </w:tc>
        <w:tc>
          <w:tcPr>
            <w:tcW w:type="dxa" w:w="7920"/>
          </w:tcPr>
          <w:p>
            <w:r>
              <w:rPr>
                <w:sz w:val="18"/>
              </w:rPr>
            </w:r>
            <w:r>
              <w:rPr>
                <w:sz w:val="18"/>
              </w:rPr>
              <w:t>Direct conflict with an SLS mandatory or "return to vendor" requirement, or exposure to patient-safety, HIPAA/HITECH or major financial risk. Must be resolved before execution.</w:t>
            </w:r>
          </w:p>
        </w:tc>
      </w:tr>
      <w:tr>
        <w:tc>
          <w:tcPr>
            <w:tcW w:type="dxa" w:w="1440"/>
          </w:tcPr>
          <w:p>
            <w:r>
              <w:rPr>
                <w:b/>
                <w:color w:val="E26B0A"/>
                <w:sz w:val="18"/>
              </w:rPr>
            </w:r>
            <w:r>
              <w:rPr>
                <w:b/>
                <w:color w:val="E26B0A"/>
                <w:sz w:val="18"/>
              </w:rPr>
              <w:t>High</w:t>
            </w:r>
          </w:p>
        </w:tc>
        <w:tc>
          <w:tcPr>
            <w:tcW w:type="dxa" w:w="7920"/>
          </w:tcPr>
          <w:p>
            <w:r>
              <w:rPr>
                <w:sz w:val="18"/>
              </w:rPr>
            </w:r>
            <w:r>
              <w:rPr>
                <w:sz w:val="18"/>
              </w:rPr>
              <w:t>Material shortfall from an SLS requirement that would require a CISO/VP deviation approval and would meaningfully weaken Meridian's position.</w:t>
            </w:r>
          </w:p>
        </w:tc>
      </w:tr>
      <w:tr>
        <w:tc>
          <w:tcPr>
            <w:tcW w:type="dxa" w:w="1440"/>
          </w:tcPr>
          <w:p>
            <w:r>
              <w:rPr>
                <w:b/>
                <w:color w:val="BF8F00"/>
                <w:sz w:val="18"/>
              </w:rPr>
            </w:r>
            <w:r>
              <w:rPr>
                <w:b/>
                <w:color w:val="BF8F00"/>
                <w:sz w:val="18"/>
              </w:rPr>
              <w:t>Medium</w:t>
            </w:r>
          </w:p>
        </w:tc>
        <w:tc>
          <w:tcPr>
            <w:tcW w:type="dxa" w:w="7920"/>
          </w:tcPr>
          <w:p>
            <w:r>
              <w:rPr>
                <w:sz w:val="18"/>
              </w:rPr>
            </w:r>
            <w:r>
              <w:rPr>
                <w:sz w:val="18"/>
              </w:rPr>
              <w:t>SLS shortfall of narrower practical impact, or a conforming or precision change.</w:t>
            </w:r>
          </w:p>
        </w:tc>
      </w:tr>
      <w:tr>
        <w:tc>
          <w:tcPr>
            <w:tcW w:type="dxa" w:w="1440"/>
          </w:tcPr>
          <w:p>
            <w:r>
              <w:rPr>
                <w:b/>
                <w:color w:val="548235"/>
                <w:sz w:val="18"/>
              </w:rPr>
            </w:r>
            <w:r>
              <w:rPr>
                <w:b/>
                <w:color w:val="548235"/>
                <w:sz w:val="18"/>
              </w:rPr>
              <w:t>Low</w:t>
            </w:r>
          </w:p>
        </w:tc>
        <w:tc>
          <w:tcPr>
            <w:tcW w:type="dxa" w:w="7920"/>
          </w:tcPr>
          <w:p>
            <w:r>
              <w:rPr>
                <w:sz w:val="18"/>
              </w:rPr>
            </w:r>
            <w:r>
              <w:rPr>
                <w:sz w:val="18"/>
              </w:rPr>
              <w:t>Drafting or clean-up issue.</w:t>
            </w:r>
          </w:p>
        </w:tc>
      </w:tr>
    </w:tbl>
    <w:p>
      <w:pPr>
        <w:spacing w:after="40"/>
      </w:pPr>
    </w:p>
    <w:p>
      <w:pPr>
        <w:spacing w:after="120"/>
      </w:pPr>
      <w:r>
        <w:t>Each finding in Part IV states the SLS requirement, the Agreement provision, our analysis, proposed redline language and a recommended negotiation position. Where we recommend going beyond the SLS, we say so. Consistent with your instruction, we have not contacted Cloudvance (Jordan Whitaker or Rebecca Tsai) or its outside counsel (Thomas Hargrove, Bellingham Park LLP).</w:t>
      </w:r>
    </w:p>
    <w:p>
      <w:pPr>
        <w:pStyle w:val="Heading1"/>
      </w:pPr>
      <w:r>
        <w:t>III. Summary of Material Deviations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720"/>
            <w:shd w:val="clear" w:color="auto" w:fill="1F3A5F"/>
          </w:tcPr>
          <w:p>
            <w:r/>
            <w:r>
              <w:rPr>
                <w:b/>
                <w:color w:val="FFFFFF"/>
                <w:sz w:val="17"/>
              </w:rPr>
              <w:t>ID</w:t>
            </w:r>
          </w:p>
        </w:tc>
        <w:tc>
          <w:tcPr>
            <w:tcW w:type="dxa" w:w="2160"/>
            <w:shd w:val="clear" w:color="auto" w:fill="1F3A5F"/>
          </w:tcPr>
          <w:p>
            <w:r/>
            <w:r>
              <w:rPr>
                <w:b/>
                <w:color w:val="FFFFFF"/>
                <w:sz w:val="17"/>
              </w:rPr>
              <w:t>Area</w:t>
            </w:r>
          </w:p>
        </w:tc>
        <w:tc>
          <w:tcPr>
            <w:tcW w:type="dxa" w:w="5472"/>
            <w:shd w:val="clear" w:color="auto" w:fill="1F3A5F"/>
          </w:tcPr>
          <w:p>
            <w:r/>
            <w:r>
              <w:rPr>
                <w:b/>
                <w:color w:val="FFFFFF"/>
                <w:sz w:val="17"/>
              </w:rPr>
              <w:t>Deviation</w:t>
            </w:r>
          </w:p>
        </w:tc>
        <w:tc>
          <w:tcPr>
            <w:tcW w:type="dxa" w:w="1008"/>
            <w:shd w:val="clear" w:color="auto" w:fill="1F3A5F"/>
          </w:tcPr>
          <w:p>
            <w:r/>
            <w:r>
              <w:rPr>
                <w:b/>
                <w:color w:val="FFFFFF"/>
                <w:sz w:val="17"/>
              </w:rPr>
              <w:t>Risk</w:t>
            </w:r>
          </w:p>
        </w:tc>
      </w:tr>
      <w:tr>
        <w:tc>
          <w:tcPr>
            <w:tcW w:type="dxa" w:w="720"/>
          </w:tcPr>
          <w:p>
            <w:r>
              <w:rPr>
                <w:sz w:val="17"/>
              </w:rPr>
            </w:r>
            <w:r>
              <w:rPr>
                <w:sz w:val="17"/>
              </w:rPr>
              <w:t>A-1</w:t>
            </w:r>
          </w:p>
        </w:tc>
        <w:tc>
          <w:tcPr>
            <w:tcW w:type="dxa" w:w="2160"/>
          </w:tcPr>
          <w:p>
            <w:r>
              <w:rPr>
                <w:sz w:val="17"/>
              </w:rPr>
            </w:r>
            <w:r>
              <w:rPr>
                <w:sz w:val="17"/>
              </w:rPr>
              <w:t>Availability / Uptime</w:t>
            </w:r>
          </w:p>
        </w:tc>
        <w:tc>
          <w:tcPr>
            <w:tcW w:type="dxa" w:w="5472"/>
          </w:tcPr>
          <w:p>
            <w:r>
              <w:rPr>
                <w:sz w:val="17"/>
              </w:rPr>
            </w:r>
            <w:r>
              <w:rPr>
                <w:sz w:val="17"/>
              </w:rPr>
              <w:t>System tier not designated; EHR platform must be Tier 1</w:t>
            </w:r>
          </w:p>
        </w:tc>
        <w:tc>
          <w:tcPr>
            <w:tcW w:type="dxa" w:w="1008"/>
          </w:tcPr>
          <w:p>
            <w:r>
              <w:rPr>
                <w:b/>
                <w:color w:val="E26B0A"/>
                <w:sz w:val="17"/>
              </w:rPr>
            </w:r>
            <w:r>
              <w:rPr>
                <w:b/>
                <w:color w:val="E26B0A"/>
                <w:sz w:val="17"/>
              </w:rPr>
              <w:t>High</w:t>
            </w:r>
          </w:p>
        </w:tc>
      </w:tr>
      <w:tr>
        <w:tc>
          <w:tcPr>
            <w:tcW w:type="dxa" w:w="720"/>
          </w:tcPr>
          <w:p>
            <w:r>
              <w:rPr>
                <w:sz w:val="17"/>
              </w:rPr>
            </w:r>
            <w:r>
              <w:rPr>
                <w:sz w:val="17"/>
              </w:rPr>
              <w:t>A-2</w:t>
            </w:r>
          </w:p>
        </w:tc>
        <w:tc>
          <w:tcPr>
            <w:tcW w:type="dxa" w:w="2160"/>
          </w:tcPr>
          <w:p>
            <w:r>
              <w:rPr>
                <w:sz w:val="17"/>
              </w:rPr>
            </w:r>
            <w:r>
              <w:rPr>
                <w:sz w:val="17"/>
              </w:rPr>
              <w:t>Availability / Uptime</w:t>
            </w:r>
          </w:p>
        </w:tc>
        <w:tc>
          <w:tcPr>
            <w:tcW w:type="dxa" w:w="5472"/>
          </w:tcPr>
          <w:p>
            <w:r>
              <w:rPr>
                <w:sz w:val="17"/>
              </w:rPr>
            </w:r>
            <w:r>
              <w:rPr>
                <w:sz w:val="17"/>
              </w:rPr>
              <w:t>Uptime commitment: 99.5% "commercially reasonable efforts" versus 99.95% guaranteed</w:t>
            </w:r>
          </w:p>
        </w:tc>
        <w:tc>
          <w:tcPr>
            <w:tcW w:type="dxa" w:w="1008"/>
          </w:tcPr>
          <w:p>
            <w:r>
              <w:rPr>
                <w:b/>
                <w:color w:val="C00000"/>
                <w:sz w:val="17"/>
              </w:rPr>
            </w:r>
            <w:r>
              <w:rPr>
                <w:b/>
                <w:color w:val="C00000"/>
                <w:sz w:val="17"/>
              </w:rPr>
              <w:t>Critical</w:t>
            </w:r>
          </w:p>
        </w:tc>
      </w:tr>
      <w:tr>
        <w:tc>
          <w:tcPr>
            <w:tcW w:type="dxa" w:w="720"/>
          </w:tcPr>
          <w:p>
            <w:r>
              <w:rPr>
                <w:sz w:val="17"/>
              </w:rPr>
            </w:r>
            <w:r>
              <w:rPr>
                <w:sz w:val="17"/>
              </w:rPr>
              <w:t>A-3</w:t>
            </w:r>
          </w:p>
        </w:tc>
        <w:tc>
          <w:tcPr>
            <w:tcW w:type="dxa" w:w="2160"/>
          </w:tcPr>
          <w:p>
            <w:r>
              <w:rPr>
                <w:sz w:val="17"/>
              </w:rPr>
            </w:r>
            <w:r>
              <w:rPr>
                <w:sz w:val="17"/>
              </w:rPr>
              <w:t>Availability / Uptime</w:t>
            </w:r>
          </w:p>
        </w:tc>
        <w:tc>
          <w:tcPr>
            <w:tcW w:type="dxa" w:w="5472"/>
          </w:tcPr>
          <w:p>
            <w:r>
              <w:rPr>
                <w:sz w:val="17"/>
              </w:rPr>
            </w:r>
            <w:r>
              <w:rPr>
                <w:sz w:val="17"/>
              </w:rPr>
              <w:t>Definition of Unplanned Downtime is too narrow and the exclusions are too broad</w:t>
            </w:r>
          </w:p>
        </w:tc>
        <w:tc>
          <w:tcPr>
            <w:tcW w:type="dxa" w:w="1008"/>
          </w:tcPr>
          <w:p>
            <w:r>
              <w:rPr>
                <w:b/>
                <w:color w:val="E26B0A"/>
                <w:sz w:val="17"/>
              </w:rPr>
            </w:r>
            <w:r>
              <w:rPr>
                <w:b/>
                <w:color w:val="E26B0A"/>
                <w:sz w:val="17"/>
              </w:rPr>
              <w:t>High</w:t>
            </w:r>
          </w:p>
        </w:tc>
      </w:tr>
      <w:tr>
        <w:tc>
          <w:tcPr>
            <w:tcW w:type="dxa" w:w="720"/>
          </w:tcPr>
          <w:p>
            <w:r>
              <w:rPr>
                <w:sz w:val="17"/>
              </w:rPr>
            </w:r>
            <w:r>
              <w:rPr>
                <w:sz w:val="17"/>
              </w:rPr>
              <w:t>A-4</w:t>
            </w:r>
          </w:p>
        </w:tc>
        <w:tc>
          <w:tcPr>
            <w:tcW w:type="dxa" w:w="2160"/>
          </w:tcPr>
          <w:p>
            <w:r>
              <w:rPr>
                <w:sz w:val="17"/>
              </w:rPr>
            </w:r>
            <w:r>
              <w:rPr>
                <w:sz w:val="17"/>
              </w:rPr>
              <w:t>Availability / Uptime</w:t>
            </w:r>
          </w:p>
        </w:tc>
        <w:tc>
          <w:tcPr>
            <w:tcW w:type="dxa" w:w="5472"/>
          </w:tcPr>
          <w:p>
            <w:r>
              <w:rPr>
                <w:sz w:val="17"/>
              </w:rPr>
            </w:r>
            <w:r>
              <w:rPr>
                <w:sz w:val="17"/>
              </w:rPr>
              <w:t>Scheduled Maintenance: up to 8 hours per week, 24-hour notice, windows set by Cloudvance</w:t>
            </w:r>
          </w:p>
        </w:tc>
        <w:tc>
          <w:tcPr>
            <w:tcW w:type="dxa" w:w="1008"/>
          </w:tcPr>
          <w:p>
            <w:r>
              <w:rPr>
                <w:b/>
                <w:color w:val="C00000"/>
                <w:sz w:val="17"/>
              </w:rPr>
            </w:r>
            <w:r>
              <w:rPr>
                <w:b/>
                <w:color w:val="C00000"/>
                <w:sz w:val="17"/>
              </w:rPr>
              <w:t>Critical</w:t>
            </w:r>
          </w:p>
        </w:tc>
      </w:tr>
      <w:tr>
        <w:tc>
          <w:tcPr>
            <w:tcW w:type="dxa" w:w="720"/>
          </w:tcPr>
          <w:p>
            <w:r>
              <w:rPr>
                <w:sz w:val="17"/>
              </w:rPr>
            </w:r>
            <w:r>
              <w:rPr>
                <w:sz w:val="17"/>
              </w:rPr>
              <w:t>A-5</w:t>
            </w:r>
          </w:p>
        </w:tc>
        <w:tc>
          <w:tcPr>
            <w:tcW w:type="dxa" w:w="2160"/>
          </w:tcPr>
          <w:p>
            <w:r>
              <w:rPr>
                <w:sz w:val="17"/>
              </w:rPr>
            </w:r>
            <w:r>
              <w:rPr>
                <w:sz w:val="17"/>
              </w:rPr>
              <w:t>Availability / Uptime</w:t>
            </w:r>
          </w:p>
        </w:tc>
        <w:tc>
          <w:tcPr>
            <w:tcW w:type="dxa" w:w="5472"/>
          </w:tcPr>
          <w:p>
            <w:r>
              <w:rPr>
                <w:sz w:val="17"/>
              </w:rPr>
            </w:r>
            <w:r>
              <w:rPr>
                <w:sz w:val="17"/>
              </w:rPr>
              <w:t>Emergency Maintenance: excluded from uptime entirely and defined in Cloudvance's sole discretion</w:t>
            </w:r>
          </w:p>
        </w:tc>
        <w:tc>
          <w:tcPr>
            <w:tcW w:type="dxa" w:w="1008"/>
          </w:tcPr>
          <w:p>
            <w:r>
              <w:rPr>
                <w:b/>
                <w:color w:val="C00000"/>
                <w:sz w:val="17"/>
              </w:rPr>
            </w:r>
            <w:r>
              <w:rPr>
                <w:b/>
                <w:color w:val="C00000"/>
                <w:sz w:val="17"/>
              </w:rPr>
              <w:t>Critical</w:t>
            </w:r>
          </w:p>
        </w:tc>
      </w:tr>
      <w:tr>
        <w:tc>
          <w:tcPr>
            <w:tcW w:type="dxa" w:w="720"/>
          </w:tcPr>
          <w:p>
            <w:r>
              <w:rPr>
                <w:sz w:val="17"/>
              </w:rPr>
            </w:r>
            <w:r>
              <w:rPr>
                <w:sz w:val="17"/>
              </w:rPr>
              <w:t>A-6</w:t>
            </w:r>
          </w:p>
        </w:tc>
        <w:tc>
          <w:tcPr>
            <w:tcW w:type="dxa" w:w="2160"/>
          </w:tcPr>
          <w:p>
            <w:r>
              <w:rPr>
                <w:sz w:val="17"/>
              </w:rPr>
            </w:r>
            <w:r>
              <w:rPr>
                <w:sz w:val="17"/>
              </w:rPr>
              <w:t>Availability / Uptime</w:t>
            </w:r>
          </w:p>
        </w:tc>
        <w:tc>
          <w:tcPr>
            <w:tcW w:type="dxa" w:w="5472"/>
          </w:tcPr>
          <w:p>
            <w:r>
              <w:rPr>
                <w:sz w:val="17"/>
              </w:rPr>
            </w:r>
            <w:r>
              <w:rPr>
                <w:sz w:val="17"/>
              </w:rPr>
              <w:t>Force majeure covers hosting provider, cloud and telecommunications failures, including Stratos</w:t>
            </w:r>
          </w:p>
        </w:tc>
        <w:tc>
          <w:tcPr>
            <w:tcW w:type="dxa" w:w="1008"/>
          </w:tcPr>
          <w:p>
            <w:r>
              <w:rPr>
                <w:b/>
                <w:color w:val="E26B0A"/>
                <w:sz w:val="17"/>
              </w:rPr>
            </w:r>
            <w:r>
              <w:rPr>
                <w:b/>
                <w:color w:val="E26B0A"/>
                <w:sz w:val="17"/>
              </w:rPr>
              <w:t>High</w:t>
            </w:r>
          </w:p>
        </w:tc>
      </w:tr>
      <w:tr>
        <w:tc>
          <w:tcPr>
            <w:tcW w:type="dxa" w:w="720"/>
          </w:tcPr>
          <w:p>
            <w:r>
              <w:rPr>
                <w:sz w:val="17"/>
              </w:rPr>
            </w:r>
            <w:r>
              <w:rPr>
                <w:sz w:val="17"/>
              </w:rPr>
              <w:t>A-7</w:t>
            </w:r>
          </w:p>
        </w:tc>
        <w:tc>
          <w:tcPr>
            <w:tcW w:type="dxa" w:w="2160"/>
          </w:tcPr>
          <w:p>
            <w:r>
              <w:rPr>
                <w:sz w:val="17"/>
              </w:rPr>
            </w:r>
            <w:r>
              <w:rPr>
                <w:sz w:val="17"/>
              </w:rPr>
              <w:t>Availability / Uptime</w:t>
            </w:r>
          </w:p>
        </w:tc>
        <w:tc>
          <w:tcPr>
            <w:tcW w:type="dxa" w:w="5472"/>
          </w:tcPr>
          <w:p>
            <w:r>
              <w:rPr>
                <w:sz w:val="17"/>
              </w:rPr>
            </w:r>
            <w:r>
              <w:rPr>
                <w:sz w:val="17"/>
              </w:rPr>
              <w:t>Uptime reporting and transparency</w:t>
            </w:r>
          </w:p>
        </w:tc>
        <w:tc>
          <w:tcPr>
            <w:tcW w:type="dxa" w:w="1008"/>
          </w:tcPr>
          <w:p>
            <w:r>
              <w:rPr>
                <w:b/>
                <w:color w:val="BF8F00"/>
                <w:sz w:val="17"/>
              </w:rPr>
            </w:r>
            <w:r>
              <w:rPr>
                <w:b/>
                <w:color w:val="BF8F00"/>
                <w:sz w:val="17"/>
              </w:rPr>
              <w:t>Medium</w:t>
            </w:r>
          </w:p>
        </w:tc>
      </w:tr>
      <w:tr>
        <w:tc>
          <w:tcPr>
            <w:tcW w:type="dxa" w:w="720"/>
          </w:tcPr>
          <w:p>
            <w:r>
              <w:rPr>
                <w:sz w:val="17"/>
              </w:rPr>
            </w:r>
            <w:r>
              <w:rPr>
                <w:sz w:val="17"/>
              </w:rPr>
              <w:t>B-1</w:t>
            </w:r>
          </w:p>
        </w:tc>
        <w:tc>
          <w:tcPr>
            <w:tcW w:type="dxa" w:w="2160"/>
          </w:tcPr>
          <w:p>
            <w:r>
              <w:rPr>
                <w:sz w:val="17"/>
              </w:rPr>
            </w:r>
            <w:r>
              <w:rPr>
                <w:sz w:val="17"/>
              </w:rPr>
              <w:t>Service Credits &amp; Remedies</w:t>
            </w:r>
          </w:p>
        </w:tc>
        <w:tc>
          <w:tcPr>
            <w:tcW w:type="dxa" w:w="5472"/>
          </w:tcPr>
          <w:p>
            <w:r>
              <w:rPr>
                <w:sz w:val="17"/>
              </w:rPr>
            </w:r>
            <w:r>
              <w:rPr>
                <w:sz w:val="17"/>
              </w:rPr>
              <w:t>Service credit formula and cap: tiered 5/10/15% capped at $85,500 per month versus 10% per 0.1% uncapped</w:t>
            </w:r>
          </w:p>
        </w:tc>
        <w:tc>
          <w:tcPr>
            <w:tcW w:type="dxa" w:w="1008"/>
          </w:tcPr>
          <w:p>
            <w:r>
              <w:rPr>
                <w:b/>
                <w:color w:val="C00000"/>
                <w:sz w:val="17"/>
              </w:rPr>
            </w:r>
            <w:r>
              <w:rPr>
                <w:b/>
                <w:color w:val="C00000"/>
                <w:sz w:val="17"/>
              </w:rPr>
              <w:t>Critical</w:t>
            </w:r>
          </w:p>
        </w:tc>
      </w:tr>
      <w:tr>
        <w:tc>
          <w:tcPr>
            <w:tcW w:type="dxa" w:w="720"/>
          </w:tcPr>
          <w:p>
            <w:r>
              <w:rPr>
                <w:sz w:val="17"/>
              </w:rPr>
            </w:r>
            <w:r>
              <w:rPr>
                <w:sz w:val="17"/>
              </w:rPr>
              <w:t>B-2</w:t>
            </w:r>
          </w:p>
        </w:tc>
        <w:tc>
          <w:tcPr>
            <w:tcW w:type="dxa" w:w="2160"/>
          </w:tcPr>
          <w:p>
            <w:r>
              <w:rPr>
                <w:sz w:val="17"/>
              </w:rPr>
            </w:r>
            <w:r>
              <w:rPr>
                <w:sz w:val="17"/>
              </w:rPr>
              <w:t>Service Credits &amp; Remedies</w:t>
            </w:r>
          </w:p>
        </w:tc>
        <w:tc>
          <w:tcPr>
            <w:tcW w:type="dxa" w:w="5472"/>
          </w:tcPr>
          <w:p>
            <w:r>
              <w:rPr>
                <w:sz w:val="17"/>
              </w:rPr>
            </w:r>
            <w:r>
              <w:rPr>
                <w:sz w:val="17"/>
              </w:rPr>
              <w:t>Credit mechanics: claim-or-waive, credit only (no cash), forfeited on termination</w:t>
            </w:r>
          </w:p>
        </w:tc>
        <w:tc>
          <w:tcPr>
            <w:tcW w:type="dxa" w:w="1008"/>
          </w:tcPr>
          <w:p>
            <w:r>
              <w:rPr>
                <w:b/>
                <w:color w:val="E26B0A"/>
                <w:sz w:val="17"/>
              </w:rPr>
            </w:r>
            <w:r>
              <w:rPr>
                <w:b/>
                <w:color w:val="E26B0A"/>
                <w:sz w:val="17"/>
              </w:rPr>
              <w:t>High</w:t>
            </w:r>
          </w:p>
        </w:tc>
      </w:tr>
      <w:tr>
        <w:tc>
          <w:tcPr>
            <w:tcW w:type="dxa" w:w="720"/>
          </w:tcPr>
          <w:p>
            <w:r>
              <w:rPr>
                <w:sz w:val="17"/>
              </w:rPr>
            </w:r>
            <w:r>
              <w:rPr>
                <w:sz w:val="17"/>
              </w:rPr>
              <w:t>B-3</w:t>
            </w:r>
          </w:p>
        </w:tc>
        <w:tc>
          <w:tcPr>
            <w:tcW w:type="dxa" w:w="2160"/>
          </w:tcPr>
          <w:p>
            <w:r>
              <w:rPr>
                <w:sz w:val="17"/>
              </w:rPr>
            </w:r>
            <w:r>
              <w:rPr>
                <w:sz w:val="17"/>
              </w:rPr>
              <w:t>Service Credits &amp; Remedies</w:t>
            </w:r>
          </w:p>
        </w:tc>
        <w:tc>
          <w:tcPr>
            <w:tcW w:type="dxa" w:w="5472"/>
          </w:tcPr>
          <w:p>
            <w:r>
              <w:rPr>
                <w:sz w:val="17"/>
              </w:rPr>
            </w:r>
            <w:r>
              <w:rPr>
                <w:sz w:val="17"/>
              </w:rPr>
              <w:t>"Sole and exclusive remedy" clause for uptime failures</w:t>
            </w:r>
          </w:p>
        </w:tc>
        <w:tc>
          <w:tcPr>
            <w:tcW w:type="dxa" w:w="1008"/>
          </w:tcPr>
          <w:p>
            <w:r>
              <w:rPr>
                <w:b/>
                <w:color w:val="C00000"/>
                <w:sz w:val="17"/>
              </w:rPr>
            </w:r>
            <w:r>
              <w:rPr>
                <w:b/>
                <w:color w:val="C00000"/>
                <w:sz w:val="17"/>
              </w:rPr>
              <w:t>Critical</w:t>
            </w:r>
          </w:p>
        </w:tc>
      </w:tr>
      <w:tr>
        <w:tc>
          <w:tcPr>
            <w:tcW w:type="dxa" w:w="720"/>
          </w:tcPr>
          <w:p>
            <w:r>
              <w:rPr>
                <w:sz w:val="17"/>
              </w:rPr>
            </w:r>
            <w:r>
              <w:rPr>
                <w:sz w:val="17"/>
              </w:rPr>
              <w:t>B-4</w:t>
            </w:r>
          </w:p>
        </w:tc>
        <w:tc>
          <w:tcPr>
            <w:tcW w:type="dxa" w:w="2160"/>
          </w:tcPr>
          <w:p>
            <w:r>
              <w:rPr>
                <w:sz w:val="17"/>
              </w:rPr>
            </w:r>
            <w:r>
              <w:rPr>
                <w:sz w:val="17"/>
              </w:rPr>
              <w:t>Service Credits &amp; Remedies</w:t>
            </w:r>
          </w:p>
        </w:tc>
        <w:tc>
          <w:tcPr>
            <w:tcW w:type="dxa" w:w="5472"/>
          </w:tcPr>
          <w:p>
            <w:r>
              <w:rPr>
                <w:sz w:val="17"/>
              </w:rPr>
            </w:r>
            <w:r>
              <w:rPr>
                <w:sz w:val="17"/>
              </w:rPr>
              <w:t>No Chronic SLA Failure remedy, which §11.4 affirmatively forecloses</w:t>
            </w:r>
          </w:p>
        </w:tc>
        <w:tc>
          <w:tcPr>
            <w:tcW w:type="dxa" w:w="1008"/>
          </w:tcPr>
          <w:p>
            <w:r>
              <w:rPr>
                <w:b/>
                <w:color w:val="C00000"/>
                <w:sz w:val="17"/>
              </w:rPr>
            </w:r>
            <w:r>
              <w:rPr>
                <w:b/>
                <w:color w:val="C00000"/>
                <w:sz w:val="17"/>
              </w:rPr>
              <w:t>Critical</w:t>
            </w:r>
          </w:p>
        </w:tc>
      </w:tr>
      <w:tr>
        <w:tc>
          <w:tcPr>
            <w:tcW w:type="dxa" w:w="720"/>
          </w:tcPr>
          <w:p>
            <w:r>
              <w:rPr>
                <w:sz w:val="17"/>
              </w:rPr>
            </w:r>
            <w:r>
              <w:rPr>
                <w:sz w:val="17"/>
              </w:rPr>
              <w:t>C-1</w:t>
            </w:r>
          </w:p>
        </w:tc>
        <w:tc>
          <w:tcPr>
            <w:tcW w:type="dxa" w:w="2160"/>
          </w:tcPr>
          <w:p>
            <w:r>
              <w:rPr>
                <w:sz w:val="17"/>
              </w:rPr>
            </w:r>
            <w:r>
              <w:rPr>
                <w:sz w:val="17"/>
              </w:rPr>
              <w:t>Incident Response</w:t>
            </w:r>
          </w:p>
        </w:tc>
        <w:tc>
          <w:tcPr>
            <w:tcW w:type="dxa" w:w="5472"/>
          </w:tcPr>
          <w:p>
            <w:r>
              <w:rPr>
                <w:sz w:val="17"/>
              </w:rPr>
            </w:r>
            <w:r>
              <w:rPr>
                <w:sz w:val="17"/>
              </w:rPr>
              <w:t>Severity model: three levels with narrow definitions versus the required four-tier model</w:t>
            </w:r>
          </w:p>
        </w:tc>
        <w:tc>
          <w:tcPr>
            <w:tcW w:type="dxa" w:w="1008"/>
          </w:tcPr>
          <w:p>
            <w:r>
              <w:rPr>
                <w:b/>
                <w:color w:val="E26B0A"/>
                <w:sz w:val="17"/>
              </w:rPr>
            </w:r>
            <w:r>
              <w:rPr>
                <w:b/>
                <w:color w:val="E26B0A"/>
                <w:sz w:val="17"/>
              </w:rPr>
              <w:t>High</w:t>
            </w:r>
          </w:p>
        </w:tc>
      </w:tr>
      <w:tr>
        <w:tc>
          <w:tcPr>
            <w:tcW w:type="dxa" w:w="720"/>
          </w:tcPr>
          <w:p>
            <w:r>
              <w:rPr>
                <w:sz w:val="17"/>
              </w:rPr>
            </w:r>
            <w:r>
              <w:rPr>
                <w:sz w:val="17"/>
              </w:rPr>
              <w:t>C-2</w:t>
            </w:r>
          </w:p>
        </w:tc>
        <w:tc>
          <w:tcPr>
            <w:tcW w:type="dxa" w:w="2160"/>
          </w:tcPr>
          <w:p>
            <w:r>
              <w:rPr>
                <w:sz w:val="17"/>
              </w:rPr>
            </w:r>
            <w:r>
              <w:rPr>
                <w:sz w:val="17"/>
              </w:rPr>
              <w:t>Incident Response</w:t>
            </w:r>
          </w:p>
        </w:tc>
        <w:tc>
          <w:tcPr>
            <w:tcW w:type="dxa" w:w="5472"/>
          </w:tcPr>
          <w:p>
            <w:r>
              <w:rPr>
                <w:sz w:val="17"/>
              </w:rPr>
            </w:r>
            <w:r>
              <w:rPr>
                <w:sz w:val="17"/>
              </w:rPr>
              <w:t>Response and resolution times are up to 8 times slower than SLS and expressly non-binding</w:t>
            </w:r>
          </w:p>
        </w:tc>
        <w:tc>
          <w:tcPr>
            <w:tcW w:type="dxa" w:w="1008"/>
          </w:tcPr>
          <w:p>
            <w:r>
              <w:rPr>
                <w:b/>
                <w:color w:val="C00000"/>
                <w:sz w:val="17"/>
              </w:rPr>
            </w:r>
            <w:r>
              <w:rPr>
                <w:b/>
                <w:color w:val="C00000"/>
                <w:sz w:val="17"/>
              </w:rPr>
              <w:t>Critical</w:t>
            </w:r>
          </w:p>
        </w:tc>
      </w:tr>
      <w:tr>
        <w:tc>
          <w:tcPr>
            <w:tcW w:type="dxa" w:w="720"/>
          </w:tcPr>
          <w:p>
            <w:r>
              <w:rPr>
                <w:sz w:val="17"/>
              </w:rPr>
            </w:r>
            <w:r>
              <w:rPr>
                <w:sz w:val="17"/>
              </w:rPr>
              <w:t>C-3</w:t>
            </w:r>
          </w:p>
        </w:tc>
        <w:tc>
          <w:tcPr>
            <w:tcW w:type="dxa" w:w="2160"/>
          </w:tcPr>
          <w:p>
            <w:r>
              <w:rPr>
                <w:sz w:val="17"/>
              </w:rPr>
            </w:r>
            <w:r>
              <w:rPr>
                <w:sz w:val="17"/>
              </w:rPr>
              <w:t>Incident Response</w:t>
            </w:r>
          </w:p>
        </w:tc>
        <w:tc>
          <w:tcPr>
            <w:tcW w:type="dxa" w:w="5472"/>
          </w:tcPr>
          <w:p>
            <w:r>
              <w:rPr>
                <w:sz w:val="17"/>
              </w:rPr>
            </w:r>
            <w:r>
              <w:rPr>
                <w:sz w:val="17"/>
              </w:rPr>
              <w:t>No consequences for missed S1/S2 response or resolution</w:t>
            </w:r>
          </w:p>
        </w:tc>
        <w:tc>
          <w:tcPr>
            <w:tcW w:type="dxa" w:w="1008"/>
          </w:tcPr>
          <w:p>
            <w:r>
              <w:rPr>
                <w:b/>
                <w:color w:val="E26B0A"/>
                <w:sz w:val="17"/>
              </w:rPr>
            </w:r>
            <w:r>
              <w:rPr>
                <w:b/>
                <w:color w:val="E26B0A"/>
                <w:sz w:val="17"/>
              </w:rPr>
              <w:t>High</w:t>
            </w:r>
          </w:p>
        </w:tc>
      </w:tr>
      <w:tr>
        <w:tc>
          <w:tcPr>
            <w:tcW w:type="dxa" w:w="720"/>
          </w:tcPr>
          <w:p>
            <w:r>
              <w:rPr>
                <w:sz w:val="17"/>
              </w:rPr>
            </w:r>
            <w:r>
              <w:rPr>
                <w:sz w:val="17"/>
              </w:rPr>
              <w:t>C-4</w:t>
            </w:r>
          </w:p>
        </w:tc>
        <w:tc>
          <w:tcPr>
            <w:tcW w:type="dxa" w:w="2160"/>
          </w:tcPr>
          <w:p>
            <w:r>
              <w:rPr>
                <w:sz w:val="17"/>
              </w:rPr>
            </w:r>
            <w:r>
              <w:rPr>
                <w:sz w:val="17"/>
              </w:rPr>
              <w:t>Incident Response</w:t>
            </w:r>
          </w:p>
        </w:tc>
        <w:tc>
          <w:tcPr>
            <w:tcW w:type="dxa" w:w="5472"/>
          </w:tcPr>
          <w:p>
            <w:r>
              <w:rPr>
                <w:sz w:val="17"/>
              </w:rPr>
            </w:r>
            <w:r>
              <w:rPr>
                <w:sz w:val="17"/>
              </w:rPr>
              <w:t>Incident communications, 24/7 coverage and post-incident reports</w:t>
            </w:r>
          </w:p>
        </w:tc>
        <w:tc>
          <w:tcPr>
            <w:tcW w:type="dxa" w:w="1008"/>
          </w:tcPr>
          <w:p>
            <w:r>
              <w:rPr>
                <w:b/>
                <w:color w:val="E26B0A"/>
                <w:sz w:val="17"/>
              </w:rPr>
            </w:r>
            <w:r>
              <w:rPr>
                <w:b/>
                <w:color w:val="E26B0A"/>
                <w:sz w:val="17"/>
              </w:rPr>
              <w:t>High</w:t>
            </w:r>
          </w:p>
        </w:tc>
      </w:tr>
      <w:tr>
        <w:tc>
          <w:tcPr>
            <w:tcW w:type="dxa" w:w="720"/>
          </w:tcPr>
          <w:p>
            <w:r>
              <w:rPr>
                <w:sz w:val="17"/>
              </w:rPr>
            </w:r>
            <w:r>
              <w:rPr>
                <w:sz w:val="17"/>
              </w:rPr>
              <w:t>D-1</w:t>
            </w:r>
          </w:p>
        </w:tc>
        <w:tc>
          <w:tcPr>
            <w:tcW w:type="dxa" w:w="2160"/>
          </w:tcPr>
          <w:p>
            <w:r>
              <w:rPr>
                <w:sz w:val="17"/>
              </w:rPr>
            </w:r>
            <w:r>
              <w:rPr>
                <w:sz w:val="17"/>
              </w:rPr>
              <w:t>Data Security / BAA / Insurance</w:t>
            </w:r>
          </w:p>
        </w:tc>
        <w:tc>
          <w:tcPr>
            <w:tcW w:type="dxa" w:w="5472"/>
          </w:tcPr>
          <w:p>
            <w:r>
              <w:rPr>
                <w:sz w:val="17"/>
              </w:rPr>
            </w:r>
            <w:r>
              <w:rPr>
                <w:sz w:val="17"/>
              </w:rPr>
              <w:t>BAA does not incorporate the HITECH Act (Exhibit D)</w:t>
            </w:r>
          </w:p>
        </w:tc>
        <w:tc>
          <w:tcPr>
            <w:tcW w:type="dxa" w:w="1008"/>
          </w:tcPr>
          <w:p>
            <w:r>
              <w:rPr>
                <w:b/>
                <w:color w:val="C00000"/>
                <w:sz w:val="17"/>
              </w:rPr>
            </w:r>
            <w:r>
              <w:rPr>
                <w:b/>
                <w:color w:val="C00000"/>
                <w:sz w:val="17"/>
              </w:rPr>
              <w:t>Critical</w:t>
            </w:r>
          </w:p>
        </w:tc>
      </w:tr>
      <w:tr>
        <w:tc>
          <w:tcPr>
            <w:tcW w:type="dxa" w:w="720"/>
          </w:tcPr>
          <w:p>
            <w:r>
              <w:rPr>
                <w:sz w:val="17"/>
              </w:rPr>
            </w:r>
            <w:r>
              <w:rPr>
                <w:sz w:val="17"/>
              </w:rPr>
              <w:t>D-2</w:t>
            </w:r>
          </w:p>
        </w:tc>
        <w:tc>
          <w:tcPr>
            <w:tcW w:type="dxa" w:w="2160"/>
          </w:tcPr>
          <w:p>
            <w:r>
              <w:rPr>
                <w:sz w:val="17"/>
              </w:rPr>
            </w:r>
            <w:r>
              <w:rPr>
                <w:sz w:val="17"/>
              </w:rPr>
              <w:t>Data Security / BAA / Insurance</w:t>
            </w:r>
          </w:p>
        </w:tc>
        <w:tc>
          <w:tcPr>
            <w:tcW w:type="dxa" w:w="5472"/>
          </w:tcPr>
          <w:p>
            <w:r>
              <w:rPr>
                <w:sz w:val="17"/>
              </w:rPr>
            </w:r>
            <w:r>
              <w:rPr>
                <w:sz w:val="17"/>
              </w:rPr>
              <w:t>BAA breach notification (30 days) and permitted uses (data aggregation, de-identification)</w:t>
            </w:r>
          </w:p>
        </w:tc>
        <w:tc>
          <w:tcPr>
            <w:tcW w:type="dxa" w:w="1008"/>
          </w:tcPr>
          <w:p>
            <w:r>
              <w:rPr>
                <w:b/>
                <w:color w:val="E26B0A"/>
                <w:sz w:val="17"/>
              </w:rPr>
            </w:r>
            <w:r>
              <w:rPr>
                <w:b/>
                <w:color w:val="E26B0A"/>
                <w:sz w:val="17"/>
              </w:rPr>
              <w:t>High</w:t>
            </w:r>
          </w:p>
        </w:tc>
      </w:tr>
      <w:tr>
        <w:tc>
          <w:tcPr>
            <w:tcW w:type="dxa" w:w="720"/>
          </w:tcPr>
          <w:p>
            <w:r>
              <w:rPr>
                <w:sz w:val="17"/>
              </w:rPr>
            </w:r>
            <w:r>
              <w:rPr>
                <w:sz w:val="17"/>
              </w:rPr>
              <w:t>D-3</w:t>
            </w:r>
          </w:p>
        </w:tc>
        <w:tc>
          <w:tcPr>
            <w:tcW w:type="dxa" w:w="2160"/>
          </w:tcPr>
          <w:p>
            <w:r>
              <w:rPr>
                <w:sz w:val="17"/>
              </w:rPr>
            </w:r>
            <w:r>
              <w:rPr>
                <w:sz w:val="17"/>
              </w:rPr>
              <w:t>Data Security / BAA / Insurance</w:t>
            </w:r>
          </w:p>
        </w:tc>
        <w:tc>
          <w:tcPr>
            <w:tcW w:type="dxa" w:w="5472"/>
          </w:tcPr>
          <w:p>
            <w:r>
              <w:rPr>
                <w:sz w:val="17"/>
              </w:rPr>
            </w:r>
            <w:r>
              <w:rPr>
                <w:sz w:val="17"/>
              </w:rPr>
              <w:t>Encryption: "industry-standard" language that the SLS prohibits</w:t>
            </w:r>
          </w:p>
        </w:tc>
        <w:tc>
          <w:tcPr>
            <w:tcW w:type="dxa" w:w="1008"/>
          </w:tcPr>
          <w:p>
            <w:r>
              <w:rPr>
                <w:b/>
                <w:color w:val="E26B0A"/>
                <w:sz w:val="17"/>
              </w:rPr>
            </w:r>
            <w:r>
              <w:rPr>
                <w:b/>
                <w:color w:val="E26B0A"/>
                <w:sz w:val="17"/>
              </w:rPr>
              <w:t>High</w:t>
            </w:r>
          </w:p>
        </w:tc>
      </w:tr>
      <w:tr>
        <w:tc>
          <w:tcPr>
            <w:tcW w:type="dxa" w:w="720"/>
          </w:tcPr>
          <w:p>
            <w:r>
              <w:rPr>
                <w:sz w:val="17"/>
              </w:rPr>
            </w:r>
            <w:r>
              <w:rPr>
                <w:sz w:val="17"/>
              </w:rPr>
              <w:t>D-4</w:t>
            </w:r>
          </w:p>
        </w:tc>
        <w:tc>
          <w:tcPr>
            <w:tcW w:type="dxa" w:w="2160"/>
          </w:tcPr>
          <w:p>
            <w:r>
              <w:rPr>
                <w:sz w:val="17"/>
              </w:rPr>
            </w:r>
            <w:r>
              <w:rPr>
                <w:sz w:val="17"/>
              </w:rPr>
              <w:t>Data Security / BAA / Insurance</w:t>
            </w:r>
          </w:p>
        </w:tc>
        <w:tc>
          <w:tcPr>
            <w:tcW w:type="dxa" w:w="5472"/>
          </w:tcPr>
          <w:p>
            <w:r>
              <w:rPr>
                <w:sz w:val="17"/>
              </w:rPr>
            </w:r>
            <w:r>
              <w:rPr>
                <w:sz w:val="17"/>
              </w:rPr>
              <w:t>Security certifications and testing: SOC 2 only; no HITRUST, penetration testing or vulnerability scanning</w:t>
            </w:r>
          </w:p>
        </w:tc>
        <w:tc>
          <w:tcPr>
            <w:tcW w:type="dxa" w:w="1008"/>
          </w:tcPr>
          <w:p>
            <w:r>
              <w:rPr>
                <w:b/>
                <w:color w:val="E26B0A"/>
                <w:sz w:val="17"/>
              </w:rPr>
            </w:r>
            <w:r>
              <w:rPr>
                <w:b/>
                <w:color w:val="E26B0A"/>
                <w:sz w:val="17"/>
              </w:rPr>
              <w:t>High</w:t>
            </w:r>
          </w:p>
        </w:tc>
      </w:tr>
      <w:tr>
        <w:tc>
          <w:tcPr>
            <w:tcW w:type="dxa" w:w="720"/>
          </w:tcPr>
          <w:p>
            <w:r>
              <w:rPr>
                <w:sz w:val="17"/>
              </w:rPr>
            </w:r>
            <w:r>
              <w:rPr>
                <w:sz w:val="17"/>
              </w:rPr>
              <w:t>D-5</w:t>
            </w:r>
          </w:p>
        </w:tc>
        <w:tc>
          <w:tcPr>
            <w:tcW w:type="dxa" w:w="2160"/>
          </w:tcPr>
          <w:p>
            <w:r>
              <w:rPr>
                <w:sz w:val="17"/>
              </w:rPr>
            </w:r>
            <w:r>
              <w:rPr>
                <w:sz w:val="17"/>
              </w:rPr>
              <w:t>Data Security / BAA / Insurance</w:t>
            </w:r>
          </w:p>
        </w:tc>
        <w:tc>
          <w:tcPr>
            <w:tcW w:type="dxa" w:w="5472"/>
          </w:tcPr>
          <w:p>
            <w:r>
              <w:rPr>
                <w:sz w:val="17"/>
              </w:rPr>
            </w:r>
            <w:r>
              <w:rPr>
                <w:sz w:val="17"/>
              </w:rPr>
              <w:t>Safeguards described as "commercially reasonable"; several required controls missing</w:t>
            </w:r>
          </w:p>
        </w:tc>
        <w:tc>
          <w:tcPr>
            <w:tcW w:type="dxa" w:w="1008"/>
          </w:tcPr>
          <w:p>
            <w:r>
              <w:rPr>
                <w:b/>
                <w:color w:val="BF8F00"/>
                <w:sz w:val="17"/>
              </w:rPr>
            </w:r>
            <w:r>
              <w:rPr>
                <w:b/>
                <w:color w:val="BF8F00"/>
                <w:sz w:val="17"/>
              </w:rPr>
              <w:t>Medium</w:t>
            </w:r>
          </w:p>
        </w:tc>
      </w:tr>
      <w:tr>
        <w:tc>
          <w:tcPr>
            <w:tcW w:type="dxa" w:w="720"/>
          </w:tcPr>
          <w:p>
            <w:r>
              <w:rPr>
                <w:sz w:val="17"/>
              </w:rPr>
            </w:r>
            <w:r>
              <w:rPr>
                <w:sz w:val="17"/>
              </w:rPr>
              <w:t>D-6</w:t>
            </w:r>
          </w:p>
        </w:tc>
        <w:tc>
          <w:tcPr>
            <w:tcW w:type="dxa" w:w="2160"/>
          </w:tcPr>
          <w:p>
            <w:r>
              <w:rPr>
                <w:sz w:val="17"/>
              </w:rPr>
            </w:r>
            <w:r>
              <w:rPr>
                <w:sz w:val="17"/>
              </w:rPr>
              <w:t>Data Security / BAA / Insurance</w:t>
            </w:r>
          </w:p>
        </w:tc>
        <w:tc>
          <w:tcPr>
            <w:tcW w:type="dxa" w:w="5472"/>
          </w:tcPr>
          <w:p>
            <w:r>
              <w:rPr>
                <w:sz w:val="17"/>
              </w:rPr>
            </w:r>
            <w:r>
              <w:rPr>
                <w:sz w:val="17"/>
              </w:rPr>
              <w:t>Cyber liability insurance: no minimum, no coverage terms</w:t>
            </w:r>
          </w:p>
        </w:tc>
        <w:tc>
          <w:tcPr>
            <w:tcW w:type="dxa" w:w="1008"/>
          </w:tcPr>
          <w:p>
            <w:r>
              <w:rPr>
                <w:b/>
                <w:color w:val="E26B0A"/>
                <w:sz w:val="17"/>
              </w:rPr>
            </w:r>
            <w:r>
              <w:rPr>
                <w:b/>
                <w:color w:val="E26B0A"/>
                <w:sz w:val="17"/>
              </w:rPr>
              <w:t>High</w:t>
            </w:r>
          </w:p>
        </w:tc>
      </w:tr>
      <w:tr>
        <w:tc>
          <w:tcPr>
            <w:tcW w:type="dxa" w:w="720"/>
          </w:tcPr>
          <w:p>
            <w:r>
              <w:rPr>
                <w:sz w:val="17"/>
              </w:rPr>
            </w:r>
            <w:r>
              <w:rPr>
                <w:sz w:val="17"/>
              </w:rPr>
              <w:t>E-1</w:t>
            </w:r>
          </w:p>
        </w:tc>
        <w:tc>
          <w:tcPr>
            <w:tcW w:type="dxa" w:w="2160"/>
          </w:tcPr>
          <w:p>
            <w:r>
              <w:rPr>
                <w:sz w:val="17"/>
              </w:rPr>
            </w:r>
            <w:r>
              <w:rPr>
                <w:sz w:val="17"/>
              </w:rPr>
              <w:t>Data Ownership &amp; Portability</w:t>
            </w:r>
          </w:p>
        </w:tc>
        <w:tc>
          <w:tcPr>
            <w:tcW w:type="dxa" w:w="5472"/>
          </w:tcPr>
          <w:p>
            <w:r>
              <w:rPr>
                <w:sz w:val="17"/>
              </w:rPr>
            </w:r>
            <w:r>
              <w:rPr>
                <w:sz w:val="17"/>
              </w:rPr>
              <w:t>Customer Data definition carves out derived, de-identified and aggregated data</w:t>
            </w:r>
          </w:p>
        </w:tc>
        <w:tc>
          <w:tcPr>
            <w:tcW w:type="dxa" w:w="1008"/>
          </w:tcPr>
          <w:p>
            <w:r>
              <w:rPr>
                <w:b/>
                <w:color w:val="E26B0A"/>
                <w:sz w:val="17"/>
              </w:rPr>
            </w:r>
            <w:r>
              <w:rPr>
                <w:b/>
                <w:color w:val="E26B0A"/>
                <w:sz w:val="17"/>
              </w:rPr>
              <w:t>High</w:t>
            </w:r>
          </w:p>
        </w:tc>
      </w:tr>
      <w:tr>
        <w:tc>
          <w:tcPr>
            <w:tcW w:type="dxa" w:w="720"/>
          </w:tcPr>
          <w:p>
            <w:r>
              <w:rPr>
                <w:sz w:val="17"/>
              </w:rPr>
            </w:r>
            <w:r>
              <w:rPr>
                <w:sz w:val="17"/>
              </w:rPr>
              <w:t>E-2</w:t>
            </w:r>
          </w:p>
        </w:tc>
        <w:tc>
          <w:tcPr>
            <w:tcW w:type="dxa" w:w="2160"/>
          </w:tcPr>
          <w:p>
            <w:r>
              <w:rPr>
                <w:sz w:val="17"/>
              </w:rPr>
            </w:r>
            <w:r>
              <w:rPr>
                <w:sz w:val="17"/>
              </w:rPr>
              <w:t>Data Ownership &amp; Portability</w:t>
            </w:r>
          </w:p>
        </w:tc>
        <w:tc>
          <w:tcPr>
            <w:tcW w:type="dxa" w:w="5472"/>
          </w:tcPr>
          <w:p>
            <w:r>
              <w:rPr>
                <w:sz w:val="17"/>
              </w:rPr>
            </w:r>
            <w:r>
              <w:rPr>
                <w:sz w:val="17"/>
              </w:rPr>
              <w:t>Breadth of Cloudvance's data license, de-identified data and aggregated data rights</w:t>
            </w:r>
          </w:p>
        </w:tc>
        <w:tc>
          <w:tcPr>
            <w:tcW w:type="dxa" w:w="1008"/>
          </w:tcPr>
          <w:p>
            <w:r>
              <w:rPr>
                <w:b/>
                <w:color w:val="C00000"/>
                <w:sz w:val="17"/>
              </w:rPr>
            </w:r>
            <w:r>
              <w:rPr>
                <w:b/>
                <w:color w:val="C00000"/>
                <w:sz w:val="17"/>
              </w:rPr>
              <w:t>Critical</w:t>
            </w:r>
          </w:p>
        </w:tc>
      </w:tr>
      <w:tr>
        <w:tc>
          <w:tcPr>
            <w:tcW w:type="dxa" w:w="720"/>
          </w:tcPr>
          <w:p>
            <w:r>
              <w:rPr>
                <w:sz w:val="17"/>
              </w:rPr>
            </w:r>
            <w:r>
              <w:rPr>
                <w:sz w:val="17"/>
              </w:rPr>
              <w:t>E-3</w:t>
            </w:r>
          </w:p>
        </w:tc>
        <w:tc>
          <w:tcPr>
            <w:tcW w:type="dxa" w:w="2160"/>
          </w:tcPr>
          <w:p>
            <w:r>
              <w:rPr>
                <w:sz w:val="17"/>
              </w:rPr>
            </w:r>
            <w:r>
              <w:rPr>
                <w:sz w:val="17"/>
              </w:rPr>
              <w:t>Data Ownership &amp; Portability</w:t>
            </w:r>
          </w:p>
        </w:tc>
        <w:tc>
          <w:tcPr>
            <w:tcW w:type="dxa" w:w="5472"/>
          </w:tcPr>
          <w:p>
            <w:r>
              <w:rPr>
                <w:sz w:val="17"/>
              </w:rPr>
            </w:r>
            <w:r>
              <w:rPr>
                <w:sz w:val="17"/>
              </w:rPr>
              <w:t>Post-termination data retrieval: 30 days, unspecified format, Meridian solely responsible</w:t>
            </w:r>
          </w:p>
        </w:tc>
        <w:tc>
          <w:tcPr>
            <w:tcW w:type="dxa" w:w="1008"/>
          </w:tcPr>
          <w:p>
            <w:r>
              <w:rPr>
                <w:b/>
                <w:color w:val="C00000"/>
                <w:sz w:val="17"/>
              </w:rPr>
            </w:r>
            <w:r>
              <w:rPr>
                <w:b/>
                <w:color w:val="C00000"/>
                <w:sz w:val="17"/>
              </w:rPr>
              <w:t>Critical</w:t>
            </w:r>
          </w:p>
        </w:tc>
      </w:tr>
      <w:tr>
        <w:tc>
          <w:tcPr>
            <w:tcW w:type="dxa" w:w="720"/>
          </w:tcPr>
          <w:p>
            <w:r>
              <w:rPr>
                <w:sz w:val="17"/>
              </w:rPr>
            </w:r>
            <w:r>
              <w:rPr>
                <w:sz w:val="17"/>
              </w:rPr>
              <w:t>E-4</w:t>
            </w:r>
          </w:p>
        </w:tc>
        <w:tc>
          <w:tcPr>
            <w:tcW w:type="dxa" w:w="2160"/>
          </w:tcPr>
          <w:p>
            <w:r>
              <w:rPr>
                <w:sz w:val="17"/>
              </w:rPr>
            </w:r>
            <w:r>
              <w:rPr>
                <w:sz w:val="17"/>
              </w:rPr>
              <w:t>Data Ownership &amp; Portability</w:t>
            </w:r>
          </w:p>
        </w:tc>
        <w:tc>
          <w:tcPr>
            <w:tcW w:type="dxa" w:w="5472"/>
          </w:tcPr>
          <w:p>
            <w:r>
              <w:rPr>
                <w:sz w:val="17"/>
              </w:rPr>
            </w:r>
            <w:r>
              <w:rPr>
                <w:sz w:val="17"/>
              </w:rPr>
              <w:t>No Transition Assistance Plan</w:t>
            </w:r>
          </w:p>
        </w:tc>
        <w:tc>
          <w:tcPr>
            <w:tcW w:type="dxa" w:w="1008"/>
          </w:tcPr>
          <w:p>
            <w:r>
              <w:rPr>
                <w:b/>
                <w:color w:val="C00000"/>
                <w:sz w:val="17"/>
              </w:rPr>
            </w:r>
            <w:r>
              <w:rPr>
                <w:b/>
                <w:color w:val="C00000"/>
                <w:sz w:val="17"/>
              </w:rPr>
              <w:t>Critical</w:t>
            </w:r>
          </w:p>
        </w:tc>
      </w:tr>
      <w:tr>
        <w:tc>
          <w:tcPr>
            <w:tcW w:type="dxa" w:w="720"/>
          </w:tcPr>
          <w:p>
            <w:r>
              <w:rPr>
                <w:sz w:val="17"/>
              </w:rPr>
            </w:r>
            <w:r>
              <w:rPr>
                <w:sz w:val="17"/>
              </w:rPr>
              <w:t>S-1</w:t>
            </w:r>
          </w:p>
        </w:tc>
        <w:tc>
          <w:tcPr>
            <w:tcW w:type="dxa" w:w="2160"/>
          </w:tcPr>
          <w:p>
            <w:r>
              <w:rPr>
                <w:sz w:val="17"/>
              </w:rPr>
            </w:r>
            <w:r>
              <w:rPr>
                <w:sz w:val="17"/>
              </w:rPr>
              <w:t>Subcontractors &amp; Hosting</w:t>
            </w:r>
          </w:p>
        </w:tc>
        <w:tc>
          <w:tcPr>
            <w:tcW w:type="dxa" w:w="5472"/>
          </w:tcPr>
          <w:p>
            <w:r>
              <w:rPr>
                <w:sz w:val="17"/>
              </w:rPr>
            </w:r>
            <w:r>
              <w:rPr>
                <w:sz w:val="17"/>
              </w:rPr>
              <w:t>Subcontractor engagement: notice after the fact instead of prior written consent</w:t>
            </w:r>
          </w:p>
        </w:tc>
        <w:tc>
          <w:tcPr>
            <w:tcW w:type="dxa" w:w="1008"/>
          </w:tcPr>
          <w:p>
            <w:r>
              <w:rPr>
                <w:b/>
                <w:color w:val="E26B0A"/>
                <w:sz w:val="17"/>
              </w:rPr>
            </w:r>
            <w:r>
              <w:rPr>
                <w:b/>
                <w:color w:val="E26B0A"/>
                <w:sz w:val="17"/>
              </w:rPr>
              <w:t>High</w:t>
            </w:r>
          </w:p>
        </w:tc>
      </w:tr>
      <w:tr>
        <w:tc>
          <w:tcPr>
            <w:tcW w:type="dxa" w:w="720"/>
          </w:tcPr>
          <w:p>
            <w:r>
              <w:rPr>
                <w:sz w:val="17"/>
              </w:rPr>
            </w:r>
            <w:r>
              <w:rPr>
                <w:sz w:val="17"/>
              </w:rPr>
              <w:t>S-2</w:t>
            </w:r>
          </w:p>
        </w:tc>
        <w:tc>
          <w:tcPr>
            <w:tcW w:type="dxa" w:w="2160"/>
          </w:tcPr>
          <w:p>
            <w:r>
              <w:rPr>
                <w:sz w:val="17"/>
              </w:rPr>
            </w:r>
            <w:r>
              <w:rPr>
                <w:sz w:val="17"/>
              </w:rPr>
              <w:t>Subcontractors &amp; Hosting</w:t>
            </w:r>
          </w:p>
        </w:tc>
        <w:tc>
          <w:tcPr>
            <w:tcW w:type="dxa" w:w="5472"/>
          </w:tcPr>
          <w:p>
            <w:r>
              <w:rPr>
                <w:sz w:val="17"/>
              </w:rPr>
            </w:r>
            <w:r>
              <w:rPr>
                <w:sz w:val="17"/>
              </w:rPr>
              <w:t>Flow-down obligations and Stratos visibility</w:t>
            </w:r>
          </w:p>
        </w:tc>
        <w:tc>
          <w:tcPr>
            <w:tcW w:type="dxa" w:w="1008"/>
          </w:tcPr>
          <w:p>
            <w:r>
              <w:rPr>
                <w:b/>
                <w:color w:val="E26B0A"/>
                <w:sz w:val="17"/>
              </w:rPr>
            </w:r>
            <w:r>
              <w:rPr>
                <w:b/>
                <w:color w:val="E26B0A"/>
                <w:sz w:val="17"/>
              </w:rPr>
              <w:t>High</w:t>
            </w:r>
          </w:p>
        </w:tc>
      </w:tr>
      <w:tr>
        <w:tc>
          <w:tcPr>
            <w:tcW w:type="dxa" w:w="720"/>
          </w:tcPr>
          <w:p>
            <w:r>
              <w:rPr>
                <w:sz w:val="17"/>
              </w:rPr>
            </w:r>
            <w:r>
              <w:rPr>
                <w:sz w:val="17"/>
              </w:rPr>
              <w:t>S-3</w:t>
            </w:r>
          </w:p>
        </w:tc>
        <w:tc>
          <w:tcPr>
            <w:tcW w:type="dxa" w:w="2160"/>
          </w:tcPr>
          <w:p>
            <w:r>
              <w:rPr>
                <w:sz w:val="17"/>
              </w:rPr>
            </w:r>
            <w:r>
              <w:rPr>
                <w:sz w:val="17"/>
              </w:rPr>
              <w:t>Subcontractors &amp; Hosting</w:t>
            </w:r>
          </w:p>
        </w:tc>
        <w:tc>
          <w:tcPr>
            <w:tcW w:type="dxa" w:w="5472"/>
          </w:tcPr>
          <w:p>
            <w:r>
              <w:rPr>
                <w:sz w:val="17"/>
              </w:rPr>
            </w:r>
            <w:r>
              <w:rPr>
                <w:sz w:val="17"/>
              </w:rPr>
              <w:t>Hosting location: any Stratos U.S. data center, movable at Cloudvance's discretion</w:t>
            </w:r>
          </w:p>
        </w:tc>
        <w:tc>
          <w:tcPr>
            <w:tcW w:type="dxa" w:w="1008"/>
          </w:tcPr>
          <w:p>
            <w:r>
              <w:rPr>
                <w:b/>
                <w:color w:val="BF8F00"/>
                <w:sz w:val="17"/>
              </w:rPr>
            </w:r>
            <w:r>
              <w:rPr>
                <w:b/>
                <w:color w:val="BF8F00"/>
                <w:sz w:val="17"/>
              </w:rPr>
              <w:t>Medium</w:t>
            </w:r>
          </w:p>
        </w:tc>
      </w:tr>
      <w:tr>
        <w:tc>
          <w:tcPr>
            <w:tcW w:type="dxa" w:w="720"/>
          </w:tcPr>
          <w:p>
            <w:r>
              <w:rPr>
                <w:sz w:val="17"/>
              </w:rPr>
            </w:r>
            <w:r>
              <w:rPr>
                <w:sz w:val="17"/>
              </w:rPr>
              <w:t>F-1</w:t>
            </w:r>
          </w:p>
        </w:tc>
        <w:tc>
          <w:tcPr>
            <w:tcW w:type="dxa" w:w="2160"/>
          </w:tcPr>
          <w:p>
            <w:r>
              <w:rPr>
                <w:sz w:val="17"/>
              </w:rPr>
            </w:r>
            <w:r>
              <w:rPr>
                <w:sz w:val="17"/>
              </w:rPr>
              <w:t>Liability &amp; Indemnification</w:t>
            </w:r>
          </w:p>
        </w:tc>
        <w:tc>
          <w:tcPr>
            <w:tcW w:type="dxa" w:w="5472"/>
          </w:tcPr>
          <w:p>
            <w:r>
              <w:rPr>
                <w:sz w:val="17"/>
              </w:rPr>
            </w:r>
            <w:r>
              <w:rPr>
                <w:sz w:val="17"/>
              </w:rPr>
              <w:t>Liability cap: 12 months of subscription fees ($6.84M) versus 24 months of total fees ($15.48M)</w:t>
            </w:r>
          </w:p>
        </w:tc>
        <w:tc>
          <w:tcPr>
            <w:tcW w:type="dxa" w:w="1008"/>
          </w:tcPr>
          <w:p>
            <w:r>
              <w:rPr>
                <w:b/>
                <w:color w:val="C00000"/>
                <w:sz w:val="17"/>
              </w:rPr>
            </w:r>
            <w:r>
              <w:rPr>
                <w:b/>
                <w:color w:val="C00000"/>
                <w:sz w:val="17"/>
              </w:rPr>
              <w:t>Critical</w:t>
            </w:r>
          </w:p>
        </w:tc>
      </w:tr>
      <w:tr>
        <w:tc>
          <w:tcPr>
            <w:tcW w:type="dxa" w:w="720"/>
          </w:tcPr>
          <w:p>
            <w:r>
              <w:rPr>
                <w:sz w:val="17"/>
              </w:rPr>
            </w:r>
            <w:r>
              <w:rPr>
                <w:sz w:val="17"/>
              </w:rPr>
              <w:t>F-2</w:t>
            </w:r>
          </w:p>
        </w:tc>
        <w:tc>
          <w:tcPr>
            <w:tcW w:type="dxa" w:w="2160"/>
          </w:tcPr>
          <w:p>
            <w:r>
              <w:rPr>
                <w:sz w:val="17"/>
              </w:rPr>
            </w:r>
            <w:r>
              <w:rPr>
                <w:sz w:val="17"/>
              </w:rPr>
              <w:t>Liability &amp; Indemnification</w:t>
            </w:r>
          </w:p>
        </w:tc>
        <w:tc>
          <w:tcPr>
            <w:tcW w:type="dxa" w:w="5472"/>
          </w:tcPr>
          <w:p>
            <w:r>
              <w:rPr>
                <w:sz w:val="17"/>
              </w:rPr>
            </w:r>
            <w:r>
              <w:rPr>
                <w:sz w:val="17"/>
              </w:rPr>
              <w:t>Consequential-damages exclusion expressly covers data breaches and the BAA; no carve-outs</w:t>
            </w:r>
          </w:p>
        </w:tc>
        <w:tc>
          <w:tcPr>
            <w:tcW w:type="dxa" w:w="1008"/>
          </w:tcPr>
          <w:p>
            <w:r>
              <w:rPr>
                <w:b/>
                <w:color w:val="C00000"/>
                <w:sz w:val="17"/>
              </w:rPr>
            </w:r>
            <w:r>
              <w:rPr>
                <w:b/>
                <w:color w:val="C00000"/>
                <w:sz w:val="17"/>
              </w:rPr>
              <w:t>Critical</w:t>
            </w:r>
          </w:p>
        </w:tc>
      </w:tr>
      <w:tr>
        <w:tc>
          <w:tcPr>
            <w:tcW w:type="dxa" w:w="720"/>
          </w:tcPr>
          <w:p>
            <w:r>
              <w:rPr>
                <w:sz w:val="17"/>
              </w:rPr>
            </w:r>
            <w:r>
              <w:rPr>
                <w:sz w:val="17"/>
              </w:rPr>
              <w:t>F-3</w:t>
            </w:r>
          </w:p>
        </w:tc>
        <w:tc>
          <w:tcPr>
            <w:tcW w:type="dxa" w:w="2160"/>
          </w:tcPr>
          <w:p>
            <w:r>
              <w:rPr>
                <w:sz w:val="17"/>
              </w:rPr>
            </w:r>
            <w:r>
              <w:rPr>
                <w:sz w:val="17"/>
              </w:rPr>
              <w:t>Liability &amp; Indemnification</w:t>
            </w:r>
          </w:p>
        </w:tc>
        <w:tc>
          <w:tcPr>
            <w:tcW w:type="dxa" w:w="5472"/>
          </w:tcPr>
          <w:p>
            <w:r>
              <w:rPr>
                <w:sz w:val="17"/>
              </w:rPr>
            </w:r>
            <w:r>
              <w:rPr>
                <w:sz w:val="17"/>
              </w:rPr>
              <w:t>Indemnification: narrow vendor indemnity, broad and uncapped customer indemnity</w:t>
            </w:r>
          </w:p>
        </w:tc>
        <w:tc>
          <w:tcPr>
            <w:tcW w:type="dxa" w:w="1008"/>
          </w:tcPr>
          <w:p>
            <w:r>
              <w:rPr>
                <w:b/>
                <w:color w:val="E26B0A"/>
                <w:sz w:val="17"/>
              </w:rPr>
            </w:r>
            <w:r>
              <w:rPr>
                <w:b/>
                <w:color w:val="E26B0A"/>
                <w:sz w:val="17"/>
              </w:rPr>
              <w:t>High</w:t>
            </w:r>
          </w:p>
        </w:tc>
      </w:tr>
      <w:tr>
        <w:tc>
          <w:tcPr>
            <w:tcW w:type="dxa" w:w="720"/>
          </w:tcPr>
          <w:p>
            <w:r>
              <w:rPr>
                <w:sz w:val="17"/>
              </w:rPr>
            </w:r>
            <w:r>
              <w:rPr>
                <w:sz w:val="17"/>
              </w:rPr>
              <w:t>G-1</w:t>
            </w:r>
          </w:p>
        </w:tc>
        <w:tc>
          <w:tcPr>
            <w:tcW w:type="dxa" w:w="2160"/>
          </w:tcPr>
          <w:p>
            <w:r>
              <w:rPr>
                <w:sz w:val="17"/>
              </w:rPr>
            </w:r>
            <w:r>
              <w:rPr>
                <w:sz w:val="17"/>
              </w:rPr>
              <w:t>Termination</w:t>
            </w:r>
          </w:p>
        </w:tc>
        <w:tc>
          <w:tcPr>
            <w:tcW w:type="dxa" w:w="5472"/>
          </w:tcPr>
          <w:p>
            <w:r>
              <w:rPr>
                <w:sz w:val="17"/>
              </w:rPr>
            </w:r>
            <w:r>
              <w:rPr>
                <w:sz w:val="17"/>
              </w:rPr>
              <w:t>Termination for cause: 60-day cure period; no definition of material breach</w:t>
            </w:r>
          </w:p>
        </w:tc>
        <w:tc>
          <w:tcPr>
            <w:tcW w:type="dxa" w:w="1008"/>
          </w:tcPr>
          <w:p>
            <w:r>
              <w:rPr>
                <w:b/>
                <w:color w:val="E26B0A"/>
                <w:sz w:val="17"/>
              </w:rPr>
            </w:r>
            <w:r>
              <w:rPr>
                <w:b/>
                <w:color w:val="E26B0A"/>
                <w:sz w:val="17"/>
              </w:rPr>
              <w:t>High</w:t>
            </w:r>
          </w:p>
        </w:tc>
      </w:tr>
      <w:tr>
        <w:tc>
          <w:tcPr>
            <w:tcW w:type="dxa" w:w="720"/>
          </w:tcPr>
          <w:p>
            <w:r>
              <w:rPr>
                <w:sz w:val="17"/>
              </w:rPr>
            </w:r>
            <w:r>
              <w:rPr>
                <w:sz w:val="17"/>
              </w:rPr>
              <w:t>G-2</w:t>
            </w:r>
          </w:p>
        </w:tc>
        <w:tc>
          <w:tcPr>
            <w:tcW w:type="dxa" w:w="2160"/>
          </w:tcPr>
          <w:p>
            <w:r>
              <w:rPr>
                <w:sz w:val="17"/>
              </w:rPr>
            </w:r>
            <w:r>
              <w:rPr>
                <w:sz w:val="17"/>
              </w:rPr>
              <w:t>Termination</w:t>
            </w:r>
          </w:p>
        </w:tc>
        <w:tc>
          <w:tcPr>
            <w:tcW w:type="dxa" w:w="5472"/>
          </w:tcPr>
          <w:p>
            <w:r>
              <w:rPr>
                <w:sz w:val="17"/>
              </w:rPr>
            </w:r>
            <w:r>
              <w:rPr>
                <w:sz w:val="17"/>
              </w:rPr>
              <w:t>Termination for convenience: 180 days' notice and termination fee</w:t>
            </w:r>
          </w:p>
        </w:tc>
        <w:tc>
          <w:tcPr>
            <w:tcW w:type="dxa" w:w="1008"/>
          </w:tcPr>
          <w:p>
            <w:r>
              <w:rPr>
                <w:b/>
                <w:color w:val="E26B0A"/>
                <w:sz w:val="17"/>
              </w:rPr>
            </w:r>
            <w:r>
              <w:rPr>
                <w:b/>
                <w:color w:val="E26B0A"/>
                <w:sz w:val="17"/>
              </w:rPr>
              <w:t>High</w:t>
            </w:r>
          </w:p>
        </w:tc>
      </w:tr>
      <w:tr>
        <w:tc>
          <w:tcPr>
            <w:tcW w:type="dxa" w:w="720"/>
          </w:tcPr>
          <w:p>
            <w:r>
              <w:rPr>
                <w:sz w:val="17"/>
              </w:rPr>
            </w:r>
            <w:r>
              <w:rPr>
                <w:sz w:val="17"/>
              </w:rPr>
              <w:t>G-3</w:t>
            </w:r>
          </w:p>
        </w:tc>
        <w:tc>
          <w:tcPr>
            <w:tcW w:type="dxa" w:w="2160"/>
          </w:tcPr>
          <w:p>
            <w:r>
              <w:rPr>
                <w:sz w:val="17"/>
              </w:rPr>
            </w:r>
            <w:r>
              <w:rPr>
                <w:sz w:val="17"/>
              </w:rPr>
              <w:t>Termination</w:t>
            </w:r>
          </w:p>
        </w:tc>
        <w:tc>
          <w:tcPr>
            <w:tcW w:type="dxa" w:w="5472"/>
          </w:tcPr>
          <w:p>
            <w:r>
              <w:rPr>
                <w:sz w:val="17"/>
              </w:rPr>
            </w:r>
            <w:r>
              <w:rPr>
                <w:sz w:val="17"/>
              </w:rPr>
              <w:t>No termination right for data breach; "no other termination rights" clause</w:t>
            </w:r>
          </w:p>
        </w:tc>
        <w:tc>
          <w:tcPr>
            <w:tcW w:type="dxa" w:w="1008"/>
          </w:tcPr>
          <w:p>
            <w:r>
              <w:rPr>
                <w:b/>
                <w:color w:val="C00000"/>
                <w:sz w:val="17"/>
              </w:rPr>
            </w:r>
            <w:r>
              <w:rPr>
                <w:b/>
                <w:color w:val="C00000"/>
                <w:sz w:val="17"/>
              </w:rPr>
              <w:t>Critical</w:t>
            </w:r>
          </w:p>
        </w:tc>
      </w:tr>
      <w:tr>
        <w:tc>
          <w:tcPr>
            <w:tcW w:type="dxa" w:w="720"/>
          </w:tcPr>
          <w:p>
            <w:r>
              <w:rPr>
                <w:sz w:val="17"/>
              </w:rPr>
            </w:r>
            <w:r>
              <w:rPr>
                <w:sz w:val="17"/>
              </w:rPr>
              <w:t>G-4</w:t>
            </w:r>
          </w:p>
        </w:tc>
        <w:tc>
          <w:tcPr>
            <w:tcW w:type="dxa" w:w="2160"/>
          </w:tcPr>
          <w:p>
            <w:r>
              <w:rPr>
                <w:sz w:val="17"/>
              </w:rPr>
            </w:r>
            <w:r>
              <w:rPr>
                <w:sz w:val="17"/>
              </w:rPr>
              <w:t>Termination</w:t>
            </w:r>
          </w:p>
        </w:tc>
        <w:tc>
          <w:tcPr>
            <w:tcW w:type="dxa" w:w="5472"/>
          </w:tcPr>
          <w:p>
            <w:r>
              <w:rPr>
                <w:sz w:val="17"/>
              </w:rPr>
            </w:r>
            <w:r>
              <w:rPr>
                <w:sz w:val="17"/>
              </w:rPr>
              <w:t>Effect of termination and survival</w:t>
            </w:r>
          </w:p>
        </w:tc>
        <w:tc>
          <w:tcPr>
            <w:tcW w:type="dxa" w:w="1008"/>
          </w:tcPr>
          <w:p>
            <w:r>
              <w:rPr>
                <w:b/>
                <w:color w:val="BF8F00"/>
                <w:sz w:val="17"/>
              </w:rPr>
            </w:r>
            <w:r>
              <w:rPr>
                <w:b/>
                <w:color w:val="BF8F00"/>
                <w:sz w:val="17"/>
              </w:rPr>
              <w:t>Medium</w:t>
            </w:r>
          </w:p>
        </w:tc>
      </w:tr>
      <w:tr>
        <w:tc>
          <w:tcPr>
            <w:tcW w:type="dxa" w:w="720"/>
          </w:tcPr>
          <w:p>
            <w:r>
              <w:rPr>
                <w:sz w:val="17"/>
              </w:rPr>
            </w:r>
            <w:r>
              <w:rPr>
                <w:sz w:val="17"/>
              </w:rPr>
              <w:t>H-1</w:t>
            </w:r>
          </w:p>
        </w:tc>
        <w:tc>
          <w:tcPr>
            <w:tcW w:type="dxa" w:w="2160"/>
          </w:tcPr>
          <w:p>
            <w:r>
              <w:rPr>
                <w:sz w:val="17"/>
              </w:rPr>
            </w:r>
            <w:r>
              <w:rPr>
                <w:sz w:val="17"/>
              </w:rPr>
              <w:t>Audit Rights</w:t>
            </w:r>
          </w:p>
        </w:tc>
        <w:tc>
          <w:tcPr>
            <w:tcW w:type="dxa" w:w="5472"/>
          </w:tcPr>
          <w:p>
            <w:r>
              <w:rPr>
                <w:sz w:val="17"/>
              </w:rPr>
            </w:r>
            <w:r>
              <w:rPr>
                <w:sz w:val="17"/>
              </w:rPr>
              <w:t>Audit rights: once per year, BAA-only scope, and SOC 2 can replace the audit</w:t>
            </w:r>
          </w:p>
        </w:tc>
        <w:tc>
          <w:tcPr>
            <w:tcW w:type="dxa" w:w="1008"/>
          </w:tcPr>
          <w:p>
            <w:r>
              <w:rPr>
                <w:b/>
                <w:color w:val="E26B0A"/>
                <w:sz w:val="17"/>
              </w:rPr>
            </w:r>
            <w:r>
              <w:rPr>
                <w:b/>
                <w:color w:val="E26B0A"/>
                <w:sz w:val="17"/>
              </w:rPr>
              <w:t>High</w:t>
            </w:r>
          </w:p>
        </w:tc>
      </w:tr>
      <w:tr>
        <w:tc>
          <w:tcPr>
            <w:tcW w:type="dxa" w:w="720"/>
          </w:tcPr>
          <w:p>
            <w:r>
              <w:rPr>
                <w:sz w:val="17"/>
              </w:rPr>
            </w:r>
            <w:r>
              <w:rPr>
                <w:sz w:val="17"/>
              </w:rPr>
              <w:t>I-1</w:t>
            </w:r>
          </w:p>
        </w:tc>
        <w:tc>
          <w:tcPr>
            <w:tcW w:type="dxa" w:w="2160"/>
          </w:tcPr>
          <w:p>
            <w:r>
              <w:rPr>
                <w:sz w:val="17"/>
              </w:rPr>
            </w:r>
            <w:r>
              <w:rPr>
                <w:sz w:val="17"/>
              </w:rPr>
              <w:t>Governing Law &amp; Disputes</w:t>
            </w:r>
          </w:p>
        </w:tc>
        <w:tc>
          <w:tcPr>
            <w:tcW w:type="dxa" w:w="5472"/>
          </w:tcPr>
          <w:p>
            <w:r>
              <w:rPr>
                <w:sz w:val="17"/>
              </w:rPr>
            </w:r>
            <w:r>
              <w:rPr>
                <w:sz w:val="17"/>
              </w:rPr>
              <w:t>Governing law: Texas versus North Carolina</w:t>
            </w:r>
          </w:p>
        </w:tc>
        <w:tc>
          <w:tcPr>
            <w:tcW w:type="dxa" w:w="1008"/>
          </w:tcPr>
          <w:p>
            <w:r>
              <w:rPr>
                <w:b/>
                <w:color w:val="E26B0A"/>
                <w:sz w:val="17"/>
              </w:rPr>
            </w:r>
            <w:r>
              <w:rPr>
                <w:b/>
                <w:color w:val="E26B0A"/>
                <w:sz w:val="17"/>
              </w:rPr>
              <w:t>High</w:t>
            </w:r>
          </w:p>
        </w:tc>
      </w:tr>
      <w:tr>
        <w:tc>
          <w:tcPr>
            <w:tcW w:type="dxa" w:w="720"/>
          </w:tcPr>
          <w:p>
            <w:r>
              <w:rPr>
                <w:sz w:val="17"/>
              </w:rPr>
            </w:r>
            <w:r>
              <w:rPr>
                <w:sz w:val="17"/>
              </w:rPr>
              <w:t>I-2</w:t>
            </w:r>
          </w:p>
        </w:tc>
        <w:tc>
          <w:tcPr>
            <w:tcW w:type="dxa" w:w="2160"/>
          </w:tcPr>
          <w:p>
            <w:r>
              <w:rPr>
                <w:sz w:val="17"/>
              </w:rPr>
            </w:r>
            <w:r>
              <w:rPr>
                <w:sz w:val="17"/>
              </w:rPr>
              <w:t>Governing Law &amp; Disputes</w:t>
            </w:r>
          </w:p>
        </w:tc>
        <w:tc>
          <w:tcPr>
            <w:tcW w:type="dxa" w:w="5472"/>
          </w:tcPr>
          <w:p>
            <w:r>
              <w:rPr>
                <w:sz w:val="17"/>
              </w:rPr>
            </w:r>
            <w:r>
              <w:rPr>
                <w:sz w:val="17"/>
              </w:rPr>
              <w:t>Mandatory AAA arbitration in Austin; jury waiver embedded in the form</w:t>
            </w:r>
          </w:p>
        </w:tc>
        <w:tc>
          <w:tcPr>
            <w:tcW w:type="dxa" w:w="1008"/>
          </w:tcPr>
          <w:p>
            <w:r>
              <w:rPr>
                <w:b/>
                <w:color w:val="E26B0A"/>
                <w:sz w:val="17"/>
              </w:rPr>
            </w:r>
            <w:r>
              <w:rPr>
                <w:b/>
                <w:color w:val="E26B0A"/>
                <w:sz w:val="17"/>
              </w:rPr>
              <w:t>High</w:t>
            </w:r>
          </w:p>
        </w:tc>
      </w:tr>
    </w:tbl>
    <w:p>
      <w:pPr>
        <w:spacing w:after="40"/>
      </w:pPr>
    </w:p>
    <w:p>
      <w:pPr>
        <w:pStyle w:val="Heading2"/>
      </w:pPr>
      <w:r>
        <w:t>Key Metrics at a Glance</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872"/>
            <w:shd w:val="clear" w:color="auto" w:fill="1F3A5F"/>
          </w:tcPr>
          <w:p>
            <w:r/>
            <w:r>
              <w:rPr>
                <w:b/>
                <w:color w:val="FFFFFF"/>
                <w:sz w:val="16"/>
              </w:rPr>
              <w:t>Parameter</w:t>
            </w:r>
          </w:p>
        </w:tc>
        <w:tc>
          <w:tcPr>
            <w:tcW w:type="dxa" w:w="2736"/>
            <w:shd w:val="clear" w:color="auto" w:fill="1F3A5F"/>
          </w:tcPr>
          <w:p>
            <w:r/>
            <w:r>
              <w:rPr>
                <w:b/>
                <w:color w:val="FFFFFF"/>
                <w:sz w:val="16"/>
              </w:rPr>
              <w:t>SLS v4.2 (Tier 1)</w:t>
            </w:r>
          </w:p>
        </w:tc>
        <w:tc>
          <w:tcPr>
            <w:tcW w:type="dxa" w:w="2880"/>
            <w:shd w:val="clear" w:color="auto" w:fill="1F3A5F"/>
          </w:tcPr>
          <w:p>
            <w:r/>
            <w:r>
              <w:rPr>
                <w:b/>
                <w:color w:val="FFFFFF"/>
                <w:sz w:val="16"/>
              </w:rPr>
              <w:t>Cloudvance Agreement</w:t>
            </w:r>
          </w:p>
        </w:tc>
        <w:tc>
          <w:tcPr>
            <w:tcW w:type="dxa" w:w="1872"/>
            <w:shd w:val="clear" w:color="auto" w:fill="1F3A5F"/>
          </w:tcPr>
          <w:p>
            <w:r/>
            <w:r>
              <w:rPr>
                <w:b/>
                <w:color w:val="FFFFFF"/>
                <w:sz w:val="16"/>
              </w:rPr>
              <w:t>Reference</w:t>
            </w:r>
          </w:p>
        </w:tc>
      </w:tr>
      <w:tr>
        <w:tc>
          <w:tcPr>
            <w:tcW w:type="dxa" w:w="1872"/>
          </w:tcPr>
          <w:p>
            <w:r>
              <w:rPr>
                <w:sz w:val="16"/>
              </w:rPr>
            </w:r>
            <w:r>
              <w:rPr>
                <w:sz w:val="16"/>
              </w:rPr>
              <w:t>Monthly uptime</w:t>
            </w:r>
          </w:p>
        </w:tc>
        <w:tc>
          <w:tcPr>
            <w:tcW w:type="dxa" w:w="2736"/>
          </w:tcPr>
          <w:p>
            <w:r>
              <w:rPr>
                <w:sz w:val="16"/>
              </w:rPr>
            </w:r>
            <w:r>
              <w:rPr>
                <w:sz w:val="16"/>
              </w:rPr>
              <w:t>99.95%, guaranteed</w:t>
            </w:r>
          </w:p>
        </w:tc>
        <w:tc>
          <w:tcPr>
            <w:tcW w:type="dxa" w:w="2880"/>
          </w:tcPr>
          <w:p>
            <w:r>
              <w:rPr>
                <w:sz w:val="16"/>
              </w:rPr>
            </w:r>
            <w:r>
              <w:rPr>
                <w:sz w:val="16"/>
              </w:rPr>
              <w:t>99.5%, commercially reasonable efforts</w:t>
            </w:r>
          </w:p>
        </w:tc>
        <w:tc>
          <w:tcPr>
            <w:tcW w:type="dxa" w:w="1872"/>
          </w:tcPr>
          <w:p>
            <w:r>
              <w:rPr>
                <w:sz w:val="16"/>
              </w:rPr>
            </w:r>
            <w:r>
              <w:rPr>
                <w:sz w:val="16"/>
              </w:rPr>
              <w:t>SLS §3.1 / Ex. C §C.1</w:t>
            </w:r>
          </w:p>
        </w:tc>
      </w:tr>
      <w:tr>
        <w:tc>
          <w:tcPr>
            <w:tcW w:type="dxa" w:w="1872"/>
          </w:tcPr>
          <w:p>
            <w:r>
              <w:rPr>
                <w:sz w:val="16"/>
              </w:rPr>
            </w:r>
            <w:r>
              <w:rPr>
                <w:sz w:val="16"/>
              </w:rPr>
              <w:t>Scheduled maintenance</w:t>
            </w:r>
          </w:p>
        </w:tc>
        <w:tc>
          <w:tcPr>
            <w:tcW w:type="dxa" w:w="2736"/>
          </w:tcPr>
          <w:p>
            <w:r>
              <w:rPr>
                <w:sz w:val="16"/>
              </w:rPr>
            </w:r>
            <w:r>
              <w:rPr>
                <w:sz w:val="16"/>
              </w:rPr>
              <w:t>4 hrs/month; Sun 2-6 AM ET default; 72 hrs' notice</w:t>
            </w:r>
          </w:p>
        </w:tc>
        <w:tc>
          <w:tcPr>
            <w:tcW w:type="dxa" w:w="2880"/>
          </w:tcPr>
          <w:p>
            <w:r>
              <w:rPr>
                <w:sz w:val="16"/>
              </w:rPr>
            </w:r>
            <w:r>
              <w:rPr>
                <w:sz w:val="16"/>
              </w:rPr>
              <w:t>Up to 8 hrs/week; Sat &amp; Sun 12-6 AM ET; 24 hrs' notice</w:t>
            </w:r>
          </w:p>
        </w:tc>
        <w:tc>
          <w:tcPr>
            <w:tcW w:type="dxa" w:w="1872"/>
          </w:tcPr>
          <w:p>
            <w:r>
              <w:rPr>
                <w:sz w:val="16"/>
              </w:rPr>
            </w:r>
            <w:r>
              <w:rPr>
                <w:sz w:val="16"/>
              </w:rPr>
              <w:t>SLS §3.2 / Ex. C §C.2</w:t>
            </w:r>
          </w:p>
        </w:tc>
      </w:tr>
      <w:tr>
        <w:tc>
          <w:tcPr>
            <w:tcW w:type="dxa" w:w="1872"/>
          </w:tcPr>
          <w:p>
            <w:r>
              <w:rPr>
                <w:sz w:val="16"/>
              </w:rPr>
            </w:r>
            <w:r>
              <w:rPr>
                <w:sz w:val="16"/>
              </w:rPr>
              <w:t>Emergency maintenance</w:t>
            </w:r>
          </w:p>
        </w:tc>
        <w:tc>
          <w:tcPr>
            <w:tcW w:type="dxa" w:w="2736"/>
          </w:tcPr>
          <w:p>
            <w:r>
              <w:rPr>
                <w:sz w:val="16"/>
              </w:rPr>
            </w:r>
            <w:r>
              <w:rPr>
                <w:sz w:val="16"/>
              </w:rPr>
              <w:t>Counts as downtime; 30-min notice; 24-hr report</w:t>
            </w:r>
          </w:p>
        </w:tc>
        <w:tc>
          <w:tcPr>
            <w:tcW w:type="dxa" w:w="2880"/>
          </w:tcPr>
          <w:p>
            <w:r>
              <w:rPr>
                <w:sz w:val="16"/>
              </w:rPr>
            </w:r>
            <w:r>
              <w:rPr>
                <w:sz w:val="16"/>
              </w:rPr>
              <w:t>Excluded; non-binding 2-hr notice; 5-business-day summary</w:t>
            </w:r>
          </w:p>
        </w:tc>
        <w:tc>
          <w:tcPr>
            <w:tcW w:type="dxa" w:w="1872"/>
          </w:tcPr>
          <w:p>
            <w:r>
              <w:rPr>
                <w:sz w:val="16"/>
              </w:rPr>
            </w:r>
            <w:r>
              <w:rPr>
                <w:sz w:val="16"/>
              </w:rPr>
              <w:t>SLS §3.3 / Ex. C §C.3</w:t>
            </w:r>
          </w:p>
        </w:tc>
      </w:tr>
      <w:tr>
        <w:tc>
          <w:tcPr>
            <w:tcW w:type="dxa" w:w="1872"/>
          </w:tcPr>
          <w:p>
            <w:r>
              <w:rPr>
                <w:sz w:val="16"/>
              </w:rPr>
            </w:r>
            <w:r>
              <w:rPr>
                <w:sz w:val="16"/>
              </w:rPr>
              <w:t>Service credits</w:t>
            </w:r>
          </w:p>
        </w:tc>
        <w:tc>
          <w:tcPr>
            <w:tcW w:type="dxa" w:w="2736"/>
          </w:tcPr>
          <w:p>
            <w:r>
              <w:rPr>
                <w:sz w:val="16"/>
              </w:rPr>
            </w:r>
            <w:r>
              <w:rPr>
                <w:sz w:val="16"/>
              </w:rPr>
              <w:t>10% per 0.1% shortfall, uncapped, cash option</w:t>
            </w:r>
          </w:p>
        </w:tc>
        <w:tc>
          <w:tcPr>
            <w:tcW w:type="dxa" w:w="2880"/>
          </w:tcPr>
          <w:p>
            <w:r>
              <w:rPr>
                <w:sz w:val="16"/>
              </w:rPr>
            </w:r>
            <w:r>
              <w:rPr>
                <w:sz w:val="16"/>
              </w:rPr>
              <w:t>5/10/15% tiers, capped at $85,500/mo, credit only, forfeitable</w:t>
            </w:r>
          </w:p>
        </w:tc>
        <w:tc>
          <w:tcPr>
            <w:tcW w:type="dxa" w:w="1872"/>
          </w:tcPr>
          <w:p>
            <w:r>
              <w:rPr>
                <w:sz w:val="16"/>
              </w:rPr>
            </w:r>
            <w:r>
              <w:rPr>
                <w:sz w:val="16"/>
              </w:rPr>
              <w:t>SLS §4.1-4.2 / Ex. C §C.4</w:t>
            </w:r>
          </w:p>
        </w:tc>
      </w:tr>
      <w:tr>
        <w:tc>
          <w:tcPr>
            <w:tcW w:type="dxa" w:w="1872"/>
          </w:tcPr>
          <w:p>
            <w:r>
              <w:rPr>
                <w:sz w:val="16"/>
              </w:rPr>
            </w:r>
            <w:r>
              <w:rPr>
                <w:sz w:val="16"/>
              </w:rPr>
              <w:t>Sole remedy</w:t>
            </w:r>
          </w:p>
        </w:tc>
        <w:tc>
          <w:tcPr>
            <w:tcW w:type="dxa" w:w="2736"/>
          </w:tcPr>
          <w:p>
            <w:r>
              <w:rPr>
                <w:sz w:val="16"/>
              </w:rPr>
            </w:r>
            <w:r>
              <w:rPr>
                <w:sz w:val="16"/>
              </w:rPr>
              <w:t>Prohibited</w:t>
            </w:r>
          </w:p>
        </w:tc>
        <w:tc>
          <w:tcPr>
            <w:tcW w:type="dxa" w:w="2880"/>
          </w:tcPr>
          <w:p>
            <w:r>
              <w:rPr>
                <w:sz w:val="16"/>
              </w:rPr>
            </w:r>
            <w:r>
              <w:rPr>
                <w:sz w:val="16"/>
              </w:rPr>
              <w:t>Credits are sole and exclusive remedy</w:t>
            </w:r>
          </w:p>
        </w:tc>
        <w:tc>
          <w:tcPr>
            <w:tcW w:type="dxa" w:w="1872"/>
          </w:tcPr>
          <w:p>
            <w:r>
              <w:rPr>
                <w:sz w:val="16"/>
              </w:rPr>
            </w:r>
            <w:r>
              <w:rPr>
                <w:sz w:val="16"/>
              </w:rPr>
              <w:t>SLS §4.3 / Ex. C §C.5</w:t>
            </w:r>
          </w:p>
        </w:tc>
      </w:tr>
      <w:tr>
        <w:tc>
          <w:tcPr>
            <w:tcW w:type="dxa" w:w="1872"/>
          </w:tcPr>
          <w:p>
            <w:r>
              <w:rPr>
                <w:sz w:val="16"/>
              </w:rPr>
            </w:r>
            <w:r>
              <w:rPr>
                <w:sz w:val="16"/>
              </w:rPr>
              <w:t>Severity levels</w:t>
            </w:r>
          </w:p>
        </w:tc>
        <w:tc>
          <w:tcPr>
            <w:tcW w:type="dxa" w:w="2736"/>
          </w:tcPr>
          <w:p>
            <w:r>
              <w:rPr>
                <w:sz w:val="16"/>
              </w:rPr>
            </w:r>
            <w:r>
              <w:rPr>
                <w:sz w:val="16"/>
              </w:rPr>
              <w:t>4 (S1-S4), PHI compromise = S1</w:t>
            </w:r>
          </w:p>
        </w:tc>
        <w:tc>
          <w:tcPr>
            <w:tcW w:type="dxa" w:w="2880"/>
          </w:tcPr>
          <w:p>
            <w:r>
              <w:rPr>
                <w:sz w:val="16"/>
              </w:rPr>
            </w:r>
            <w:r>
              <w:rPr>
                <w:sz w:val="16"/>
              </w:rPr>
              <w:t>3 (Critical/Major/Minor)</w:t>
            </w:r>
          </w:p>
        </w:tc>
        <w:tc>
          <w:tcPr>
            <w:tcW w:type="dxa" w:w="1872"/>
          </w:tcPr>
          <w:p>
            <w:r>
              <w:rPr>
                <w:sz w:val="16"/>
              </w:rPr>
            </w:r>
            <w:r>
              <w:rPr>
                <w:sz w:val="16"/>
              </w:rPr>
              <w:t>SLS §5.1 / Ex. C §C.7</w:t>
            </w:r>
          </w:p>
        </w:tc>
      </w:tr>
      <w:tr>
        <w:tc>
          <w:tcPr>
            <w:tcW w:type="dxa" w:w="1872"/>
          </w:tcPr>
          <w:p>
            <w:r>
              <w:rPr>
                <w:sz w:val="16"/>
              </w:rPr>
            </w:r>
            <w:r>
              <w:rPr>
                <w:sz w:val="16"/>
              </w:rPr>
              <w:t>S1 response / resolution</w:t>
            </w:r>
          </w:p>
        </w:tc>
        <w:tc>
          <w:tcPr>
            <w:tcW w:type="dxa" w:w="2736"/>
          </w:tcPr>
          <w:p>
            <w:r>
              <w:rPr>
                <w:sz w:val="16"/>
              </w:rPr>
            </w:r>
            <w:r>
              <w:rPr>
                <w:sz w:val="16"/>
              </w:rPr>
              <w:t>15 min / 4 hrs (binding)</w:t>
            </w:r>
          </w:p>
        </w:tc>
        <w:tc>
          <w:tcPr>
            <w:tcW w:type="dxa" w:w="2880"/>
          </w:tcPr>
          <w:p>
            <w:r>
              <w:rPr>
                <w:sz w:val="16"/>
              </w:rPr>
            </w:r>
            <w:r>
              <w:rPr>
                <w:sz w:val="16"/>
              </w:rPr>
              <w:t>2 hrs / 8 hrs (targets)</w:t>
            </w:r>
          </w:p>
        </w:tc>
        <w:tc>
          <w:tcPr>
            <w:tcW w:type="dxa" w:w="1872"/>
          </w:tcPr>
          <w:p>
            <w:r>
              <w:rPr>
                <w:sz w:val="16"/>
              </w:rPr>
            </w:r>
            <w:r>
              <w:rPr>
                <w:sz w:val="16"/>
              </w:rPr>
              <w:t>SLS §5.2-5.4 / Ex. C §C.7</w:t>
            </w:r>
          </w:p>
        </w:tc>
      </w:tr>
      <w:tr>
        <w:tc>
          <w:tcPr>
            <w:tcW w:type="dxa" w:w="1872"/>
          </w:tcPr>
          <w:p>
            <w:r>
              <w:rPr>
                <w:sz w:val="16"/>
              </w:rPr>
            </w:r>
            <w:r>
              <w:rPr>
                <w:sz w:val="16"/>
              </w:rPr>
              <w:t>S2 response / resolution</w:t>
            </w:r>
          </w:p>
        </w:tc>
        <w:tc>
          <w:tcPr>
            <w:tcW w:type="dxa" w:w="2736"/>
          </w:tcPr>
          <w:p>
            <w:r>
              <w:rPr>
                <w:sz w:val="16"/>
              </w:rPr>
            </w:r>
            <w:r>
              <w:rPr>
                <w:sz w:val="16"/>
              </w:rPr>
              <w:t>1 hr / 12 hrs (binding)</w:t>
            </w:r>
          </w:p>
        </w:tc>
        <w:tc>
          <w:tcPr>
            <w:tcW w:type="dxa" w:w="2880"/>
          </w:tcPr>
          <w:p>
            <w:r>
              <w:rPr>
                <w:sz w:val="16"/>
              </w:rPr>
            </w:r>
            <w:r>
              <w:rPr>
                <w:sz w:val="16"/>
              </w:rPr>
              <w:t>8 hrs / 48 hrs (targets)</w:t>
            </w:r>
          </w:p>
        </w:tc>
        <w:tc>
          <w:tcPr>
            <w:tcW w:type="dxa" w:w="1872"/>
          </w:tcPr>
          <w:p>
            <w:r>
              <w:rPr>
                <w:sz w:val="16"/>
              </w:rPr>
            </w:r>
            <w:r>
              <w:rPr>
                <w:sz w:val="16"/>
              </w:rPr>
              <w:t>SLS §5.2-5.4 / Ex. C §C.7</w:t>
            </w:r>
          </w:p>
        </w:tc>
      </w:tr>
      <w:tr>
        <w:tc>
          <w:tcPr>
            <w:tcW w:type="dxa" w:w="1872"/>
          </w:tcPr>
          <w:p>
            <w:r>
              <w:rPr>
                <w:sz w:val="16"/>
              </w:rPr>
            </w:r>
            <w:r>
              <w:rPr>
                <w:sz w:val="16"/>
              </w:rPr>
              <w:t>Encryption</w:t>
            </w:r>
          </w:p>
        </w:tc>
        <w:tc>
          <w:tcPr>
            <w:tcW w:type="dxa" w:w="2736"/>
          </w:tcPr>
          <w:p>
            <w:r>
              <w:rPr>
                <w:sz w:val="16"/>
              </w:rPr>
            </w:r>
            <w:r>
              <w:rPr>
                <w:sz w:val="16"/>
              </w:rPr>
              <w:t>AES-256 at rest; TLS 1.2+; NIST 800-57</w:t>
            </w:r>
          </w:p>
        </w:tc>
        <w:tc>
          <w:tcPr>
            <w:tcW w:type="dxa" w:w="2880"/>
          </w:tcPr>
          <w:p>
            <w:r>
              <w:rPr>
                <w:sz w:val="16"/>
              </w:rPr>
            </w:r>
            <w:r>
              <w:rPr>
                <w:sz w:val="16"/>
              </w:rPr>
              <w:t>"Industry-standard"</w:t>
            </w:r>
          </w:p>
        </w:tc>
        <w:tc>
          <w:tcPr>
            <w:tcW w:type="dxa" w:w="1872"/>
          </w:tcPr>
          <w:p>
            <w:r>
              <w:rPr>
                <w:sz w:val="16"/>
              </w:rPr>
            </w:r>
            <w:r>
              <w:rPr>
                <w:sz w:val="16"/>
              </w:rPr>
              <w:t>SLS §6.2 / Ex. E §E.3</w:t>
            </w:r>
          </w:p>
        </w:tc>
      </w:tr>
      <w:tr>
        <w:tc>
          <w:tcPr>
            <w:tcW w:type="dxa" w:w="1872"/>
          </w:tcPr>
          <w:p>
            <w:r>
              <w:rPr>
                <w:sz w:val="16"/>
              </w:rPr>
            </w:r>
            <w:r>
              <w:rPr>
                <w:sz w:val="16"/>
              </w:rPr>
              <w:t>Certifications</w:t>
            </w:r>
          </w:p>
        </w:tc>
        <w:tc>
          <w:tcPr>
            <w:tcW w:type="dxa" w:w="2736"/>
          </w:tcPr>
          <w:p>
            <w:r>
              <w:rPr>
                <w:sz w:val="16"/>
              </w:rPr>
            </w:r>
            <w:r>
              <w:rPr>
                <w:sz w:val="16"/>
              </w:rPr>
              <w:t>SOC 2 Type II + HITRUST CSF + annual pen test + quarterly scans</w:t>
            </w:r>
          </w:p>
        </w:tc>
        <w:tc>
          <w:tcPr>
            <w:tcW w:type="dxa" w:w="2880"/>
          </w:tcPr>
          <w:p>
            <w:r>
              <w:rPr>
                <w:sz w:val="16"/>
              </w:rPr>
            </w:r>
            <w:r>
              <w:rPr>
                <w:sz w:val="16"/>
              </w:rPr>
              <w:t>SOC 2 Type II only</w:t>
            </w:r>
          </w:p>
        </w:tc>
        <w:tc>
          <w:tcPr>
            <w:tcW w:type="dxa" w:w="1872"/>
          </w:tcPr>
          <w:p>
            <w:r>
              <w:rPr>
                <w:sz w:val="16"/>
              </w:rPr>
            </w:r>
            <w:r>
              <w:rPr>
                <w:sz w:val="16"/>
              </w:rPr>
              <w:t>SLS §6.3 / Ex. E §E.2</w:t>
            </w:r>
          </w:p>
        </w:tc>
      </w:tr>
      <w:tr>
        <w:tc>
          <w:tcPr>
            <w:tcW w:type="dxa" w:w="1872"/>
          </w:tcPr>
          <w:p>
            <w:r>
              <w:rPr>
                <w:sz w:val="16"/>
              </w:rPr>
            </w:r>
            <w:r>
              <w:rPr>
                <w:sz w:val="16"/>
              </w:rPr>
              <w:t>Cyber insurance</w:t>
            </w:r>
          </w:p>
        </w:tc>
        <w:tc>
          <w:tcPr>
            <w:tcW w:type="dxa" w:w="2736"/>
          </w:tcPr>
          <w:p>
            <w:r>
              <w:rPr>
                <w:sz w:val="16"/>
              </w:rPr>
            </w:r>
            <w:r>
              <w:rPr>
                <w:sz w:val="16"/>
              </w:rPr>
              <w:t>$10M per occurrence / aggregate</w:t>
            </w:r>
          </w:p>
        </w:tc>
        <w:tc>
          <w:tcPr>
            <w:tcW w:type="dxa" w:w="2880"/>
          </w:tcPr>
          <w:p>
            <w:r>
              <w:rPr>
                <w:sz w:val="16"/>
              </w:rPr>
            </w:r>
            <w:r>
              <w:rPr>
                <w:sz w:val="16"/>
              </w:rPr>
              <w:t>"Commercially reasonable"</w:t>
            </w:r>
          </w:p>
        </w:tc>
        <w:tc>
          <w:tcPr>
            <w:tcW w:type="dxa" w:w="1872"/>
          </w:tcPr>
          <w:p>
            <w:r>
              <w:rPr>
                <w:sz w:val="16"/>
              </w:rPr>
            </w:r>
            <w:r>
              <w:rPr>
                <w:sz w:val="16"/>
              </w:rPr>
              <w:t>SLS §6.6 / MSA §12</w:t>
            </w:r>
          </w:p>
        </w:tc>
      </w:tr>
      <w:tr>
        <w:tc>
          <w:tcPr>
            <w:tcW w:type="dxa" w:w="1872"/>
          </w:tcPr>
          <w:p>
            <w:r>
              <w:rPr>
                <w:sz w:val="16"/>
              </w:rPr>
            </w:r>
            <w:r>
              <w:rPr>
                <w:sz w:val="16"/>
              </w:rPr>
              <w:t>BAA legal basis</w:t>
            </w:r>
          </w:p>
        </w:tc>
        <w:tc>
          <w:tcPr>
            <w:tcW w:type="dxa" w:w="2736"/>
          </w:tcPr>
          <w:p>
            <w:r>
              <w:rPr>
                <w:sz w:val="16"/>
              </w:rPr>
            </w:r>
            <w:r>
              <w:rPr>
                <w:sz w:val="16"/>
              </w:rPr>
              <w:t>HIPAA + HITECH expressly incorporated</w:t>
            </w:r>
          </w:p>
        </w:tc>
        <w:tc>
          <w:tcPr>
            <w:tcW w:type="dxa" w:w="2880"/>
          </w:tcPr>
          <w:p>
            <w:r>
              <w:rPr>
                <w:sz w:val="16"/>
              </w:rPr>
            </w:r>
            <w:r>
              <w:rPr>
                <w:sz w:val="16"/>
              </w:rPr>
              <w:t>HIPAA only</w:t>
            </w:r>
          </w:p>
        </w:tc>
        <w:tc>
          <w:tcPr>
            <w:tcW w:type="dxa" w:w="1872"/>
          </w:tcPr>
          <w:p>
            <w:r>
              <w:rPr>
                <w:sz w:val="16"/>
              </w:rPr>
            </w:r>
            <w:r>
              <w:rPr>
                <w:sz w:val="16"/>
              </w:rPr>
              <w:t>SLS §6.1 / Ex. D §D.1</w:t>
            </w:r>
          </w:p>
        </w:tc>
      </w:tr>
      <w:tr>
        <w:tc>
          <w:tcPr>
            <w:tcW w:type="dxa" w:w="1872"/>
          </w:tcPr>
          <w:p>
            <w:r>
              <w:rPr>
                <w:sz w:val="16"/>
              </w:rPr>
            </w:r>
            <w:r>
              <w:rPr>
                <w:sz w:val="16"/>
              </w:rPr>
              <w:t>Data retrieval</w:t>
            </w:r>
          </w:p>
        </w:tc>
        <w:tc>
          <w:tcPr>
            <w:tcW w:type="dxa" w:w="2736"/>
          </w:tcPr>
          <w:p>
            <w:r>
              <w:rPr>
                <w:sz w:val="16"/>
              </w:rPr>
            </w:r>
            <w:r>
              <w:rPr>
                <w:sz w:val="16"/>
              </w:rPr>
              <w:t>90 days; HL7 FHIR + CSV; no fees</w:t>
            </w:r>
          </w:p>
        </w:tc>
        <w:tc>
          <w:tcPr>
            <w:tcW w:type="dxa" w:w="2880"/>
          </w:tcPr>
          <w:p>
            <w:r>
              <w:rPr>
                <w:sz w:val="16"/>
              </w:rPr>
            </w:r>
            <w:r>
              <w:rPr>
                <w:sz w:val="16"/>
              </w:rPr>
              <w:t>30 days; "commercially standard format"</w:t>
            </w:r>
          </w:p>
        </w:tc>
        <w:tc>
          <w:tcPr>
            <w:tcW w:type="dxa" w:w="1872"/>
          </w:tcPr>
          <w:p>
            <w:r>
              <w:rPr>
                <w:sz w:val="16"/>
              </w:rPr>
            </w:r>
            <w:r>
              <w:rPr>
                <w:sz w:val="16"/>
              </w:rPr>
              <w:t>SLS §7.2 / MSA §6.5</w:t>
            </w:r>
          </w:p>
        </w:tc>
      </w:tr>
      <w:tr>
        <w:tc>
          <w:tcPr>
            <w:tcW w:type="dxa" w:w="1872"/>
          </w:tcPr>
          <w:p>
            <w:r>
              <w:rPr>
                <w:sz w:val="16"/>
              </w:rPr>
            </w:r>
            <w:r>
              <w:rPr>
                <w:sz w:val="16"/>
              </w:rPr>
              <w:t>Transition assistance</w:t>
            </w:r>
          </w:p>
        </w:tc>
        <w:tc>
          <w:tcPr>
            <w:tcW w:type="dxa" w:w="2736"/>
          </w:tcPr>
          <w:p>
            <w:r>
              <w:rPr>
                <w:sz w:val="16"/>
              </w:rPr>
            </w:r>
            <w:r>
              <w:rPr>
                <w:sz w:val="16"/>
              </w:rPr>
              <w:t>Up to 12 months under a TAP exhibit</w:t>
            </w:r>
          </w:p>
        </w:tc>
        <w:tc>
          <w:tcPr>
            <w:tcW w:type="dxa" w:w="2880"/>
          </w:tcPr>
          <w:p>
            <w:r>
              <w:rPr>
                <w:sz w:val="16"/>
              </w:rPr>
            </w:r>
            <w:r>
              <w:rPr>
                <w:sz w:val="16"/>
              </w:rPr>
              <w:t>None</w:t>
            </w:r>
          </w:p>
        </w:tc>
        <w:tc>
          <w:tcPr>
            <w:tcW w:type="dxa" w:w="1872"/>
          </w:tcPr>
          <w:p>
            <w:r>
              <w:rPr>
                <w:sz w:val="16"/>
              </w:rPr>
            </w:r>
            <w:r>
              <w:rPr>
                <w:sz w:val="16"/>
              </w:rPr>
              <w:t>SLS §7.3 / (silent)</w:t>
            </w:r>
          </w:p>
        </w:tc>
      </w:tr>
      <w:tr>
        <w:tc>
          <w:tcPr>
            <w:tcW w:type="dxa" w:w="1872"/>
          </w:tcPr>
          <w:p>
            <w:r>
              <w:rPr>
                <w:sz w:val="16"/>
              </w:rPr>
            </w:r>
            <w:r>
              <w:rPr>
                <w:sz w:val="16"/>
              </w:rPr>
              <w:t>Subcontractors</w:t>
            </w:r>
          </w:p>
        </w:tc>
        <w:tc>
          <w:tcPr>
            <w:tcW w:type="dxa" w:w="2736"/>
          </w:tcPr>
          <w:p>
            <w:r>
              <w:rPr>
                <w:sz w:val="16"/>
              </w:rPr>
            </w:r>
            <w:r>
              <w:rPr>
                <w:sz w:val="16"/>
              </w:rPr>
              <w:t>Prior written consent; 30 days' advance request</w:t>
            </w:r>
          </w:p>
        </w:tc>
        <w:tc>
          <w:tcPr>
            <w:tcW w:type="dxa" w:w="2880"/>
          </w:tcPr>
          <w:p>
            <w:r>
              <w:rPr>
                <w:sz w:val="16"/>
              </w:rPr>
            </w:r>
            <w:r>
              <w:rPr>
                <w:sz w:val="16"/>
              </w:rPr>
              <w:t>Notice within 30 days after engagement</w:t>
            </w:r>
          </w:p>
        </w:tc>
        <w:tc>
          <w:tcPr>
            <w:tcW w:type="dxa" w:w="1872"/>
          </w:tcPr>
          <w:p>
            <w:r>
              <w:rPr>
                <w:sz w:val="16"/>
              </w:rPr>
            </w:r>
            <w:r>
              <w:rPr>
                <w:sz w:val="16"/>
              </w:rPr>
              <w:t>SLS §8.1 / MSA §7.1</w:t>
            </w:r>
          </w:p>
        </w:tc>
      </w:tr>
      <w:tr>
        <w:tc>
          <w:tcPr>
            <w:tcW w:type="dxa" w:w="1872"/>
          </w:tcPr>
          <w:p>
            <w:r>
              <w:rPr>
                <w:sz w:val="16"/>
              </w:rPr>
            </w:r>
            <w:r>
              <w:rPr>
                <w:sz w:val="16"/>
              </w:rPr>
              <w:t>Liability cap</w:t>
            </w:r>
          </w:p>
        </w:tc>
        <w:tc>
          <w:tcPr>
            <w:tcW w:type="dxa" w:w="2736"/>
          </w:tcPr>
          <w:p>
            <w:r>
              <w:rPr>
                <w:sz w:val="16"/>
              </w:rPr>
            </w:r>
            <w:r>
              <w:rPr>
                <w:sz w:val="16"/>
              </w:rPr>
              <w:t>24 months total fees = $15.48M</w:t>
            </w:r>
          </w:p>
        </w:tc>
        <w:tc>
          <w:tcPr>
            <w:tcW w:type="dxa" w:w="2880"/>
          </w:tcPr>
          <w:p>
            <w:r>
              <w:rPr>
                <w:sz w:val="16"/>
              </w:rPr>
            </w:r>
            <w:r>
              <w:rPr>
                <w:sz w:val="16"/>
              </w:rPr>
              <w:t>12 months subscription fees = $6.84M</w:t>
            </w:r>
          </w:p>
        </w:tc>
        <w:tc>
          <w:tcPr>
            <w:tcW w:type="dxa" w:w="1872"/>
          </w:tcPr>
          <w:p>
            <w:r>
              <w:rPr>
                <w:sz w:val="16"/>
              </w:rPr>
            </w:r>
            <w:r>
              <w:rPr>
                <w:sz w:val="16"/>
              </w:rPr>
              <w:t>SLS §9.1 / MSA §10.2</w:t>
            </w:r>
          </w:p>
        </w:tc>
      </w:tr>
      <w:tr>
        <w:tc>
          <w:tcPr>
            <w:tcW w:type="dxa" w:w="1872"/>
          </w:tcPr>
          <w:p>
            <w:r>
              <w:rPr>
                <w:sz w:val="16"/>
              </w:rPr>
            </w:r>
            <w:r>
              <w:rPr>
                <w:sz w:val="16"/>
              </w:rPr>
              <w:t>Cure period (cause)</w:t>
            </w:r>
          </w:p>
        </w:tc>
        <w:tc>
          <w:tcPr>
            <w:tcW w:type="dxa" w:w="2736"/>
          </w:tcPr>
          <w:p>
            <w:r>
              <w:rPr>
                <w:sz w:val="16"/>
              </w:rPr>
            </w:r>
            <w:r>
              <w:rPr>
                <w:sz w:val="16"/>
              </w:rPr>
              <w:t>30 days</w:t>
            </w:r>
          </w:p>
        </w:tc>
        <w:tc>
          <w:tcPr>
            <w:tcW w:type="dxa" w:w="2880"/>
          </w:tcPr>
          <w:p>
            <w:r>
              <w:rPr>
                <w:sz w:val="16"/>
              </w:rPr>
            </w:r>
            <w:r>
              <w:rPr>
                <w:sz w:val="16"/>
              </w:rPr>
              <w:t>60 days</w:t>
            </w:r>
          </w:p>
        </w:tc>
        <w:tc>
          <w:tcPr>
            <w:tcW w:type="dxa" w:w="1872"/>
          </w:tcPr>
          <w:p>
            <w:r>
              <w:rPr>
                <w:sz w:val="16"/>
              </w:rPr>
            </w:r>
            <w:r>
              <w:rPr>
                <w:sz w:val="16"/>
              </w:rPr>
              <w:t>SLS §10.1 / MSA §11.2</w:t>
            </w:r>
          </w:p>
        </w:tc>
      </w:tr>
      <w:tr>
        <w:tc>
          <w:tcPr>
            <w:tcW w:type="dxa" w:w="1872"/>
          </w:tcPr>
          <w:p>
            <w:r>
              <w:rPr>
                <w:sz w:val="16"/>
              </w:rPr>
            </w:r>
            <w:r>
              <w:rPr>
                <w:sz w:val="16"/>
              </w:rPr>
              <w:t>Convenience termination</w:t>
            </w:r>
          </w:p>
        </w:tc>
        <w:tc>
          <w:tcPr>
            <w:tcW w:type="dxa" w:w="2736"/>
          </w:tcPr>
          <w:p>
            <w:r>
              <w:rPr>
                <w:sz w:val="16"/>
              </w:rPr>
            </w:r>
            <w:r>
              <w:rPr>
                <w:sz w:val="16"/>
              </w:rPr>
              <w:t>90 days, no fee</w:t>
            </w:r>
          </w:p>
        </w:tc>
        <w:tc>
          <w:tcPr>
            <w:tcW w:type="dxa" w:w="2880"/>
          </w:tcPr>
          <w:p>
            <w:r>
              <w:rPr>
                <w:sz w:val="16"/>
              </w:rPr>
            </w:r>
            <w:r>
              <w:rPr>
                <w:sz w:val="16"/>
              </w:rPr>
              <w:t>180 days + balance of contract-year fees</w:t>
            </w:r>
          </w:p>
        </w:tc>
        <w:tc>
          <w:tcPr>
            <w:tcW w:type="dxa" w:w="1872"/>
          </w:tcPr>
          <w:p>
            <w:r>
              <w:rPr>
                <w:sz w:val="16"/>
              </w:rPr>
            </w:r>
            <w:r>
              <w:rPr>
                <w:sz w:val="16"/>
              </w:rPr>
              <w:t>SLS §10.2 / MSA §11.3</w:t>
            </w:r>
          </w:p>
        </w:tc>
      </w:tr>
      <w:tr>
        <w:tc>
          <w:tcPr>
            <w:tcW w:type="dxa" w:w="1872"/>
          </w:tcPr>
          <w:p>
            <w:r>
              <w:rPr>
                <w:sz w:val="16"/>
              </w:rPr>
            </w:r>
            <w:r>
              <w:rPr>
                <w:sz w:val="16"/>
              </w:rPr>
              <w:t>Audits</w:t>
            </w:r>
          </w:p>
        </w:tc>
        <w:tc>
          <w:tcPr>
            <w:tcW w:type="dxa" w:w="2736"/>
          </w:tcPr>
          <w:p>
            <w:r>
              <w:rPr>
                <w:sz w:val="16"/>
              </w:rPr>
            </w:r>
            <w:r>
              <w:rPr>
                <w:sz w:val="16"/>
              </w:rPr>
              <w:t>2/yr + for-cause; SOC 2 cannot substitute</w:t>
            </w:r>
          </w:p>
        </w:tc>
        <w:tc>
          <w:tcPr>
            <w:tcW w:type="dxa" w:w="2880"/>
          </w:tcPr>
          <w:p>
            <w:r>
              <w:rPr>
                <w:sz w:val="16"/>
              </w:rPr>
            </w:r>
            <w:r>
              <w:rPr>
                <w:sz w:val="16"/>
              </w:rPr>
              <w:t>1/yr, BAA only; SOC 2 substitutes</w:t>
            </w:r>
          </w:p>
        </w:tc>
        <w:tc>
          <w:tcPr>
            <w:tcW w:type="dxa" w:w="1872"/>
          </w:tcPr>
          <w:p>
            <w:r>
              <w:rPr>
                <w:sz w:val="16"/>
              </w:rPr>
            </w:r>
            <w:r>
              <w:rPr>
                <w:sz w:val="16"/>
              </w:rPr>
              <w:t>SLS §11 / MSA §13</w:t>
            </w:r>
          </w:p>
        </w:tc>
      </w:tr>
      <w:tr>
        <w:tc>
          <w:tcPr>
            <w:tcW w:type="dxa" w:w="1872"/>
          </w:tcPr>
          <w:p>
            <w:r>
              <w:rPr>
                <w:sz w:val="16"/>
              </w:rPr>
            </w:r>
            <w:r>
              <w:rPr>
                <w:sz w:val="16"/>
              </w:rPr>
              <w:t>Governing law / forum</w:t>
            </w:r>
          </w:p>
        </w:tc>
        <w:tc>
          <w:tcPr>
            <w:tcW w:type="dxa" w:w="2736"/>
          </w:tcPr>
          <w:p>
            <w:r>
              <w:rPr>
                <w:sz w:val="16"/>
              </w:rPr>
            </w:r>
            <w:r>
              <w:rPr>
                <w:sz w:val="16"/>
              </w:rPr>
              <w:t>North Carolina; Mecklenburg County courts</w:t>
            </w:r>
          </w:p>
        </w:tc>
        <w:tc>
          <w:tcPr>
            <w:tcW w:type="dxa" w:w="2880"/>
          </w:tcPr>
          <w:p>
            <w:r>
              <w:rPr>
                <w:sz w:val="16"/>
              </w:rPr>
            </w:r>
            <w:r>
              <w:rPr>
                <w:sz w:val="16"/>
              </w:rPr>
              <w:t>Texas; AAA arbitration in Austin</w:t>
            </w:r>
          </w:p>
        </w:tc>
        <w:tc>
          <w:tcPr>
            <w:tcW w:type="dxa" w:w="1872"/>
          </w:tcPr>
          <w:p>
            <w:r>
              <w:rPr>
                <w:sz w:val="16"/>
              </w:rPr>
            </w:r>
            <w:r>
              <w:rPr>
                <w:sz w:val="16"/>
              </w:rPr>
              <w:t>SLS §12 / MSA §14</w:t>
            </w:r>
          </w:p>
        </w:tc>
      </w:tr>
    </w:tbl>
    <w:p>
      <w:pPr>
        <w:spacing w:after="40"/>
      </w:pPr>
    </w:p>
    <w:p>
      <w:pPr>
        <w:pStyle w:val="Heading1"/>
      </w:pPr>
      <w:r>
        <w:t>IV. Detailed Gap Analysis</w:t>
      </w:r>
    </w:p>
    <w:p>
      <w:pPr>
        <w:pStyle w:val="Heading2"/>
      </w:pPr>
      <w:r>
        <w:t>1. Availability and Uptime (SLS §§2-3; Ex. C §§C.1-C.3, C.9; MSA §§1.12, 1.26, 15.1)</w:t>
      </w:r>
    </w:p>
    <w:p>
      <w:pPr>
        <w:pStyle w:val="Heading3"/>
      </w:pPr>
      <w:r>
        <w:t>A-1  System tier not designated; EHR platform must be Tier 1</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9"/>
              </w:rPr>
              <w:t>Risk rating</w:t>
            </w:r>
          </w:p>
        </w:tc>
        <w:tc>
          <w:tcPr>
            <w:tcW w:type="dxa" w:w="7272"/>
          </w:tcPr>
          <w:p>
            <w:r>
              <w:rPr>
                <w:b/>
                <w:color w:val="E26B0A"/>
                <w:sz w:val="19"/>
              </w:rPr>
            </w:r>
            <w:r>
              <w:rPr>
                <w:b/>
                <w:color w:val="E26B0A"/>
                <w:sz w:val="19"/>
              </w:rPr>
              <w:t>High</w:t>
            </w:r>
          </w:p>
        </w:tc>
      </w:tr>
      <w:tr>
        <w:tc>
          <w:tcPr>
            <w:tcW w:type="dxa" w:w="2088"/>
            <w:shd w:val="clear" w:color="auto" w:fill="DCE6F1"/>
          </w:tcPr>
          <w:p>
            <w:r/>
            <w:r>
              <w:rPr>
                <w:b/>
                <w:sz w:val="19"/>
              </w:rPr>
              <w:t>SLS v4.2 requirement</w:t>
            </w:r>
          </w:p>
        </w:tc>
        <w:tc>
          <w:tcPr>
            <w:tcW w:type="dxa" w:w="7272"/>
          </w:tcPr>
          <w:p>
            <w:r>
              <w:rPr>
                <w:sz w:val="19"/>
              </w:rPr>
            </w:r>
            <w:r>
              <w:rPr>
                <w:sz w:val="19"/>
              </w:rPr>
              <w:t>SLS §§1.2, 2.1: the applicable tier "shall be identified in every vendor agreement." SLS §2.2.1 and §2.3: EHR platforms, clinical decision support, patient portals and clinically integrated revenue cycle management are Tier 1 "without exception"; the more protective tier applies if there is any dispute.</w:t>
            </w:r>
          </w:p>
        </w:tc>
      </w:tr>
      <w:tr>
        <w:tc>
          <w:tcPr>
            <w:tcW w:type="dxa" w:w="2088"/>
            <w:shd w:val="clear" w:color="auto" w:fill="DCE6F1"/>
          </w:tcPr>
          <w:p>
            <w:r/>
            <w:r>
              <w:rPr>
                <w:b/>
                <w:sz w:val="19"/>
              </w:rPr>
              <w:t>Agreement provision</w:t>
            </w:r>
          </w:p>
        </w:tc>
        <w:tc>
          <w:tcPr>
            <w:tcW w:type="dxa" w:w="7272"/>
          </w:tcPr>
          <w:p>
            <w:r>
              <w:rPr>
                <w:sz w:val="19"/>
              </w:rPr>
            </w:r>
            <w:r>
              <w:rPr>
                <w:sz w:val="19"/>
              </w:rPr>
              <w:t>The Agreement does not mention a tier anywhere. Recitals, §1.16 and Exhibit A §A.1 describe the Platform as EHR, Clinical Decision Support, Patient Portal and Revenue Cycle Management modules, all of which are Tier 1 categories under SLS §2.2.1(a), (b), (c) and (f).</w:t>
            </w:r>
          </w:p>
        </w:tc>
      </w:tr>
      <w:tr>
        <w:tc>
          <w:tcPr>
            <w:tcW w:type="dxa" w:w="2088"/>
            <w:shd w:val="clear" w:color="auto" w:fill="DCE6F1"/>
          </w:tcPr>
          <w:p>
            <w:r/>
            <w:r>
              <w:rPr>
                <w:b/>
                <w:sz w:val="19"/>
              </w:rPr>
              <w:t>Gap / analysis</w:t>
            </w:r>
          </w:p>
        </w:tc>
        <w:tc>
          <w:tcPr>
            <w:tcW w:type="dxa" w:w="7272"/>
          </w:tcPr>
          <w:p>
            <w:r>
              <w:rPr>
                <w:sz w:val="19"/>
              </w:rPr>
            </w:r>
            <w:r>
              <w:rPr>
                <w:sz w:val="19"/>
              </w:rPr>
              <w:t>Every module in scope is a Tier 1 system. Exhibit C, however, is built on Tier 3 parameters (99.5% uptime, weekend-long maintenance windows, non-binding response targets). Because the Agreement does not designate a tier, Cloudvance can argue that its standard SLA is the agreed benchmark and that the parties never agreed to Tier 1 obligations.</w:t>
            </w:r>
          </w:p>
        </w:tc>
      </w:tr>
      <w:tr>
        <w:tc>
          <w:tcPr>
            <w:tcW w:type="dxa" w:w="2088"/>
            <w:shd w:val="clear" w:color="auto" w:fill="DCE6F1"/>
          </w:tcPr>
          <w:p>
            <w:r/>
            <w:r>
              <w:rPr>
                <w:b/>
                <w:sz w:val="19"/>
              </w:rPr>
              <w:t>Recommended redline</w:t>
            </w:r>
          </w:p>
        </w:tc>
        <w:tc>
          <w:tcPr>
            <w:tcW w:type="dxa" w:w="7272"/>
          </w:tcPr>
          <w:p>
            <w:r>
              <w:rPr>
                <w:sz w:val="19"/>
              </w:rPr>
            </w:r>
            <w:r>
              <w:rPr>
                <w:sz w:val="19"/>
              </w:rPr>
              <w:t>Insert new Exhibit C §C.0: "</w:t>
            </w:r>
            <w:r>
              <w:rPr>
                <w:b/>
                <w:sz w:val="19"/>
              </w:rPr>
              <w:t>System Classification.</w:t>
            </w:r>
            <w:r>
              <w:rPr>
                <w:sz w:val="19"/>
              </w:rPr>
              <w:t xml:space="preserve"> The Parties acknowledge and agree that the ClinicalEdge Platform, including each of the EHR, Clinical Decision Support, Patient Portal and Revenue Cycle Management modules, is a Tier 1 (Mission-Critical) system under Customer's IT Service Level Standards, and that the service levels, maintenance limits, incident response commitments, audit rights and other terms of this Agreement applicable to Tier 1 systems apply to the Platform in its entirety."</w:t>
            </w:r>
          </w:p>
        </w:tc>
      </w:tr>
      <w:tr>
        <w:tc>
          <w:tcPr>
            <w:tcW w:type="dxa" w:w="2088"/>
            <w:shd w:val="clear" w:color="auto" w:fill="DCE6F1"/>
          </w:tcPr>
          <w:p>
            <w:r/>
            <w:r>
              <w:rPr>
                <w:b/>
                <w:sz w:val="19"/>
              </w:rPr>
              <w:t>Negotiation position</w:t>
            </w:r>
          </w:p>
        </w:tc>
        <w:tc>
          <w:tcPr>
            <w:tcW w:type="dxa" w:w="7272"/>
          </w:tcPr>
          <w:p>
            <w:r>
              <w:rPr>
                <w:sz w:val="19"/>
              </w:rPr>
            </w:r>
            <w:r>
              <w:rPr>
                <w:sz w:val="19"/>
              </w:rPr>
              <w:t>Non-negotiable. The SLS gives no discretion to classify an EHR below Tier 1. This designation is the foundation for every other service-level ask in this memo.</w:t>
            </w:r>
          </w:p>
        </w:tc>
      </w:tr>
    </w:tbl>
    <w:p>
      <w:pPr>
        <w:spacing w:after="40"/>
      </w:pPr>
    </w:p>
    <w:p>
      <w:pPr>
        <w:pStyle w:val="Heading3"/>
      </w:pPr>
      <w:r>
        <w:t>A-2  Uptime commitment: 99.5% "commercially reasonable efforts" versus 99.95% guaranteed</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9"/>
              </w:rPr>
              <w:t>Risk rating</w:t>
            </w:r>
          </w:p>
        </w:tc>
        <w:tc>
          <w:tcPr>
            <w:tcW w:type="dxa" w:w="7272"/>
          </w:tcPr>
          <w:p>
            <w:r>
              <w:rPr>
                <w:b/>
                <w:color w:val="C00000"/>
                <w:sz w:val="19"/>
              </w:rPr>
            </w:r>
            <w:r>
              <w:rPr>
                <w:b/>
                <w:color w:val="C00000"/>
                <w:sz w:val="19"/>
              </w:rPr>
              <w:t>Critical</w:t>
            </w:r>
          </w:p>
        </w:tc>
      </w:tr>
      <w:tr>
        <w:tc>
          <w:tcPr>
            <w:tcW w:type="dxa" w:w="2088"/>
            <w:shd w:val="clear" w:color="auto" w:fill="DCE6F1"/>
          </w:tcPr>
          <w:p>
            <w:r/>
            <w:r>
              <w:rPr>
                <w:b/>
                <w:sz w:val="19"/>
              </w:rPr>
              <w:t>SLS v4.2 requirement</w:t>
            </w:r>
          </w:p>
        </w:tc>
        <w:tc>
          <w:tcPr>
            <w:tcW w:type="dxa" w:w="7272"/>
          </w:tcPr>
          <w:p>
            <w:r>
              <w:rPr>
                <w:sz w:val="19"/>
              </w:rPr>
            </w:r>
            <w:r>
              <w:rPr>
                <w:sz w:val="19"/>
              </w:rPr>
              <w:t>SLS §3.1: the vendor "shall guarantee" a minimum of 99.95% Monthly Uptime for Tier 1 systems (SLS §2.2.1, §2.3, App. B).</w:t>
            </w:r>
          </w:p>
        </w:tc>
      </w:tr>
      <w:tr>
        <w:tc>
          <w:tcPr>
            <w:tcW w:type="dxa" w:w="2088"/>
            <w:shd w:val="clear" w:color="auto" w:fill="DCE6F1"/>
          </w:tcPr>
          <w:p>
            <w:r/>
            <w:r>
              <w:rPr>
                <w:b/>
                <w:sz w:val="19"/>
              </w:rPr>
              <w:t>Agreement provision</w:t>
            </w:r>
          </w:p>
        </w:tc>
        <w:tc>
          <w:tcPr>
            <w:tcW w:type="dxa" w:w="7272"/>
          </w:tcPr>
          <w:p>
            <w:r>
              <w:rPr>
                <w:sz w:val="19"/>
              </w:rPr>
            </w:r>
            <w:r>
              <w:rPr>
                <w:sz w:val="19"/>
              </w:rPr>
              <w:t>Ex. C §C.1: Cloudvance "shall use commercially reasonable efforts to maintain Monthly Uptime of at least ninety-nine and one-half percent (99.5%)."</w:t>
            </w:r>
          </w:p>
        </w:tc>
      </w:tr>
      <w:tr>
        <w:tc>
          <w:tcPr>
            <w:tcW w:type="dxa" w:w="2088"/>
            <w:shd w:val="clear" w:color="auto" w:fill="DCE6F1"/>
          </w:tcPr>
          <w:p>
            <w:r/>
            <w:r>
              <w:rPr>
                <w:b/>
                <w:sz w:val="19"/>
              </w:rPr>
              <w:t>Gap / analysis</w:t>
            </w:r>
          </w:p>
        </w:tc>
        <w:tc>
          <w:tcPr>
            <w:tcW w:type="dxa" w:w="7272"/>
          </w:tcPr>
          <w:p>
            <w:r>
              <w:rPr>
                <w:sz w:val="19"/>
              </w:rPr>
            </w:r>
            <w:r>
              <w:rPr>
                <w:sz w:val="19"/>
              </w:rPr>
              <w:t xml:space="preserve">Two separate deficiencies. (1) </w:t>
            </w:r>
            <w:r>
              <w:rPr>
                <w:b/>
                <w:sz w:val="19"/>
              </w:rPr>
              <w:t>Level.</w:t>
            </w:r>
            <w:r>
              <w:rPr>
                <w:sz w:val="19"/>
              </w:rPr>
              <w:t xml:space="preserve"> 99.5% is the SLS Tier 3 (non-critical) standard. It allows roughly 10 times as much unplanned downtime as Tier 1: about 216 minutes (3.6 hours) in a 30-day month and 223 minutes (3.7 hours) in a 31-day month, compared with 21.6 and 22.3 minutes at 99.95%. Over a year that is about 43.8 hours of permitted unplanned outage instead of about 4.4 hours, across 11 hospitals and 47 clinics.</w:t>
            </w:r>
          </w:p>
          <w:p>
            <w:r>
              <w:rPr>
                <w:sz w:val="19"/>
              </w:rPr>
              <w:t xml:space="preserve">(2) </w:t>
            </w:r>
            <w:r>
              <w:rPr>
                <w:b/>
                <w:sz w:val="19"/>
              </w:rPr>
              <w:t>Nature of obligation.</w:t>
            </w:r>
            <w:r>
              <w:rPr>
                <w:sz w:val="19"/>
              </w:rPr>
              <w:t xml:space="preserve"> As drafted, the uptime level is an efforts covenant, not a guarantee. Cloudvance could argue that it has not breached the Agreement even in a month below 99.5% if it used "commercially reasonable efforts." That argument would undermine both the service credits and any material-breach theory.</w:t>
            </w:r>
          </w:p>
        </w:tc>
      </w:tr>
      <w:tr>
        <w:tc>
          <w:tcPr>
            <w:tcW w:type="dxa" w:w="2088"/>
            <w:shd w:val="clear" w:color="auto" w:fill="DCE6F1"/>
          </w:tcPr>
          <w:p>
            <w:r/>
            <w:r>
              <w:rPr>
                <w:b/>
                <w:sz w:val="19"/>
              </w:rPr>
              <w:t>Recommended redline</w:t>
            </w:r>
          </w:p>
        </w:tc>
        <w:tc>
          <w:tcPr>
            <w:tcW w:type="dxa" w:w="7272"/>
          </w:tcPr>
          <w:p>
            <w:r>
              <w:rPr>
                <w:sz w:val="19"/>
              </w:rPr>
            </w:r>
            <w:r>
              <w:rPr>
                <w:sz w:val="19"/>
              </w:rPr>
              <w:t xml:space="preserve">Replace §C.1 first sentence: "Cloudvance </w:t>
            </w:r>
            <w:r>
              <w:rPr>
                <w:b/>
                <w:sz w:val="19"/>
              </w:rPr>
              <w:t>guarantees</w:t>
            </w:r>
            <w:r>
              <w:rPr>
                <w:sz w:val="19"/>
              </w:rPr>
              <w:t xml:space="preserve"> that the Platform, and each material component thereof, shall achieve Monthly Uptime of no less than </w:t>
            </w:r>
            <w:r>
              <w:rPr>
                <w:b/>
                <w:sz w:val="19"/>
              </w:rPr>
              <w:t>ninety-nine and ninety-five hundredths percent (99.95%)</w:t>
            </w:r>
            <w:r>
              <w:rPr>
                <w:sz w:val="19"/>
              </w:rPr>
              <w:t xml:space="preserve"> during each calendar month of the Subscription Term. Failure to achieve such Monthly Uptime constitutes a failure of a binding service level commitment."</w:t>
            </w:r>
          </w:p>
        </w:tc>
      </w:tr>
      <w:tr>
        <w:tc>
          <w:tcPr>
            <w:tcW w:type="dxa" w:w="2088"/>
            <w:shd w:val="clear" w:color="auto" w:fill="DCE6F1"/>
          </w:tcPr>
          <w:p>
            <w:r/>
            <w:r>
              <w:rPr>
                <w:b/>
                <w:sz w:val="19"/>
              </w:rPr>
              <w:t>Negotiation position</w:t>
            </w:r>
          </w:p>
        </w:tc>
        <w:tc>
          <w:tcPr>
            <w:tcW w:type="dxa" w:w="7272"/>
          </w:tcPr>
          <w:p>
            <w:r>
              <w:rPr>
                <w:sz w:val="19"/>
              </w:rPr>
            </w:r>
            <w:r>
              <w:rPr>
                <w:sz w:val="19"/>
              </w:rPr>
              <w:t>Must-have, and Marcus Ellison's first concern. A deviation would require written CISO and VP of IT Procurement approval (SLS §1.1, §3.2). We do not recommend offering an intermediate level such as 99.9%, which is the SLS Tier 2 standard, as an opening concession.</w:t>
            </w:r>
          </w:p>
        </w:tc>
      </w:tr>
    </w:tbl>
    <w:p>
      <w:pPr>
        <w:spacing w:after="40"/>
      </w:pPr>
    </w:p>
    <w:p>
      <w:pPr>
        <w:pStyle w:val="Heading3"/>
      </w:pPr>
      <w:r>
        <w:t>A-3  Definition of Unplanned Downtime is too narrow and the exclusions are too broad</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9"/>
              </w:rPr>
              <w:t>Risk rating</w:t>
            </w:r>
          </w:p>
        </w:tc>
        <w:tc>
          <w:tcPr>
            <w:tcW w:type="dxa" w:w="7272"/>
          </w:tcPr>
          <w:p>
            <w:r>
              <w:rPr>
                <w:b/>
                <w:color w:val="E26B0A"/>
                <w:sz w:val="19"/>
              </w:rPr>
            </w:r>
            <w:r>
              <w:rPr>
                <w:b/>
                <w:color w:val="E26B0A"/>
                <w:sz w:val="19"/>
              </w:rPr>
              <w:t>High</w:t>
            </w:r>
          </w:p>
        </w:tc>
      </w:tr>
      <w:tr>
        <w:tc>
          <w:tcPr>
            <w:tcW w:type="dxa" w:w="2088"/>
            <w:shd w:val="clear" w:color="auto" w:fill="DCE6F1"/>
          </w:tcPr>
          <w:p>
            <w:r/>
            <w:r>
              <w:rPr>
                <w:b/>
                <w:sz w:val="19"/>
              </w:rPr>
              <w:t>SLS v4.2 requirement</w:t>
            </w:r>
          </w:p>
        </w:tc>
        <w:tc>
          <w:tcPr>
            <w:tcW w:type="dxa" w:w="7272"/>
          </w:tcPr>
          <w:p>
            <w:r>
              <w:rPr>
                <w:sz w:val="19"/>
              </w:rPr>
            </w:r>
            <w:r>
              <w:rPr>
                <w:sz w:val="19"/>
              </w:rPr>
              <w:t xml:space="preserve">SLS §3.1: Unplanned Downtime is any period in which the service "or any material component thereof is unavailable </w:t>
            </w:r>
            <w:r>
              <w:rPr>
                <w:b/>
                <w:sz w:val="19"/>
              </w:rPr>
              <w:t>or materially degraded</w:t>
            </w:r>
            <w:r>
              <w:rPr>
                <w:sz w:val="19"/>
              </w:rPr>
              <w:t xml:space="preserve">," excluding </w:t>
            </w:r>
            <w:r>
              <w:rPr>
                <w:b/>
                <w:sz w:val="19"/>
              </w:rPr>
              <w:t>only</w:t>
            </w:r>
            <w:r>
              <w:rPr>
                <w:sz w:val="19"/>
              </w:rPr>
              <w:t xml:space="preserve"> qualifying Scheduled Maintenance (§3.2) and qualifying Force Majeure Events (§3.4). SLS §3.3: Emergency Maintenance is included in downtime.</w:t>
            </w:r>
          </w:p>
        </w:tc>
      </w:tr>
      <w:tr>
        <w:tc>
          <w:tcPr>
            <w:tcW w:type="dxa" w:w="2088"/>
            <w:shd w:val="clear" w:color="auto" w:fill="DCE6F1"/>
          </w:tcPr>
          <w:p>
            <w:r/>
            <w:r>
              <w:rPr>
                <w:b/>
                <w:sz w:val="19"/>
              </w:rPr>
              <w:t>Agreement provision</w:t>
            </w:r>
          </w:p>
        </w:tc>
        <w:tc>
          <w:tcPr>
            <w:tcW w:type="dxa" w:w="7272"/>
          </w:tcPr>
          <w:p>
            <w:r>
              <w:rPr>
                <w:sz w:val="19"/>
              </w:rPr>
            </w:r>
            <w:r>
              <w:rPr>
                <w:sz w:val="19"/>
              </w:rPr>
              <w:t>§1.26 and Ex. C §C.1: Unplanned Downtime covers only periods in which the Platform is "unavailable." It excludes (a) Scheduled Maintenance, (b) Emergency Maintenance, (c) Customer acts or omissions, including "infrastructure outside of Cloudvance's reasonable control," and (d) force majeure under §15.1. Uptime is measured by Cloudvance "using its standard monitoring tools."</w:t>
            </w:r>
          </w:p>
        </w:tc>
      </w:tr>
      <w:tr>
        <w:tc>
          <w:tcPr>
            <w:tcW w:type="dxa" w:w="2088"/>
            <w:shd w:val="clear" w:color="auto" w:fill="DCE6F1"/>
          </w:tcPr>
          <w:p>
            <w:r/>
            <w:r>
              <w:rPr>
                <w:b/>
                <w:sz w:val="19"/>
              </w:rPr>
              <w:t>Gap / analysis</w:t>
            </w:r>
          </w:p>
        </w:tc>
        <w:tc>
          <w:tcPr>
            <w:tcW w:type="dxa" w:w="7272"/>
          </w:tcPr>
          <w:p>
            <w:r>
              <w:rPr>
                <w:sz w:val="19"/>
              </w:rPr>
            </w:r>
            <w:r>
              <w:rPr>
                <w:sz w:val="19"/>
              </w:rPr>
              <w:t>The definition does not count degradation or the failure of a single module. For example, an outage of clinical decision support alerts, or of only the patient portal, would arguably not be downtime if the rest of the Platform were reachable. The exclusions remove from the count every category of outage Cloudvance controls: all maintenance (see A-4 and A-5) and failures of Stratos (see A-6). Clause (c) refers to infrastructure "outside of Cloudvance's reasonable control." That wording is not limited to Customer equipment and could be read to cover third-party networks. Measurement is solely in Cloudvance's hands.</w:t>
            </w:r>
          </w:p>
        </w:tc>
      </w:tr>
      <w:tr>
        <w:tc>
          <w:tcPr>
            <w:tcW w:type="dxa" w:w="2088"/>
            <w:shd w:val="clear" w:color="auto" w:fill="DCE6F1"/>
          </w:tcPr>
          <w:p>
            <w:r/>
            <w:r>
              <w:rPr>
                <w:b/>
                <w:sz w:val="19"/>
              </w:rPr>
              <w:t>Recommended redline</w:t>
            </w:r>
          </w:p>
        </w:tc>
        <w:tc>
          <w:tcPr>
            <w:tcW w:type="dxa" w:w="7272"/>
          </w:tcPr>
          <w:p>
            <w:r>
              <w:rPr>
                <w:sz w:val="19"/>
              </w:rPr>
            </w:r>
            <w:r>
              <w:rPr>
                <w:sz w:val="19"/>
              </w:rPr>
              <w:t xml:space="preserve">Amend §1.26: ""Unplanned Downtime" means any period during which the Platform </w:t>
            </w:r>
            <w:r>
              <w:rPr>
                <w:b/>
                <w:sz w:val="19"/>
              </w:rPr>
              <w:t>or any material component or module thereof</w:t>
            </w:r>
            <w:r>
              <w:rPr>
                <w:sz w:val="19"/>
              </w:rPr>
              <w:t xml:space="preserve"> is unavailable </w:t>
            </w:r>
            <w:r>
              <w:rPr>
                <w:b/>
                <w:sz w:val="19"/>
              </w:rPr>
              <w:t>or materially degraded</w:t>
            </w:r>
            <w:r>
              <w:rPr>
                <w:sz w:val="19"/>
              </w:rPr>
              <w:t xml:space="preserve"> for Customer or any of its Authorized Users, other than (a) Scheduled Maintenance that satisfies every condition of Exhibit C, Section C.2, (b) unavailability caused solely by Customer-owned equipment or Customer-managed network connections, and (c) a Force Majeure Event (as defined and limited in Section 15.1) for which Cloudvance has satisfied its mitigation obligations." Delete clause (b) (Emergency Maintenance). Add a requirement that uptime be measured by synthetic transaction monitoring from points of presence agreed with Customer.</w:t>
            </w:r>
          </w:p>
        </w:tc>
      </w:tr>
      <w:tr>
        <w:tc>
          <w:tcPr>
            <w:tcW w:type="dxa" w:w="2088"/>
            <w:shd w:val="clear" w:color="auto" w:fill="DCE6F1"/>
          </w:tcPr>
          <w:p>
            <w:r/>
            <w:r>
              <w:rPr>
                <w:b/>
                <w:sz w:val="19"/>
              </w:rPr>
              <w:t>Negotiation position</w:t>
            </w:r>
          </w:p>
        </w:tc>
        <w:tc>
          <w:tcPr>
            <w:tcW w:type="dxa" w:w="7272"/>
          </w:tcPr>
          <w:p>
            <w:r>
              <w:rPr>
                <w:sz w:val="19"/>
              </w:rPr>
            </w:r>
            <w:r>
              <w:rPr>
                <w:sz w:val="19"/>
              </w:rPr>
              <w:t>Must-have. These exclusions are what make the uptime number meaningful or illusory. Even if Cloudvance accepted 99.95%, the current exclusions would leave that commitment largely without effect.</w:t>
            </w:r>
          </w:p>
        </w:tc>
      </w:tr>
    </w:tbl>
    <w:p>
      <w:pPr>
        <w:spacing w:after="40"/>
      </w:pPr>
    </w:p>
    <w:p>
      <w:pPr>
        <w:pStyle w:val="Heading3"/>
      </w:pPr>
      <w:r>
        <w:t>A-4  Scheduled Maintenance: up to 8 hours per week, 24-hour notice, windows set by Cloudvance</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9"/>
              </w:rPr>
              <w:t>Risk rating</w:t>
            </w:r>
          </w:p>
        </w:tc>
        <w:tc>
          <w:tcPr>
            <w:tcW w:type="dxa" w:w="7272"/>
          </w:tcPr>
          <w:p>
            <w:r>
              <w:rPr>
                <w:b/>
                <w:color w:val="C00000"/>
                <w:sz w:val="19"/>
              </w:rPr>
            </w:r>
            <w:r>
              <w:rPr>
                <w:b/>
                <w:color w:val="C00000"/>
                <w:sz w:val="19"/>
              </w:rPr>
              <w:t>Critical</w:t>
            </w:r>
          </w:p>
        </w:tc>
      </w:tr>
      <w:tr>
        <w:tc>
          <w:tcPr>
            <w:tcW w:type="dxa" w:w="2088"/>
            <w:shd w:val="clear" w:color="auto" w:fill="DCE6F1"/>
          </w:tcPr>
          <w:p>
            <w:r/>
            <w:r>
              <w:rPr>
                <w:b/>
                <w:sz w:val="19"/>
              </w:rPr>
              <w:t>SLS v4.2 requirement</w:t>
            </w:r>
          </w:p>
        </w:tc>
        <w:tc>
          <w:tcPr>
            <w:tcW w:type="dxa" w:w="7272"/>
          </w:tcPr>
          <w:p>
            <w:r>
              <w:rPr>
                <w:sz w:val="19"/>
              </w:rPr>
            </w:r>
            <w:r>
              <w:rPr>
                <w:sz w:val="19"/>
              </w:rPr>
              <w:t xml:space="preserve">SLS §3.2: excluded Scheduled Maintenance is capped at </w:t>
            </w:r>
            <w:r>
              <w:rPr>
                <w:b/>
                <w:sz w:val="19"/>
              </w:rPr>
              <w:t>4 hours per calendar month</w:t>
            </w:r>
            <w:r>
              <w:rPr>
                <w:sz w:val="19"/>
              </w:rPr>
              <w:t xml:space="preserve">. It requires </w:t>
            </w:r>
            <w:r>
              <w:rPr>
                <w:b/>
                <w:sz w:val="19"/>
              </w:rPr>
              <w:t>72 hours' written notice</w:t>
            </w:r>
            <w:r>
              <w:rPr>
                <w:sz w:val="19"/>
              </w:rPr>
              <w:t xml:space="preserve"> stating the date, start time, duration and nature of the work. It must take place in </w:t>
            </w:r>
            <w:r>
              <w:rPr>
                <w:b/>
                <w:sz w:val="19"/>
              </w:rPr>
              <w:t>Meridian-approved</w:t>
            </w:r>
            <w:r>
              <w:rPr>
                <w:sz w:val="19"/>
              </w:rPr>
              <w:t xml:space="preserve"> windows documented in the agreement, and the default window is </w:t>
            </w:r>
            <w:r>
              <w:rPr>
                <w:b/>
                <w:sz w:val="19"/>
              </w:rPr>
              <w:t>Sunday 2:00 to 6:00 AM ET</w:t>
            </w:r>
            <w:r>
              <w:rPr>
                <w:sz w:val="19"/>
              </w:rPr>
              <w:t>. Maintenance above the cap, outside the window, or without proper notice is treated as Unplanned Downtime (§3.2(e)). Broader exclusions must be flagged and approved.</w:t>
            </w:r>
          </w:p>
        </w:tc>
      </w:tr>
      <w:tr>
        <w:tc>
          <w:tcPr>
            <w:tcW w:type="dxa" w:w="2088"/>
            <w:shd w:val="clear" w:color="auto" w:fill="DCE6F1"/>
          </w:tcPr>
          <w:p>
            <w:r/>
            <w:r>
              <w:rPr>
                <w:b/>
                <w:sz w:val="19"/>
              </w:rPr>
              <w:t>Agreement provision</w:t>
            </w:r>
          </w:p>
        </w:tc>
        <w:tc>
          <w:tcPr>
            <w:tcW w:type="dxa" w:w="7272"/>
          </w:tcPr>
          <w:p>
            <w:r>
              <w:rPr>
                <w:sz w:val="19"/>
              </w:rPr>
            </w:r>
            <w:r>
              <w:rPr>
                <w:sz w:val="19"/>
              </w:rPr>
              <w:t xml:space="preserve">Ex. C §C.2: the Maintenance Window is Saturday </w:t>
            </w:r>
            <w:r>
              <w:rPr>
                <w:b/>
                <w:sz w:val="19"/>
              </w:rPr>
              <w:t>and</w:t>
            </w:r>
            <w:r>
              <w:rPr>
                <w:sz w:val="19"/>
              </w:rPr>
              <w:t xml:space="preserve"> Sunday, 12:00 to 6:00 AM ET, "for up to eight (8) hours per week." Notice is "no less than twenty-four (24) hours," by email to the technical contact. All maintenance in the window is excluded. Maintenance outside the window is still "Scheduled" if 72 hours' notice is given; otherwise it is treated as Emergency Maintenance, which is also excluded (§C.3).</w:t>
            </w:r>
          </w:p>
        </w:tc>
      </w:tr>
      <w:tr>
        <w:tc>
          <w:tcPr>
            <w:tcW w:type="dxa" w:w="2088"/>
            <w:shd w:val="clear" w:color="auto" w:fill="DCE6F1"/>
          </w:tcPr>
          <w:p>
            <w:r/>
            <w:r>
              <w:rPr>
                <w:b/>
                <w:sz w:val="19"/>
              </w:rPr>
              <w:t>Gap / analysis</w:t>
            </w:r>
          </w:p>
        </w:tc>
        <w:tc>
          <w:tcPr>
            <w:tcW w:type="dxa" w:w="7272"/>
          </w:tcPr>
          <w:p>
            <w:r>
              <w:rPr>
                <w:sz w:val="19"/>
              </w:rPr>
            </w:r>
            <w:r>
              <w:rPr>
                <w:b/>
                <w:sz w:val="19"/>
              </w:rPr>
              <w:t>Cap.</w:t>
            </w:r>
            <w:r>
              <w:rPr>
                <w:sz w:val="19"/>
              </w:rPr>
              <w:t xml:space="preserve"> At 8 hours per week, the Agreement allows about 32 to 40 hours of excluded maintenance per month (4 to 5 weekends), roughly 8 to 10 times the SLS cap of 4 hours. There is no monthly cap.</w:t>
            </w:r>
          </w:p>
          <w:p>
            <w:r>
              <w:rPr>
                <w:b/>
                <w:sz w:val="19"/>
              </w:rPr>
              <w:t>Off-window loophole.</w:t>
            </w:r>
            <w:r>
              <w:rPr>
                <w:sz w:val="19"/>
              </w:rPr>
              <w:t xml:space="preserve"> Any maintenance at any time of day can be excluded. If Cloudvance gives 72 hours' notice it counts as Scheduled Maintenance; if it does not, it counts as Emergency Maintenance. Under the SLS, either case would be Unplanned Downtime.</w:t>
            </w:r>
          </w:p>
          <w:p>
            <w:r>
              <w:rPr>
                <w:b/>
                <w:sz w:val="19"/>
              </w:rPr>
              <w:t>Notice.</w:t>
            </w:r>
            <w:r>
              <w:rPr>
                <w:sz w:val="19"/>
              </w:rPr>
              <w:t xml:space="preserve"> 24 hours is one-third of the SLS minimum, and the Agreement does not specify what the notice must contain.</w:t>
            </w:r>
          </w:p>
          <w:p>
            <w:r>
              <w:rPr>
                <w:b/>
                <w:sz w:val="19"/>
              </w:rPr>
              <w:t>Effective availability.</w:t>
            </w:r>
            <w:r>
              <w:rPr>
                <w:sz w:val="19"/>
              </w:rPr>
              <w:t xml:space="preserve"> In a 31-day month with five weekends, permitted exclusions (40 hours of maintenance plus 3.7 hours of unplanned downtime) would allow the Platform to be down about 5.9% of the month. That is effective availability of about 94.1%, before any Emergency Maintenance or force majeure exclusions, while the headline SLA would still be reported as met.</w:t>
            </w:r>
          </w:p>
        </w:tc>
      </w:tr>
      <w:tr>
        <w:tc>
          <w:tcPr>
            <w:tcW w:type="dxa" w:w="2088"/>
            <w:shd w:val="clear" w:color="auto" w:fill="DCE6F1"/>
          </w:tcPr>
          <w:p>
            <w:r/>
            <w:r>
              <w:rPr>
                <w:b/>
                <w:sz w:val="19"/>
              </w:rPr>
              <w:t>Recommended redline</w:t>
            </w:r>
          </w:p>
        </w:tc>
        <w:tc>
          <w:tcPr>
            <w:tcW w:type="dxa" w:w="7272"/>
          </w:tcPr>
          <w:p>
            <w:r>
              <w:rPr>
                <w:sz w:val="19"/>
              </w:rPr>
            </w:r>
            <w:r>
              <w:rPr>
                <w:sz w:val="19"/>
              </w:rPr>
              <w:t xml:space="preserve">Replace §C.2: "Cloudvance may perform Scheduled Maintenance only between 2:00 AM and 6:00 AM Eastern Time on Sundays (or such other window as Customer approves in writing) (the "Maintenance Window"). Scheduled Maintenance excluded from the calculation of Monthly Uptime shall not exceed </w:t>
            </w:r>
            <w:r>
              <w:rPr>
                <w:b/>
                <w:sz w:val="19"/>
              </w:rPr>
              <w:t>four (4) hours in the aggregate in any calendar month</w:t>
            </w:r>
            <w:r>
              <w:rPr>
                <w:sz w:val="19"/>
              </w:rPr>
              <w:t xml:space="preserve">. Cloudvance shall provide no less than </w:t>
            </w:r>
            <w:r>
              <w:rPr>
                <w:b/>
                <w:sz w:val="19"/>
              </w:rPr>
              <w:t>seventy-two (72) hours' prior written notice</w:t>
            </w:r>
            <w:r>
              <w:rPr>
                <w:sz w:val="19"/>
              </w:rPr>
              <w:t xml:space="preserve"> to Customer's designated contacts specifying the date, start time, estimated duration and nature of the maintenance. Any maintenance that exceeds the monthly cap, is performed outside the Maintenance Window, or is not preceded by the required notice shall be deemed Unplanned Downtime for all purposes of this Agreement." Delete the final sentence of §C.2.</w:t>
            </w:r>
          </w:p>
        </w:tc>
      </w:tr>
      <w:tr>
        <w:tc>
          <w:tcPr>
            <w:tcW w:type="dxa" w:w="2088"/>
            <w:shd w:val="clear" w:color="auto" w:fill="DCE6F1"/>
          </w:tcPr>
          <w:p>
            <w:r/>
            <w:r>
              <w:rPr>
                <w:b/>
                <w:sz w:val="19"/>
              </w:rPr>
              <w:t>Negotiation position</w:t>
            </w:r>
          </w:p>
        </w:tc>
        <w:tc>
          <w:tcPr>
            <w:tcW w:type="dxa" w:w="7272"/>
          </w:tcPr>
          <w:p>
            <w:r>
              <w:rPr>
                <w:sz w:val="19"/>
              </w:rPr>
            </w:r>
            <w:r>
              <w:rPr>
                <w:sz w:val="19"/>
              </w:rPr>
              <w:t>Must-have. If Cloudvance needs more time for multi-tenant platform releases, any fallback, such as a larger window for a limited number of major upgrades per year with 30 days' notice and Meridian approval, would be an SLS deviation requiring CISO and VP approval. Meridian's clinical operations staff should confirm which overnight windows are least disruptive to 24/7 inpatient and emergency department workflows.</w:t>
            </w:r>
          </w:p>
        </w:tc>
      </w:tr>
    </w:tbl>
    <w:p>
      <w:pPr>
        <w:spacing w:after="40"/>
      </w:pPr>
    </w:p>
    <w:p>
      <w:pPr>
        <w:pStyle w:val="Heading3"/>
      </w:pPr>
      <w:r>
        <w:t>A-5  Emergency Maintenance: excluded from uptime entirely and defined in Cloudvance's sole discretion</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9"/>
              </w:rPr>
              <w:t>Risk rating</w:t>
            </w:r>
          </w:p>
        </w:tc>
        <w:tc>
          <w:tcPr>
            <w:tcW w:type="dxa" w:w="7272"/>
          </w:tcPr>
          <w:p>
            <w:r>
              <w:rPr>
                <w:b/>
                <w:color w:val="C00000"/>
                <w:sz w:val="19"/>
              </w:rPr>
            </w:r>
            <w:r>
              <w:rPr>
                <w:b/>
                <w:color w:val="C00000"/>
                <w:sz w:val="19"/>
              </w:rPr>
              <w:t>Critical</w:t>
            </w:r>
          </w:p>
        </w:tc>
      </w:tr>
      <w:tr>
        <w:tc>
          <w:tcPr>
            <w:tcW w:type="dxa" w:w="2088"/>
            <w:shd w:val="clear" w:color="auto" w:fill="DCE6F1"/>
          </w:tcPr>
          <w:p>
            <w:r/>
            <w:r>
              <w:rPr>
                <w:b/>
                <w:sz w:val="19"/>
              </w:rPr>
              <w:t>SLS v4.2 requirement</w:t>
            </w:r>
          </w:p>
        </w:tc>
        <w:tc>
          <w:tcPr>
            <w:tcW w:type="dxa" w:w="7272"/>
          </w:tcPr>
          <w:p>
            <w:r>
              <w:rPr>
                <w:sz w:val="19"/>
              </w:rPr>
            </w:r>
            <w:r>
              <w:rPr>
                <w:sz w:val="19"/>
              </w:rPr>
              <w:t xml:space="preserve">SLS §3.3: Emergency Maintenance </w:t>
            </w:r>
            <w:r>
              <w:rPr>
                <w:b/>
                <w:sz w:val="19"/>
              </w:rPr>
              <w:t>is included</w:t>
            </w:r>
            <w:r>
              <w:rPr>
                <w:sz w:val="19"/>
              </w:rPr>
              <w:t xml:space="preserve"> in downtime unless it is caused by a Force Majeure Event. The agreement may not contain a blanket exclusion. Notice must be as early as practicable and </w:t>
            </w:r>
            <w:r>
              <w:rPr>
                <w:b/>
                <w:sz w:val="19"/>
              </w:rPr>
              <w:t>no less than 30 minutes</w:t>
            </w:r>
            <w:r>
              <w:rPr>
                <w:sz w:val="19"/>
              </w:rPr>
              <w:t xml:space="preserve">, by telephone and email to the CISO and VP of IT Procurement. A written post-incident report with root cause analysis is due </w:t>
            </w:r>
            <w:r>
              <w:rPr>
                <w:b/>
                <w:sz w:val="19"/>
              </w:rPr>
              <w:t>within 24 hours</w:t>
            </w:r>
            <w:r>
              <w:rPr>
                <w:sz w:val="19"/>
              </w:rPr>
              <w:t>.</w:t>
            </w:r>
          </w:p>
        </w:tc>
      </w:tr>
      <w:tr>
        <w:tc>
          <w:tcPr>
            <w:tcW w:type="dxa" w:w="2088"/>
            <w:shd w:val="clear" w:color="auto" w:fill="DCE6F1"/>
          </w:tcPr>
          <w:p>
            <w:r/>
            <w:r>
              <w:rPr>
                <w:b/>
                <w:sz w:val="19"/>
              </w:rPr>
              <w:t>Agreement provision</w:t>
            </w:r>
          </w:p>
        </w:tc>
        <w:tc>
          <w:tcPr>
            <w:tcW w:type="dxa" w:w="7272"/>
          </w:tcPr>
          <w:p>
            <w:r>
              <w:rPr>
                <w:sz w:val="19"/>
              </w:rPr>
            </w:r>
            <w:r>
              <w:rPr>
                <w:sz w:val="19"/>
              </w:rPr>
              <w:t>§1.12: Emergency Maintenance is unscheduled maintenance "as determined by Provider in its sole discretion." Ex. C §C.3: Cloudvance "shall use reasonable efforts" to give 2 hours' notice, and failure to do so "shall not constitute a breach." All Emergency Maintenance is excluded from uptime. A written summary is due within 5 business days. §C.2 also routes all off-window maintenance without 72 hours' notice into this category.</w:t>
            </w:r>
          </w:p>
        </w:tc>
      </w:tr>
      <w:tr>
        <w:tc>
          <w:tcPr>
            <w:tcW w:type="dxa" w:w="2088"/>
            <w:shd w:val="clear" w:color="auto" w:fill="DCE6F1"/>
          </w:tcPr>
          <w:p>
            <w:r/>
            <w:r>
              <w:rPr>
                <w:b/>
                <w:sz w:val="19"/>
              </w:rPr>
              <w:t>Gap / analysis</w:t>
            </w:r>
          </w:p>
        </w:tc>
        <w:tc>
          <w:tcPr>
            <w:tcW w:type="dxa" w:w="7272"/>
          </w:tcPr>
          <w:p>
            <w:r>
              <w:rPr>
                <w:sz w:val="19"/>
              </w:rPr>
            </w:r>
            <w:r>
              <w:rPr>
                <w:sz w:val="19"/>
              </w:rPr>
              <w:t>This is the largest single loophole in the SLA. Cloudvance alone decides what qualifies, the notice obligation is unenforceable, and every minute is excluded. In principle, Cloudvance could label any outage, including one caused by its own defective release, as Emergency Maintenance and report 100% uptime. The 2-hour notice period is longer than the SLS 30-minute floor, but it is unenforceable, goes only to a technical contact, and is not a minimum. The 5-business-day summary is far slower than the SLS 24-hour report.</w:t>
            </w:r>
          </w:p>
        </w:tc>
      </w:tr>
      <w:tr>
        <w:tc>
          <w:tcPr>
            <w:tcW w:type="dxa" w:w="2088"/>
            <w:shd w:val="clear" w:color="auto" w:fill="DCE6F1"/>
          </w:tcPr>
          <w:p>
            <w:r/>
            <w:r>
              <w:rPr>
                <w:b/>
                <w:sz w:val="19"/>
              </w:rPr>
              <w:t>Recommended redline</w:t>
            </w:r>
          </w:p>
        </w:tc>
        <w:tc>
          <w:tcPr>
            <w:tcW w:type="dxa" w:w="7272"/>
          </w:tcPr>
          <w:p>
            <w:r>
              <w:rPr>
                <w:sz w:val="19"/>
              </w:rPr>
            </w:r>
            <w:r>
              <w:rPr>
                <w:sz w:val="19"/>
              </w:rPr>
              <w:t>Amend §1.12 to adopt the objective SLS §3.3 definition: maintenance required to address an imminent security threat, critical vulnerability or system failure that would otherwise cause material harm to system integrity, data security or patient safety. Replace the exclusion sentence in §C.3: "</w:t>
            </w:r>
            <w:r>
              <w:rPr>
                <w:b/>
                <w:sz w:val="19"/>
              </w:rPr>
              <w:t>All Emergency Maintenance shall be counted as Unplanned Downtime</w:t>
            </w:r>
            <w:r>
              <w:rPr>
                <w:sz w:val="19"/>
              </w:rPr>
              <w:t>, except to the extent necessitated by a Force Majeure Event." Replace the notice sentence: "Cloudvance shall provide as much advance notice as practicable, and in no event less than thirty (30) minutes, by telephone and email to Customer's CISO and VP of IT Procurement." Replace the 5-business-day summary with a written post-incident report, including root cause analysis, within 24 hours.</w:t>
            </w:r>
          </w:p>
        </w:tc>
      </w:tr>
      <w:tr>
        <w:tc>
          <w:tcPr>
            <w:tcW w:type="dxa" w:w="2088"/>
            <w:shd w:val="clear" w:color="auto" w:fill="DCE6F1"/>
          </w:tcPr>
          <w:p>
            <w:r/>
            <w:r>
              <w:rPr>
                <w:b/>
                <w:sz w:val="19"/>
              </w:rPr>
              <w:t>Negotiation position</w:t>
            </w:r>
          </w:p>
        </w:tc>
        <w:tc>
          <w:tcPr>
            <w:tcW w:type="dxa" w:w="7272"/>
          </w:tcPr>
          <w:p>
            <w:r>
              <w:rPr>
                <w:sz w:val="19"/>
              </w:rPr>
            </w:r>
            <w:r>
              <w:rPr>
                <w:sz w:val="19"/>
              </w:rPr>
              <w:t>Must-have. The SLS expressly prohibits a blanket exclusion. Including Emergency Maintenance in downtime gives Cloudvance the right incentive to avoid emergencies through sound release management.</w:t>
            </w:r>
          </w:p>
        </w:tc>
      </w:tr>
    </w:tbl>
    <w:p>
      <w:pPr>
        <w:spacing w:after="40"/>
      </w:pPr>
    </w:p>
    <w:p>
      <w:pPr>
        <w:pStyle w:val="Heading3"/>
      </w:pPr>
      <w:r>
        <w:t>A-6  Force majeure covers hosting provider, cloud and telecommunications failures, including Stratos</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9"/>
              </w:rPr>
              <w:t>Risk rating</w:t>
            </w:r>
          </w:p>
        </w:tc>
        <w:tc>
          <w:tcPr>
            <w:tcW w:type="dxa" w:w="7272"/>
          </w:tcPr>
          <w:p>
            <w:r>
              <w:rPr>
                <w:b/>
                <w:color w:val="E26B0A"/>
                <w:sz w:val="19"/>
              </w:rPr>
            </w:r>
            <w:r>
              <w:rPr>
                <w:b/>
                <w:color w:val="E26B0A"/>
                <w:sz w:val="19"/>
              </w:rPr>
              <w:t>High</w:t>
            </w:r>
          </w:p>
        </w:tc>
      </w:tr>
      <w:tr>
        <w:tc>
          <w:tcPr>
            <w:tcW w:type="dxa" w:w="2088"/>
            <w:shd w:val="clear" w:color="auto" w:fill="DCE6F1"/>
          </w:tcPr>
          <w:p>
            <w:r/>
            <w:r>
              <w:rPr>
                <w:b/>
                <w:sz w:val="19"/>
              </w:rPr>
              <w:t>SLS v4.2 requirement</w:t>
            </w:r>
          </w:p>
        </w:tc>
        <w:tc>
          <w:tcPr>
            <w:tcW w:type="dxa" w:w="7272"/>
          </w:tcPr>
          <w:p>
            <w:r>
              <w:rPr>
                <w:sz w:val="19"/>
              </w:rPr>
            </w:r>
            <w:r>
              <w:rPr>
                <w:sz w:val="19"/>
              </w:rPr>
              <w:t xml:space="preserve">SLS §3.4: force majeure </w:t>
            </w:r>
            <w:r>
              <w:rPr>
                <w:b/>
                <w:sz w:val="19"/>
              </w:rPr>
              <w:t>expressly excludes</w:t>
            </w:r>
            <w:r>
              <w:rPr>
                <w:sz w:val="19"/>
              </w:rPr>
              <w:t xml:space="preserve"> (a) failure to maintain DR/BCP or geographic redundancy; (b) failures of subcontractors, hosting or cloud providers unless caused by a qualifying FM event; (c) software bugs, defects or capacity limits; and (d) power, network or equipment failures limited to the vendor's infrastructure. The vendor must show it activated DR/BCP and mitigated.</w:t>
            </w:r>
          </w:p>
        </w:tc>
      </w:tr>
      <w:tr>
        <w:tc>
          <w:tcPr>
            <w:tcW w:type="dxa" w:w="2088"/>
            <w:shd w:val="clear" w:color="auto" w:fill="DCE6F1"/>
          </w:tcPr>
          <w:p>
            <w:r/>
            <w:r>
              <w:rPr>
                <w:b/>
                <w:sz w:val="19"/>
              </w:rPr>
              <w:t>Agreement provision</w:t>
            </w:r>
          </w:p>
        </w:tc>
        <w:tc>
          <w:tcPr>
            <w:tcW w:type="dxa" w:w="7272"/>
          </w:tcPr>
          <w:p>
            <w:r>
              <w:rPr>
                <w:sz w:val="19"/>
              </w:rPr>
            </w:r>
            <w:r>
              <w:rPr>
                <w:sz w:val="19"/>
              </w:rPr>
              <w:t>§15.1: Force Majeure Events include "Internet backbone or telecommunications failures caused by third-party providers, or the unavailability or failure of third-party hosting or cloud infrastructure services." The only mitigation duty is "commercially reasonable efforts." The Uptime formula in Ex. C §C.1 imports this definition.</w:t>
            </w:r>
          </w:p>
        </w:tc>
      </w:tr>
      <w:tr>
        <w:tc>
          <w:tcPr>
            <w:tcW w:type="dxa" w:w="2088"/>
            <w:shd w:val="clear" w:color="auto" w:fill="DCE6F1"/>
          </w:tcPr>
          <w:p>
            <w:r/>
            <w:r>
              <w:rPr>
                <w:b/>
                <w:sz w:val="19"/>
              </w:rPr>
              <w:t>Gap / analysis</w:t>
            </w:r>
          </w:p>
        </w:tc>
        <w:tc>
          <w:tcPr>
            <w:tcW w:type="dxa" w:w="7272"/>
          </w:tcPr>
          <w:p>
            <w:r>
              <w:rPr>
                <w:sz w:val="19"/>
              </w:rPr>
            </w:r>
            <w:r>
              <w:rPr>
                <w:sz w:val="19"/>
              </w:rPr>
              <w:t>Stratos Cloud Services is Cloudvance's primary hosting subcontractor (§7.1). Under §15.1, a Stratos outage would be force majeure. That excuses Cloudvance's performance and removes the downtime from the uptime calculation, which is exactly the outcome SLS §3.4(b) prohibits. It also undercuts Cloudvance's promise in §7.2 to be responsible for its Subcontractors. The clause does not exclude software defects or capacity failures and does not require DR activation. The 90-day force majeure termination trigger is too long for a Tier 1 clinical system.</w:t>
            </w:r>
          </w:p>
        </w:tc>
      </w:tr>
      <w:tr>
        <w:tc>
          <w:tcPr>
            <w:tcW w:type="dxa" w:w="2088"/>
            <w:shd w:val="clear" w:color="auto" w:fill="DCE6F1"/>
          </w:tcPr>
          <w:p>
            <w:r/>
            <w:r>
              <w:rPr>
                <w:b/>
                <w:sz w:val="19"/>
              </w:rPr>
              <w:t>Recommended redline</w:t>
            </w:r>
          </w:p>
        </w:tc>
        <w:tc>
          <w:tcPr>
            <w:tcW w:type="dxa" w:w="7272"/>
          </w:tcPr>
          <w:p>
            <w:r>
              <w:rPr>
                <w:sz w:val="19"/>
              </w:rPr>
            </w:r>
            <w:r>
              <w:rPr>
                <w:sz w:val="19"/>
              </w:rPr>
              <w:t>Amend §15.1: delete "Internet backbone or telecommunications failures caused by third-party providers, or the unavailability or failure of third-party hosting or cloud infrastructure services." Add: "Force Majeure Events shall not include: (i) failure to maintain adequate disaster recovery, business continuity or geographically redundant infrastructure; (ii) failures of Cloudvance's Subcontractors, hosting providers (including Stratos) or cloud infrastructure providers, unless the failure itself results directly from an event that would qualify as a Force Majeure Event; (iii) software bugs, defects, coding errors or capacity limitations; or (iv) power, network or equipment failures affecting only Cloudvance's or its Subcontractors' facilities. Cloudvance may rely on this Section only if it promptly activates its disaster recovery and business continuity plans." Add a right for Customer to terminate without fee if a force majeure event affecting the Platform continues for more than 15 consecutive days (recommended), and a pro-rata fee abatement while performance is suspended.</w:t>
            </w:r>
          </w:p>
        </w:tc>
      </w:tr>
      <w:tr>
        <w:tc>
          <w:tcPr>
            <w:tcW w:type="dxa" w:w="2088"/>
            <w:shd w:val="clear" w:color="auto" w:fill="DCE6F1"/>
          </w:tcPr>
          <w:p>
            <w:r/>
            <w:r>
              <w:rPr>
                <w:b/>
                <w:sz w:val="19"/>
              </w:rPr>
              <w:t>Negotiation position</w:t>
            </w:r>
          </w:p>
        </w:tc>
        <w:tc>
          <w:tcPr>
            <w:tcW w:type="dxa" w:w="7272"/>
          </w:tcPr>
          <w:p>
            <w:r>
              <w:rPr>
                <w:sz w:val="19"/>
              </w:rPr>
            </w:r>
            <w:r>
              <w:rPr>
                <w:sz w:val="19"/>
              </w:rPr>
              <w:t>Must-have for the subcontractor and hosting carve-back, which the SLS requires. The 15-day termination trigger and fee abatement are our recommendations rather than SLS requirements, so they can be traded.</w:t>
            </w:r>
          </w:p>
        </w:tc>
      </w:tr>
    </w:tbl>
    <w:p>
      <w:pPr>
        <w:spacing w:after="40"/>
      </w:pPr>
    </w:p>
    <w:p>
      <w:pPr>
        <w:pStyle w:val="Heading3"/>
      </w:pPr>
      <w:r>
        <w:t>A-7  Uptime reporting and transparency</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9"/>
              </w:rPr>
              <w:t>Risk rating</w:t>
            </w:r>
          </w:p>
        </w:tc>
        <w:tc>
          <w:tcPr>
            <w:tcW w:type="dxa" w:w="7272"/>
          </w:tcPr>
          <w:p>
            <w:r>
              <w:rPr>
                <w:b/>
                <w:color w:val="BF8F00"/>
                <w:sz w:val="19"/>
              </w:rPr>
            </w:r>
            <w:r>
              <w:rPr>
                <w:b/>
                <w:color w:val="BF8F00"/>
                <w:sz w:val="19"/>
              </w:rPr>
              <w:t>Medium</w:t>
            </w:r>
          </w:p>
        </w:tc>
      </w:tr>
      <w:tr>
        <w:tc>
          <w:tcPr>
            <w:tcW w:type="dxa" w:w="2088"/>
            <w:shd w:val="clear" w:color="auto" w:fill="DCE6F1"/>
          </w:tcPr>
          <w:p>
            <w:r/>
            <w:r>
              <w:rPr>
                <w:b/>
                <w:sz w:val="19"/>
              </w:rPr>
              <w:t>SLS v4.2 requirement</w:t>
            </w:r>
          </w:p>
        </w:tc>
        <w:tc>
          <w:tcPr>
            <w:tcW w:type="dxa" w:w="7272"/>
          </w:tcPr>
          <w:p>
            <w:r>
              <w:rPr>
                <w:sz w:val="19"/>
              </w:rPr>
            </w:r>
            <w:r>
              <w:rPr>
                <w:sz w:val="19"/>
              </w:rPr>
              <w:t xml:space="preserve">SLS §3.1: a </w:t>
            </w:r>
            <w:r>
              <w:rPr>
                <w:b/>
                <w:sz w:val="19"/>
              </w:rPr>
              <w:t>real-time availability dashboard</w:t>
            </w:r>
            <w:r>
              <w:rPr>
                <w:sz w:val="19"/>
              </w:rPr>
              <w:t xml:space="preserve">, and monthly reports to the VP of IT Procurement and CISO within </w:t>
            </w:r>
            <w:r>
              <w:rPr>
                <w:b/>
                <w:sz w:val="19"/>
              </w:rPr>
              <w:t>5 business days</w:t>
            </w:r>
            <w:r>
              <w:rPr>
                <w:sz w:val="19"/>
              </w:rPr>
              <w:t xml:space="preserve"> of month-end. Reports must include a downtime log (start and end time, duration, root cause, resolution), a maintenance summary and the </w:t>
            </w:r>
            <w:r>
              <w:rPr>
                <w:b/>
                <w:sz w:val="19"/>
              </w:rPr>
              <w:t>service credit calculation</w:t>
            </w:r>
            <w:r>
              <w:rPr>
                <w:sz w:val="19"/>
              </w:rPr>
              <w:t>.</w:t>
            </w:r>
          </w:p>
        </w:tc>
      </w:tr>
      <w:tr>
        <w:tc>
          <w:tcPr>
            <w:tcW w:type="dxa" w:w="2088"/>
            <w:shd w:val="clear" w:color="auto" w:fill="DCE6F1"/>
          </w:tcPr>
          <w:p>
            <w:r/>
            <w:r>
              <w:rPr>
                <w:b/>
                <w:sz w:val="19"/>
              </w:rPr>
              <w:t>Agreement provision</w:t>
            </w:r>
          </w:p>
        </w:tc>
        <w:tc>
          <w:tcPr>
            <w:tcW w:type="dxa" w:w="7272"/>
          </w:tcPr>
          <w:p>
            <w:r>
              <w:rPr>
                <w:sz w:val="19"/>
              </w:rPr>
            </w:r>
            <w:r>
              <w:rPr>
                <w:sz w:val="19"/>
              </w:rPr>
              <w:t xml:space="preserve">Ex. C §C.9: monthly report within </w:t>
            </w:r>
            <w:r>
              <w:rPr>
                <w:b/>
                <w:sz w:val="19"/>
              </w:rPr>
              <w:t>15 business days</w:t>
            </w:r>
            <w:r>
              <w:rPr>
                <w:sz w:val="19"/>
              </w:rPr>
              <w:t>, covering total uptime, unplanned downtime minutes with incident descriptions, maintenance hours, and a summary of Critical and Major incidents with root cause analysis for Critical incidents only. No dashboard. No service credit calculation, which Meridian must instead claim itself under §C.6.</w:t>
            </w:r>
          </w:p>
        </w:tc>
      </w:tr>
      <w:tr>
        <w:tc>
          <w:tcPr>
            <w:tcW w:type="dxa" w:w="2088"/>
            <w:shd w:val="clear" w:color="auto" w:fill="DCE6F1"/>
          </w:tcPr>
          <w:p>
            <w:r/>
            <w:r>
              <w:rPr>
                <w:b/>
                <w:sz w:val="19"/>
              </w:rPr>
              <w:t>Gap / analysis</w:t>
            </w:r>
          </w:p>
        </w:tc>
        <w:tc>
          <w:tcPr>
            <w:tcW w:type="dxa" w:w="7272"/>
          </w:tcPr>
          <w:p>
            <w:r>
              <w:rPr>
                <w:sz w:val="19"/>
              </w:rPr>
            </w:r>
            <w:r>
              <w:rPr>
                <w:sz w:val="19"/>
              </w:rPr>
              <w:t>The report comes three times later than the SLS requires and leaves out the elements needed to check performance and credits. Without a dashboard, Meridian cannot verify Cloudvance's self-measured uptime.</w:t>
            </w:r>
          </w:p>
        </w:tc>
      </w:tr>
      <w:tr>
        <w:tc>
          <w:tcPr>
            <w:tcW w:type="dxa" w:w="2088"/>
            <w:shd w:val="clear" w:color="auto" w:fill="DCE6F1"/>
          </w:tcPr>
          <w:p>
            <w:r/>
            <w:r>
              <w:rPr>
                <w:b/>
                <w:sz w:val="19"/>
              </w:rPr>
              <w:t>Recommended redline</w:t>
            </w:r>
          </w:p>
        </w:tc>
        <w:tc>
          <w:tcPr>
            <w:tcW w:type="dxa" w:w="7272"/>
          </w:tcPr>
          <w:p>
            <w:r>
              <w:rPr>
                <w:sz w:val="19"/>
              </w:rPr>
            </w:r>
            <w:r>
              <w:rPr>
                <w:sz w:val="19"/>
              </w:rPr>
              <w:t>Amend §C.9: report due within five (5) business days to Customer's VP of IT Procurement and CISO. Add start and end times, duration, root cause and resolution for every downtime event, and Cloudvance's calculation of Service Credits owed. Add: "Cloudvance shall provide designated Customer personnel with 24/7 access to a real-time availability dashboard for the Platform."</w:t>
            </w:r>
          </w:p>
        </w:tc>
      </w:tr>
      <w:tr>
        <w:tc>
          <w:tcPr>
            <w:tcW w:type="dxa" w:w="2088"/>
            <w:shd w:val="clear" w:color="auto" w:fill="DCE6F1"/>
          </w:tcPr>
          <w:p>
            <w:r/>
            <w:r>
              <w:rPr>
                <w:b/>
                <w:sz w:val="19"/>
              </w:rPr>
              <w:t>Negotiation position</w:t>
            </w:r>
          </w:p>
        </w:tc>
        <w:tc>
          <w:tcPr>
            <w:tcW w:type="dxa" w:w="7272"/>
          </w:tcPr>
          <w:p>
            <w:r>
              <w:rPr>
                <w:sz w:val="19"/>
              </w:rPr>
            </w:r>
            <w:r>
              <w:rPr>
                <w:sz w:val="19"/>
              </w:rPr>
              <w:t>Should-have. These items are inexpensive for Cloudvance to provide and are likely to be conceded.</w:t>
            </w:r>
          </w:p>
        </w:tc>
      </w:tr>
    </w:tbl>
    <w:p>
      <w:pPr>
        <w:spacing w:after="40"/>
      </w:pPr>
    </w:p>
    <w:p>
      <w:pPr>
        <w:pStyle w:val="Heading2"/>
      </w:pPr>
      <w:r>
        <w:t>2. Service Credits and SLA Remedies (SLS §4; Ex. C §§C.4-C.6; MSA §§8.2, 10.3, 11.4)</w:t>
      </w:r>
    </w:p>
    <w:p>
      <w:pPr>
        <w:pStyle w:val="Heading3"/>
      </w:pPr>
      <w:r>
        <w:t>B-1  Service credit formula and cap: tiered 5/10/15% capped at $85,500 per month versus 10% per 0.1% uncapped</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9"/>
              </w:rPr>
              <w:t>Risk rating</w:t>
            </w:r>
          </w:p>
        </w:tc>
        <w:tc>
          <w:tcPr>
            <w:tcW w:type="dxa" w:w="7272"/>
          </w:tcPr>
          <w:p>
            <w:r>
              <w:rPr>
                <w:b/>
                <w:color w:val="C00000"/>
                <w:sz w:val="19"/>
              </w:rPr>
            </w:r>
            <w:r>
              <w:rPr>
                <w:b/>
                <w:color w:val="C00000"/>
                <w:sz w:val="19"/>
              </w:rPr>
              <w:t>Critical</w:t>
            </w:r>
          </w:p>
        </w:tc>
      </w:tr>
      <w:tr>
        <w:tc>
          <w:tcPr>
            <w:tcW w:type="dxa" w:w="2088"/>
            <w:shd w:val="clear" w:color="auto" w:fill="DCE6F1"/>
          </w:tcPr>
          <w:p>
            <w:r/>
            <w:r>
              <w:rPr>
                <w:b/>
                <w:sz w:val="19"/>
              </w:rPr>
              <w:t>SLS v4.2 requirement</w:t>
            </w:r>
          </w:p>
        </w:tc>
        <w:tc>
          <w:tcPr>
            <w:tcW w:type="dxa" w:w="7272"/>
          </w:tcPr>
          <w:p>
            <w:r>
              <w:rPr>
                <w:sz w:val="19"/>
              </w:rPr>
            </w:r>
            <w:r>
              <w:rPr>
                <w:sz w:val="19"/>
              </w:rPr>
              <w:t xml:space="preserve">SLS §4.1: </w:t>
            </w:r>
            <w:r>
              <w:rPr>
                <w:b/>
                <w:sz w:val="19"/>
              </w:rPr>
              <w:t>10% of the monthly fee for each 0.1 percentage point</w:t>
            </w:r>
            <w:r>
              <w:rPr>
                <w:sz w:val="19"/>
              </w:rPr>
              <w:t xml:space="preserve"> (or fraction thereof) of shortfall below the tier target, beginning at 99.94% for Tier 1. </w:t>
            </w:r>
            <w:r>
              <w:rPr>
                <w:b/>
                <w:sz w:val="19"/>
              </w:rPr>
              <w:t>No cap</w:t>
            </w:r>
            <w:r>
              <w:rPr>
                <w:sz w:val="19"/>
              </w:rPr>
              <w:t xml:space="preserve"> of any kind. Credits may exceed 100% of the monthly fee.</w:t>
            </w:r>
          </w:p>
        </w:tc>
      </w:tr>
      <w:tr>
        <w:tc>
          <w:tcPr>
            <w:tcW w:type="dxa" w:w="2088"/>
            <w:shd w:val="clear" w:color="auto" w:fill="DCE6F1"/>
          </w:tcPr>
          <w:p>
            <w:r/>
            <w:r>
              <w:rPr>
                <w:b/>
                <w:sz w:val="19"/>
              </w:rPr>
              <w:t>Agreement provision</w:t>
            </w:r>
          </w:p>
        </w:tc>
        <w:tc>
          <w:tcPr>
            <w:tcW w:type="dxa" w:w="7272"/>
          </w:tcPr>
          <w:p>
            <w:r>
              <w:rPr>
                <w:sz w:val="19"/>
              </w:rPr>
            </w:r>
            <w:r>
              <w:rPr>
                <w:sz w:val="19"/>
              </w:rPr>
              <w:t>Ex. C §C.4: credits start only below 99.5%. The tiers are 5% ($28,500) for 99.0% to just under 99.5%, 10% ($57,000) for 98.0% to just under 99.0%, and 15% ($85,500) below 98.0%. Credits are capped at 15% of the $570,000 Monthly Subscription Fee ($85,500 per month).</w:t>
            </w:r>
          </w:p>
        </w:tc>
      </w:tr>
      <w:tr>
        <w:tc>
          <w:tcPr>
            <w:tcW w:type="dxa" w:w="2088"/>
            <w:shd w:val="clear" w:color="auto" w:fill="DCE6F1"/>
          </w:tcPr>
          <w:p>
            <w:r/>
            <w:r>
              <w:rPr>
                <w:b/>
                <w:sz w:val="19"/>
              </w:rPr>
              <w:t>Gap / analysis</w:t>
            </w:r>
          </w:p>
        </w:tc>
        <w:tc>
          <w:tcPr>
            <w:tcW w:type="dxa" w:w="7272"/>
          </w:tcPr>
          <w:p>
            <w:r>
              <w:rPr>
                <w:sz w:val="19"/>
              </w:rPr>
            </w:r>
            <w:r>
              <w:rPr>
                <w:sz w:val="19"/>
              </w:rPr>
              <w:t>The credits are too small to change Cloudvance's behavior. The maximum annual exposure is $1,026,000, which is 15% of the annual Subscription Fee and about 2.7% of the $38.7M contract value, even if the Platform were down for most of every month. See the comparison table in Appendix A. For example, at 99.0% uptime Meridian would receive $28,500 under the Agreement, compared with $570,000 (100% of the monthly fee) under the SLS. At 97.0% the figures are $85,500 and $1,710,000.</w:t>
            </w:r>
          </w:p>
          <w:p>
            <w:r>
              <w:rPr>
                <w:sz w:val="19"/>
              </w:rPr>
              <w:t xml:space="preserve">Because the trigger is 99.5%, Meridian receives </w:t>
            </w:r>
            <w:r>
              <w:rPr>
                <w:b/>
                <w:sz w:val="19"/>
              </w:rPr>
              <w:t>no credit at all</w:t>
            </w:r>
            <w:r>
              <w:rPr>
                <w:sz w:val="19"/>
              </w:rPr>
              <w:t xml:space="preserve"> for months between 99.5% and 99.94%. The SLS treats every one of those months as a credit event worth 10% to 50% of the monthly fee.</w:t>
            </w:r>
          </w:p>
          <w:p>
            <w:r>
              <w:rPr>
                <w:b/>
                <w:sz w:val="19"/>
              </w:rPr>
              <w:t>Note on an internal SLS inconsistency.</w:t>
            </w:r>
            <w:r>
              <w:rPr>
                <w:sz w:val="19"/>
              </w:rPr>
              <w:t xml:space="preserve"> SLS §4.1 says credits accrue "at the first percentage point below" target, but its own example and Appendix B say credits begin at 99.94%. We have read the SLS as intending the 99.94% trigger, which is what the worked examples show, and the redline below says so expressly. We recommend correcting the wording in the next SLS revision.</w:t>
            </w:r>
          </w:p>
        </w:tc>
      </w:tr>
      <w:tr>
        <w:tc>
          <w:tcPr>
            <w:tcW w:type="dxa" w:w="2088"/>
            <w:shd w:val="clear" w:color="auto" w:fill="DCE6F1"/>
          </w:tcPr>
          <w:p>
            <w:r/>
            <w:r>
              <w:rPr>
                <w:b/>
                <w:sz w:val="19"/>
              </w:rPr>
              <w:t>Recommended redline</w:t>
            </w:r>
          </w:p>
        </w:tc>
        <w:tc>
          <w:tcPr>
            <w:tcW w:type="dxa" w:w="7272"/>
          </w:tcPr>
          <w:p>
            <w:r>
              <w:rPr>
                <w:sz w:val="19"/>
              </w:rPr>
            </w:r>
            <w:r>
              <w:rPr>
                <w:sz w:val="19"/>
              </w:rPr>
              <w:t xml:space="preserve">Replace §C.4 table and cap: "For each one-tenth of one percentage point (0.1%), or fraction thereof, by which Monthly Uptime falls below 99.95%, Cloudvance shall credit Customer an amount equal to ten percent (10%) of the Monthly Subscription Fee. By way of example, Monthly Uptime of 99.94% yields a Service Credit of 10%, and Monthly Uptime of 99.70% yields a Service Credit of 30%. </w:t>
            </w:r>
            <w:r>
              <w:rPr>
                <w:b/>
                <w:sz w:val="19"/>
              </w:rPr>
              <w:t>Service Credits are not subject to any cap</w:t>
            </w:r>
            <w:r>
              <w:rPr>
                <w:sz w:val="19"/>
              </w:rPr>
              <w:t xml:space="preserve"> and may equal or exceed one hundred percent (100%) of the Monthly Subscription Fee." Delete the sentence beginning "Service Credits in any single calendar month shall not exceed."</w:t>
            </w:r>
          </w:p>
        </w:tc>
      </w:tr>
      <w:tr>
        <w:tc>
          <w:tcPr>
            <w:tcW w:type="dxa" w:w="2088"/>
            <w:shd w:val="clear" w:color="auto" w:fill="DCE6F1"/>
          </w:tcPr>
          <w:p>
            <w:r/>
            <w:r>
              <w:rPr>
                <w:b/>
                <w:sz w:val="19"/>
              </w:rPr>
              <w:t>Negotiation position</w:t>
            </w:r>
          </w:p>
        </w:tc>
        <w:tc>
          <w:tcPr>
            <w:tcW w:type="dxa" w:w="7272"/>
          </w:tcPr>
          <w:p>
            <w:r>
              <w:rPr>
                <w:sz w:val="19"/>
              </w:rPr>
            </w:r>
            <w:r>
              <w:rPr>
                <w:sz w:val="19"/>
              </w:rPr>
              <w:t>Must-have under SLS §4.1, and the direct answer to Marcus Ellison's question whether the credits "give us any real teeth": as drafted, they do not. Expect strong resistance to removing the cap. Any cap at all would be an SLS deviation requiring CISO and VP approval, and would need compensating protections such as the chronic-failure termination right and actual-damages recovery (B-3 and B-4).</w:t>
            </w:r>
          </w:p>
        </w:tc>
      </w:tr>
    </w:tbl>
    <w:p>
      <w:pPr>
        <w:spacing w:after="40"/>
      </w:pPr>
    </w:p>
    <w:p>
      <w:pPr>
        <w:pStyle w:val="Heading3"/>
      </w:pPr>
      <w:r>
        <w:t>B-2  Credit mechanics: claim-or-waive, credit only (no cash), forfeited on termination</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9"/>
              </w:rPr>
              <w:t>Risk rating</w:t>
            </w:r>
          </w:p>
        </w:tc>
        <w:tc>
          <w:tcPr>
            <w:tcW w:type="dxa" w:w="7272"/>
          </w:tcPr>
          <w:p>
            <w:r>
              <w:rPr>
                <w:b/>
                <w:color w:val="E26B0A"/>
                <w:sz w:val="19"/>
              </w:rPr>
            </w:r>
            <w:r>
              <w:rPr>
                <w:b/>
                <w:color w:val="E26B0A"/>
                <w:sz w:val="19"/>
              </w:rPr>
              <w:t>High</w:t>
            </w:r>
          </w:p>
        </w:tc>
      </w:tr>
      <w:tr>
        <w:tc>
          <w:tcPr>
            <w:tcW w:type="dxa" w:w="2088"/>
            <w:shd w:val="clear" w:color="auto" w:fill="DCE6F1"/>
          </w:tcPr>
          <w:p>
            <w:r/>
            <w:r>
              <w:rPr>
                <w:b/>
                <w:sz w:val="19"/>
              </w:rPr>
              <w:t>SLS v4.2 requirement</w:t>
            </w:r>
          </w:p>
        </w:tc>
        <w:tc>
          <w:tcPr>
            <w:tcW w:type="dxa" w:w="7272"/>
          </w:tcPr>
          <w:p>
            <w:r>
              <w:rPr>
                <w:sz w:val="19"/>
              </w:rPr>
            </w:r>
            <w:r>
              <w:rPr>
                <w:sz w:val="19"/>
              </w:rPr>
              <w:t xml:space="preserve">SLS §4.2: the </w:t>
            </w:r>
            <w:r>
              <w:rPr>
                <w:b/>
                <w:sz w:val="19"/>
              </w:rPr>
              <w:t>vendor calculates</w:t>
            </w:r>
            <w:r>
              <w:rPr>
                <w:sz w:val="19"/>
              </w:rPr>
              <w:t xml:space="preserve"> credits in its monthly report. Meridian elects between an invoice credit and a </w:t>
            </w:r>
            <w:r>
              <w:rPr>
                <w:b/>
                <w:sz w:val="19"/>
              </w:rPr>
              <w:t>cash refund within 30 days</w:t>
            </w:r>
            <w:r>
              <w:rPr>
                <w:sz w:val="19"/>
              </w:rPr>
              <w:t xml:space="preserve">. Accrued credits </w:t>
            </w:r>
            <w:r>
              <w:rPr>
                <w:b/>
                <w:sz w:val="19"/>
              </w:rPr>
              <w:t>survive</w:t>
            </w:r>
            <w:r>
              <w:rPr>
                <w:sz w:val="19"/>
              </w:rPr>
              <w:t xml:space="preserve"> termination and are </w:t>
            </w:r>
            <w:r>
              <w:rPr>
                <w:b/>
                <w:sz w:val="19"/>
              </w:rPr>
              <w:t>payable in cash within 30 days</w:t>
            </w:r>
            <w:r>
              <w:rPr>
                <w:sz w:val="19"/>
              </w:rPr>
              <w:t>. SLS §4.4: three-level escalation for disputes, with disputed amounts held in escrow or provisionally credited at Meridian's election.</w:t>
            </w:r>
          </w:p>
        </w:tc>
      </w:tr>
      <w:tr>
        <w:tc>
          <w:tcPr>
            <w:tcW w:type="dxa" w:w="2088"/>
            <w:shd w:val="clear" w:color="auto" w:fill="DCE6F1"/>
          </w:tcPr>
          <w:p>
            <w:r/>
            <w:r>
              <w:rPr>
                <w:b/>
                <w:sz w:val="19"/>
              </w:rPr>
              <w:t>Agreement provision</w:t>
            </w:r>
          </w:p>
        </w:tc>
        <w:tc>
          <w:tcPr>
            <w:tcW w:type="dxa" w:w="7272"/>
          </w:tcPr>
          <w:p>
            <w:r>
              <w:rPr>
                <w:sz w:val="19"/>
              </w:rPr>
            </w:r>
            <w:r>
              <w:rPr>
                <w:sz w:val="19"/>
              </w:rPr>
              <w:t xml:space="preserve">Ex. C §C.6: Meridian must submit a written request within 30 days of month-end identifying the specific dates and times of downtime, or it </w:t>
            </w:r>
            <w:r>
              <w:rPr>
                <w:b/>
                <w:sz w:val="19"/>
              </w:rPr>
              <w:t>waives</w:t>
            </w:r>
            <w:r>
              <w:rPr>
                <w:sz w:val="19"/>
              </w:rPr>
              <w:t xml:space="preserve"> the credit. Cloudvance then "confirms" the shortfall itself. §C.4: credits apply only against the next quarterly invoice, are "not redeemable for cash," and </w:t>
            </w:r>
            <w:r>
              <w:rPr>
                <w:b/>
                <w:sz w:val="19"/>
              </w:rPr>
              <w:t>any unapplied credits are forfeited</w:t>
            </w:r>
            <w:r>
              <w:rPr>
                <w:sz w:val="19"/>
              </w:rPr>
              <w:t xml:space="preserve"> on termination or expiration.</w:t>
            </w:r>
          </w:p>
        </w:tc>
      </w:tr>
      <w:tr>
        <w:tc>
          <w:tcPr>
            <w:tcW w:type="dxa" w:w="2088"/>
            <w:shd w:val="clear" w:color="auto" w:fill="DCE6F1"/>
          </w:tcPr>
          <w:p>
            <w:r/>
            <w:r>
              <w:rPr>
                <w:b/>
                <w:sz w:val="19"/>
              </w:rPr>
              <w:t>Gap / analysis</w:t>
            </w:r>
          </w:p>
        </w:tc>
        <w:tc>
          <w:tcPr>
            <w:tcW w:type="dxa" w:w="7272"/>
          </w:tcPr>
          <w:p>
            <w:r>
              <w:rPr>
                <w:sz w:val="19"/>
              </w:rPr>
            </w:r>
            <w:r>
              <w:rPr>
                <w:sz w:val="19"/>
              </w:rPr>
              <w:t>Meridian carries the burden of proving outages that only Cloudvance can measure, under a 30-day waiver deadline. Cloudvance decides the result, and there is no dispute mechanism. Forfeiture on termination means credits disappear when they matter most, for example after a termination for poor performance or in the final quarter of the term.</w:t>
            </w:r>
          </w:p>
        </w:tc>
      </w:tr>
      <w:tr>
        <w:tc>
          <w:tcPr>
            <w:tcW w:type="dxa" w:w="2088"/>
            <w:shd w:val="clear" w:color="auto" w:fill="DCE6F1"/>
          </w:tcPr>
          <w:p>
            <w:r/>
            <w:r>
              <w:rPr>
                <w:b/>
                <w:sz w:val="19"/>
              </w:rPr>
              <w:t>Recommended redline</w:t>
            </w:r>
          </w:p>
        </w:tc>
        <w:tc>
          <w:tcPr>
            <w:tcW w:type="dxa" w:w="7272"/>
          </w:tcPr>
          <w:p>
            <w:r>
              <w:rPr>
                <w:sz w:val="19"/>
              </w:rPr>
            </w:r>
            <w:r>
              <w:rPr>
                <w:sz w:val="19"/>
              </w:rPr>
              <w:t>Replace §C.6: "Cloudvance shall calculate all Service Credits owed and report them in the monthly report under Section C.9. Service Credits accrue automatically and do not require a request from Customer. At Customer's election, Service Credits shall be applied against the next invoice or paid in cash within thirty (30) days of Customer's request. Accrued Service Credits survive termination or expiration and shall be paid in cash within thirty (30) days thereafter." Add the SLS §4.4 escalation ladder (account manager, 5 business days; VP level, 10 business days; General Counsel, 30 days), with disputed amounts escrowed or provisionally credited at Customer's election.</w:t>
            </w:r>
          </w:p>
        </w:tc>
      </w:tr>
      <w:tr>
        <w:tc>
          <w:tcPr>
            <w:tcW w:type="dxa" w:w="2088"/>
            <w:shd w:val="clear" w:color="auto" w:fill="DCE6F1"/>
          </w:tcPr>
          <w:p>
            <w:r/>
            <w:r>
              <w:rPr>
                <w:b/>
                <w:sz w:val="19"/>
              </w:rPr>
              <w:t>Negotiation position</w:t>
            </w:r>
          </w:p>
        </w:tc>
        <w:tc>
          <w:tcPr>
            <w:tcW w:type="dxa" w:w="7272"/>
          </w:tcPr>
          <w:p>
            <w:r>
              <w:rPr>
                <w:sz w:val="19"/>
              </w:rPr>
            </w:r>
            <w:r>
              <w:rPr>
                <w:sz w:val="19"/>
              </w:rPr>
              <w:t>Must-have. The current waiver and forfeiture terms should not survive any version of the Agreement.</w:t>
            </w:r>
          </w:p>
        </w:tc>
      </w:tr>
    </w:tbl>
    <w:p>
      <w:pPr>
        <w:spacing w:after="40"/>
      </w:pPr>
    </w:p>
    <w:p>
      <w:pPr>
        <w:pStyle w:val="Heading3"/>
      </w:pPr>
      <w:r>
        <w:t>B-3  "Sole and exclusive remedy" clause for uptime failures</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9"/>
              </w:rPr>
              <w:t>Risk rating</w:t>
            </w:r>
          </w:p>
        </w:tc>
        <w:tc>
          <w:tcPr>
            <w:tcW w:type="dxa" w:w="7272"/>
          </w:tcPr>
          <w:p>
            <w:r>
              <w:rPr>
                <w:b/>
                <w:color w:val="C00000"/>
                <w:sz w:val="19"/>
              </w:rPr>
            </w:r>
            <w:r>
              <w:rPr>
                <w:b/>
                <w:color w:val="C00000"/>
                <w:sz w:val="19"/>
              </w:rPr>
              <w:t>Critical</w:t>
            </w:r>
          </w:p>
        </w:tc>
      </w:tr>
      <w:tr>
        <w:tc>
          <w:tcPr>
            <w:tcW w:type="dxa" w:w="2088"/>
            <w:shd w:val="clear" w:color="auto" w:fill="DCE6F1"/>
          </w:tcPr>
          <w:p>
            <w:r/>
            <w:r>
              <w:rPr>
                <w:b/>
                <w:sz w:val="19"/>
              </w:rPr>
              <w:t>SLS v4.2 requirement</w:t>
            </w:r>
          </w:p>
        </w:tc>
        <w:tc>
          <w:tcPr>
            <w:tcW w:type="dxa" w:w="7272"/>
          </w:tcPr>
          <w:p>
            <w:r>
              <w:rPr>
                <w:sz w:val="19"/>
              </w:rPr>
            </w:r>
            <w:r>
              <w:rPr>
                <w:sz w:val="19"/>
              </w:rPr>
              <w:t xml:space="preserve">SLS §4.3: service credits shall </w:t>
            </w:r>
            <w:r>
              <w:rPr>
                <w:b/>
                <w:sz w:val="19"/>
              </w:rPr>
              <w:t>not</w:t>
            </w:r>
            <w:r>
              <w:rPr>
                <w:sz w:val="19"/>
              </w:rPr>
              <w:t xml:space="preserve"> be the sole or exclusive remedy. Any agreement with such language "</w:t>
            </w:r>
            <w:r>
              <w:rPr>
                <w:b/>
                <w:sz w:val="19"/>
              </w:rPr>
              <w:t>shall be rejected</w:t>
            </w:r>
            <w:r>
              <w:rPr>
                <w:sz w:val="19"/>
              </w:rPr>
              <w:t xml:space="preserve"> by the Office of IT Procurement and returned to the vendor for revision before further negotiation." Meridian keeps all remedies at law and in equity, including actual damages.</w:t>
            </w:r>
          </w:p>
        </w:tc>
      </w:tr>
      <w:tr>
        <w:tc>
          <w:tcPr>
            <w:tcW w:type="dxa" w:w="2088"/>
            <w:shd w:val="clear" w:color="auto" w:fill="DCE6F1"/>
          </w:tcPr>
          <w:p>
            <w:r/>
            <w:r>
              <w:rPr>
                <w:b/>
                <w:sz w:val="19"/>
              </w:rPr>
              <w:t>Agreement provision</w:t>
            </w:r>
          </w:p>
        </w:tc>
        <w:tc>
          <w:tcPr>
            <w:tcW w:type="dxa" w:w="7272"/>
          </w:tcPr>
          <w:p>
            <w:r>
              <w:rPr>
                <w:sz w:val="19"/>
              </w:rPr>
            </w:r>
            <w:r>
              <w:rPr>
                <w:sz w:val="19"/>
              </w:rPr>
              <w:t>Ex. C §C.5 (all caps): Service Credits are "CUSTOMER'S SOLE AND EXCLUSIVE REMEDY, AND CLOUDVANCE'S ENTIRE LIABILITY" for uptime failures, and Meridian acknowledges that they are a "fair and reasonable estimate" of its damages. §10.3 applies the liability cap to the SLA. §8.2 also makes repair efforts the sole remedy for breach of the performance warranty.</w:t>
            </w:r>
          </w:p>
        </w:tc>
      </w:tr>
      <w:tr>
        <w:tc>
          <w:tcPr>
            <w:tcW w:type="dxa" w:w="2088"/>
            <w:shd w:val="clear" w:color="auto" w:fill="DCE6F1"/>
          </w:tcPr>
          <w:p>
            <w:r/>
            <w:r>
              <w:rPr>
                <w:b/>
                <w:sz w:val="19"/>
              </w:rPr>
              <w:t>Gap / analysis</w:t>
            </w:r>
          </w:p>
        </w:tc>
        <w:tc>
          <w:tcPr>
            <w:tcW w:type="dxa" w:w="7272"/>
          </w:tcPr>
          <w:p>
            <w:r>
              <w:rPr>
                <w:sz w:val="19"/>
              </w:rPr>
            </w:r>
            <w:r>
              <w:rPr>
                <w:sz w:val="19"/>
              </w:rPr>
              <w:t>Combined with the cap in B-1, §C.5 limits Cloudvance's total exposure for chronic outages to $85,500 per month. The "fair and reasonable estimate" acknowledgment would also make it harder for Meridian later to argue that the clause is an unenforceable penalty or limitation. Under SLS §4.3 this is a gating issue. The draft should go back to Cloudvance before substantive negotiation continues.</w:t>
            </w:r>
          </w:p>
        </w:tc>
      </w:tr>
      <w:tr>
        <w:tc>
          <w:tcPr>
            <w:tcW w:type="dxa" w:w="2088"/>
            <w:shd w:val="clear" w:color="auto" w:fill="DCE6F1"/>
          </w:tcPr>
          <w:p>
            <w:r/>
            <w:r>
              <w:rPr>
                <w:b/>
                <w:sz w:val="19"/>
              </w:rPr>
              <w:t>Recommended redline</w:t>
            </w:r>
          </w:p>
        </w:tc>
        <w:tc>
          <w:tcPr>
            <w:tcW w:type="dxa" w:w="7272"/>
          </w:tcPr>
          <w:p>
            <w:r>
              <w:rPr>
                <w:sz w:val="19"/>
              </w:rPr>
            </w:r>
            <w:r>
              <w:rPr>
                <w:sz w:val="19"/>
              </w:rPr>
              <w:t>Delete §C.5 in its entirety and replace: "</w:t>
            </w:r>
            <w:r>
              <w:rPr>
                <w:b/>
                <w:sz w:val="19"/>
              </w:rPr>
              <w:t>Service Credits are a price adjustment reflecting the reduced value of the Services and are not Customer's sole or exclusive remedy.</w:t>
            </w:r>
            <w:r>
              <w:rPr>
                <w:sz w:val="19"/>
              </w:rPr>
              <w:t xml:space="preserve"> The issuance of Service Credits shall not limit Customer's right to recover actual damages or to exercise any other right or remedy under this Agreement, at law or in equity." In §8.2, delete the sole-and-exclusive-remedy sentence, or limit it so that it does not apply to SLA failures, data security failures or Tier 1 functionality.</w:t>
            </w:r>
          </w:p>
        </w:tc>
      </w:tr>
      <w:tr>
        <w:tc>
          <w:tcPr>
            <w:tcW w:type="dxa" w:w="2088"/>
            <w:shd w:val="clear" w:color="auto" w:fill="DCE6F1"/>
          </w:tcPr>
          <w:p>
            <w:r/>
            <w:r>
              <w:rPr>
                <w:b/>
                <w:sz w:val="19"/>
              </w:rPr>
              <w:t>Negotiation position</w:t>
            </w:r>
          </w:p>
        </w:tc>
        <w:tc>
          <w:tcPr>
            <w:tcW w:type="dxa" w:w="7272"/>
          </w:tcPr>
          <w:p>
            <w:r>
              <w:rPr>
                <w:sz w:val="19"/>
              </w:rPr>
            </w:r>
            <w:r>
              <w:rPr>
                <w:sz w:val="19"/>
              </w:rPr>
              <w:t>Gating and non-negotiable under SLS §4.3. We recommend raising this in the cover note to Cloudvance as a precondition to substantive negotiation.</w:t>
            </w:r>
          </w:p>
        </w:tc>
      </w:tr>
    </w:tbl>
    <w:p>
      <w:pPr>
        <w:spacing w:after="40"/>
      </w:pPr>
    </w:p>
    <w:p>
      <w:pPr>
        <w:pStyle w:val="Heading3"/>
      </w:pPr>
      <w:r>
        <w:t>B-4  No Chronic SLA Failure remedy, which §11.4 affirmatively forecloses</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9"/>
              </w:rPr>
              <w:t>Risk rating</w:t>
            </w:r>
          </w:p>
        </w:tc>
        <w:tc>
          <w:tcPr>
            <w:tcW w:type="dxa" w:w="7272"/>
          </w:tcPr>
          <w:p>
            <w:r>
              <w:rPr>
                <w:b/>
                <w:color w:val="C00000"/>
                <w:sz w:val="19"/>
              </w:rPr>
            </w:r>
            <w:r>
              <w:rPr>
                <w:b/>
                <w:color w:val="C00000"/>
                <w:sz w:val="19"/>
              </w:rPr>
              <w:t>Critical</w:t>
            </w:r>
          </w:p>
        </w:tc>
      </w:tr>
      <w:tr>
        <w:tc>
          <w:tcPr>
            <w:tcW w:type="dxa" w:w="2088"/>
            <w:shd w:val="clear" w:color="auto" w:fill="DCE6F1"/>
          </w:tcPr>
          <w:p>
            <w:r/>
            <w:r>
              <w:rPr>
                <w:b/>
                <w:sz w:val="19"/>
              </w:rPr>
              <w:t>SLS v4.2 requirement</w:t>
            </w:r>
          </w:p>
        </w:tc>
        <w:tc>
          <w:tcPr>
            <w:tcW w:type="dxa" w:w="7272"/>
          </w:tcPr>
          <w:p>
            <w:r>
              <w:rPr>
                <w:sz w:val="19"/>
              </w:rPr>
            </w:r>
            <w:r>
              <w:rPr>
                <w:sz w:val="19"/>
              </w:rPr>
              <w:t xml:space="preserve">SLS §4.3 and §10.3: a failure to meet uptime, response or resolution commitments in </w:t>
            </w:r>
            <w:r>
              <w:rPr>
                <w:b/>
                <w:sz w:val="19"/>
              </w:rPr>
              <w:t>3 or more months within any rolling 6-month period</w:t>
            </w:r>
            <w:r>
              <w:rPr>
                <w:sz w:val="19"/>
              </w:rPr>
              <w:t xml:space="preserve"> gives Meridian the right to (a) actual damages, (b) </w:t>
            </w:r>
            <w:r>
              <w:rPr>
                <w:b/>
                <w:sz w:val="19"/>
              </w:rPr>
              <w:t>immediate termination with no cure period and no termination fee</w:t>
            </w:r>
            <w:r>
              <w:rPr>
                <w:sz w:val="19"/>
              </w:rPr>
              <w:t>, and (c) a vendor-funded remediation plan within 30 days. SLS §10.1 also treats failure to meet uptime commitments for 2 consecutive months as a material breach.</w:t>
            </w:r>
          </w:p>
        </w:tc>
      </w:tr>
      <w:tr>
        <w:tc>
          <w:tcPr>
            <w:tcW w:type="dxa" w:w="2088"/>
            <w:shd w:val="clear" w:color="auto" w:fill="DCE6F1"/>
          </w:tcPr>
          <w:p>
            <w:r/>
            <w:r>
              <w:rPr>
                <w:b/>
                <w:sz w:val="19"/>
              </w:rPr>
              <w:t>Agreement provision</w:t>
            </w:r>
          </w:p>
        </w:tc>
        <w:tc>
          <w:tcPr>
            <w:tcW w:type="dxa" w:w="7272"/>
          </w:tcPr>
          <w:p>
            <w:r>
              <w:rPr>
                <w:sz w:val="19"/>
              </w:rPr>
            </w:r>
            <w:r>
              <w:rPr>
                <w:sz w:val="19"/>
              </w:rPr>
              <w:t>The Agreement does not address chronic failure. §11.4 states that, other than §§11.2 and 11.3, "neither Party shall have the right to terminate" and "[n]o other termination rights, whether arising by operation of law or otherwise, are available."</w:t>
            </w:r>
          </w:p>
        </w:tc>
      </w:tr>
      <w:tr>
        <w:tc>
          <w:tcPr>
            <w:tcW w:type="dxa" w:w="2088"/>
            <w:shd w:val="clear" w:color="auto" w:fill="DCE6F1"/>
          </w:tcPr>
          <w:p>
            <w:r/>
            <w:r>
              <w:rPr>
                <w:b/>
                <w:sz w:val="19"/>
              </w:rPr>
              <w:t>Gap / analysis</w:t>
            </w:r>
          </w:p>
        </w:tc>
        <w:tc>
          <w:tcPr>
            <w:tcW w:type="dxa" w:w="7272"/>
          </w:tcPr>
          <w:p>
            <w:r>
              <w:rPr>
                <w:sz w:val="19"/>
              </w:rPr>
            </w:r>
            <w:r>
              <w:rPr>
                <w:sz w:val="19"/>
              </w:rPr>
              <w:t>If the Platform misses its SLA every month, Meridian's only exits are (i) a §11.2 for-cause termination with a 60-day cure period, which Cloudvance can defeat by curing each month's failure, and which may be blocked entirely by the efforts-based standard in §C.1 and the non-binding targets in §C.7; or (ii) a §11.3 convenience termination with a fee. This is a significant structural risk given that Meridian has no fallback once LegacyMed expires.</w:t>
            </w:r>
          </w:p>
        </w:tc>
      </w:tr>
      <w:tr>
        <w:tc>
          <w:tcPr>
            <w:tcW w:type="dxa" w:w="2088"/>
            <w:shd w:val="clear" w:color="auto" w:fill="DCE6F1"/>
          </w:tcPr>
          <w:p>
            <w:r/>
            <w:r>
              <w:rPr>
                <w:b/>
                <w:sz w:val="19"/>
              </w:rPr>
              <w:t>Recommended redline</w:t>
            </w:r>
          </w:p>
        </w:tc>
        <w:tc>
          <w:tcPr>
            <w:tcW w:type="dxa" w:w="7272"/>
          </w:tcPr>
          <w:p>
            <w:r>
              <w:rPr>
                <w:sz w:val="19"/>
              </w:rPr>
            </w:r>
            <w:r>
              <w:rPr>
                <w:sz w:val="19"/>
              </w:rPr>
              <w:t>Insert new §11.6: "</w:t>
            </w:r>
            <w:r>
              <w:rPr>
                <w:b/>
                <w:sz w:val="19"/>
              </w:rPr>
              <w:t>Chronic SLA Failure.</w:t>
            </w:r>
            <w:r>
              <w:rPr>
                <w:sz w:val="19"/>
              </w:rPr>
              <w:t xml:space="preserve"> If Cloudvance fails to meet the Monthly Uptime commitment or any incident response or resolution commitment in three (3) or more months within any rolling six (6)-month period, Customer may, in addition to Service Credits and any other remedy: (a) recover its actual damages, including costs of workarounds, lost revenue, regulatory penalties and costs associated with patient care disruption; (b) terminate this Agreement immediately upon written notice, without any cure period and without any termination fee; and/or (c) require Cloudvance to deliver within thirty (30) days, and implement at its sole cost, a remediation plan acceptable to Customer." Amend §11.2 to state that failure to meet Monthly Uptime in any two (2) consecutive months is a material breach. Amend §11.4 to preserve these rights.</w:t>
            </w:r>
          </w:p>
        </w:tc>
      </w:tr>
      <w:tr>
        <w:tc>
          <w:tcPr>
            <w:tcW w:type="dxa" w:w="2088"/>
            <w:shd w:val="clear" w:color="auto" w:fill="DCE6F1"/>
          </w:tcPr>
          <w:p>
            <w:r/>
            <w:r>
              <w:rPr>
                <w:b/>
                <w:sz w:val="19"/>
              </w:rPr>
              <w:t>Negotiation position</w:t>
            </w:r>
          </w:p>
        </w:tc>
        <w:tc>
          <w:tcPr>
            <w:tcW w:type="dxa" w:w="7272"/>
          </w:tcPr>
          <w:p>
            <w:r>
              <w:rPr>
                <w:sz w:val="19"/>
              </w:rPr>
            </w:r>
            <w:r>
              <w:rPr>
                <w:sz w:val="19"/>
              </w:rPr>
              <w:t>Must-have. In practice this matters more than the size of the credits because it gives Meridian a no-fee exit.</w:t>
            </w:r>
          </w:p>
        </w:tc>
      </w:tr>
    </w:tbl>
    <w:p>
      <w:pPr>
        <w:spacing w:after="40"/>
      </w:pPr>
    </w:p>
    <w:p>
      <w:pPr>
        <w:pStyle w:val="Heading2"/>
      </w:pPr>
      <w:r>
        <w:t>3. Incident Response and Severity Classification (SLS §5; Ex. C §§C.7-C.9; Ex. A §A.3)</w:t>
      </w:r>
    </w:p>
    <w:p>
      <w:pPr>
        <w:pStyle w:val="Heading3"/>
      </w:pPr>
      <w:r>
        <w:t>C-1  Severity model: three levels with narrow definitions versus the required four-tier model</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9"/>
              </w:rPr>
              <w:t>Risk rating</w:t>
            </w:r>
          </w:p>
        </w:tc>
        <w:tc>
          <w:tcPr>
            <w:tcW w:type="dxa" w:w="7272"/>
          </w:tcPr>
          <w:p>
            <w:r>
              <w:rPr>
                <w:b/>
                <w:color w:val="E26B0A"/>
                <w:sz w:val="19"/>
              </w:rPr>
            </w:r>
            <w:r>
              <w:rPr>
                <w:b/>
                <w:color w:val="E26B0A"/>
                <w:sz w:val="19"/>
              </w:rPr>
              <w:t>High</w:t>
            </w:r>
          </w:p>
        </w:tc>
      </w:tr>
      <w:tr>
        <w:tc>
          <w:tcPr>
            <w:tcW w:type="dxa" w:w="2088"/>
            <w:shd w:val="clear" w:color="auto" w:fill="DCE6F1"/>
          </w:tcPr>
          <w:p>
            <w:r/>
            <w:r>
              <w:rPr>
                <w:b/>
                <w:sz w:val="19"/>
              </w:rPr>
              <w:t>SLS v4.2 requirement</w:t>
            </w:r>
          </w:p>
        </w:tc>
        <w:tc>
          <w:tcPr>
            <w:tcW w:type="dxa" w:w="7272"/>
          </w:tcPr>
          <w:p>
            <w:r>
              <w:rPr>
                <w:sz w:val="19"/>
              </w:rPr>
            </w:r>
            <w:r>
              <w:rPr>
                <w:sz w:val="19"/>
              </w:rPr>
              <w:t xml:space="preserve">SLS §5.1: the four-tier model must be adopted </w:t>
            </w:r>
            <w:r>
              <w:rPr>
                <w:b/>
                <w:sz w:val="19"/>
              </w:rPr>
              <w:t>in its entirety</w:t>
            </w:r>
            <w:r>
              <w:rPr>
                <w:sz w:val="19"/>
              </w:rPr>
              <w:t xml:space="preserve">. </w:t>
            </w:r>
            <w:r>
              <w:rPr>
                <w:b/>
                <w:sz w:val="19"/>
              </w:rPr>
              <w:t>S1</w:t>
            </w:r>
            <w:r>
              <w:rPr>
                <w:sz w:val="19"/>
              </w:rPr>
              <w:t xml:space="preserve"> covers complete unavailability </w:t>
            </w:r>
            <w:r>
              <w:rPr>
                <w:b/>
                <w:sz w:val="19"/>
              </w:rPr>
              <w:t>or any actual or suspected compromise of PHI</w:t>
            </w:r>
            <w:r>
              <w:rPr>
                <w:sz w:val="19"/>
              </w:rPr>
              <w:t xml:space="preserve">, including ransomware, data corruption in clinical records and failure of DR or failover. </w:t>
            </w:r>
            <w:r>
              <w:rPr>
                <w:b/>
                <w:sz w:val="19"/>
              </w:rPr>
              <w:t>S2</w:t>
            </w:r>
            <w:r>
              <w:rPr>
                <w:sz w:val="19"/>
              </w:rPr>
              <w:t xml:space="preserve"> covers degradation that impairs patient care workflows, such as record access in ED, inpatient or surgical settings, CDS alert failure, medication workflows, lab results delivery, and portal outages over 30 minutes; anything affecting more than </w:t>
            </w:r>
            <w:r>
              <w:rPr>
                <w:b/>
                <w:sz w:val="19"/>
              </w:rPr>
              <w:t>10% of clinical users at any facility</w:t>
            </w:r>
            <w:r>
              <w:rPr>
                <w:sz w:val="19"/>
              </w:rPr>
              <w:t xml:space="preserve"> is presumptively S2. </w:t>
            </w:r>
            <w:r>
              <w:rPr>
                <w:b/>
                <w:sz w:val="19"/>
              </w:rPr>
              <w:t>S3</w:t>
            </w:r>
            <w:r>
              <w:rPr>
                <w:sz w:val="19"/>
              </w:rPr>
              <w:t xml:space="preserve"> covers administrative impairment and </w:t>
            </w:r>
            <w:r>
              <w:rPr>
                <w:b/>
                <w:sz w:val="19"/>
              </w:rPr>
              <w:t>S4</w:t>
            </w:r>
            <w:r>
              <w:rPr>
                <w:sz w:val="19"/>
              </w:rPr>
              <w:t xml:space="preserve"> covers cosmetic issues. </w:t>
            </w:r>
            <w:r>
              <w:rPr>
                <w:b/>
                <w:sz w:val="19"/>
              </w:rPr>
              <w:t>Meridian</w:t>
            </w:r>
            <w:r>
              <w:rPr>
                <w:sz w:val="19"/>
              </w:rPr>
              <w:t xml:space="preserve"> may reclassify upward.</w:t>
            </w:r>
          </w:p>
        </w:tc>
      </w:tr>
      <w:tr>
        <w:tc>
          <w:tcPr>
            <w:tcW w:type="dxa" w:w="2088"/>
            <w:shd w:val="clear" w:color="auto" w:fill="DCE6F1"/>
          </w:tcPr>
          <w:p>
            <w:r/>
            <w:r>
              <w:rPr>
                <w:b/>
                <w:sz w:val="19"/>
              </w:rPr>
              <w:t>Agreement provision</w:t>
            </w:r>
          </w:p>
        </w:tc>
        <w:tc>
          <w:tcPr>
            <w:tcW w:type="dxa" w:w="7272"/>
          </w:tcPr>
          <w:p>
            <w:r>
              <w:rPr>
                <w:sz w:val="19"/>
              </w:rPr>
            </w:r>
            <w:r>
              <w:rPr>
                <w:sz w:val="19"/>
              </w:rPr>
              <w:t xml:space="preserve">Ex. C §C.7 has three levels. Critical covers complete or substantially complete unavailability "rendering the Platform inoperable for clinical use." Major covers degradation affecting </w:t>
            </w:r>
            <w:r>
              <w:rPr>
                <w:b/>
                <w:sz w:val="19"/>
              </w:rPr>
              <w:t>more than 25% of Authorized Users</w:t>
            </w:r>
            <w:r>
              <w:rPr>
                <w:sz w:val="19"/>
              </w:rPr>
              <w:t xml:space="preserve">. Minor covers cosmetic or non-impactful issues. Meridian proposes an initial severity, and </w:t>
            </w:r>
            <w:r>
              <w:rPr>
                <w:b/>
                <w:sz w:val="19"/>
              </w:rPr>
              <w:t>Cloudvance may reclassify</w:t>
            </w:r>
            <w:r>
              <w:rPr>
                <w:sz w:val="19"/>
              </w:rPr>
              <w:t xml:space="preserve"> "in its reasonable judgment."</w:t>
            </w:r>
          </w:p>
        </w:tc>
      </w:tr>
      <w:tr>
        <w:tc>
          <w:tcPr>
            <w:tcW w:type="dxa" w:w="2088"/>
            <w:shd w:val="clear" w:color="auto" w:fill="DCE6F1"/>
          </w:tcPr>
          <w:p>
            <w:r/>
            <w:r>
              <w:rPr>
                <w:b/>
                <w:sz w:val="19"/>
              </w:rPr>
              <w:t>Gap / analysis</w:t>
            </w:r>
          </w:p>
        </w:tc>
        <w:tc>
          <w:tcPr>
            <w:tcW w:type="dxa" w:w="7272"/>
          </w:tcPr>
          <w:p>
            <w:r>
              <w:rPr>
                <w:sz w:val="19"/>
              </w:rPr>
            </w:r>
            <w:r>
              <w:rPr>
                <w:sz w:val="19"/>
              </w:rPr>
              <w:t>(1) A PHI breach, ransomware attack or corruption of clinical records is not Critical unless the Platform is also down. (2) The 25%-of-all-users threshold applies across about 5,000 users, so a total outage at one hospital, or the failure of CDS drug-interaction alerts, might not qualify as Major. That is a patient-safety gap. (3) Merging S3 and S4 into "Minor" leaves administrative and revenue-cycle impairments (SLS S3) with the slowest timelines. (4) Reclassification authority sits with Cloudvance rather than Meridian.</w:t>
            </w:r>
          </w:p>
        </w:tc>
      </w:tr>
      <w:tr>
        <w:tc>
          <w:tcPr>
            <w:tcW w:type="dxa" w:w="2088"/>
            <w:shd w:val="clear" w:color="auto" w:fill="DCE6F1"/>
          </w:tcPr>
          <w:p>
            <w:r/>
            <w:r>
              <w:rPr>
                <w:b/>
                <w:sz w:val="19"/>
              </w:rPr>
              <w:t>Recommended redline</w:t>
            </w:r>
          </w:p>
        </w:tc>
        <w:tc>
          <w:tcPr>
            <w:tcW w:type="dxa" w:w="7272"/>
          </w:tcPr>
          <w:p>
            <w:r>
              <w:rPr>
                <w:sz w:val="19"/>
              </w:rPr>
            </w:r>
            <w:r>
              <w:rPr>
                <w:sz w:val="19"/>
              </w:rPr>
              <w:t>Replace the §C.7 severity table with the SLS §5.1 definitions of S1 through S4, verbatim, including the provision that "any incident involving the actual or suspected compromise of PHI shall be classified as Severity 1 regardless of the number of users or records affected" and the 10%-of-clinical-users-at-any-facility presumption for S2. Replace the reclassification sentence: "Customer may reclassify any incident to a higher severity level in its reasonable judgment; Cloudvance may not downgrade an incident without Customer's written agreement."</w:t>
            </w:r>
          </w:p>
        </w:tc>
      </w:tr>
      <w:tr>
        <w:tc>
          <w:tcPr>
            <w:tcW w:type="dxa" w:w="2088"/>
            <w:shd w:val="clear" w:color="auto" w:fill="DCE6F1"/>
          </w:tcPr>
          <w:p>
            <w:r/>
            <w:r>
              <w:rPr>
                <w:b/>
                <w:sz w:val="19"/>
              </w:rPr>
              <w:t>Negotiation position</w:t>
            </w:r>
          </w:p>
        </w:tc>
        <w:tc>
          <w:tcPr>
            <w:tcW w:type="dxa" w:w="7272"/>
          </w:tcPr>
          <w:p>
            <w:r>
              <w:rPr>
                <w:sz w:val="19"/>
              </w:rPr>
            </w:r>
            <w:r>
              <w:rPr>
                <w:sz w:val="19"/>
              </w:rPr>
              <w:t>Must-have. These definitions drive the response timelines, credits and escalation obligations that follow.</w:t>
            </w:r>
          </w:p>
        </w:tc>
      </w:tr>
    </w:tbl>
    <w:p>
      <w:pPr>
        <w:spacing w:after="40"/>
      </w:pPr>
    </w:p>
    <w:p>
      <w:pPr>
        <w:pStyle w:val="Heading3"/>
      </w:pPr>
      <w:r>
        <w:t>C-2  Response and resolution times are up to 8 times slower than SLS and expressly non-binding</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9"/>
              </w:rPr>
              <w:t>Risk rating</w:t>
            </w:r>
          </w:p>
        </w:tc>
        <w:tc>
          <w:tcPr>
            <w:tcW w:type="dxa" w:w="7272"/>
          </w:tcPr>
          <w:p>
            <w:r>
              <w:rPr>
                <w:b/>
                <w:color w:val="C00000"/>
                <w:sz w:val="19"/>
              </w:rPr>
            </w:r>
            <w:r>
              <w:rPr>
                <w:b/>
                <w:color w:val="C00000"/>
                <w:sz w:val="19"/>
              </w:rPr>
              <w:t>Critical</w:t>
            </w:r>
          </w:p>
        </w:tc>
      </w:tr>
      <w:tr>
        <w:tc>
          <w:tcPr>
            <w:tcW w:type="dxa" w:w="2088"/>
            <w:shd w:val="clear" w:color="auto" w:fill="DCE6F1"/>
          </w:tcPr>
          <w:p>
            <w:r/>
            <w:r>
              <w:rPr>
                <w:b/>
                <w:sz w:val="19"/>
              </w:rPr>
              <w:t>SLS v4.2 requirement</w:t>
            </w:r>
          </w:p>
        </w:tc>
        <w:tc>
          <w:tcPr>
            <w:tcW w:type="dxa" w:w="7272"/>
          </w:tcPr>
          <w:p>
            <w:r>
              <w:rPr>
                <w:sz w:val="19"/>
              </w:rPr>
            </w:r>
            <w:r>
              <w:rPr>
                <w:sz w:val="19"/>
              </w:rPr>
              <w:t xml:space="preserve">SLS §5.2 and §5.3. </w:t>
            </w:r>
            <w:r>
              <w:rPr>
                <w:b/>
                <w:sz w:val="19"/>
              </w:rPr>
              <w:t>Response</w:t>
            </w:r>
            <w:r>
              <w:rPr>
                <w:sz w:val="19"/>
              </w:rPr>
              <w:t xml:space="preserve"> (from the earlier of Meridian's report or vendor detection, by a qualified resource beginning active work): S1 15 minutes, S2 1 hour, S3 4 hours, S4 1 business day. </w:t>
            </w:r>
            <w:r>
              <w:rPr>
                <w:b/>
                <w:sz w:val="19"/>
              </w:rPr>
              <w:t>Resolution</w:t>
            </w:r>
            <w:r>
              <w:rPr>
                <w:sz w:val="19"/>
              </w:rPr>
              <w:t xml:space="preserve">: S1 4 hours, S2 12 hours, S3 3 business days, S4 10 business days. SLS §5.4: these are </w:t>
            </w:r>
            <w:r>
              <w:rPr>
                <w:b/>
                <w:sz w:val="19"/>
              </w:rPr>
              <w:t>binding commitments</w:t>
            </w:r>
            <w:r>
              <w:rPr>
                <w:sz w:val="19"/>
              </w:rPr>
              <w:t>. Agreements calling them "targets" or "commercially reasonable efforts" must be returned for revision.</w:t>
            </w:r>
          </w:p>
        </w:tc>
      </w:tr>
      <w:tr>
        <w:tc>
          <w:tcPr>
            <w:tcW w:type="dxa" w:w="2088"/>
            <w:shd w:val="clear" w:color="auto" w:fill="DCE6F1"/>
          </w:tcPr>
          <w:p>
            <w:r/>
            <w:r>
              <w:rPr>
                <w:b/>
                <w:sz w:val="19"/>
              </w:rPr>
              <w:t>Agreement provision</w:t>
            </w:r>
          </w:p>
        </w:tc>
        <w:tc>
          <w:tcPr>
            <w:tcW w:type="dxa" w:w="7272"/>
          </w:tcPr>
          <w:p>
            <w:r>
              <w:rPr>
                <w:sz w:val="19"/>
              </w:rPr>
            </w:r>
            <w:r>
              <w:rPr>
                <w:sz w:val="19"/>
              </w:rPr>
              <w:t xml:space="preserve">Ex. C §C.7. Response: Critical 2 hours, Major 8 hours, Minor 2 business days. Resolution: Critical 8 hours, Major 48 hours, Minor 10 business days. These are "commercially reasonable targets and do not constitute binding commitments or guarantees," and Cloudvance "shall not be in breach" for missing them. The clock starts on Cloudvance's </w:t>
            </w:r>
            <w:r>
              <w:rPr>
                <w:b/>
                <w:sz w:val="19"/>
              </w:rPr>
              <w:t>receipt</w:t>
            </w:r>
            <w:r>
              <w:rPr>
                <w:sz w:val="19"/>
              </w:rPr>
              <w:t xml:space="preserve"> of a request, and "response" means acknowledgment and assignment. Resolution includes "reasonable mitigation" and can be extended where resolution "is dependent on third-party vendors." Ex. A §A.3(c) repeats the commercially-reasonable-efforts standard.</w:t>
            </w:r>
          </w:p>
        </w:tc>
      </w:tr>
      <w:tr>
        <w:tc>
          <w:tcPr>
            <w:tcW w:type="dxa" w:w="2088"/>
            <w:shd w:val="clear" w:color="auto" w:fill="DCE6F1"/>
          </w:tcPr>
          <w:p>
            <w:r/>
            <w:r>
              <w:rPr>
                <w:b/>
                <w:sz w:val="19"/>
              </w:rPr>
              <w:t>Gap / analysis</w:t>
            </w:r>
          </w:p>
        </w:tc>
        <w:tc>
          <w:tcPr>
            <w:tcW w:type="dxa" w:w="7272"/>
          </w:tcPr>
          <w:p>
            <w:r>
              <w:rPr>
                <w:sz w:val="19"/>
              </w:rPr>
            </w:r>
            <w:r>
              <w:rPr>
                <w:sz w:val="19"/>
              </w:rPr>
              <w:t>S1 response is 8 times slower (2 hours versus 15 minutes) and S1 resolution is twice as slow (8 hours versus 4). S2 response is 8 times slower (8 hours versus 1 hour) and S2 resolution is 4 times slower (48 hours versus 12). Because Minor merges S3 and S4, SLS S3 issues are subject to a 2-business-day response (versus 4 hours) and a 10-business-day resolution (versus 3 business days, more than 3 times slower).</w:t>
            </w:r>
          </w:p>
          <w:p>
            <w:r>
              <w:rPr>
                <w:sz w:val="19"/>
              </w:rPr>
              <w:t>The language Cloudvance uses ("targets," "commercially reasonable efforts," "not ... binding") is exactly the language SLS §5.4 prohibits. Starting the clock at receipt, rather than at Cloudvance's own monitoring detection, and accepting an automated acknowledgment as a "response," both make the metrics easy to meet. The third-party-vendor extension again shifts Stratos risk onto Meridian. For an EHR, a Critical outage that may run 8 hours before resolution, with no consequence to Cloudvance, is a patient-safety and regulatory exposure.</w:t>
            </w:r>
          </w:p>
        </w:tc>
      </w:tr>
      <w:tr>
        <w:tc>
          <w:tcPr>
            <w:tcW w:type="dxa" w:w="2088"/>
            <w:shd w:val="clear" w:color="auto" w:fill="DCE6F1"/>
          </w:tcPr>
          <w:p>
            <w:r/>
            <w:r>
              <w:rPr>
                <w:b/>
                <w:sz w:val="19"/>
              </w:rPr>
              <w:t>Recommended redline</w:t>
            </w:r>
          </w:p>
        </w:tc>
        <w:tc>
          <w:tcPr>
            <w:tcW w:type="dxa" w:w="7272"/>
          </w:tcPr>
          <w:p>
            <w:r>
              <w:rPr>
                <w:sz w:val="19"/>
              </w:rPr>
            </w:r>
            <w:r>
              <w:rPr>
                <w:sz w:val="19"/>
              </w:rPr>
              <w:t>Replace the §C.7 time columns with the SLS §5.2 and §5.3 values. Replace the paragraph after the table: "</w:t>
            </w:r>
            <w:r>
              <w:rPr>
                <w:b/>
                <w:sz w:val="19"/>
              </w:rPr>
              <w:t>The response and resolution times in this Section C.7 are binding service level commitments of Cloudvance and are not targets, goals or efforts-based obligations.</w:t>
            </w:r>
            <w:r>
              <w:rPr>
                <w:sz w:val="19"/>
              </w:rPr>
              <w:t xml:space="preserve"> Times run from the earlier of Customer's report through any designated channel or detection by Cloudvance's monitoring. "Response" means that a qualified technical resource with the access needed to diagnose and remediate the incident has been assigned and has begun active work; automated acknowledgments do not count. "Resolution" means restoring full functionality or implementing a workaround acceptable to Customer in its reasonable judgment." Delete the third-party-vendor extension, or limit it to non-Subcontractor third parties outside Cloudvance's control. Conform Ex. A §A.3(c).</w:t>
            </w:r>
          </w:p>
        </w:tc>
      </w:tr>
      <w:tr>
        <w:tc>
          <w:tcPr>
            <w:tcW w:type="dxa" w:w="2088"/>
            <w:shd w:val="clear" w:color="auto" w:fill="DCE6F1"/>
          </w:tcPr>
          <w:p>
            <w:r/>
            <w:r>
              <w:rPr>
                <w:b/>
                <w:sz w:val="19"/>
              </w:rPr>
              <w:t>Negotiation position</w:t>
            </w:r>
          </w:p>
        </w:tc>
        <w:tc>
          <w:tcPr>
            <w:tcW w:type="dxa" w:w="7272"/>
          </w:tcPr>
          <w:p>
            <w:r>
              <w:rPr>
                <w:sz w:val="19"/>
              </w:rPr>
            </w:r>
            <w:r>
              <w:rPr>
                <w:sz w:val="19"/>
              </w:rPr>
              <w:t>Must-have. SLS §5.4 treats non-binding language as grounds for returning the draft. On the timelines themselves, S1 at 15 minutes and 4 hours is the core Tier 1 requirement.</w:t>
            </w:r>
          </w:p>
        </w:tc>
      </w:tr>
    </w:tbl>
    <w:p>
      <w:pPr>
        <w:spacing w:after="40"/>
      </w:pPr>
    </w:p>
    <w:p>
      <w:pPr>
        <w:pStyle w:val="Heading3"/>
      </w:pPr>
      <w:r>
        <w:t>C-3  No consequences for missed S1/S2 response or resolution</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9"/>
              </w:rPr>
              <w:t>Risk rating</w:t>
            </w:r>
          </w:p>
        </w:tc>
        <w:tc>
          <w:tcPr>
            <w:tcW w:type="dxa" w:w="7272"/>
          </w:tcPr>
          <w:p>
            <w:r>
              <w:rPr>
                <w:b/>
                <w:color w:val="E26B0A"/>
                <w:sz w:val="19"/>
              </w:rPr>
            </w:r>
            <w:r>
              <w:rPr>
                <w:b/>
                <w:color w:val="E26B0A"/>
                <w:sz w:val="19"/>
              </w:rPr>
              <w:t>High</w:t>
            </w:r>
          </w:p>
        </w:tc>
      </w:tr>
      <w:tr>
        <w:tc>
          <w:tcPr>
            <w:tcW w:type="dxa" w:w="2088"/>
            <w:shd w:val="clear" w:color="auto" w:fill="DCE6F1"/>
          </w:tcPr>
          <w:p>
            <w:r/>
            <w:r>
              <w:rPr>
                <w:b/>
                <w:sz w:val="19"/>
              </w:rPr>
              <w:t>SLS v4.2 requirement</w:t>
            </w:r>
          </w:p>
        </w:tc>
        <w:tc>
          <w:tcPr>
            <w:tcW w:type="dxa" w:w="7272"/>
          </w:tcPr>
          <w:p>
            <w:r>
              <w:rPr>
                <w:sz w:val="19"/>
              </w:rPr>
            </w:r>
            <w:r>
              <w:rPr>
                <w:sz w:val="19"/>
              </w:rPr>
              <w:t xml:space="preserve">SLS §5.4(a) to (c): a missed S1 or S2 time triggers (a) immediate escalation to a VP-level executive who oversees the incident until resolved; (b) </w:t>
            </w:r>
            <w:r>
              <w:rPr>
                <w:b/>
                <w:sz w:val="19"/>
              </w:rPr>
              <w:t>additional credits of 5% of the monthly fee per hour</w:t>
            </w:r>
            <w:r>
              <w:rPr>
                <w:sz w:val="19"/>
              </w:rPr>
              <w:t xml:space="preserve"> (or part of an hour) of overrun, on top of uptime credits; and (c) a written RCA to the CISO and VP within </w:t>
            </w:r>
            <w:r>
              <w:rPr>
                <w:b/>
                <w:sz w:val="19"/>
              </w:rPr>
              <w:t>48 hours</w:t>
            </w:r>
            <w:r>
              <w:rPr>
                <w:sz w:val="19"/>
              </w:rPr>
              <w:t xml:space="preserve"> of resolution. Patterns of S3/S4 failures (3 or more per quarter) also trigger credits.</w:t>
            </w:r>
          </w:p>
        </w:tc>
      </w:tr>
      <w:tr>
        <w:tc>
          <w:tcPr>
            <w:tcW w:type="dxa" w:w="2088"/>
            <w:shd w:val="clear" w:color="auto" w:fill="DCE6F1"/>
          </w:tcPr>
          <w:p>
            <w:r/>
            <w:r>
              <w:rPr>
                <w:b/>
                <w:sz w:val="19"/>
              </w:rPr>
              <w:t>Agreement provision</w:t>
            </w:r>
          </w:p>
        </w:tc>
        <w:tc>
          <w:tcPr>
            <w:tcW w:type="dxa" w:w="7272"/>
          </w:tcPr>
          <w:p>
            <w:r>
              <w:rPr>
                <w:sz w:val="19"/>
              </w:rPr>
            </w:r>
            <w:r>
              <w:rPr>
                <w:sz w:val="19"/>
              </w:rPr>
              <w:t>None. Ex. C §C.8 escalates Critical incidents to Cloudvance's "senior technical operations team" within one hour. Management escalation happens only when Meridian asks through its account manager. Root cause analyses for Critical incidents appear only in the monthly report.</w:t>
            </w:r>
          </w:p>
        </w:tc>
      </w:tr>
      <w:tr>
        <w:tc>
          <w:tcPr>
            <w:tcW w:type="dxa" w:w="2088"/>
            <w:shd w:val="clear" w:color="auto" w:fill="DCE6F1"/>
          </w:tcPr>
          <w:p>
            <w:r/>
            <w:r>
              <w:rPr>
                <w:b/>
                <w:sz w:val="19"/>
              </w:rPr>
              <w:t>Gap / analysis</w:t>
            </w:r>
          </w:p>
        </w:tc>
        <w:tc>
          <w:tcPr>
            <w:tcW w:type="dxa" w:w="7272"/>
          </w:tcPr>
          <w:p>
            <w:r>
              <w:rPr>
                <w:sz w:val="19"/>
              </w:rPr>
            </w:r>
            <w:r>
              <w:rPr>
                <w:sz w:val="19"/>
              </w:rPr>
              <w:t>Because the timelines are non-binding and nothing happens when they are missed, Cloudvance has no financial incentive to resolve incidents within the SLS windows. An S1 resolved 6 hours late would cost Cloudvance nothing, compared with 30% of the monthly fee ($171,000) under SLS §5.4(b).</w:t>
            </w:r>
          </w:p>
        </w:tc>
      </w:tr>
      <w:tr>
        <w:tc>
          <w:tcPr>
            <w:tcW w:type="dxa" w:w="2088"/>
            <w:shd w:val="clear" w:color="auto" w:fill="DCE6F1"/>
          </w:tcPr>
          <w:p>
            <w:r/>
            <w:r>
              <w:rPr>
                <w:b/>
                <w:sz w:val="19"/>
              </w:rPr>
              <w:t>Recommended redline</w:t>
            </w:r>
          </w:p>
        </w:tc>
        <w:tc>
          <w:tcPr>
            <w:tcW w:type="dxa" w:w="7272"/>
          </w:tcPr>
          <w:p>
            <w:r>
              <w:rPr>
                <w:sz w:val="19"/>
              </w:rPr>
            </w:r>
            <w:r>
              <w:rPr>
                <w:sz w:val="19"/>
              </w:rPr>
              <w:t>Insert new §C.7A, "Failure to Meet S1/S2 Commitments," reproducing SLS §5.4(a) to (c), including: "Cloudvance shall issue an additional Service Credit equal to five percent (5%) of the Monthly Subscription Fee for each hour, or fraction thereof, by which the response or resolution of a Severity 1 or Severity 2 incident exceeds the applicable commitment. Such credits are in addition to uptime Service Credits." Add the S3/S4 pattern trigger (3 or more failures in a calendar quarter).</w:t>
            </w:r>
          </w:p>
        </w:tc>
      </w:tr>
      <w:tr>
        <w:tc>
          <w:tcPr>
            <w:tcW w:type="dxa" w:w="2088"/>
            <w:shd w:val="clear" w:color="auto" w:fill="DCE6F1"/>
          </w:tcPr>
          <w:p>
            <w:r/>
            <w:r>
              <w:rPr>
                <w:b/>
                <w:sz w:val="19"/>
              </w:rPr>
              <w:t>Negotiation position</w:t>
            </w:r>
          </w:p>
        </w:tc>
        <w:tc>
          <w:tcPr>
            <w:tcW w:type="dxa" w:w="7272"/>
          </w:tcPr>
          <w:p>
            <w:r>
              <w:rPr>
                <w:sz w:val="19"/>
              </w:rPr>
            </w:r>
            <w:r>
              <w:rPr>
                <w:sz w:val="19"/>
              </w:rPr>
              <w:t>Must-have. These terms are what make the response timelines enforceable.</w:t>
            </w:r>
          </w:p>
        </w:tc>
      </w:tr>
    </w:tbl>
    <w:p>
      <w:pPr>
        <w:spacing w:after="40"/>
      </w:pPr>
    </w:p>
    <w:p>
      <w:pPr>
        <w:pStyle w:val="Heading3"/>
      </w:pPr>
      <w:r>
        <w:t>C-4  Incident communications, 24/7 coverage and post-incident reports</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9"/>
              </w:rPr>
              <w:t>Risk rating</w:t>
            </w:r>
          </w:p>
        </w:tc>
        <w:tc>
          <w:tcPr>
            <w:tcW w:type="dxa" w:w="7272"/>
          </w:tcPr>
          <w:p>
            <w:r>
              <w:rPr>
                <w:b/>
                <w:color w:val="E26B0A"/>
                <w:sz w:val="19"/>
              </w:rPr>
            </w:r>
            <w:r>
              <w:rPr>
                <w:b/>
                <w:color w:val="E26B0A"/>
                <w:sz w:val="19"/>
              </w:rPr>
              <w:t>High</w:t>
            </w:r>
          </w:p>
        </w:tc>
      </w:tr>
      <w:tr>
        <w:tc>
          <w:tcPr>
            <w:tcW w:type="dxa" w:w="2088"/>
            <w:shd w:val="clear" w:color="auto" w:fill="DCE6F1"/>
          </w:tcPr>
          <w:p>
            <w:r/>
            <w:r>
              <w:rPr>
                <w:b/>
                <w:sz w:val="19"/>
              </w:rPr>
              <w:t>SLS v4.2 requirement</w:t>
            </w:r>
          </w:p>
        </w:tc>
        <w:tc>
          <w:tcPr>
            <w:tcW w:type="dxa" w:w="7272"/>
          </w:tcPr>
          <w:p>
            <w:r>
              <w:rPr>
                <w:sz w:val="19"/>
              </w:rPr>
            </w:r>
            <w:r>
              <w:rPr>
                <w:sz w:val="19"/>
              </w:rPr>
              <w:t xml:space="preserve">SLS §5.5: for S1 and S2, status updates to the CISO (Dr. Nandakumar) and VP of IT Procurement (Mr. Ellison) at least </w:t>
            </w:r>
            <w:r>
              <w:rPr>
                <w:b/>
                <w:sz w:val="19"/>
              </w:rPr>
              <w:t>every 30 minutes</w:t>
            </w:r>
            <w:r>
              <w:rPr>
                <w:sz w:val="19"/>
              </w:rPr>
              <w:t xml:space="preserve">. For S3, updates every 4 business hours. A dedicated channel (telephone </w:t>
            </w:r>
            <w:r>
              <w:rPr>
                <w:b/>
                <w:sz w:val="19"/>
              </w:rPr>
              <w:t>and</w:t>
            </w:r>
            <w:r>
              <w:rPr>
                <w:sz w:val="19"/>
              </w:rPr>
              <w:t xml:space="preserve"> monitored email) staffed </w:t>
            </w:r>
            <w:r>
              <w:rPr>
                <w:b/>
                <w:sz w:val="19"/>
              </w:rPr>
              <w:t>24/7/365 for S1 and S2</w:t>
            </w:r>
            <w:r>
              <w:rPr>
                <w:sz w:val="19"/>
              </w:rPr>
              <w:t xml:space="preserve">. A </w:t>
            </w:r>
            <w:r>
              <w:rPr>
                <w:b/>
                <w:sz w:val="19"/>
              </w:rPr>
              <w:t>post-incident report within 5 business days</w:t>
            </w:r>
            <w:r>
              <w:rPr>
                <w:sz w:val="19"/>
              </w:rPr>
              <w:t xml:space="preserve"> for every S1 and S2.</w:t>
            </w:r>
          </w:p>
        </w:tc>
      </w:tr>
      <w:tr>
        <w:tc>
          <w:tcPr>
            <w:tcW w:type="dxa" w:w="2088"/>
            <w:shd w:val="clear" w:color="auto" w:fill="DCE6F1"/>
          </w:tcPr>
          <w:p>
            <w:r/>
            <w:r>
              <w:rPr>
                <w:b/>
                <w:sz w:val="19"/>
              </w:rPr>
              <w:t>Agreement provision</w:t>
            </w:r>
          </w:p>
        </w:tc>
        <w:tc>
          <w:tcPr>
            <w:tcW w:type="dxa" w:w="7272"/>
          </w:tcPr>
          <w:p>
            <w:r>
              <w:rPr>
                <w:sz w:val="19"/>
              </w:rPr>
            </w:r>
            <w:r>
              <w:rPr>
                <w:sz w:val="19"/>
              </w:rPr>
              <w:t>Ex. A §A.3(a) and (b): standard support is 8:00 AM to 8:00 PM ET, Monday to Friday, excluding federal holidays. 24/7 hotline support is available only for Critical incidents. There is no status-update cadence. Root cause analyses are provided only for Critical incidents, and only in the monthly report (§C.9(e)), which may arrive up to 15 business days after month-end.</w:t>
            </w:r>
          </w:p>
        </w:tc>
      </w:tr>
      <w:tr>
        <w:tc>
          <w:tcPr>
            <w:tcW w:type="dxa" w:w="2088"/>
            <w:shd w:val="clear" w:color="auto" w:fill="DCE6F1"/>
          </w:tcPr>
          <w:p>
            <w:r/>
            <w:r>
              <w:rPr>
                <w:b/>
                <w:sz w:val="19"/>
              </w:rPr>
              <w:t>Gap / analysis</w:t>
            </w:r>
          </w:p>
        </w:tc>
        <w:tc>
          <w:tcPr>
            <w:tcW w:type="dxa" w:w="7272"/>
          </w:tcPr>
          <w:p>
            <w:r>
              <w:rPr>
                <w:sz w:val="19"/>
              </w:rPr>
            </w:r>
            <w:r>
              <w:rPr>
                <w:sz w:val="19"/>
              </w:rPr>
              <w:t>Meridian runs 24/7 inpatient and emergency operations. Under the Agreement, a Major (S2) incident, such as a medication-administration workflow failure on a Saturday night, would receive no live support until Monday morning, and its 8-hour response clock would arguably not run outside support hours. There is no obligation to keep Meridian's leadership informed during an incident.</w:t>
            </w:r>
          </w:p>
        </w:tc>
      </w:tr>
      <w:tr>
        <w:tc>
          <w:tcPr>
            <w:tcW w:type="dxa" w:w="2088"/>
            <w:shd w:val="clear" w:color="auto" w:fill="DCE6F1"/>
          </w:tcPr>
          <w:p>
            <w:r/>
            <w:r>
              <w:rPr>
                <w:b/>
                <w:sz w:val="19"/>
              </w:rPr>
              <w:t>Recommended redline</w:t>
            </w:r>
          </w:p>
        </w:tc>
        <w:tc>
          <w:tcPr>
            <w:tcW w:type="dxa" w:w="7272"/>
          </w:tcPr>
          <w:p>
            <w:r>
              <w:rPr>
                <w:sz w:val="19"/>
              </w:rPr>
            </w:r>
            <w:r>
              <w:rPr>
                <w:sz w:val="19"/>
              </w:rPr>
              <w:t>Amend Ex. A §A.3(b): "For Severity 1 and Severity 2 incidents, Cloudvance shall provide support 24 hours a day, 7 days a week, 365 days a year through a dedicated telephone hotline and monitored email address staffed by qualified technical personnel." Insert new §C.8A, reproducing the SLS §5.5 update cadence and recipients and the 5-business-day post-incident report requirement for all S1 and S2 incidents.</w:t>
            </w:r>
          </w:p>
        </w:tc>
      </w:tr>
      <w:tr>
        <w:tc>
          <w:tcPr>
            <w:tcW w:type="dxa" w:w="2088"/>
            <w:shd w:val="clear" w:color="auto" w:fill="DCE6F1"/>
          </w:tcPr>
          <w:p>
            <w:r/>
            <w:r>
              <w:rPr>
                <w:b/>
                <w:sz w:val="19"/>
              </w:rPr>
              <w:t>Negotiation position</w:t>
            </w:r>
          </w:p>
        </w:tc>
        <w:tc>
          <w:tcPr>
            <w:tcW w:type="dxa" w:w="7272"/>
          </w:tcPr>
          <w:p>
            <w:r>
              <w:rPr>
                <w:sz w:val="19"/>
              </w:rPr>
            </w:r>
            <w:r>
              <w:rPr>
                <w:sz w:val="19"/>
              </w:rPr>
              <w:t>Must-have for 24/7 S2 coverage and S1/S2 status updates. The PIR timing and contents are should-haves.</w:t>
            </w:r>
          </w:p>
        </w:tc>
      </w:tr>
    </w:tbl>
    <w:p>
      <w:pPr>
        <w:spacing w:after="40"/>
      </w:pPr>
    </w:p>
    <w:p>
      <w:pPr>
        <w:pStyle w:val="Heading2"/>
      </w:pPr>
      <w:r>
        <w:t>4. Data Security, HIPAA/HITECH BAA and Insurance (SLS §6; Ex. D; Ex. E; MSA §12)</w:t>
      </w:r>
    </w:p>
    <w:p>
      <w:pPr>
        <w:pStyle w:val="Heading3"/>
      </w:pPr>
      <w:r>
        <w:t>D-1  BAA does not incorporate the HITECH Act (Exhibit D)</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9"/>
              </w:rPr>
              <w:t>Risk rating</w:t>
            </w:r>
          </w:p>
        </w:tc>
        <w:tc>
          <w:tcPr>
            <w:tcW w:type="dxa" w:w="7272"/>
          </w:tcPr>
          <w:p>
            <w:r>
              <w:rPr>
                <w:b/>
                <w:color w:val="C00000"/>
                <w:sz w:val="19"/>
              </w:rPr>
            </w:r>
            <w:r>
              <w:rPr>
                <w:b/>
                <w:color w:val="C00000"/>
                <w:sz w:val="19"/>
              </w:rPr>
              <w:t>Critical</w:t>
            </w:r>
          </w:p>
        </w:tc>
      </w:tr>
      <w:tr>
        <w:tc>
          <w:tcPr>
            <w:tcW w:type="dxa" w:w="2088"/>
            <w:shd w:val="clear" w:color="auto" w:fill="DCE6F1"/>
          </w:tcPr>
          <w:p>
            <w:r/>
            <w:r>
              <w:rPr>
                <w:b/>
                <w:sz w:val="19"/>
              </w:rPr>
              <w:t>SLS v4.2 requirement</w:t>
            </w:r>
          </w:p>
        </w:tc>
        <w:tc>
          <w:tcPr>
            <w:tcW w:type="dxa" w:w="7272"/>
          </w:tcPr>
          <w:p>
            <w:r>
              <w:rPr>
                <w:sz w:val="19"/>
              </w:rPr>
            </w:r>
            <w:r>
              <w:rPr>
                <w:sz w:val="19"/>
              </w:rPr>
              <w:t>SLS §1.1 and §6.1: every BAA "shall expressly incorporate by reference both HIPAA and the HITECH Act," including 42 U.S.C. §17931 et seq. and all amendments and successor regulations. The vendor must acknowledge that it is a business associate under both HIPAA (45 CFR §160.103) and HITECH and is directly subject to HITECH enforcement, breach notification, enhanced penalties and the Omnibus Rule (78 Fed. Reg. 5566). "A BAA that references only HIPAA ... shall not satisfy this requirement." SLS §6.1(b) lists §17931, §17932, §17935(d) (sale of PHI), §17939 penalties and §17939(d) state attorney general enforcement. SLS §6.1(c) requires compliance with NC, SC and GA breach and privacy laws.</w:t>
            </w:r>
          </w:p>
        </w:tc>
      </w:tr>
      <w:tr>
        <w:tc>
          <w:tcPr>
            <w:tcW w:type="dxa" w:w="2088"/>
            <w:shd w:val="clear" w:color="auto" w:fill="DCE6F1"/>
          </w:tcPr>
          <w:p>
            <w:r/>
            <w:r>
              <w:rPr>
                <w:b/>
                <w:sz w:val="19"/>
              </w:rPr>
              <w:t>Agreement provision</w:t>
            </w:r>
          </w:p>
        </w:tc>
        <w:tc>
          <w:tcPr>
            <w:tcW w:type="dxa" w:w="7272"/>
          </w:tcPr>
          <w:p>
            <w:r>
              <w:rPr>
                <w:sz w:val="19"/>
              </w:rPr>
            </w:r>
            <w:r>
              <w:rPr>
                <w:sz w:val="19"/>
              </w:rPr>
              <w:t>Ex. D §D.1 cites only "HIPAA ... and its implementing regulations codified at 45 CFR Parts 160 and 164." HITECH, 42 U.S.C. §17931 et seq. and the Omnibus Rule appear nowhere in the BAA or anywhere else in the Agreement. §D.2(b) defines Business Associate by reference to 45 CFR §160.103 only. §D.7(a) commits only to amend for changes in "HIPAA regulations." Neither the BAA nor the MSA (§8.2(c) refers to "HIPAA and its implementing regulations") mentions the NC, SC or GA statutes.</w:t>
            </w:r>
          </w:p>
        </w:tc>
      </w:tr>
      <w:tr>
        <w:tc>
          <w:tcPr>
            <w:tcW w:type="dxa" w:w="2088"/>
            <w:shd w:val="clear" w:color="auto" w:fill="DCE6F1"/>
          </w:tcPr>
          <w:p>
            <w:r/>
            <w:r>
              <w:rPr>
                <w:b/>
                <w:sz w:val="19"/>
              </w:rPr>
              <w:t>Gap / analysis</w:t>
            </w:r>
          </w:p>
        </w:tc>
        <w:tc>
          <w:tcPr>
            <w:tcW w:type="dxa" w:w="7272"/>
          </w:tcPr>
          <w:p>
            <w:r>
              <w:rPr>
                <w:sz w:val="19"/>
              </w:rPr>
            </w:r>
            <w:r>
              <w:rPr>
                <w:sz w:val="19"/>
              </w:rPr>
              <w:t>Dr. Nandakumar's concern is correct. Under SLS §6.1 the BAA fails on its face because it references only HIPAA. Many HITECH obligations are reflected in the HIPAA regulations as amended by the Omnibus Rule, so the omission is partly formal. It is still material for four reasons. (1) The SLS makes express incorporation a bright-line requirement. (2) The BAA has no express prohibition on the sale of PHI (42 U.S.C. §17935(d)), which matters because §6.3 and §6.4 allow Cloudvance to commercialize data derived from PHI. (3) There is no acknowledgment of Cloudvance's direct liability and of state attorney general enforcement. (4) There is no commitment to comply with future HITECH-based rulemaking.</w:t>
            </w:r>
          </w:p>
          <w:p>
            <w:r>
              <w:rPr>
                <w:b/>
                <w:sz w:val="19"/>
              </w:rPr>
              <w:t>Other HIPAA-level deficiencies in the BAA.</w:t>
            </w:r>
            <w:r>
              <w:rPr>
                <w:sz w:val="19"/>
              </w:rPr>
              <w:t xml:space="preserve"> §D.3(b) cites only 45 CFR §164.306 and §164.312 and omits the administrative (§164.308) and physical (§164.310) safeguard standards that SLS §6.4 requires. §D.3(c) requires reporting of Security Incidents "in accordance with Section D.5," but §D.5 sets a timeline only for Breaches, so Security Incident reporting has no deadline. The BAA contains no minimum-necessary covenant and no obligation for Cloudvance to mitigate harmful effects or reimburse breach costs.</w:t>
            </w:r>
          </w:p>
        </w:tc>
      </w:tr>
      <w:tr>
        <w:tc>
          <w:tcPr>
            <w:tcW w:type="dxa" w:w="2088"/>
            <w:shd w:val="clear" w:color="auto" w:fill="DCE6F1"/>
          </w:tcPr>
          <w:p>
            <w:r/>
            <w:r>
              <w:rPr>
                <w:b/>
                <w:sz w:val="19"/>
              </w:rPr>
              <w:t>Recommended redline</w:t>
            </w:r>
          </w:p>
        </w:tc>
        <w:tc>
          <w:tcPr>
            <w:tcW w:type="dxa" w:w="7272"/>
          </w:tcPr>
          <w:p>
            <w:r>
              <w:rPr>
                <w:sz w:val="19"/>
              </w:rPr>
            </w:r>
            <w:r>
              <w:rPr>
                <w:sz w:val="19"/>
              </w:rPr>
              <w:t xml:space="preserve">Amend §D.1: "This BAA is entered into pursuant to, and </w:t>
            </w:r>
            <w:r>
              <w:rPr>
                <w:b/>
                <w:sz w:val="19"/>
              </w:rPr>
              <w:t>expressly incorporates by reference</w:t>
            </w:r>
            <w:r>
              <w:rPr>
                <w:sz w:val="19"/>
              </w:rPr>
              <w:t xml:space="preserve">, (i) HIPAA and its implementing regulations at 45 CFR Parts 160 and 164, and (ii) the </w:t>
            </w:r>
            <w:r>
              <w:rPr>
                <w:b/>
                <w:sz w:val="19"/>
              </w:rPr>
              <w:t>Health Information Technology for Economic and Clinical Health Act of 2009 (the "HITECH Act"), codified at 42 U.S.C. §17931 et seq.</w:t>
            </w:r>
            <w:r>
              <w:rPr>
                <w:sz w:val="19"/>
              </w:rPr>
              <w:t>, including the Omnibus Rule (78 Fed. Reg. 5566 (Jan. 25, 2013)), in each case as amended and including all successor regulations (collectively, "HIPAA/HITECH")."</w:t>
            </w:r>
          </w:p>
          <w:p>
            <w:r>
              <w:rPr>
                <w:sz w:val="19"/>
              </w:rPr>
              <w:t>Insert new §D.3(i): "Business Associate acknowledges that it is a "business associate" under 45 CFR §160.103 and the HITECH Act, and that it is directly subject to the HITECH Act, including 42 U.S.C. §§17931 (application of the Security Rule), 17932 (breach notification), 17935(d) (prohibition on sale of PHI) and 17939 (penalties and enforcement by State attorneys general). Business Associate shall not directly or indirectly receive remuneration in exchange for PHI. Business Associate shall comply with the North Carolina Identity Theft Protection Act (N.C. Gen. Stat. §75-60 et seq.; the SLS cites §75-61 et seq.), S.C. Code Ann. §38-99-10 et seq. (to the extent applicable) and O.C.G.A. §10-1-910 et seq."</w:t>
            </w:r>
          </w:p>
          <w:p>
            <w:r>
              <w:rPr>
                <w:sz w:val="19"/>
              </w:rPr>
              <w:t>Amend §D.3(b) to cite 45 CFR §§164.308, 164.310, 164.312 and 164.316. Add a minimum-necessary covenant (45 CFR §164.502(b)), a mitigation duty, and a requirement that Business Associate bear breach-response costs. Replace "HIPAA regulations" with "HIPAA/HITECH" throughout §D.7.</w:t>
            </w:r>
          </w:p>
        </w:tc>
      </w:tr>
      <w:tr>
        <w:tc>
          <w:tcPr>
            <w:tcW w:type="dxa" w:w="2088"/>
            <w:shd w:val="clear" w:color="auto" w:fill="DCE6F1"/>
          </w:tcPr>
          <w:p>
            <w:r/>
            <w:r>
              <w:rPr>
                <w:b/>
                <w:sz w:val="19"/>
              </w:rPr>
              <w:t>Negotiation position</w:t>
            </w:r>
          </w:p>
        </w:tc>
        <w:tc>
          <w:tcPr>
            <w:tcW w:type="dxa" w:w="7272"/>
          </w:tcPr>
          <w:p>
            <w:r>
              <w:rPr>
                <w:sz w:val="19"/>
              </w:rPr>
            </w:r>
            <w:r>
              <w:rPr>
                <w:sz w:val="19"/>
              </w:rPr>
              <w:t>Non-negotiable per Marcus Ellison's email ("this is non-negotiable for us") and SLS §6.1. Express incorporation costs Cloudvance little and is market-standard for hospital BAAs, so we expect it to be conceded. The data-commercialization points that follow from it (D-2 and E-2) will be more contested.</w:t>
            </w:r>
          </w:p>
        </w:tc>
      </w:tr>
    </w:tbl>
    <w:p>
      <w:pPr>
        <w:spacing w:after="40"/>
      </w:pPr>
    </w:p>
    <w:p>
      <w:pPr>
        <w:pStyle w:val="Heading3"/>
      </w:pPr>
      <w:r>
        <w:t>D-2  BAA breach notification (30 days) and permitted uses (data aggregation, de-identification)</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9"/>
              </w:rPr>
              <w:t>Risk rating</w:t>
            </w:r>
          </w:p>
        </w:tc>
        <w:tc>
          <w:tcPr>
            <w:tcW w:type="dxa" w:w="7272"/>
          </w:tcPr>
          <w:p>
            <w:r>
              <w:rPr>
                <w:b/>
                <w:color w:val="E26B0A"/>
                <w:sz w:val="19"/>
              </w:rPr>
            </w:r>
            <w:r>
              <w:rPr>
                <w:b/>
                <w:color w:val="E26B0A"/>
                <w:sz w:val="19"/>
              </w:rPr>
              <w:t>High</w:t>
            </w:r>
          </w:p>
        </w:tc>
      </w:tr>
      <w:tr>
        <w:tc>
          <w:tcPr>
            <w:tcW w:type="dxa" w:w="2088"/>
            <w:shd w:val="clear" w:color="auto" w:fill="DCE6F1"/>
          </w:tcPr>
          <w:p>
            <w:r/>
            <w:r>
              <w:rPr>
                <w:b/>
                <w:sz w:val="19"/>
              </w:rPr>
              <w:t>SLS v4.2 requirement</w:t>
            </w:r>
          </w:p>
        </w:tc>
        <w:tc>
          <w:tcPr>
            <w:tcW w:type="dxa" w:w="7272"/>
          </w:tcPr>
          <w:p>
            <w:r>
              <w:rPr>
                <w:sz w:val="19"/>
              </w:rPr>
            </w:r>
            <w:r>
              <w:rPr>
                <w:sz w:val="19"/>
              </w:rPr>
              <w:t xml:space="preserve">SLS §5.1: any actual or suspected PHI compromise is an S1 incident, with a 15-minute response and status updates every 30 minutes. SLS §10.4(b) assumes the vendor notifies individuals and regulators in compliance with 45 CFR §§164.400 to 414, 42 U.S.C. §17932 and state law. SLS §6.5 limits de-identified data to uses that </w:t>
            </w:r>
            <w:r>
              <w:rPr>
                <w:b/>
                <w:sz w:val="19"/>
              </w:rPr>
              <w:t>directly benefit Meridian</w:t>
            </w:r>
            <w:r>
              <w:rPr>
                <w:sz w:val="19"/>
              </w:rPr>
              <w:t>, with prior consent, opt-out rights and methodology documentation.</w:t>
            </w:r>
          </w:p>
        </w:tc>
      </w:tr>
      <w:tr>
        <w:tc>
          <w:tcPr>
            <w:tcW w:type="dxa" w:w="2088"/>
            <w:shd w:val="clear" w:color="auto" w:fill="DCE6F1"/>
          </w:tcPr>
          <w:p>
            <w:r/>
            <w:r>
              <w:rPr>
                <w:b/>
                <w:sz w:val="19"/>
              </w:rPr>
              <w:t>Agreement provision</w:t>
            </w:r>
          </w:p>
        </w:tc>
        <w:tc>
          <w:tcPr>
            <w:tcW w:type="dxa" w:w="7272"/>
          </w:tcPr>
          <w:p>
            <w:r>
              <w:rPr>
                <w:sz w:val="19"/>
              </w:rPr>
            </w:r>
            <w:r>
              <w:rPr>
                <w:sz w:val="19"/>
              </w:rPr>
              <w:t xml:space="preserve">Ex. D §D.5: notice of a Breach of Unsecured PHI is due within </w:t>
            </w:r>
            <w:r>
              <w:rPr>
                <w:b/>
                <w:sz w:val="19"/>
              </w:rPr>
              <w:t>30 days</w:t>
            </w:r>
            <w:r>
              <w:rPr>
                <w:sz w:val="19"/>
              </w:rPr>
              <w:t xml:space="preserve"> of discovery. §D.4(c) permits Data Aggregation for Meridian's health care operations. §D.4(d) permits use of De-Identified Data "as set forth in Section 6.3 of the Agreement," which allows product improvement, analytics, research, product development and pooling with other customers' data.</w:t>
            </w:r>
          </w:p>
        </w:tc>
      </w:tr>
      <w:tr>
        <w:tc>
          <w:tcPr>
            <w:tcW w:type="dxa" w:w="2088"/>
            <w:shd w:val="clear" w:color="auto" w:fill="DCE6F1"/>
          </w:tcPr>
          <w:p>
            <w:r/>
            <w:r>
              <w:rPr>
                <w:b/>
                <w:sz w:val="19"/>
              </w:rPr>
              <w:t>Gap / analysis</w:t>
            </w:r>
          </w:p>
        </w:tc>
        <w:tc>
          <w:tcPr>
            <w:tcW w:type="dxa" w:w="7272"/>
          </w:tcPr>
          <w:p>
            <w:r>
              <w:rPr>
                <w:sz w:val="19"/>
              </w:rPr>
            </w:r>
            <w:r>
              <w:rPr>
                <w:b/>
                <w:sz w:val="19"/>
              </w:rPr>
              <w:t>Notification.</w:t>
            </w:r>
            <w:r>
              <w:rPr>
                <w:sz w:val="19"/>
              </w:rPr>
              <w:t xml:space="preserve"> Thirty days is within the HIPAA outer limit for business associates (60 days, 45 CFR §164.410), but it is out of step with an S1 classification for suspected PHI compromise. It also uses up half of Meridian's own 60-day clock to notify individuals under 45 CFR §164.404, and it may conflict with the shorter regulator-notice expectations under state law (for example, notification to the NC Attorney General under N.C. Gen. Stat. §75-65). Notice of Security Incidents has no deadline at all (see D-1).</w:t>
            </w:r>
          </w:p>
          <w:p>
            <w:r>
              <w:rPr>
                <w:b/>
                <w:sz w:val="19"/>
              </w:rPr>
              <w:t>Permitted uses.</w:t>
            </w:r>
            <w:r>
              <w:rPr>
                <w:sz w:val="19"/>
              </w:rPr>
              <w:t xml:space="preserve"> Under 45 CFR §164.502(d) and §164.504(e)(2)(i), a business associate may de-identify PHI only if the BAA permits it. §D.4(d) is therefore the legal authorization for Cloudvance's data program, which makes it the most consequential sentence in the BAA. It must be narrowed in line with SLS §6.5.</w:t>
            </w:r>
          </w:p>
        </w:tc>
      </w:tr>
      <w:tr>
        <w:tc>
          <w:tcPr>
            <w:tcW w:type="dxa" w:w="2088"/>
            <w:shd w:val="clear" w:color="auto" w:fill="DCE6F1"/>
          </w:tcPr>
          <w:p>
            <w:r/>
            <w:r>
              <w:rPr>
                <w:b/>
                <w:sz w:val="19"/>
              </w:rPr>
              <w:t>Recommended redline</w:t>
            </w:r>
          </w:p>
        </w:tc>
        <w:tc>
          <w:tcPr>
            <w:tcW w:type="dxa" w:w="7272"/>
          </w:tcPr>
          <w:p>
            <w:r>
              <w:rPr>
                <w:sz w:val="19"/>
              </w:rPr>
            </w:r>
            <w:r>
              <w:rPr>
                <w:sz w:val="19"/>
              </w:rPr>
              <w:t xml:space="preserve">Amend §D.5: "Business Associate shall notify Covered Entity's CISO by telephone and email </w:t>
            </w:r>
            <w:r>
              <w:rPr>
                <w:b/>
                <w:sz w:val="19"/>
              </w:rPr>
              <w:t>without unreasonable delay and in no event later than twenty-four (24) hours</w:t>
            </w:r>
            <w:r>
              <w:rPr>
                <w:sz w:val="19"/>
              </w:rPr>
              <w:t xml:space="preserve"> after discovery of any actual or suspected Breach of Unsecured PHI or Security Incident (excluding unsuccessful attempts that do not penetrate Business Associate's systems, such as pings and port scans), and shall provide the information required by 45 CFR §164.410(c) within five (5) business days thereafter, supplementing it as more information becomes available. Business Associate shall reimburse Covered Entity for all costs of notification, credit monitoring, call center, forensic investigation and regulatory response arising from any Breach caused by Business Associate or its Subcontractors." Replace §D.4(d): "Business Associate may de-identify PHI only in accordance with 45 CFR §164.514(b), and may use De-Identified Data only for the purposes, and subject to the conditions, set forth in Section 6.3 of the Agreement (as amended)."</w:t>
            </w:r>
          </w:p>
        </w:tc>
      </w:tr>
      <w:tr>
        <w:tc>
          <w:tcPr>
            <w:tcW w:type="dxa" w:w="2088"/>
            <w:shd w:val="clear" w:color="auto" w:fill="DCE6F1"/>
          </w:tcPr>
          <w:p>
            <w:r/>
            <w:r>
              <w:rPr>
                <w:b/>
                <w:sz w:val="19"/>
              </w:rPr>
              <w:t>Negotiation position</w:t>
            </w:r>
          </w:p>
        </w:tc>
        <w:tc>
          <w:tcPr>
            <w:tcW w:type="dxa" w:w="7272"/>
          </w:tcPr>
          <w:p>
            <w:r>
              <w:rPr>
                <w:sz w:val="19"/>
              </w:rPr>
            </w:r>
            <w:r>
              <w:rPr>
                <w:sz w:val="19"/>
              </w:rPr>
              <w:t>A 24-hour initial notice is the market norm for hospital customers and follows from the S1 classification. If Cloudvance resists, 72 hours is an acceptable fallback, because the SLS does not fix an exact BAA notice period.</w:t>
            </w:r>
          </w:p>
        </w:tc>
      </w:tr>
    </w:tbl>
    <w:p>
      <w:pPr>
        <w:spacing w:after="40"/>
      </w:pPr>
    </w:p>
    <w:p>
      <w:pPr>
        <w:pStyle w:val="Heading3"/>
      </w:pPr>
      <w:r>
        <w:t>D-3  Encryption: "industry-standard" language that the SLS prohibits</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9"/>
              </w:rPr>
              <w:t>Risk rating</w:t>
            </w:r>
          </w:p>
        </w:tc>
        <w:tc>
          <w:tcPr>
            <w:tcW w:type="dxa" w:w="7272"/>
          </w:tcPr>
          <w:p>
            <w:r>
              <w:rPr>
                <w:b/>
                <w:color w:val="E26B0A"/>
                <w:sz w:val="19"/>
              </w:rPr>
            </w:r>
            <w:r>
              <w:rPr>
                <w:b/>
                <w:color w:val="E26B0A"/>
                <w:sz w:val="19"/>
              </w:rPr>
              <w:t>High</w:t>
            </w:r>
          </w:p>
        </w:tc>
      </w:tr>
      <w:tr>
        <w:tc>
          <w:tcPr>
            <w:tcW w:type="dxa" w:w="2088"/>
            <w:shd w:val="clear" w:color="auto" w:fill="DCE6F1"/>
          </w:tcPr>
          <w:p>
            <w:r/>
            <w:r>
              <w:rPr>
                <w:b/>
                <w:sz w:val="19"/>
              </w:rPr>
              <w:t>SLS v4.2 requirement</w:t>
            </w:r>
          </w:p>
        </w:tc>
        <w:tc>
          <w:tcPr>
            <w:tcW w:type="dxa" w:w="7272"/>
          </w:tcPr>
          <w:p>
            <w:r>
              <w:rPr>
                <w:sz w:val="19"/>
              </w:rPr>
            </w:r>
            <w:r>
              <w:rPr>
                <w:sz w:val="19"/>
              </w:rPr>
              <w:t xml:space="preserve">SLS §6.2: </w:t>
            </w:r>
            <w:r>
              <w:rPr>
                <w:b/>
                <w:sz w:val="19"/>
              </w:rPr>
              <w:t>AES-256</w:t>
            </w:r>
            <w:r>
              <w:rPr>
                <w:sz w:val="19"/>
              </w:rPr>
              <w:t xml:space="preserve"> at rest across all storage tiers, including backups and DR copies. </w:t>
            </w:r>
            <w:r>
              <w:rPr>
                <w:b/>
                <w:sz w:val="19"/>
              </w:rPr>
              <w:t>TLS 1.2 or higher</w:t>
            </w:r>
            <w:r>
              <w:rPr>
                <w:sz w:val="19"/>
              </w:rPr>
              <w:t xml:space="preserve"> in transit on all networks, with SSL, TLS 1.0 and TLS 1.1 disabled. Key management per </w:t>
            </w:r>
            <w:r>
              <w:rPr>
                <w:b/>
                <w:sz w:val="19"/>
              </w:rPr>
              <w:t>NIST SP 800-57</w:t>
            </w:r>
            <w:r>
              <w:rPr>
                <w:sz w:val="19"/>
              </w:rPr>
              <w:t>, with at least annual key rotation and separation of duties. Vague terms such as "industry-standard encryption" are prohibited, and algorithms and key lengths must be stated in the agreement.</w:t>
            </w:r>
          </w:p>
        </w:tc>
      </w:tr>
      <w:tr>
        <w:tc>
          <w:tcPr>
            <w:tcW w:type="dxa" w:w="2088"/>
            <w:shd w:val="clear" w:color="auto" w:fill="DCE6F1"/>
          </w:tcPr>
          <w:p>
            <w:r/>
            <w:r>
              <w:rPr>
                <w:b/>
                <w:sz w:val="19"/>
              </w:rPr>
              <w:t>Agreement provision</w:t>
            </w:r>
          </w:p>
        </w:tc>
        <w:tc>
          <w:tcPr>
            <w:tcW w:type="dxa" w:w="7272"/>
          </w:tcPr>
          <w:p>
            <w:r>
              <w:rPr>
                <w:sz w:val="19"/>
              </w:rPr>
            </w:r>
            <w:r>
              <w:rPr>
                <w:sz w:val="19"/>
              </w:rPr>
              <w:t xml:space="preserve">Ex. E §E.3: Cloudvance shall encrypt Customer Data "using </w:t>
            </w:r>
            <w:r>
              <w:rPr>
                <w:b/>
                <w:sz w:val="19"/>
              </w:rPr>
              <w:t>industry-standard encryption</w:t>
            </w:r>
            <w:r>
              <w:rPr>
                <w:sz w:val="19"/>
              </w:rPr>
              <w:t xml:space="preserve"> both at rest and in transit." Key management only restricts access to keys to "authorized personnel." Ex. E §E.6 applies "the same encryption standards" to backups.</w:t>
            </w:r>
          </w:p>
        </w:tc>
      </w:tr>
      <w:tr>
        <w:tc>
          <w:tcPr>
            <w:tcW w:type="dxa" w:w="2088"/>
            <w:shd w:val="clear" w:color="auto" w:fill="DCE6F1"/>
          </w:tcPr>
          <w:p>
            <w:r/>
            <w:r>
              <w:rPr>
                <w:b/>
                <w:sz w:val="19"/>
              </w:rPr>
              <w:t>Gap / analysis</w:t>
            </w:r>
          </w:p>
        </w:tc>
        <w:tc>
          <w:tcPr>
            <w:tcW w:type="dxa" w:w="7272"/>
          </w:tcPr>
          <w:p>
            <w:r>
              <w:rPr>
                <w:sz w:val="19"/>
              </w:rPr>
            </w:r>
            <w:r>
              <w:rPr>
                <w:sz w:val="19"/>
              </w:rPr>
              <w:t>The Agreement uses the exact wording SLS §6.2 prohibits. No algorithm, key length, protocol version or key-management standard is stated. Encryption also matters for HIPAA purposes: PHI encrypted in line with HHS guidance is not "Unsecured PHI," so a weak or undefined standard increases the likelihood that a security incident becomes a reportable breach.</w:t>
            </w:r>
          </w:p>
        </w:tc>
      </w:tr>
      <w:tr>
        <w:tc>
          <w:tcPr>
            <w:tcW w:type="dxa" w:w="2088"/>
            <w:shd w:val="clear" w:color="auto" w:fill="DCE6F1"/>
          </w:tcPr>
          <w:p>
            <w:r/>
            <w:r>
              <w:rPr>
                <w:b/>
                <w:sz w:val="19"/>
              </w:rPr>
              <w:t>Recommended redline</w:t>
            </w:r>
          </w:p>
        </w:tc>
        <w:tc>
          <w:tcPr>
            <w:tcW w:type="dxa" w:w="7272"/>
          </w:tcPr>
          <w:p>
            <w:r>
              <w:rPr>
                <w:sz w:val="19"/>
              </w:rPr>
            </w:r>
            <w:r>
              <w:rPr>
                <w:sz w:val="19"/>
              </w:rPr>
              <w:t xml:space="preserve">Replace §E.3: "Cloudvance shall, and shall cause its Subcontractors to, (a) encrypt all Customer Data at rest, including primary, secondary, archival, backup and disaster-recovery copies, using </w:t>
            </w:r>
            <w:r>
              <w:rPr>
                <w:b/>
                <w:sz w:val="19"/>
              </w:rPr>
              <w:t>AES with a 256-bit key (AES-256)</w:t>
            </w:r>
            <w:r>
              <w:rPr>
                <w:sz w:val="19"/>
              </w:rPr>
              <w:t xml:space="preserve"> or a successor standard approved in writing by Customer's CISO; (b) encrypt all Customer Data in transit over any network, including internal networks and inter-data-center links, using </w:t>
            </w:r>
            <w:r>
              <w:rPr>
                <w:b/>
                <w:sz w:val="19"/>
              </w:rPr>
              <w:t>TLS 1.2 or higher</w:t>
            </w:r>
            <w:r>
              <w:rPr>
                <w:sz w:val="19"/>
              </w:rPr>
              <w:t xml:space="preserve">, and disable SSL (all versions), TLS 1.0 and TLS 1.1 on all systems and endpoints that process Customer Data; and (c) manage encryption keys in accordance with </w:t>
            </w:r>
            <w:r>
              <w:rPr>
                <w:b/>
                <w:sz w:val="19"/>
              </w:rPr>
              <w:t>NIST SP 800-57</w:t>
            </w:r>
            <w:r>
              <w:rPr>
                <w:sz w:val="19"/>
              </w:rPr>
              <w:t>, including rotation at least annually (and promptly upon any suspected compromise) and separation of duties between key custodians and system administrators."</w:t>
            </w:r>
          </w:p>
        </w:tc>
      </w:tr>
      <w:tr>
        <w:tc>
          <w:tcPr>
            <w:tcW w:type="dxa" w:w="2088"/>
            <w:shd w:val="clear" w:color="auto" w:fill="DCE6F1"/>
          </w:tcPr>
          <w:p>
            <w:r/>
            <w:r>
              <w:rPr>
                <w:b/>
                <w:sz w:val="19"/>
              </w:rPr>
              <w:t>Negotiation position</w:t>
            </w:r>
          </w:p>
        </w:tc>
        <w:tc>
          <w:tcPr>
            <w:tcW w:type="dxa" w:w="7272"/>
          </w:tcPr>
          <w:p>
            <w:r>
              <w:rPr>
                <w:sz w:val="19"/>
              </w:rPr>
            </w:r>
            <w:r>
              <w:rPr>
                <w:sz w:val="19"/>
              </w:rPr>
              <w:t>Must-have. These are almost certainly existing Cloudvance practices, so the main task is to have them written into the contract. We recommend asking Cloudvance and Stratos to confirm their current cipher suites during diligence.</w:t>
            </w:r>
          </w:p>
        </w:tc>
      </w:tr>
    </w:tbl>
    <w:p>
      <w:pPr>
        <w:spacing w:after="40"/>
      </w:pPr>
    </w:p>
    <w:p>
      <w:pPr>
        <w:pStyle w:val="Heading3"/>
      </w:pPr>
      <w:r>
        <w:t>D-4  Security certifications and testing: SOC 2 only; no HITRUST, penetration testing or vulnerability scanning</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9"/>
              </w:rPr>
              <w:t>Risk rating</w:t>
            </w:r>
          </w:p>
        </w:tc>
        <w:tc>
          <w:tcPr>
            <w:tcW w:type="dxa" w:w="7272"/>
          </w:tcPr>
          <w:p>
            <w:r>
              <w:rPr>
                <w:b/>
                <w:color w:val="E26B0A"/>
                <w:sz w:val="19"/>
              </w:rPr>
            </w:r>
            <w:r>
              <w:rPr>
                <w:b/>
                <w:color w:val="E26B0A"/>
                <w:sz w:val="19"/>
              </w:rPr>
              <w:t>High</w:t>
            </w:r>
          </w:p>
        </w:tc>
      </w:tr>
      <w:tr>
        <w:tc>
          <w:tcPr>
            <w:tcW w:type="dxa" w:w="2088"/>
            <w:shd w:val="clear" w:color="auto" w:fill="DCE6F1"/>
          </w:tcPr>
          <w:p>
            <w:r/>
            <w:r>
              <w:rPr>
                <w:b/>
                <w:sz w:val="19"/>
              </w:rPr>
              <w:t>SLS v4.2 requirement</w:t>
            </w:r>
          </w:p>
        </w:tc>
        <w:tc>
          <w:tcPr>
            <w:tcW w:type="dxa" w:w="7272"/>
          </w:tcPr>
          <w:p>
            <w:r>
              <w:rPr>
                <w:sz w:val="19"/>
              </w:rPr>
            </w:r>
            <w:r>
              <w:rPr>
                <w:sz w:val="19"/>
              </w:rPr>
              <w:t xml:space="preserve">SLS §6.3: (a) a </w:t>
            </w:r>
            <w:r>
              <w:rPr>
                <w:b/>
                <w:sz w:val="19"/>
              </w:rPr>
              <w:t>SOC 2 Type II</w:t>
            </w:r>
            <w:r>
              <w:rPr>
                <w:sz w:val="19"/>
              </w:rPr>
              <w:t xml:space="preserve"> report covering all five Trust Services Criteria, issued within the prior 12 months and covering all systems and data centers, provided annually; (b) </w:t>
            </w:r>
            <w:r>
              <w:rPr>
                <w:b/>
                <w:sz w:val="19"/>
              </w:rPr>
              <w:t>HITRUST CSF certification</w:t>
            </w:r>
            <w:r>
              <w:rPr>
                <w:sz w:val="19"/>
              </w:rPr>
              <w:t xml:space="preserve">, current at signing and maintained throughout the term; (c) </w:t>
            </w:r>
            <w:r>
              <w:rPr>
                <w:b/>
                <w:sz w:val="19"/>
              </w:rPr>
              <w:t>annual independent penetration test</w:t>
            </w:r>
            <w:r>
              <w:rPr>
                <w:sz w:val="19"/>
              </w:rPr>
              <w:t xml:space="preserve">, with the full report within 30 days; (d) </w:t>
            </w:r>
            <w:r>
              <w:rPr>
                <w:b/>
                <w:sz w:val="19"/>
              </w:rPr>
              <w:t>quarterly vulnerability scans</w:t>
            </w:r>
            <w:r>
              <w:rPr>
                <w:sz w:val="19"/>
              </w:rPr>
              <w:t>, with results on request.</w:t>
            </w:r>
          </w:p>
        </w:tc>
      </w:tr>
      <w:tr>
        <w:tc>
          <w:tcPr>
            <w:tcW w:type="dxa" w:w="2088"/>
            <w:shd w:val="clear" w:color="auto" w:fill="DCE6F1"/>
          </w:tcPr>
          <w:p>
            <w:r/>
            <w:r>
              <w:rPr>
                <w:b/>
                <w:sz w:val="19"/>
              </w:rPr>
              <w:t>Agreement provision</w:t>
            </w:r>
          </w:p>
        </w:tc>
        <w:tc>
          <w:tcPr>
            <w:tcW w:type="dxa" w:w="7272"/>
          </w:tcPr>
          <w:p>
            <w:r>
              <w:rPr>
                <w:sz w:val="19"/>
              </w:rPr>
            </w:r>
            <w:r>
              <w:rPr>
                <w:sz w:val="19"/>
              </w:rPr>
              <w:t>Ex. E §E.2: Cloudvance "maintains SOC 2 Type II certification" and will provide its most recent report within 30 days of request. It will notify Meridian of a lapse or material deficiency. The Agreement does not mention HITRUST, penetration testing or vulnerability scanning.</w:t>
            </w:r>
          </w:p>
        </w:tc>
      </w:tr>
      <w:tr>
        <w:tc>
          <w:tcPr>
            <w:tcW w:type="dxa" w:w="2088"/>
            <w:shd w:val="clear" w:color="auto" w:fill="DCE6F1"/>
          </w:tcPr>
          <w:p>
            <w:r/>
            <w:r>
              <w:rPr>
                <w:b/>
                <w:sz w:val="19"/>
              </w:rPr>
              <w:t>Gap / analysis</w:t>
            </w:r>
          </w:p>
        </w:tc>
        <w:tc>
          <w:tcPr>
            <w:tcW w:type="dxa" w:w="7272"/>
          </w:tcPr>
          <w:p>
            <w:r>
              <w:rPr>
                <w:sz w:val="19"/>
              </w:rPr>
            </w:r>
            <w:r>
              <w:rPr>
                <w:sz w:val="19"/>
              </w:rPr>
              <w:t>Dr. Nandakumar's concern is confirmed: HITRUST CSF is required by SLS §6.3(b) (added in v4.1) and is entirely absent. The SOC 2 commitment does not specify scope (which Trust Services Criteria; whether it covers Stratos-hosted environments, either directly or through carve-out or inclusive treatment of the subservice organization), currency, or annual delivery. SOC 2 is an attestation report, not a "certification"; the wording should be corrected so that the obligation is clear. There is no right to penetration test results or scan data.</w:t>
            </w:r>
          </w:p>
        </w:tc>
      </w:tr>
      <w:tr>
        <w:tc>
          <w:tcPr>
            <w:tcW w:type="dxa" w:w="2088"/>
            <w:shd w:val="clear" w:color="auto" w:fill="DCE6F1"/>
          </w:tcPr>
          <w:p>
            <w:r/>
            <w:r>
              <w:rPr>
                <w:b/>
                <w:sz w:val="19"/>
              </w:rPr>
              <w:t>Recommended redline</w:t>
            </w:r>
          </w:p>
        </w:tc>
        <w:tc>
          <w:tcPr>
            <w:tcW w:type="dxa" w:w="7272"/>
          </w:tcPr>
          <w:p>
            <w:r>
              <w:rPr>
                <w:sz w:val="19"/>
              </w:rPr>
            </w:r>
            <w:r>
              <w:rPr>
                <w:sz w:val="19"/>
              </w:rPr>
              <w:t xml:space="preserve">Replace §E.2: "Cloudvance shall obtain and maintain throughout the Term: (a) a SOC 2 Type II report covering the Security, Availability, Processing Integrity, Confidentiality and Privacy Trust Services Criteria, issued by an independent auditor within the preceding twelve (12) months and covering all systems, data centers (including those of Stratos and any other hosting Subcontractor) and processes used to provide the Services; and (b) a validated </w:t>
            </w:r>
            <w:r>
              <w:rPr>
                <w:b/>
                <w:sz w:val="19"/>
              </w:rPr>
              <w:t>HITRUST CSF certification</w:t>
            </w:r>
            <w:r>
              <w:rPr>
                <w:sz w:val="19"/>
              </w:rPr>
              <w:t xml:space="preserve"> covering the Platform and related healthcare systems, current as of the Effective Date. Cloudvance shall deliver current copies to Customer at least annually and on request. Cloudvance shall engage an independent, unaffiliated firm to perform penetration testing of all systems processing Customer Data at least annually and shall deliver the full report, including findings, risk ratings and remediation plans, within thirty (30) days of completion. Cloudvance shall perform internal and external vulnerability scans at least quarterly and provide results and remediation status on request."</w:t>
            </w:r>
          </w:p>
        </w:tc>
      </w:tr>
      <w:tr>
        <w:tc>
          <w:tcPr>
            <w:tcW w:type="dxa" w:w="2088"/>
            <w:shd w:val="clear" w:color="auto" w:fill="DCE6F1"/>
          </w:tcPr>
          <w:p>
            <w:r/>
            <w:r>
              <w:rPr>
                <w:b/>
                <w:sz w:val="19"/>
              </w:rPr>
              <w:t>Negotiation position</w:t>
            </w:r>
          </w:p>
        </w:tc>
        <w:tc>
          <w:tcPr>
            <w:tcW w:type="dxa" w:w="7272"/>
          </w:tcPr>
          <w:p>
            <w:r>
              <w:rPr>
                <w:sz w:val="19"/>
              </w:rPr>
            </w:r>
            <w:r>
              <w:rPr>
                <w:sz w:val="19"/>
              </w:rPr>
              <w:t>Must-have. If Cloudvance does not currently hold HITRUST CSF certification, a time-limited path (for example, HITRUST r2 certification within 12 months of the Effective Date, with a termination right if it is not achieved) would be a deviation requiring CISO and VP approval. Ask Cloudvance now whether it is certified.</w:t>
            </w:r>
          </w:p>
        </w:tc>
      </w:tr>
    </w:tbl>
    <w:p>
      <w:pPr>
        <w:spacing w:after="40"/>
      </w:pPr>
    </w:p>
    <w:p>
      <w:pPr>
        <w:pStyle w:val="Heading3"/>
      </w:pPr>
      <w:r>
        <w:t>D-5  Safeguards described as "commercially reasonable"; several required controls missing</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9"/>
              </w:rPr>
              <w:t>Risk rating</w:t>
            </w:r>
          </w:p>
        </w:tc>
        <w:tc>
          <w:tcPr>
            <w:tcW w:type="dxa" w:w="7272"/>
          </w:tcPr>
          <w:p>
            <w:r>
              <w:rPr>
                <w:b/>
                <w:color w:val="BF8F00"/>
                <w:sz w:val="19"/>
              </w:rPr>
            </w:r>
            <w:r>
              <w:rPr>
                <w:b/>
                <w:color w:val="BF8F00"/>
                <w:sz w:val="19"/>
              </w:rPr>
              <w:t>Medium</w:t>
            </w:r>
          </w:p>
        </w:tc>
      </w:tr>
      <w:tr>
        <w:tc>
          <w:tcPr>
            <w:tcW w:type="dxa" w:w="2088"/>
            <w:shd w:val="clear" w:color="auto" w:fill="DCE6F1"/>
          </w:tcPr>
          <w:p>
            <w:r/>
            <w:r>
              <w:rPr>
                <w:b/>
                <w:sz w:val="19"/>
              </w:rPr>
              <w:t>SLS v4.2 requirement</w:t>
            </w:r>
          </w:p>
        </w:tc>
        <w:tc>
          <w:tcPr>
            <w:tcW w:type="dxa" w:w="7272"/>
          </w:tcPr>
          <w:p>
            <w:r>
              <w:rPr>
                <w:sz w:val="19"/>
              </w:rPr>
            </w:r>
            <w:r>
              <w:rPr>
                <w:sz w:val="19"/>
              </w:rPr>
              <w:t xml:space="preserve">SLS §6.4: safeguards must meet the HIPAA Security Rule (§§164.308, 164.310, 164.312) </w:t>
            </w:r>
            <w:r>
              <w:rPr>
                <w:b/>
                <w:sz w:val="19"/>
              </w:rPr>
              <w:t>and the NIST Cybersecurity Framework</w:t>
            </w:r>
            <w:r>
              <w:rPr>
                <w:sz w:val="19"/>
              </w:rPr>
              <w:t xml:space="preserve">, specified "with particularity," with no "commercially reasonable" or "appropriate" language. Minimum controls: MFA for administrative, privileged </w:t>
            </w:r>
            <w:r>
              <w:rPr>
                <w:b/>
                <w:sz w:val="19"/>
              </w:rPr>
              <w:t>and remote</w:t>
            </w:r>
            <w:r>
              <w:rPr>
                <w:sz w:val="19"/>
              </w:rPr>
              <w:t xml:space="preserve"> access; RBAC with least privilege; audit logs retained for 12 months; </w:t>
            </w:r>
            <w:r>
              <w:rPr>
                <w:b/>
                <w:sz w:val="19"/>
              </w:rPr>
              <w:t>IDS/IPS</w:t>
            </w:r>
            <w:r>
              <w:rPr>
                <w:sz w:val="19"/>
              </w:rPr>
              <w:t xml:space="preserve">; </w:t>
            </w:r>
            <w:r>
              <w:rPr>
                <w:b/>
                <w:sz w:val="19"/>
              </w:rPr>
              <w:t>EDR</w:t>
            </w:r>
            <w:r>
              <w:rPr>
                <w:sz w:val="19"/>
              </w:rPr>
              <w:t xml:space="preserve">; </w:t>
            </w:r>
            <w:r>
              <w:rPr>
                <w:b/>
                <w:sz w:val="19"/>
              </w:rPr>
              <w:t>network segmentation of PHI systems</w:t>
            </w:r>
            <w:r>
              <w:rPr>
                <w:sz w:val="19"/>
              </w:rPr>
              <w:t xml:space="preserve">; IR plan tested annually; DR/BCP tested annually </w:t>
            </w:r>
            <w:r>
              <w:rPr>
                <w:b/>
                <w:sz w:val="19"/>
              </w:rPr>
              <w:t>with results reported to Meridian</w:t>
            </w:r>
            <w:r>
              <w:rPr>
                <w:sz w:val="19"/>
              </w:rPr>
              <w:t>.</w:t>
            </w:r>
          </w:p>
        </w:tc>
      </w:tr>
      <w:tr>
        <w:tc>
          <w:tcPr>
            <w:tcW w:type="dxa" w:w="2088"/>
            <w:shd w:val="clear" w:color="auto" w:fill="DCE6F1"/>
          </w:tcPr>
          <w:p>
            <w:r/>
            <w:r>
              <w:rPr>
                <w:b/>
                <w:sz w:val="19"/>
              </w:rPr>
              <w:t>Agreement provision</w:t>
            </w:r>
          </w:p>
        </w:tc>
        <w:tc>
          <w:tcPr>
            <w:tcW w:type="dxa" w:w="7272"/>
          </w:tcPr>
          <w:p>
            <w:r>
              <w:rPr>
                <w:sz w:val="19"/>
              </w:rPr>
            </w:r>
            <w:r>
              <w:rPr>
                <w:sz w:val="19"/>
              </w:rPr>
              <w:t>Ex. E §E.1: "commercially reasonable administrative, technical, and physical safeguards." §E.4: RBAC, MFA for administrative and privileged access, unique IDs, session timeouts, and logging with one-year retention. §E.5: a written IR plan, but no testing requirement. §E.6: DR plan tested annually, with a summary "upon request"; RTO of 24 hours and RPO of 4 hours stated as "targets." §D.3(b): "appropriate" safeguards.</w:t>
            </w:r>
          </w:p>
        </w:tc>
      </w:tr>
      <w:tr>
        <w:tc>
          <w:tcPr>
            <w:tcW w:type="dxa" w:w="2088"/>
            <w:shd w:val="clear" w:color="auto" w:fill="DCE6F1"/>
          </w:tcPr>
          <w:p>
            <w:r/>
            <w:r>
              <w:rPr>
                <w:b/>
                <w:sz w:val="19"/>
              </w:rPr>
              <w:t>Gap / analysis</w:t>
            </w:r>
          </w:p>
        </w:tc>
        <w:tc>
          <w:tcPr>
            <w:tcW w:type="dxa" w:w="7272"/>
          </w:tcPr>
          <w:p>
            <w:r>
              <w:rPr>
                <w:sz w:val="19"/>
              </w:rPr>
            </w:r>
            <w:r>
              <w:rPr>
                <w:sz w:val="19"/>
              </w:rPr>
              <w:t xml:space="preserve">The Agreement meets the SLS on RBAC, administrative and privileged MFA, and 12-month log retention. It falls short on: the "commercially reasonable" and "appropriate" qualifiers; NIST CSF alignment; MFA for remote access; IDS/IPS; EDR; network segmentation; annual IR plan testing; and proactive reporting of DR test results. </w:t>
            </w:r>
            <w:r>
              <w:rPr>
                <w:b/>
                <w:sz w:val="19"/>
              </w:rPr>
              <w:t>Additional observation (not an SLS requirement):</w:t>
            </w:r>
            <w:r>
              <w:rPr>
                <w:sz w:val="19"/>
              </w:rPr>
              <w:t xml:space="preserve"> a 24-hour RTO for a Tier 1 EHR is inconsistent with the SLS 4-hour S1 resolution commitment, and a 4-hour RPO could mean losing up to four hours of clinical documentation and medication orders. ClinicalEdge is multi-tenant (Ex. A §A.1), which makes logical segregation of Meridian's data important.</w:t>
            </w:r>
          </w:p>
        </w:tc>
      </w:tr>
      <w:tr>
        <w:tc>
          <w:tcPr>
            <w:tcW w:type="dxa" w:w="2088"/>
            <w:shd w:val="clear" w:color="auto" w:fill="DCE6F1"/>
          </w:tcPr>
          <w:p>
            <w:r/>
            <w:r>
              <w:rPr>
                <w:b/>
                <w:sz w:val="19"/>
              </w:rPr>
              <w:t>Recommended redline</w:t>
            </w:r>
          </w:p>
        </w:tc>
        <w:tc>
          <w:tcPr>
            <w:tcW w:type="dxa" w:w="7272"/>
          </w:tcPr>
          <w:p>
            <w:r>
              <w:rPr>
                <w:sz w:val="19"/>
              </w:rPr>
            </w:r>
            <w:r>
              <w:rPr>
                <w:sz w:val="19"/>
              </w:rPr>
              <w:t>Replace "commercially reasonable" in §E.1 with "administrative, technical and physical safeguards that meet or exceed the HIPAA Security Rule (45 CFR §§164.308, 164.310, 164.312) and the NIST Cybersecurity Framework (current version), including at a minimum the controls in Section E.4." Expand §E.4 to add MFA for remote access, least privilege, IDS/IPS, EDR on all systems processing Customer Data, segmentation of PHI systems and logical tenant isolation. Add annual tabletop or simulation testing of the IR plan, and annual DR/BCP testing with results delivered to Customer. Make RTO and RPO binding commitments; we recommend an RTO of 4 hours or less and an RPO of 15 minutes or less for Tier 1, subject to Meridian clinical and IT confirmation.</w:t>
            </w:r>
          </w:p>
        </w:tc>
      </w:tr>
      <w:tr>
        <w:tc>
          <w:tcPr>
            <w:tcW w:type="dxa" w:w="2088"/>
            <w:shd w:val="clear" w:color="auto" w:fill="DCE6F1"/>
          </w:tcPr>
          <w:p>
            <w:r/>
            <w:r>
              <w:rPr>
                <w:b/>
                <w:sz w:val="19"/>
              </w:rPr>
              <w:t>Negotiation position</w:t>
            </w:r>
          </w:p>
        </w:tc>
        <w:tc>
          <w:tcPr>
            <w:tcW w:type="dxa" w:w="7272"/>
          </w:tcPr>
          <w:p>
            <w:r>
              <w:rPr>
                <w:sz w:val="19"/>
              </w:rPr>
            </w:r>
            <w:r>
              <w:rPr>
                <w:sz w:val="19"/>
              </w:rPr>
              <w:t>Must-have for removing the vague qualifiers and adding the listed controls. The RTO and RPO numbers are a recommendation for Meridian IT to set.</w:t>
            </w:r>
          </w:p>
        </w:tc>
      </w:tr>
    </w:tbl>
    <w:p>
      <w:pPr>
        <w:spacing w:after="40"/>
      </w:pPr>
    </w:p>
    <w:p>
      <w:pPr>
        <w:pStyle w:val="Heading3"/>
      </w:pPr>
      <w:r>
        <w:t>D-6  Cyber liability insurance: no minimum, no coverage terms</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9"/>
              </w:rPr>
              <w:t>Risk rating</w:t>
            </w:r>
          </w:p>
        </w:tc>
        <w:tc>
          <w:tcPr>
            <w:tcW w:type="dxa" w:w="7272"/>
          </w:tcPr>
          <w:p>
            <w:r>
              <w:rPr>
                <w:b/>
                <w:color w:val="E26B0A"/>
                <w:sz w:val="19"/>
              </w:rPr>
            </w:r>
            <w:r>
              <w:rPr>
                <w:b/>
                <w:color w:val="E26B0A"/>
                <w:sz w:val="19"/>
              </w:rPr>
              <w:t>High</w:t>
            </w:r>
          </w:p>
        </w:tc>
      </w:tr>
      <w:tr>
        <w:tc>
          <w:tcPr>
            <w:tcW w:type="dxa" w:w="2088"/>
            <w:shd w:val="clear" w:color="auto" w:fill="DCE6F1"/>
          </w:tcPr>
          <w:p>
            <w:r/>
            <w:r>
              <w:rPr>
                <w:b/>
                <w:sz w:val="19"/>
              </w:rPr>
              <w:t>SLS v4.2 requirement</w:t>
            </w:r>
          </w:p>
        </w:tc>
        <w:tc>
          <w:tcPr>
            <w:tcW w:type="dxa" w:w="7272"/>
          </w:tcPr>
          <w:p>
            <w:r>
              <w:rPr>
                <w:sz w:val="19"/>
              </w:rPr>
            </w:r>
            <w:r>
              <w:rPr>
                <w:sz w:val="19"/>
              </w:rPr>
              <w:t xml:space="preserve">SLS §6.6: cyber and technology E&amp;O coverage of at least </w:t>
            </w:r>
            <w:r>
              <w:rPr>
                <w:b/>
                <w:sz w:val="19"/>
              </w:rPr>
              <w:t>$10,000,000 per occurrence and in the aggregate</w:t>
            </w:r>
            <w:r>
              <w:rPr>
                <w:sz w:val="19"/>
              </w:rPr>
              <w:t xml:space="preserve">, covering breach response, regulatory defense and penalties, business interruption (including Meridian's losses), network security liability and media liability. Meridian named as </w:t>
            </w:r>
            <w:r>
              <w:rPr>
                <w:b/>
                <w:sz w:val="19"/>
              </w:rPr>
              <w:t>additional insured</w:t>
            </w:r>
            <w:r>
              <w:rPr>
                <w:sz w:val="19"/>
              </w:rPr>
              <w:t xml:space="preserve"> where permissible. A </w:t>
            </w:r>
            <w:r>
              <w:rPr>
                <w:b/>
                <w:sz w:val="19"/>
              </w:rPr>
              <w:t>certificate of insurance</w:t>
            </w:r>
            <w:r>
              <w:rPr>
                <w:sz w:val="19"/>
              </w:rPr>
              <w:t xml:space="preserve"> at execution, at each renewal and on request. </w:t>
            </w:r>
            <w:r>
              <w:rPr>
                <w:b/>
                <w:sz w:val="19"/>
              </w:rPr>
              <w:t>30 days' notice</w:t>
            </w:r>
            <w:r>
              <w:rPr>
                <w:sz w:val="19"/>
              </w:rPr>
              <w:t xml:space="preserve"> of cancellation, non-renewal or material reduction. SLS §10.5: insurance obligations survive.</w:t>
            </w:r>
          </w:p>
        </w:tc>
      </w:tr>
      <w:tr>
        <w:tc>
          <w:tcPr>
            <w:tcW w:type="dxa" w:w="2088"/>
            <w:shd w:val="clear" w:color="auto" w:fill="DCE6F1"/>
          </w:tcPr>
          <w:p>
            <w:r/>
            <w:r>
              <w:rPr>
                <w:b/>
                <w:sz w:val="19"/>
              </w:rPr>
              <w:t>Agreement provision</w:t>
            </w:r>
          </w:p>
        </w:tc>
        <w:tc>
          <w:tcPr>
            <w:tcW w:type="dxa" w:w="7272"/>
          </w:tcPr>
          <w:p>
            <w:r>
              <w:rPr>
                <w:sz w:val="19"/>
              </w:rPr>
            </w:r>
            <w:r>
              <w:rPr>
                <w:sz w:val="19"/>
              </w:rPr>
              <w:t>§12, in full: "Each Party shall maintain commercially reasonable insurance coverage appropriate to its business and operations throughout the Term of this Agreement."</w:t>
            </w:r>
          </w:p>
        </w:tc>
      </w:tr>
      <w:tr>
        <w:tc>
          <w:tcPr>
            <w:tcW w:type="dxa" w:w="2088"/>
            <w:shd w:val="clear" w:color="auto" w:fill="DCE6F1"/>
          </w:tcPr>
          <w:p>
            <w:r/>
            <w:r>
              <w:rPr>
                <w:b/>
                <w:sz w:val="19"/>
              </w:rPr>
              <w:t>Gap / analysis</w:t>
            </w:r>
          </w:p>
        </w:tc>
        <w:tc>
          <w:tcPr>
            <w:tcW w:type="dxa" w:w="7272"/>
          </w:tcPr>
          <w:p>
            <w:r>
              <w:rPr>
                <w:sz w:val="19"/>
              </w:rPr>
            </w:r>
            <w:r>
              <w:rPr>
                <w:sz w:val="19"/>
              </w:rPr>
              <w:t>Marcus Ellison correctly identified this gap. The Agreement sets no limits and no coverage types, and has no additional-insured, certificate or notice requirement. Because the liability cap is $6.84M (see F-1), Meridian has no assurance that Cloudvance could pay a large breach claim. The clause is also mutual, which imposes an undefined insurance obligation on Meridian.</w:t>
            </w:r>
          </w:p>
        </w:tc>
      </w:tr>
      <w:tr>
        <w:tc>
          <w:tcPr>
            <w:tcW w:type="dxa" w:w="2088"/>
            <w:shd w:val="clear" w:color="auto" w:fill="DCE6F1"/>
          </w:tcPr>
          <w:p>
            <w:r/>
            <w:r>
              <w:rPr>
                <w:b/>
                <w:sz w:val="19"/>
              </w:rPr>
              <w:t>Recommended redline</w:t>
            </w:r>
          </w:p>
        </w:tc>
        <w:tc>
          <w:tcPr>
            <w:tcW w:type="dxa" w:w="7272"/>
          </w:tcPr>
          <w:p>
            <w:r>
              <w:rPr>
                <w:sz w:val="19"/>
              </w:rPr>
            </w:r>
            <w:r>
              <w:rPr>
                <w:sz w:val="19"/>
              </w:rPr>
              <w:t xml:space="preserve">Replace §12: "Cloudvance shall maintain throughout the Term and for three (3) years thereafter, with insurers rated A- VII or better by A.M. Best: (a) cyber liability / technology errors and omissions insurance with limits of not less than </w:t>
            </w:r>
            <w:r>
              <w:rPr>
                <w:b/>
                <w:sz w:val="19"/>
              </w:rPr>
              <w:t>$10,000,000 per occurrence and in the aggregate</w:t>
            </w:r>
            <w:r>
              <w:rPr>
                <w:sz w:val="19"/>
              </w:rPr>
              <w:t>, covering data breach response costs (notification, credit monitoring, identity remediation, call center, forensics), regulatory defense and penalties (including HHS OCR and State attorneys general), business interruption (including Customer's lost revenue and extra expense), network security liability and media liability; and (b) commercial general liability insurance in customary amounts. Customer shall be named as an additional insured where permissible. Cloudvance shall deliver certificates of insurance at execution, upon each renewal and upon request, and shall provide at least thirty (30) days' prior written notice of cancellation, non-renewal or material reduction in coverage." Delete the mutual obligation on Customer, or limit it to customary coverage.</w:t>
            </w:r>
          </w:p>
        </w:tc>
      </w:tr>
      <w:tr>
        <w:tc>
          <w:tcPr>
            <w:tcW w:type="dxa" w:w="2088"/>
            <w:shd w:val="clear" w:color="auto" w:fill="DCE6F1"/>
          </w:tcPr>
          <w:p>
            <w:r/>
            <w:r>
              <w:rPr>
                <w:b/>
                <w:sz w:val="19"/>
              </w:rPr>
              <w:t>Negotiation position</w:t>
            </w:r>
          </w:p>
        </w:tc>
        <w:tc>
          <w:tcPr>
            <w:tcW w:type="dxa" w:w="7272"/>
          </w:tcPr>
          <w:p>
            <w:r>
              <w:rPr>
                <w:sz w:val="19"/>
              </w:rPr>
            </w:r>
            <w:r>
              <w:rPr>
                <w:sz w:val="19"/>
              </w:rPr>
              <w:t>Must-have. Limits above $10M should be considered given the size of the patient population. The $10M SLS figure is a floor.</w:t>
            </w:r>
          </w:p>
        </w:tc>
      </w:tr>
    </w:tbl>
    <w:p>
      <w:pPr>
        <w:spacing w:after="40"/>
      </w:pPr>
    </w:p>
    <w:p>
      <w:pPr>
        <w:pStyle w:val="Heading2"/>
      </w:pPr>
      <w:r>
        <w:t>5. Data Ownership, Portability and Transition (SLS §7; MSA §§1.8, 2.3, 5.3, 6, 11.5)</w:t>
      </w:r>
    </w:p>
    <w:p>
      <w:pPr>
        <w:pStyle w:val="Heading3"/>
      </w:pPr>
      <w:r>
        <w:t>E-1  Customer Data definition carves out derived, de-identified and aggregated data</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9"/>
              </w:rPr>
              <w:t>Risk rating</w:t>
            </w:r>
          </w:p>
        </w:tc>
        <w:tc>
          <w:tcPr>
            <w:tcW w:type="dxa" w:w="7272"/>
          </w:tcPr>
          <w:p>
            <w:r>
              <w:rPr>
                <w:b/>
                <w:color w:val="E26B0A"/>
                <w:sz w:val="19"/>
              </w:rPr>
            </w:r>
            <w:r>
              <w:rPr>
                <w:b/>
                <w:color w:val="E26B0A"/>
                <w:sz w:val="19"/>
              </w:rPr>
              <w:t>High</w:t>
            </w:r>
          </w:p>
        </w:tc>
      </w:tr>
      <w:tr>
        <w:tc>
          <w:tcPr>
            <w:tcW w:type="dxa" w:w="2088"/>
            <w:shd w:val="clear" w:color="auto" w:fill="DCE6F1"/>
          </w:tcPr>
          <w:p>
            <w:r/>
            <w:r>
              <w:rPr>
                <w:b/>
                <w:sz w:val="19"/>
              </w:rPr>
              <w:t>SLS v4.2 requirement</w:t>
            </w:r>
          </w:p>
        </w:tc>
        <w:tc>
          <w:tcPr>
            <w:tcW w:type="dxa" w:w="7272"/>
          </w:tcPr>
          <w:p>
            <w:r>
              <w:rPr>
                <w:sz w:val="19"/>
              </w:rPr>
            </w:r>
            <w:r>
              <w:rPr>
                <w:sz w:val="19"/>
              </w:rPr>
              <w:t xml:space="preserve">SLS §7.1: Meridian has </w:t>
            </w:r>
            <w:r>
              <w:rPr>
                <w:b/>
                <w:sz w:val="19"/>
              </w:rPr>
              <w:t>sole and exclusive ownership</w:t>
            </w:r>
            <w:r>
              <w:rPr>
                <w:sz w:val="19"/>
              </w:rPr>
              <w:t xml:space="preserve"> of Customer Data. Customer Data includes data "provided by or on behalf of Meridian ... </w:t>
            </w:r>
            <w:r>
              <w:rPr>
                <w:b/>
                <w:sz w:val="19"/>
              </w:rPr>
              <w:t>or generated, collected, processed, or derived by the vendor</w:t>
            </w:r>
            <w:r>
              <w:rPr>
                <w:sz w:val="19"/>
              </w:rPr>
              <w:t xml:space="preserve"> in connection with the services," expressly including metadata, system configuration data and </w:t>
            </w:r>
            <w:r>
              <w:rPr>
                <w:b/>
                <w:sz w:val="19"/>
              </w:rPr>
              <w:t>usage analytics</w:t>
            </w:r>
            <w:r>
              <w:rPr>
                <w:sz w:val="19"/>
              </w:rPr>
              <w:t>.</w:t>
            </w:r>
          </w:p>
        </w:tc>
      </w:tr>
      <w:tr>
        <w:tc>
          <w:tcPr>
            <w:tcW w:type="dxa" w:w="2088"/>
            <w:shd w:val="clear" w:color="auto" w:fill="DCE6F1"/>
          </w:tcPr>
          <w:p>
            <w:r/>
            <w:r>
              <w:rPr>
                <w:b/>
                <w:sz w:val="19"/>
              </w:rPr>
              <w:t>Agreement provision</w:t>
            </w:r>
          </w:p>
        </w:tc>
        <w:tc>
          <w:tcPr>
            <w:tcW w:type="dxa" w:w="7272"/>
          </w:tcPr>
          <w:p>
            <w:r>
              <w:rPr>
                <w:sz w:val="19"/>
              </w:rPr>
            </w:r>
            <w:r>
              <w:rPr>
                <w:sz w:val="19"/>
              </w:rPr>
              <w:t xml:space="preserve">§1.8: Customer Data is limited to data "uploaded, transmitted, entered, stored, processed, or otherwise made available by or on behalf of Customer," and "does not include De-Identified Data or Aggregated Data." §6.1: Customer owns Customer Data "as between the Parties." §6.4: </w:t>
            </w:r>
            <w:r>
              <w:rPr>
                <w:b/>
                <w:sz w:val="19"/>
              </w:rPr>
              <w:t>Cloudvance owns</w:t>
            </w:r>
            <w:r>
              <w:rPr>
                <w:sz w:val="19"/>
              </w:rPr>
              <w:t xml:space="preserve"> Aggregated Data, defined as data derived from Customer's use of the Platform.</w:t>
            </w:r>
          </w:p>
        </w:tc>
      </w:tr>
      <w:tr>
        <w:tc>
          <w:tcPr>
            <w:tcW w:type="dxa" w:w="2088"/>
            <w:shd w:val="clear" w:color="auto" w:fill="DCE6F1"/>
          </w:tcPr>
          <w:p>
            <w:r/>
            <w:r>
              <w:rPr>
                <w:b/>
                <w:sz w:val="19"/>
              </w:rPr>
              <w:t>Gap / analysis</w:t>
            </w:r>
          </w:p>
        </w:tc>
        <w:tc>
          <w:tcPr>
            <w:tcW w:type="dxa" w:w="7272"/>
          </w:tcPr>
          <w:p>
            <w:r>
              <w:rPr>
                <w:sz w:val="19"/>
              </w:rPr>
            </w:r>
            <w:r>
              <w:rPr>
                <w:sz w:val="19"/>
              </w:rPr>
              <w:t>The ownership clause in §6.1 is acceptable as written. The problem is the definition it relies on. Data Cloudvance generates or derives, such as audit metadata, configuration data, usage analytics and clinical data in de-identified or aggregated form, falls outside Customer Data. That data is therefore owned by Cloudvance or unrestricted, and it is not covered by the confidentiality, retrieval and destruction protections tied to the term Customer Data.</w:t>
            </w:r>
          </w:p>
        </w:tc>
      </w:tr>
      <w:tr>
        <w:tc>
          <w:tcPr>
            <w:tcW w:type="dxa" w:w="2088"/>
            <w:shd w:val="clear" w:color="auto" w:fill="DCE6F1"/>
          </w:tcPr>
          <w:p>
            <w:r/>
            <w:r>
              <w:rPr>
                <w:b/>
                <w:sz w:val="19"/>
              </w:rPr>
              <w:t>Recommended redline</w:t>
            </w:r>
          </w:p>
        </w:tc>
        <w:tc>
          <w:tcPr>
            <w:tcW w:type="dxa" w:w="7272"/>
          </w:tcPr>
          <w:p>
            <w:r>
              <w:rPr>
                <w:sz w:val="19"/>
              </w:rPr>
            </w:r>
            <w:r>
              <w:rPr>
                <w:sz w:val="19"/>
              </w:rPr>
              <w:t xml:space="preserve">Replace the definition in §1.8 with the SLS §7.1 definition, including "all data ... generated, collected, processed or derived by Cloudvance in connection with the Services, including metadata, system configuration data and usage analytics." Delete the final sentence of §1.8. Amend §6.1 to read: "Customer shall retain </w:t>
            </w:r>
            <w:r>
              <w:rPr>
                <w:b/>
                <w:sz w:val="19"/>
              </w:rPr>
              <w:t>sole and exclusive ownership</w:t>
            </w:r>
            <w:r>
              <w:rPr>
                <w:sz w:val="19"/>
              </w:rPr>
              <w:t xml:space="preserve"> of all Customer Data at all times." Delete the second and third sentences of §6.4, which vest ownership of Aggregated Data in Cloudvance.</w:t>
            </w:r>
          </w:p>
        </w:tc>
      </w:tr>
      <w:tr>
        <w:tc>
          <w:tcPr>
            <w:tcW w:type="dxa" w:w="2088"/>
            <w:shd w:val="clear" w:color="auto" w:fill="DCE6F1"/>
          </w:tcPr>
          <w:p>
            <w:r/>
            <w:r>
              <w:rPr>
                <w:b/>
                <w:sz w:val="19"/>
              </w:rPr>
              <w:t>Negotiation position</w:t>
            </w:r>
          </w:p>
        </w:tc>
        <w:tc>
          <w:tcPr>
            <w:tcW w:type="dxa" w:w="7272"/>
          </w:tcPr>
          <w:p>
            <w:r>
              <w:rPr>
                <w:sz w:val="19"/>
              </w:rPr>
            </w:r>
            <w:r>
              <w:rPr>
                <w:sz w:val="19"/>
              </w:rPr>
              <w:t>Must-have. This change goes together with E-2.</w:t>
            </w:r>
          </w:p>
        </w:tc>
      </w:tr>
    </w:tbl>
    <w:p>
      <w:pPr>
        <w:spacing w:after="40"/>
      </w:pPr>
    </w:p>
    <w:p>
      <w:pPr>
        <w:pStyle w:val="Heading3"/>
      </w:pPr>
      <w:r>
        <w:t>E-2  Breadth of Cloudvance's data license, de-identified data and aggregated data rights</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9"/>
              </w:rPr>
              <w:t>Risk rating</w:t>
            </w:r>
          </w:p>
        </w:tc>
        <w:tc>
          <w:tcPr>
            <w:tcW w:type="dxa" w:w="7272"/>
          </w:tcPr>
          <w:p>
            <w:r>
              <w:rPr>
                <w:b/>
                <w:color w:val="C00000"/>
                <w:sz w:val="19"/>
              </w:rPr>
            </w:r>
            <w:r>
              <w:rPr>
                <w:b/>
                <w:color w:val="C00000"/>
                <w:sz w:val="19"/>
              </w:rPr>
              <w:t>Critical</w:t>
            </w:r>
          </w:p>
        </w:tc>
      </w:tr>
      <w:tr>
        <w:tc>
          <w:tcPr>
            <w:tcW w:type="dxa" w:w="2088"/>
            <w:shd w:val="clear" w:color="auto" w:fill="DCE6F1"/>
          </w:tcPr>
          <w:p>
            <w:r/>
            <w:r>
              <w:rPr>
                <w:b/>
                <w:sz w:val="19"/>
              </w:rPr>
              <w:t>SLS v4.2 requirement</w:t>
            </w:r>
          </w:p>
        </w:tc>
        <w:tc>
          <w:tcPr>
            <w:tcW w:type="dxa" w:w="7272"/>
          </w:tcPr>
          <w:p>
            <w:r>
              <w:rPr>
                <w:sz w:val="19"/>
              </w:rPr>
            </w:r>
            <w:r>
              <w:rPr>
                <w:sz w:val="19"/>
              </w:rPr>
              <w:t xml:space="preserve">SLS §7.1: the vendor may receive </w:t>
            </w:r>
            <w:r>
              <w:rPr>
                <w:b/>
                <w:sz w:val="19"/>
              </w:rPr>
              <w:t>no license beyond what is strictly necessary to perform the services</w:t>
            </w:r>
            <w:r>
              <w:rPr>
                <w:sz w:val="19"/>
              </w:rPr>
              <w:t xml:space="preserve"> during the term. The agreement may not permit (a) modification or derivative works except as needed for the services and authorized in writing; (b) product improvement, development, algorithm training or machine learning; (c) analytics, benchmarking or competitive intelligence; or (d) sublicensing, sale or third-party distribution. SLS §6.5: de-identified data may be used </w:t>
            </w:r>
            <w:r>
              <w:rPr>
                <w:b/>
                <w:sz w:val="19"/>
              </w:rPr>
              <w:t>only for purposes that directly benefit Meridian</w:t>
            </w:r>
            <w:r>
              <w:rPr>
                <w:sz w:val="19"/>
              </w:rPr>
              <w:t xml:space="preserve">. Product development, benchmarking for the vendor and sale require </w:t>
            </w:r>
            <w:r>
              <w:rPr>
                <w:b/>
                <w:sz w:val="19"/>
              </w:rPr>
              <w:t>prior written consent</w:t>
            </w:r>
            <w:r>
              <w:rPr>
                <w:sz w:val="19"/>
              </w:rPr>
              <w:t xml:space="preserve">. Meridian may </w:t>
            </w:r>
            <w:r>
              <w:rPr>
                <w:b/>
                <w:sz w:val="19"/>
              </w:rPr>
              <w:t>opt out</w:t>
            </w:r>
            <w:r>
              <w:rPr>
                <w:sz w:val="19"/>
              </w:rPr>
              <w:t xml:space="preserve"> on 30 days' notice, and the vendor must document its methodology (safe harbor or expert determination).</w:t>
            </w:r>
          </w:p>
        </w:tc>
      </w:tr>
      <w:tr>
        <w:tc>
          <w:tcPr>
            <w:tcW w:type="dxa" w:w="2088"/>
            <w:shd w:val="clear" w:color="auto" w:fill="DCE6F1"/>
          </w:tcPr>
          <w:p>
            <w:r/>
            <w:r>
              <w:rPr>
                <w:b/>
                <w:sz w:val="19"/>
              </w:rPr>
              <w:t>Agreement provision</w:t>
            </w:r>
          </w:p>
        </w:tc>
        <w:tc>
          <w:tcPr>
            <w:tcW w:type="dxa" w:w="7272"/>
          </w:tcPr>
          <w:p>
            <w:r>
              <w:rPr>
                <w:sz w:val="19"/>
              </w:rPr>
            </w:r>
            <w:r>
              <w:rPr>
                <w:sz w:val="19"/>
              </w:rPr>
              <w:t xml:space="preserve">§6.2: a "non-exclusive, royalty-free, </w:t>
            </w:r>
            <w:r>
              <w:rPr>
                <w:b/>
                <w:sz w:val="19"/>
              </w:rPr>
              <w:t>worldwide</w:t>
            </w:r>
            <w:r>
              <w:rPr>
                <w:sz w:val="19"/>
              </w:rPr>
              <w:t xml:space="preserve"> license to use, reproduce, </w:t>
            </w:r>
            <w:r>
              <w:rPr>
                <w:b/>
                <w:sz w:val="19"/>
              </w:rPr>
              <w:t>modify, and create derivative works</w:t>
            </w:r>
            <w:r>
              <w:rPr>
                <w:sz w:val="19"/>
              </w:rPr>
              <w:t xml:space="preserve"> from Customer Data for the purpose of providing </w:t>
            </w:r>
            <w:r>
              <w:rPr>
                <w:b/>
                <w:sz w:val="19"/>
              </w:rPr>
              <w:t>and improving</w:t>
            </w:r>
            <w:r>
              <w:rPr>
                <w:sz w:val="19"/>
              </w:rPr>
              <w:t xml:space="preserve"> the Services ... and to </w:t>
            </w:r>
            <w:r>
              <w:rPr>
                <w:b/>
                <w:sz w:val="19"/>
              </w:rPr>
              <w:t>enhance</w:t>
            </w:r>
            <w:r>
              <w:rPr>
                <w:sz w:val="19"/>
              </w:rPr>
              <w:t xml:space="preserve"> the functionality, performance, and quality of the Services." §6.3: Cloudvance may use, disclose and retain De-Identified Data "for product improvement and analytics ... </w:t>
            </w:r>
            <w:r>
              <w:rPr>
                <w:b/>
                <w:sz w:val="19"/>
              </w:rPr>
              <w:t>without additional consent</w:t>
            </w:r>
            <w:r>
              <w:rPr>
                <w:sz w:val="19"/>
              </w:rPr>
              <w:t xml:space="preserve">," combine it with other customers' data "for benchmarking, research, product development," and its rights </w:t>
            </w:r>
            <w:r>
              <w:rPr>
                <w:b/>
                <w:sz w:val="19"/>
              </w:rPr>
              <w:t>survive termination</w:t>
            </w:r>
            <w:r>
              <w:rPr>
                <w:sz w:val="19"/>
              </w:rPr>
              <w:t xml:space="preserve">. §6.4: Cloudvance owns Aggregated Data and may use it "for </w:t>
            </w:r>
            <w:r>
              <w:rPr>
                <w:b/>
                <w:sz w:val="19"/>
              </w:rPr>
              <w:t>any lawful business purpose</w:t>
            </w:r>
            <w:r>
              <w:rPr>
                <w:sz w:val="19"/>
              </w:rPr>
              <w:t>," including publication of industry reports. §D.4(d) incorporates §6.3 into the BAA.</w:t>
            </w:r>
          </w:p>
        </w:tc>
      </w:tr>
      <w:tr>
        <w:tc>
          <w:tcPr>
            <w:tcW w:type="dxa" w:w="2088"/>
            <w:shd w:val="clear" w:color="auto" w:fill="DCE6F1"/>
          </w:tcPr>
          <w:p>
            <w:r/>
            <w:r>
              <w:rPr>
                <w:b/>
                <w:sz w:val="19"/>
              </w:rPr>
              <w:t>Gap / analysis</w:t>
            </w:r>
          </w:p>
        </w:tc>
        <w:tc>
          <w:tcPr>
            <w:tcW w:type="dxa" w:w="7272"/>
          </w:tcPr>
          <w:p>
            <w:r>
              <w:rPr>
                <w:sz w:val="19"/>
              </w:rPr>
            </w:r>
            <w:r>
              <w:rPr>
                <w:sz w:val="19"/>
              </w:rPr>
              <w:t>Marcus Ellison's unease is well-founded. Each element of §§6.2 to 6.4 conflicts with a specific SLS prohibition. The "improving" and "enhance" language would allow Cloudvance to use identifiable PHI to develop products, including training clinical decision support or AI models, for its whole customer base. The SLS (§7.1(b)) expressly prohibits this.</w:t>
            </w:r>
          </w:p>
          <w:p>
            <w:r>
              <w:rPr>
                <w:sz w:val="19"/>
              </w:rPr>
              <w:t>§6.3 relies only on the 45 CFR §164.514(a) definition. Unlike §D.4(d), it does not require a specific §164.514(b) method, and it does not require Cloudvance to document its methodology. There is no consent right, no opt-out and no limit on disclosure to third parties.</w:t>
            </w:r>
          </w:p>
          <w:p>
            <w:r>
              <w:rPr>
                <w:sz w:val="19"/>
              </w:rPr>
              <w:t>"Aggregated Data" in §6.4 is only "anonymized" and need not meet the HIPAA de-identification standard. If that data remains PHI, using it for "any lawful business purpose" would exceed what the BAA permits. If Cloudvance were paid for it, the sale-of-PHI prohibition (42 U.S.C. §17935(d)) could be implicated. All of these rights survive termination (§11.5(e)), so Meridian's patient-derived data would continue to benefit Cloudvance indefinitely.</w:t>
            </w:r>
          </w:p>
          <w:p>
            <w:r>
              <w:rPr>
                <w:sz w:val="19"/>
              </w:rPr>
              <w:t>Related point: §2.3(c) prohibits Meridian from using "any data derived" from the Platform to develop a competing product or service. Read broadly, this could restrict Meridian's use of its own clinical data, for example in an in-house analytics build or a migration to a competitor.</w:t>
            </w:r>
          </w:p>
        </w:tc>
      </w:tr>
      <w:tr>
        <w:tc>
          <w:tcPr>
            <w:tcW w:type="dxa" w:w="2088"/>
            <w:shd w:val="clear" w:color="auto" w:fill="DCE6F1"/>
          </w:tcPr>
          <w:p>
            <w:r/>
            <w:r>
              <w:rPr>
                <w:b/>
                <w:sz w:val="19"/>
              </w:rPr>
              <w:t>Recommended redline</w:t>
            </w:r>
          </w:p>
        </w:tc>
        <w:tc>
          <w:tcPr>
            <w:tcW w:type="dxa" w:w="7272"/>
          </w:tcPr>
          <w:p>
            <w:r>
              <w:rPr>
                <w:sz w:val="19"/>
              </w:rPr>
            </w:r>
            <w:r>
              <w:rPr>
                <w:sz w:val="19"/>
              </w:rPr>
              <w:t xml:space="preserve">Replace §6.2: "Customer grants Cloudvance a limited, non-exclusive, non-transferable, non-sublicensable license during the Term to access and use Customer Data </w:t>
            </w:r>
            <w:r>
              <w:rPr>
                <w:b/>
                <w:sz w:val="19"/>
              </w:rPr>
              <w:t>solely to the extent strictly necessary to provide the Services to Customer</w:t>
            </w:r>
            <w:r>
              <w:rPr>
                <w:sz w:val="19"/>
              </w:rPr>
              <w:t>. Cloudvance shall not (a) modify Customer Data or create derivative works except as necessary to perform the Services and expressly authorized in writing by Customer; (b) use Customer Data for product improvement, product development, feature enhancement, algorithm training or machine learning; (c) use Customer Data for analytics, benchmarking, competitive intelligence or any purpose unrelated to the provision of Services to Customer; or (d) sublicense, distribute, sell or otherwise make Customer Data available to any third party except as expressly authorized in writing by Customer. This license terminates automatically upon termination or expiration, subject only to the Data Retrieval Period."</w:t>
            </w:r>
          </w:p>
          <w:p>
            <w:r>
              <w:rPr>
                <w:sz w:val="19"/>
              </w:rPr>
              <w:t xml:space="preserve">Replace §6.3: "Cloudvance may de-identify Customer Data in accordance with 45 CFR §164.514(b) or (c), and may use such De-Identified Data </w:t>
            </w:r>
            <w:r>
              <w:rPr>
                <w:b/>
                <w:sz w:val="19"/>
              </w:rPr>
              <w:t>only to provide analytics, reporting, benchmarking and dashboards to Customer</w:t>
            </w:r>
            <w:r>
              <w:rPr>
                <w:sz w:val="19"/>
              </w:rPr>
              <w:t xml:space="preserve"> in connection with the Services. Any other use, including product development, product improvement, benchmarking for Cloudvance's benefit, or sale or license to third parties, requires Customer's prior written consent, which Customer may withhold in its sole discretion. Customer may opt out of any de-identified data use on written notice, and Cloudvance shall cease such use within thirty (30) days. Cloudvance shall document its de-identification methodology and make that documentation available to Customer on request." Delete §6.4, or fold it into §6.3 under the same limits. Remove §§6.3 and 6.4 from the survival list in §11.5(e). Limit §2.3(c) to Cloudvance's software and Confidential Information, excluding Customer Data.</w:t>
            </w:r>
          </w:p>
        </w:tc>
      </w:tr>
      <w:tr>
        <w:tc>
          <w:tcPr>
            <w:tcW w:type="dxa" w:w="2088"/>
            <w:shd w:val="clear" w:color="auto" w:fill="DCE6F1"/>
          </w:tcPr>
          <w:p>
            <w:r/>
            <w:r>
              <w:rPr>
                <w:b/>
                <w:sz w:val="19"/>
              </w:rPr>
              <w:t>Negotiation position</w:t>
            </w:r>
          </w:p>
        </w:tc>
        <w:tc>
          <w:tcPr>
            <w:tcW w:type="dxa" w:w="7272"/>
          </w:tcPr>
          <w:p>
            <w:r>
              <w:rPr>
                <w:sz w:val="19"/>
              </w:rPr>
            </w:r>
            <w:r>
              <w:rPr>
                <w:sz w:val="19"/>
              </w:rPr>
              <w:t>Must-have for the §6.2 license limits and the §6.3 consent and opt-out mechanics. If Meridian's business leadership sees value in a specific benchmarking program, the right approach is for Meridian to grant a separate written consent for a defined use, which SLS §6.5(b) permits, rather than to accept the broad grant in the draft.</w:t>
            </w:r>
          </w:p>
        </w:tc>
      </w:tr>
    </w:tbl>
    <w:p>
      <w:pPr>
        <w:spacing w:after="40"/>
      </w:pPr>
    </w:p>
    <w:p>
      <w:pPr>
        <w:pStyle w:val="Heading3"/>
      </w:pPr>
      <w:r>
        <w:t>E-3  Post-termination data retrieval: 30 days, unspecified format, Meridian solely responsible</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9"/>
              </w:rPr>
              <w:t>Risk rating</w:t>
            </w:r>
          </w:p>
        </w:tc>
        <w:tc>
          <w:tcPr>
            <w:tcW w:type="dxa" w:w="7272"/>
          </w:tcPr>
          <w:p>
            <w:r>
              <w:rPr>
                <w:b/>
                <w:color w:val="C00000"/>
                <w:sz w:val="19"/>
              </w:rPr>
            </w:r>
            <w:r>
              <w:rPr>
                <w:b/>
                <w:color w:val="C00000"/>
                <w:sz w:val="19"/>
              </w:rPr>
              <w:t>Critical</w:t>
            </w:r>
          </w:p>
        </w:tc>
      </w:tr>
      <w:tr>
        <w:tc>
          <w:tcPr>
            <w:tcW w:type="dxa" w:w="2088"/>
            <w:shd w:val="clear" w:color="auto" w:fill="DCE6F1"/>
          </w:tcPr>
          <w:p>
            <w:r/>
            <w:r>
              <w:rPr>
                <w:b/>
                <w:sz w:val="19"/>
              </w:rPr>
              <w:t>SLS v4.2 requirement</w:t>
            </w:r>
          </w:p>
        </w:tc>
        <w:tc>
          <w:tcPr>
            <w:tcW w:type="dxa" w:w="7272"/>
          </w:tcPr>
          <w:p>
            <w:r>
              <w:rPr>
                <w:sz w:val="19"/>
              </w:rPr>
            </w:r>
            <w:r>
              <w:rPr>
                <w:sz w:val="19"/>
              </w:rPr>
              <w:t xml:space="preserve">SLS §7.2: a Data Retrieval Period of at least </w:t>
            </w:r>
            <w:r>
              <w:rPr>
                <w:b/>
                <w:sz w:val="19"/>
              </w:rPr>
              <w:t>90 days</w:t>
            </w:r>
            <w:r>
              <w:rPr>
                <w:sz w:val="19"/>
              </w:rPr>
              <w:t xml:space="preserve"> after termination or expiration for any reason. During that period, data must be kept secure. Data must be delivered in </w:t>
            </w:r>
            <w:r>
              <w:rPr>
                <w:b/>
                <w:sz w:val="19"/>
              </w:rPr>
              <w:t>HL7 FHIR</w:t>
            </w:r>
            <w:r>
              <w:rPr>
                <w:sz w:val="19"/>
              </w:rPr>
              <w:t xml:space="preserve"> for clinical data and </w:t>
            </w:r>
            <w:r>
              <w:rPr>
                <w:b/>
                <w:sz w:val="19"/>
              </w:rPr>
              <w:t>CSV</w:t>
            </w:r>
            <w:r>
              <w:rPr>
                <w:sz w:val="19"/>
              </w:rPr>
              <w:t xml:space="preserve"> for administrative and financial data, or other formats Meridian specifies, at no charge. No additional export fees. </w:t>
            </w:r>
            <w:r>
              <w:rPr>
                <w:b/>
                <w:sz w:val="19"/>
              </w:rPr>
              <w:t>Full cooperation with any successor vendor</w:t>
            </w:r>
            <w:r>
              <w:rPr>
                <w:sz w:val="19"/>
              </w:rPr>
              <w:t xml:space="preserve">, including data mapping and schema documentation. </w:t>
            </w:r>
            <w:r>
              <w:rPr>
                <w:b/>
                <w:sz w:val="19"/>
              </w:rPr>
              <w:t>Written confirmation</w:t>
            </w:r>
            <w:r>
              <w:rPr>
                <w:sz w:val="19"/>
              </w:rPr>
              <w:t xml:space="preserve"> that export is complete. After retrieval, destruction in line with </w:t>
            </w:r>
            <w:r>
              <w:rPr>
                <w:b/>
                <w:sz w:val="19"/>
              </w:rPr>
              <w:t>NIST SP 800-88</w:t>
            </w:r>
            <w:r>
              <w:rPr>
                <w:sz w:val="19"/>
              </w:rPr>
              <w:t xml:space="preserve">, with an officer-signed </w:t>
            </w:r>
            <w:r>
              <w:rPr>
                <w:b/>
                <w:sz w:val="19"/>
              </w:rPr>
              <w:t>certificate of destruction within 15 days</w:t>
            </w:r>
            <w:r>
              <w:rPr>
                <w:sz w:val="19"/>
              </w:rPr>
              <w:t>. SLS §7.1: no copies retained after the Retrieval Period except as required by law.</w:t>
            </w:r>
          </w:p>
        </w:tc>
      </w:tr>
      <w:tr>
        <w:tc>
          <w:tcPr>
            <w:tcW w:type="dxa" w:w="2088"/>
            <w:shd w:val="clear" w:color="auto" w:fill="DCE6F1"/>
          </w:tcPr>
          <w:p>
            <w:r/>
            <w:r>
              <w:rPr>
                <w:b/>
                <w:sz w:val="19"/>
              </w:rPr>
              <w:t>Agreement provision</w:t>
            </w:r>
          </w:p>
        </w:tc>
        <w:tc>
          <w:tcPr>
            <w:tcW w:type="dxa" w:w="7272"/>
          </w:tcPr>
          <w:p>
            <w:r>
              <w:rPr>
                <w:sz w:val="19"/>
              </w:rPr>
            </w:r>
            <w:r>
              <w:rPr>
                <w:sz w:val="19"/>
              </w:rPr>
              <w:t xml:space="preserve">§6.5: data is available "for download by Customer in a </w:t>
            </w:r>
            <w:r>
              <w:rPr>
                <w:b/>
                <w:sz w:val="19"/>
              </w:rPr>
              <w:t>commercially standard format</w:t>
            </w:r>
            <w:r>
              <w:rPr>
                <w:sz w:val="19"/>
              </w:rPr>
              <w:t xml:space="preserve">" for </w:t>
            </w:r>
            <w:r>
              <w:rPr>
                <w:b/>
                <w:sz w:val="19"/>
              </w:rPr>
              <w:t>30 days</w:t>
            </w:r>
            <w:r>
              <w:rPr>
                <w:sz w:val="19"/>
              </w:rPr>
              <w:t xml:space="preserve">. "Customer shall be </w:t>
            </w:r>
            <w:r>
              <w:rPr>
                <w:b/>
                <w:sz w:val="19"/>
              </w:rPr>
              <w:t>solely responsible</w:t>
            </w:r>
            <w:r>
              <w:rPr>
                <w:sz w:val="19"/>
              </w:rPr>
              <w:t xml:space="preserve"> for downloading and retrieving." Afterward, Cloudvance has no obligation and "may, </w:t>
            </w:r>
            <w:r>
              <w:rPr>
                <w:b/>
                <w:sz w:val="19"/>
              </w:rPr>
              <w:t>in its sole discretion</w:t>
            </w:r>
            <w:r>
              <w:rPr>
                <w:sz w:val="19"/>
              </w:rPr>
              <w:t>, delete" the data. Deletion is confirmed in writing only "upon Customer's request." §5.3 permits retention "as part of its standard backup and archival procedures." §11.5(a): all access rights terminate immediately. §D.6: return or destruction "if feasible."</w:t>
            </w:r>
          </w:p>
        </w:tc>
      </w:tr>
      <w:tr>
        <w:tc>
          <w:tcPr>
            <w:tcW w:type="dxa" w:w="2088"/>
            <w:shd w:val="clear" w:color="auto" w:fill="DCE6F1"/>
          </w:tcPr>
          <w:p>
            <w:r/>
            <w:r>
              <w:rPr>
                <w:b/>
                <w:sz w:val="19"/>
              </w:rPr>
              <w:t>Gap / analysis</w:t>
            </w:r>
          </w:p>
        </w:tc>
        <w:tc>
          <w:tcPr>
            <w:tcW w:type="dxa" w:w="7272"/>
          </w:tcPr>
          <w:p>
            <w:r>
              <w:rPr>
                <w:sz w:val="19"/>
              </w:rPr>
            </w:r>
            <w:r>
              <w:rPr>
                <w:sz w:val="19"/>
              </w:rPr>
              <w:t>This is one of the most significant operational risks in the draft. Thirty days is one-third of the SLS minimum and is unrealistic for migrating the complete longitudinal records of hundreds of thousands of patients across 58 facilities. Meridian is experiencing that difficulty now with the LegacyMed exit.</w:t>
            </w:r>
          </w:p>
          <w:p>
            <w:r>
              <w:rPr>
                <w:sz w:val="19"/>
              </w:rPr>
              <w:t>"Commercially standard format" could be satisfied by flat files or proprietary database dumps. FHIR is not guaranteed, even though Cloudvance supports FHIR R4 interfaces (Ex. A §A.2(c)). There is no export-fee prohibition and no successor-vendor cooperation. "Sole discretion" deletion, without a NIST 800-88 standard or a mandatory certificate, together with the backup-retention carve-out in §5.3, leaves PHI in Cloudvance's backups indefinitely. That is inconsistent with SLS §7.1 and with the HIPAA return-or-destroy principle.</w:t>
            </w:r>
          </w:p>
          <w:p>
            <w:r>
              <w:rPr>
                <w:sz w:val="19"/>
              </w:rPr>
              <w:t>Medical record retention obligations make this especially sensitive. Meridian must be able to produce complete records for many years after the relationship ends.</w:t>
            </w:r>
          </w:p>
        </w:tc>
      </w:tr>
      <w:tr>
        <w:tc>
          <w:tcPr>
            <w:tcW w:type="dxa" w:w="2088"/>
            <w:shd w:val="clear" w:color="auto" w:fill="DCE6F1"/>
          </w:tcPr>
          <w:p>
            <w:r/>
            <w:r>
              <w:rPr>
                <w:b/>
                <w:sz w:val="19"/>
              </w:rPr>
              <w:t>Recommended redline</w:t>
            </w:r>
          </w:p>
        </w:tc>
        <w:tc>
          <w:tcPr>
            <w:tcW w:type="dxa" w:w="7272"/>
          </w:tcPr>
          <w:p>
            <w:r>
              <w:rPr>
                <w:sz w:val="19"/>
              </w:rPr>
            </w:r>
            <w:r>
              <w:rPr>
                <w:sz w:val="19"/>
              </w:rPr>
              <w:t xml:space="preserve">Replace §6.5: "Upon expiration or termination of this Agreement for any reason, Cloudvance shall make all Customer Data available to Customer for a period of not less than </w:t>
            </w:r>
            <w:r>
              <w:rPr>
                <w:b/>
                <w:sz w:val="19"/>
              </w:rPr>
              <w:t>ninety (90) days</w:t>
            </w:r>
            <w:r>
              <w:rPr>
                <w:sz w:val="19"/>
              </w:rPr>
              <w:t xml:space="preserve"> (the "Data Retrieval Period"), during which Cloudvance shall continue to maintain the Customer Data in accordance with all security obligations of this Agreement and the BAA. At Customer's request and at no additional charge, Cloudvance shall export Customer Data (a) in </w:t>
            </w:r>
            <w:r>
              <w:rPr>
                <w:b/>
                <w:sz w:val="19"/>
              </w:rPr>
              <w:t>HL7 FHIR</w:t>
            </w:r>
            <w:r>
              <w:rPr>
                <w:sz w:val="19"/>
              </w:rPr>
              <w:t xml:space="preserve"> format (R4 or later) for all clinical data, patient records and health information, (b) in </w:t>
            </w:r>
            <w:r>
              <w:rPr>
                <w:b/>
                <w:sz w:val="19"/>
              </w:rPr>
              <w:t>CSV</w:t>
            </w:r>
            <w:r>
              <w:rPr>
                <w:sz w:val="19"/>
              </w:rPr>
              <w:t xml:space="preserve"> format for administrative, financial and other non-clinical data, and (c) in such additional formats as Customer reasonably specifies, together with data dictionaries and schema documentation. Cloudvance shall cooperate fully with Customer and any successor vendor and shall confirm in writing when the export is complete. Following the Data Retrieval Period and Customer's written confirmation that retrieval is complete, Cloudvance shall destroy all Customer Data, including backups, archives and disaster-recovery copies, in accordance with NIST SP 800-88, and shall deliver a certificate of destruction signed by an officer within fifteen (15) days of completion." Conform §5.3 (delete the backup-retention carve-out as applied to Customer Data), §11.5(c) and §D.6.</w:t>
            </w:r>
          </w:p>
        </w:tc>
      </w:tr>
      <w:tr>
        <w:tc>
          <w:tcPr>
            <w:tcW w:type="dxa" w:w="2088"/>
            <w:shd w:val="clear" w:color="auto" w:fill="DCE6F1"/>
          </w:tcPr>
          <w:p>
            <w:r/>
            <w:r>
              <w:rPr>
                <w:b/>
                <w:sz w:val="19"/>
              </w:rPr>
              <w:t>Negotiation position</w:t>
            </w:r>
          </w:p>
        </w:tc>
        <w:tc>
          <w:tcPr>
            <w:tcW w:type="dxa" w:w="7272"/>
          </w:tcPr>
          <w:p>
            <w:r>
              <w:rPr>
                <w:sz w:val="19"/>
              </w:rPr>
            </w:r>
            <w:r>
              <w:rPr>
                <w:sz w:val="19"/>
              </w:rPr>
              <w:t>Must-have. We recommend also seeking a right to extend the Data Retrieval Period on a month-to-month basis at the then-current subscription rate while migration is underway (our recommendation; not an SLS requirement).</w:t>
            </w:r>
          </w:p>
        </w:tc>
      </w:tr>
    </w:tbl>
    <w:p>
      <w:pPr>
        <w:spacing w:after="40"/>
      </w:pPr>
    </w:p>
    <w:p>
      <w:pPr>
        <w:pStyle w:val="Heading3"/>
      </w:pPr>
      <w:r>
        <w:t>E-4  No Transition Assistance Plan</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9"/>
              </w:rPr>
              <w:t>Risk rating</w:t>
            </w:r>
          </w:p>
        </w:tc>
        <w:tc>
          <w:tcPr>
            <w:tcW w:type="dxa" w:w="7272"/>
          </w:tcPr>
          <w:p>
            <w:r>
              <w:rPr>
                <w:b/>
                <w:color w:val="C00000"/>
                <w:sz w:val="19"/>
              </w:rPr>
            </w:r>
            <w:r>
              <w:rPr>
                <w:b/>
                <w:color w:val="C00000"/>
                <w:sz w:val="19"/>
              </w:rPr>
              <w:t>Critical</w:t>
            </w:r>
          </w:p>
        </w:tc>
      </w:tr>
      <w:tr>
        <w:tc>
          <w:tcPr>
            <w:tcW w:type="dxa" w:w="2088"/>
            <w:shd w:val="clear" w:color="auto" w:fill="DCE6F1"/>
          </w:tcPr>
          <w:p>
            <w:r/>
            <w:r>
              <w:rPr>
                <w:b/>
                <w:sz w:val="19"/>
              </w:rPr>
              <w:t>SLS v4.2 requirement</w:t>
            </w:r>
          </w:p>
        </w:tc>
        <w:tc>
          <w:tcPr>
            <w:tcW w:type="dxa" w:w="7272"/>
          </w:tcPr>
          <w:p>
            <w:r>
              <w:rPr>
                <w:sz w:val="19"/>
              </w:rPr>
            </w:r>
            <w:r>
              <w:rPr>
                <w:sz w:val="19"/>
              </w:rPr>
              <w:t xml:space="preserve">SLS §7.3: a </w:t>
            </w:r>
            <w:r>
              <w:rPr>
                <w:b/>
                <w:sz w:val="19"/>
              </w:rPr>
              <w:t>Transition Assistance Plan</w:t>
            </w:r>
            <w:r>
              <w:rPr>
                <w:sz w:val="19"/>
              </w:rPr>
              <w:t xml:space="preserve"> attached as an exhibit, providing up to </w:t>
            </w:r>
            <w:r>
              <w:rPr>
                <w:b/>
                <w:sz w:val="19"/>
              </w:rPr>
              <w:t>12 months</w:t>
            </w:r>
            <w:r>
              <w:rPr>
                <w:sz w:val="19"/>
              </w:rPr>
              <w:t xml:space="preserve"> of assistance at pre-agreed rates. The plan must name dedicated personnel, set a timeline and milestones, provide data mapping and schema documentation (data dictionaries, ERDs, API specifications), API access and integration support, and </w:t>
            </w:r>
            <w:r>
              <w:rPr>
                <w:b/>
                <w:sz w:val="19"/>
              </w:rPr>
              <w:t>parallel operations</w:t>
            </w:r>
            <w:r>
              <w:rPr>
                <w:sz w:val="19"/>
              </w:rPr>
              <w:t xml:space="preserve"> at agreed service levels. Assistance may </w:t>
            </w:r>
            <w:r>
              <w:rPr>
                <w:b/>
                <w:sz w:val="19"/>
              </w:rPr>
              <w:t>not be conditioned</w:t>
            </w:r>
            <w:r>
              <w:rPr>
                <w:sz w:val="19"/>
              </w:rPr>
              <w:t xml:space="preserve"> on payment of termination fees or disputed amounts. Rates are capped at published or contract rates, with escalation of no more than 3% per year. SLS §10.1: failure to provide transition assistance is a material breach.</w:t>
            </w:r>
          </w:p>
        </w:tc>
      </w:tr>
      <w:tr>
        <w:tc>
          <w:tcPr>
            <w:tcW w:type="dxa" w:w="2088"/>
            <w:shd w:val="clear" w:color="auto" w:fill="DCE6F1"/>
          </w:tcPr>
          <w:p>
            <w:r/>
            <w:r>
              <w:rPr>
                <w:b/>
                <w:sz w:val="19"/>
              </w:rPr>
              <w:t>Agreement provision</w:t>
            </w:r>
          </w:p>
        </w:tc>
        <w:tc>
          <w:tcPr>
            <w:tcW w:type="dxa" w:w="7272"/>
          </w:tcPr>
          <w:p>
            <w:r>
              <w:rPr>
                <w:sz w:val="19"/>
              </w:rPr>
            </w:r>
            <w:r>
              <w:rPr>
                <w:sz w:val="19"/>
              </w:rPr>
              <w:t>The Agreement contains no transition assistance obligation. §11.5(a) cuts off Platform access immediately on termination. The only post-termination obligation is the 30-day download window in §6.5.</w:t>
            </w:r>
          </w:p>
        </w:tc>
      </w:tr>
      <w:tr>
        <w:tc>
          <w:tcPr>
            <w:tcW w:type="dxa" w:w="2088"/>
            <w:shd w:val="clear" w:color="auto" w:fill="DCE6F1"/>
          </w:tcPr>
          <w:p>
            <w:r/>
            <w:r>
              <w:rPr>
                <w:b/>
                <w:sz w:val="19"/>
              </w:rPr>
              <w:t>Gap / analysis</w:t>
            </w:r>
          </w:p>
        </w:tc>
        <w:tc>
          <w:tcPr>
            <w:tcW w:type="dxa" w:w="7272"/>
          </w:tcPr>
          <w:p>
            <w:r>
              <w:rPr>
                <w:sz w:val="19"/>
              </w:rPr>
            </w:r>
            <w:r>
              <w:rPr>
                <w:sz w:val="19"/>
              </w:rPr>
              <w:t>An EHR cannot be switched off overnight. Without contractual transition support, Meridian would have little leverage at exit. Cloudvance could price transition services at will, or decline to provide them, while Meridian's clinical operations depend on uninterrupted access. Under §4.4, Cloudvance could also suspend access over a payment dispute (see J-2).</w:t>
            </w:r>
          </w:p>
        </w:tc>
      </w:tr>
      <w:tr>
        <w:tc>
          <w:tcPr>
            <w:tcW w:type="dxa" w:w="2088"/>
            <w:shd w:val="clear" w:color="auto" w:fill="DCE6F1"/>
          </w:tcPr>
          <w:p>
            <w:r/>
            <w:r>
              <w:rPr>
                <w:b/>
                <w:sz w:val="19"/>
              </w:rPr>
              <w:t>Recommended redline</w:t>
            </w:r>
          </w:p>
        </w:tc>
        <w:tc>
          <w:tcPr>
            <w:tcW w:type="dxa" w:w="7272"/>
          </w:tcPr>
          <w:p>
            <w:r>
              <w:rPr>
                <w:sz w:val="19"/>
              </w:rPr>
            </w:r>
            <w:r>
              <w:rPr>
                <w:sz w:val="19"/>
              </w:rPr>
              <w:t>Insert new §11.7 and Exhibit F (Transition Assistance Plan): "Upon expiration or any termination (including termination by Cloudvance for Customer's breach), and upon Customer's request, Cloudvance shall provide transition assistance for up to twelve (12) months in accordance with Exhibit F, including continued operation of the Platform at the service levels in Exhibit C during any parallel-operations period, at the rates in Exhibit F (not to exceed Cloudvance's then-current published professional services rates, and escalating by no more than 3% per year). Cloudvance shall not condition transition assistance on payment of any termination fee or disputed amount." Exhibit F should list named transition roles, milestones, deliverables (data dictionaries, ERDs, API specifications) and the API access to be provided.</w:t>
            </w:r>
          </w:p>
        </w:tc>
      </w:tr>
      <w:tr>
        <w:tc>
          <w:tcPr>
            <w:tcW w:type="dxa" w:w="2088"/>
            <w:shd w:val="clear" w:color="auto" w:fill="DCE6F1"/>
          </w:tcPr>
          <w:p>
            <w:r/>
            <w:r>
              <w:rPr>
                <w:b/>
                <w:sz w:val="19"/>
              </w:rPr>
              <w:t>Negotiation position</w:t>
            </w:r>
          </w:p>
        </w:tc>
        <w:tc>
          <w:tcPr>
            <w:tcW w:type="dxa" w:w="7272"/>
          </w:tcPr>
          <w:p>
            <w:r>
              <w:rPr>
                <w:sz w:val="19"/>
              </w:rPr>
            </w:r>
            <w:r>
              <w:rPr>
                <w:sz w:val="19"/>
              </w:rPr>
              <w:t>Must-have. The plan exhibit will take time to negotiate, so we recommend starting it now rather than leaving it for after signing.</w:t>
            </w:r>
          </w:p>
        </w:tc>
      </w:tr>
    </w:tbl>
    <w:p>
      <w:pPr>
        <w:spacing w:after="40"/>
      </w:pPr>
    </w:p>
    <w:p>
      <w:pPr>
        <w:pStyle w:val="Heading2"/>
      </w:pPr>
      <w:r>
        <w:t>6. Subcontractors and Data Hosting (SLS §8; MSA §7; Ex. D §D.3(d); Ex. E §E.6)</w:t>
      </w:r>
    </w:p>
    <w:p>
      <w:pPr>
        <w:pStyle w:val="Heading3"/>
      </w:pPr>
      <w:r>
        <w:t>S-1  Subcontractor engagement: notice after the fact instead of prior written consent</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9"/>
              </w:rPr>
              <w:t>Risk rating</w:t>
            </w:r>
          </w:p>
        </w:tc>
        <w:tc>
          <w:tcPr>
            <w:tcW w:type="dxa" w:w="7272"/>
          </w:tcPr>
          <w:p>
            <w:r>
              <w:rPr>
                <w:b/>
                <w:color w:val="E26B0A"/>
                <w:sz w:val="19"/>
              </w:rPr>
            </w:r>
            <w:r>
              <w:rPr>
                <w:b/>
                <w:color w:val="E26B0A"/>
                <w:sz w:val="19"/>
              </w:rPr>
              <w:t>High</w:t>
            </w:r>
          </w:p>
        </w:tc>
      </w:tr>
      <w:tr>
        <w:tc>
          <w:tcPr>
            <w:tcW w:type="dxa" w:w="2088"/>
            <w:shd w:val="clear" w:color="auto" w:fill="DCE6F1"/>
          </w:tcPr>
          <w:p>
            <w:r/>
            <w:r>
              <w:rPr>
                <w:b/>
                <w:sz w:val="19"/>
              </w:rPr>
              <w:t>SLS v4.2 requirement</w:t>
            </w:r>
          </w:p>
        </w:tc>
        <w:tc>
          <w:tcPr>
            <w:tcW w:type="dxa" w:w="7272"/>
          </w:tcPr>
          <w:p>
            <w:r>
              <w:rPr>
                <w:sz w:val="19"/>
              </w:rPr>
            </w:r>
            <w:r>
              <w:rPr>
                <w:sz w:val="19"/>
              </w:rPr>
              <w:t xml:space="preserve">SLS §8.1: </w:t>
            </w:r>
            <w:r>
              <w:rPr>
                <w:b/>
                <w:sz w:val="19"/>
              </w:rPr>
              <w:t>prior written consent</w:t>
            </w:r>
            <w:r>
              <w:rPr>
                <w:sz w:val="19"/>
              </w:rPr>
              <w:t xml:space="preserve"> for any subcontractor or sub-processor that touches Customer Data, requested at least </w:t>
            </w:r>
            <w:r>
              <w:rPr>
                <w:b/>
                <w:sz w:val="19"/>
              </w:rPr>
              <w:t>30 days before</w:t>
            </w:r>
            <w:r>
              <w:rPr>
                <w:sz w:val="19"/>
              </w:rPr>
              <w:t xml:space="preserve"> engagement. The request must include identity and location, data scope, SOC 2, HITRUST and penetration testing status, and a copy of the subcontract or DPA. Meridian may </w:t>
            </w:r>
            <w:r>
              <w:rPr>
                <w:b/>
                <w:sz w:val="19"/>
              </w:rPr>
              <w:t>object within 15 days</w:t>
            </w:r>
            <w:r>
              <w:rPr>
                <w:sz w:val="19"/>
              </w:rPr>
              <w:t xml:space="preserve">, and the vendor may then not use the subcontractor. Engaging a subcontractor without consent is a </w:t>
            </w:r>
            <w:r>
              <w:rPr>
                <w:b/>
                <w:sz w:val="19"/>
              </w:rPr>
              <w:t>material breach</w:t>
            </w:r>
            <w:r>
              <w:rPr>
                <w:sz w:val="19"/>
              </w:rPr>
              <w:t>.</w:t>
            </w:r>
          </w:p>
        </w:tc>
      </w:tr>
      <w:tr>
        <w:tc>
          <w:tcPr>
            <w:tcW w:type="dxa" w:w="2088"/>
            <w:shd w:val="clear" w:color="auto" w:fill="DCE6F1"/>
          </w:tcPr>
          <w:p>
            <w:r/>
            <w:r>
              <w:rPr>
                <w:b/>
                <w:sz w:val="19"/>
              </w:rPr>
              <w:t>Agreement provision</w:t>
            </w:r>
          </w:p>
        </w:tc>
        <w:tc>
          <w:tcPr>
            <w:tcW w:type="dxa" w:w="7272"/>
          </w:tcPr>
          <w:p>
            <w:r>
              <w:rPr>
                <w:sz w:val="19"/>
              </w:rPr>
            </w:r>
            <w:r>
              <w:rPr>
                <w:sz w:val="19"/>
              </w:rPr>
              <w:t xml:space="preserve">§7.1: Cloudvance may engage new or replacement Subcontractors "without the prior written consent of Customer," giving notice </w:t>
            </w:r>
            <w:r>
              <w:rPr>
                <w:b/>
                <w:sz w:val="19"/>
              </w:rPr>
              <w:t>within 30 days after</w:t>
            </w:r>
            <w:r>
              <w:rPr>
                <w:sz w:val="19"/>
              </w:rPr>
              <w:t xml:space="preserve"> engagement. Meridian's "</w:t>
            </w:r>
            <w:r>
              <w:rPr>
                <w:b/>
                <w:sz w:val="19"/>
              </w:rPr>
              <w:t>sole remedy</w:t>
            </w:r>
            <w:r>
              <w:rPr>
                <w:sz w:val="19"/>
              </w:rPr>
              <w:t>" is to object within 15 days, after which the parties "confer in good faith." Stratos is acknowledged as the incumbent hosting Subcontractor.</w:t>
            </w:r>
          </w:p>
        </w:tc>
      </w:tr>
      <w:tr>
        <w:tc>
          <w:tcPr>
            <w:tcW w:type="dxa" w:w="2088"/>
            <w:shd w:val="clear" w:color="auto" w:fill="DCE6F1"/>
          </w:tcPr>
          <w:p>
            <w:r/>
            <w:r>
              <w:rPr>
                <w:b/>
                <w:sz w:val="19"/>
              </w:rPr>
              <w:t>Gap / analysis</w:t>
            </w:r>
          </w:p>
        </w:tc>
        <w:tc>
          <w:tcPr>
            <w:tcW w:type="dxa" w:w="7272"/>
          </w:tcPr>
          <w:p>
            <w:r>
              <w:rPr>
                <w:sz w:val="19"/>
              </w:rPr>
            </w:r>
            <w:r>
              <w:rPr>
                <w:sz w:val="19"/>
              </w:rPr>
              <w:t>Meridian could first learn of a new PHI sub-processor, including an offshore support vendor, up to 30 days after that vendor has started handling Meridian's data. Meridian would have no right to block it. This is the reverse of the SLS model. The §7.1 acknowledgment also pre-approves Stratos without any of the diligence materials SLS §8.1 requires.</w:t>
            </w:r>
          </w:p>
        </w:tc>
      </w:tr>
      <w:tr>
        <w:tc>
          <w:tcPr>
            <w:tcW w:type="dxa" w:w="2088"/>
            <w:shd w:val="clear" w:color="auto" w:fill="DCE6F1"/>
          </w:tcPr>
          <w:p>
            <w:r/>
            <w:r>
              <w:rPr>
                <w:b/>
                <w:sz w:val="19"/>
              </w:rPr>
              <w:t>Recommended redline</w:t>
            </w:r>
          </w:p>
        </w:tc>
        <w:tc>
          <w:tcPr>
            <w:tcW w:type="dxa" w:w="7272"/>
          </w:tcPr>
          <w:p>
            <w:r>
              <w:rPr>
                <w:sz w:val="19"/>
              </w:rPr>
            </w:r>
            <w:r>
              <w:rPr>
                <w:sz w:val="19"/>
              </w:rPr>
              <w:t xml:space="preserve">Replace the third through fifth sentences of §7.1: "Cloudvance shall not engage any Subcontractor that will access, process, store or transmit Customer Data without Customer's </w:t>
            </w:r>
            <w:r>
              <w:rPr>
                <w:b/>
                <w:sz w:val="19"/>
              </w:rPr>
              <w:t>prior written consent</w:t>
            </w:r>
            <w:r>
              <w:rPr>
                <w:sz w:val="19"/>
              </w:rPr>
              <w:t>. Cloudvance shall submit a request at least thirty (30) days before the proposed engagement, including the Subcontractor's legal name, principal place of business and service locations, the scope of Customer Data involved, its SOC 2 Type II, HITRUST CSF and recent penetration testing results, and a copy of the proposed subcontract or BAA. Customer may object within fifteen (15) days of receiving a complete request, in which case Cloudvance shall not use that Subcontractor for Customer Data. Engagement of a Subcontractor in breach of this Section is a material breach." Make Customer's acceptance of Stratos conditional on delivery of the SLS §8.1(a) to (d) materials before signing.</w:t>
            </w:r>
          </w:p>
        </w:tc>
      </w:tr>
      <w:tr>
        <w:tc>
          <w:tcPr>
            <w:tcW w:type="dxa" w:w="2088"/>
            <w:shd w:val="clear" w:color="auto" w:fill="DCE6F1"/>
          </w:tcPr>
          <w:p>
            <w:r/>
            <w:r>
              <w:rPr>
                <w:b/>
                <w:sz w:val="19"/>
              </w:rPr>
              <w:t>Negotiation position</w:t>
            </w:r>
          </w:p>
        </w:tc>
        <w:tc>
          <w:tcPr>
            <w:tcW w:type="dxa" w:w="7272"/>
          </w:tcPr>
          <w:p>
            <w:r>
              <w:rPr>
                <w:sz w:val="19"/>
              </w:rPr>
            </w:r>
            <w:r>
              <w:rPr>
                <w:sz w:val="19"/>
              </w:rPr>
              <w:t>Must-have. Cloudvance may push back that a multi-tenant platform cannot accommodate customer-specific vetoes. A possible deviation (requiring CISO and VP approval) would be a right to terminate without fee if Meridian reasonably objects and Cloudvance proceeds anyway.</w:t>
            </w:r>
          </w:p>
        </w:tc>
      </w:tr>
    </w:tbl>
    <w:p>
      <w:pPr>
        <w:spacing w:after="40"/>
      </w:pPr>
    </w:p>
    <w:p>
      <w:pPr>
        <w:pStyle w:val="Heading3"/>
      </w:pPr>
      <w:r>
        <w:t>S-2  Flow-down obligations and Stratos visibility</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9"/>
              </w:rPr>
              <w:t>Risk rating</w:t>
            </w:r>
          </w:p>
        </w:tc>
        <w:tc>
          <w:tcPr>
            <w:tcW w:type="dxa" w:w="7272"/>
          </w:tcPr>
          <w:p>
            <w:r>
              <w:rPr>
                <w:b/>
                <w:color w:val="E26B0A"/>
                <w:sz w:val="19"/>
              </w:rPr>
            </w:r>
            <w:r>
              <w:rPr>
                <w:b/>
                <w:color w:val="E26B0A"/>
                <w:sz w:val="19"/>
              </w:rPr>
              <w:t>High</w:t>
            </w:r>
          </w:p>
        </w:tc>
      </w:tr>
      <w:tr>
        <w:tc>
          <w:tcPr>
            <w:tcW w:type="dxa" w:w="2088"/>
            <w:shd w:val="clear" w:color="auto" w:fill="DCE6F1"/>
          </w:tcPr>
          <w:p>
            <w:r/>
            <w:r>
              <w:rPr>
                <w:b/>
                <w:sz w:val="19"/>
              </w:rPr>
              <w:t>SLS v4.2 requirement</w:t>
            </w:r>
          </w:p>
        </w:tc>
        <w:tc>
          <w:tcPr>
            <w:tcW w:type="dxa" w:w="7272"/>
          </w:tcPr>
          <w:p>
            <w:r>
              <w:rPr>
                <w:sz w:val="19"/>
              </w:rPr>
            </w:r>
            <w:r>
              <w:rPr>
                <w:sz w:val="19"/>
              </w:rPr>
              <w:t xml:space="preserve">SLS §8.2: subcontract terms must be </w:t>
            </w:r>
            <w:r>
              <w:rPr>
                <w:b/>
                <w:sz w:val="19"/>
              </w:rPr>
              <w:t>at least as protective</w:t>
            </w:r>
            <w:r>
              <w:rPr>
                <w:sz w:val="19"/>
              </w:rPr>
              <w:t xml:space="preserve"> as the vendor agreement, covering (a) security, privacy and HIPAA/HITECH, including a </w:t>
            </w:r>
            <w:r>
              <w:rPr>
                <w:b/>
                <w:sz w:val="19"/>
              </w:rPr>
              <w:t>subcontractor BAA</w:t>
            </w:r>
            <w:r>
              <w:rPr>
                <w:sz w:val="19"/>
              </w:rPr>
              <w:t xml:space="preserve">; (b) the </w:t>
            </w:r>
            <w:r>
              <w:rPr>
                <w:b/>
                <w:sz w:val="19"/>
              </w:rPr>
              <w:t>same service levels</w:t>
            </w:r>
            <w:r>
              <w:rPr>
                <w:sz w:val="19"/>
              </w:rPr>
              <w:t xml:space="preserve">; (c) </w:t>
            </w:r>
            <w:r>
              <w:rPr>
                <w:b/>
                <w:sz w:val="19"/>
              </w:rPr>
              <w:t>audit rights for Meridian</w:t>
            </w:r>
            <w:r>
              <w:rPr>
                <w:sz w:val="19"/>
              </w:rPr>
              <w:t>; (d) data handling, portability and destruction; and (e) confidentiality. The vendor is fully liable for subcontractors, must make subcontracts available on request and must notify Meridian of subcontractor breaches.</w:t>
            </w:r>
          </w:p>
        </w:tc>
      </w:tr>
      <w:tr>
        <w:tc>
          <w:tcPr>
            <w:tcW w:type="dxa" w:w="2088"/>
            <w:shd w:val="clear" w:color="auto" w:fill="DCE6F1"/>
          </w:tcPr>
          <w:p>
            <w:r/>
            <w:r>
              <w:rPr>
                <w:b/>
                <w:sz w:val="19"/>
              </w:rPr>
              <w:t>Agreement provision</w:t>
            </w:r>
          </w:p>
        </w:tc>
        <w:tc>
          <w:tcPr>
            <w:tcW w:type="dxa" w:w="7272"/>
          </w:tcPr>
          <w:p>
            <w:r>
              <w:rPr>
                <w:sz w:val="19"/>
              </w:rPr>
            </w:r>
            <w:r>
              <w:rPr>
                <w:sz w:val="19"/>
              </w:rPr>
              <w:t>§7.2: Cloudvance is responsible and liable for Subcontractors and will enter into agreements "</w:t>
            </w:r>
            <w:r>
              <w:rPr>
                <w:b/>
                <w:sz w:val="19"/>
              </w:rPr>
              <w:t>sufficient to enable Cloudvance to comply</w:t>
            </w:r>
            <w:r>
              <w:rPr>
                <w:sz w:val="19"/>
              </w:rPr>
              <w:t xml:space="preserve"> with its obligations." §D.3(d): PHI subcontractors agree in writing to "the same restrictions, conditions, and requirements" as the BAA.</w:t>
            </w:r>
          </w:p>
        </w:tc>
      </w:tr>
      <w:tr>
        <w:tc>
          <w:tcPr>
            <w:tcW w:type="dxa" w:w="2088"/>
            <w:shd w:val="clear" w:color="auto" w:fill="DCE6F1"/>
          </w:tcPr>
          <w:p>
            <w:r/>
            <w:r>
              <w:rPr>
                <w:b/>
                <w:sz w:val="19"/>
              </w:rPr>
              <w:t>Gap / analysis</w:t>
            </w:r>
          </w:p>
        </w:tc>
        <w:tc>
          <w:tcPr>
            <w:tcW w:type="dxa" w:w="7272"/>
          </w:tcPr>
          <w:p>
            <w:r>
              <w:rPr>
                <w:sz w:val="19"/>
              </w:rPr>
            </w:r>
            <w:r>
              <w:rPr>
                <w:sz w:val="19"/>
              </w:rPr>
              <w:t>The liability language in §7.2 and the PHI flow-down in §D.3(d) meet part of the SLS. The "sufficient to enable" standard is weaker than "at least as protective." There is also no flow-down of service levels, Meridian audit rights or destruction obligations, and no right to review the Stratos agreement. The value of §7.2 is reduced by §15.1, which treats hosting failures as force majeure (A-6), and by §C.7, which extends resolution times when resolution depends on third-party vendors.</w:t>
            </w:r>
          </w:p>
        </w:tc>
      </w:tr>
      <w:tr>
        <w:tc>
          <w:tcPr>
            <w:tcW w:type="dxa" w:w="2088"/>
            <w:shd w:val="clear" w:color="auto" w:fill="DCE6F1"/>
          </w:tcPr>
          <w:p>
            <w:r/>
            <w:r>
              <w:rPr>
                <w:b/>
                <w:sz w:val="19"/>
              </w:rPr>
              <w:t>Recommended redline</w:t>
            </w:r>
          </w:p>
        </w:tc>
        <w:tc>
          <w:tcPr>
            <w:tcW w:type="dxa" w:w="7272"/>
          </w:tcPr>
          <w:p>
            <w:r>
              <w:rPr>
                <w:sz w:val="19"/>
              </w:rPr>
            </w:r>
            <w:r>
              <w:rPr>
                <w:sz w:val="19"/>
              </w:rPr>
              <w:t xml:space="preserve">Amend the last sentence of §7.2: "Cloudvance shall bind each Subcontractor by written agreement to obligations </w:t>
            </w:r>
            <w:r>
              <w:rPr>
                <w:b/>
                <w:sz w:val="19"/>
              </w:rPr>
              <w:t>at least as protective of Customer</w:t>
            </w:r>
            <w:r>
              <w:rPr>
                <w:sz w:val="19"/>
              </w:rPr>
              <w:t xml:space="preserve"> as those in this Agreement, including a subcontractor business associate agreement compliant with HIPAA/HITECH, service level commitments sufficient to support Exhibit C, audit rights exercisable by Cloudvance and Customer, and the data handling, portability, destruction and confidentiality obligations of this Agreement. Cloudvance shall make such agreements available to Customer on request and shall promptly notify Customer of any Subcontractor breach or non-compliance affecting Customer Data. Failures of Subcontractors shall not excuse Cloudvance's performance."</w:t>
            </w:r>
          </w:p>
        </w:tc>
      </w:tr>
      <w:tr>
        <w:tc>
          <w:tcPr>
            <w:tcW w:type="dxa" w:w="2088"/>
            <w:shd w:val="clear" w:color="auto" w:fill="DCE6F1"/>
          </w:tcPr>
          <w:p>
            <w:r/>
            <w:r>
              <w:rPr>
                <w:b/>
                <w:sz w:val="19"/>
              </w:rPr>
              <w:t>Negotiation position</w:t>
            </w:r>
          </w:p>
        </w:tc>
        <w:tc>
          <w:tcPr>
            <w:tcW w:type="dxa" w:w="7272"/>
          </w:tcPr>
          <w:p>
            <w:r>
              <w:rPr>
                <w:sz w:val="19"/>
              </w:rPr>
            </w:r>
            <w:r>
              <w:rPr>
                <w:sz w:val="19"/>
              </w:rPr>
              <w:t>Must-have. As part of diligence, request the Stratos SOC 2 and HITRUST reports, the Cloudvance–Stratos BAA and the data center list now.</w:t>
            </w:r>
          </w:p>
        </w:tc>
      </w:tr>
    </w:tbl>
    <w:p>
      <w:pPr>
        <w:spacing w:after="40"/>
      </w:pPr>
    </w:p>
    <w:p>
      <w:pPr>
        <w:pStyle w:val="Heading3"/>
      </w:pPr>
      <w:r>
        <w:t>S-3  Hosting location: any Stratos U.S. data center, movable at Cloudvance's discretion</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9"/>
              </w:rPr>
              <w:t>Risk rating</w:t>
            </w:r>
          </w:p>
        </w:tc>
        <w:tc>
          <w:tcPr>
            <w:tcW w:type="dxa" w:w="7272"/>
          </w:tcPr>
          <w:p>
            <w:r>
              <w:rPr>
                <w:b/>
                <w:color w:val="BF8F00"/>
                <w:sz w:val="19"/>
              </w:rPr>
            </w:r>
            <w:r>
              <w:rPr>
                <w:b/>
                <w:color w:val="BF8F00"/>
                <w:sz w:val="19"/>
              </w:rPr>
              <w:t>Medium</w:t>
            </w:r>
          </w:p>
        </w:tc>
      </w:tr>
      <w:tr>
        <w:tc>
          <w:tcPr>
            <w:tcW w:type="dxa" w:w="2088"/>
            <w:shd w:val="clear" w:color="auto" w:fill="DCE6F1"/>
          </w:tcPr>
          <w:p>
            <w:r/>
            <w:r>
              <w:rPr>
                <w:b/>
                <w:sz w:val="19"/>
              </w:rPr>
              <w:t>SLS v4.2 requirement</w:t>
            </w:r>
          </w:p>
        </w:tc>
        <w:tc>
          <w:tcPr>
            <w:tcW w:type="dxa" w:w="7272"/>
          </w:tcPr>
          <w:p>
            <w:r>
              <w:rPr>
                <w:sz w:val="19"/>
              </w:rPr>
            </w:r>
            <w:r>
              <w:rPr>
                <w:sz w:val="19"/>
              </w:rPr>
              <w:t xml:space="preserve">SLS §8.3: data may be hosted only in locations </w:t>
            </w:r>
            <w:r>
              <w:rPr>
                <w:b/>
                <w:sz w:val="19"/>
              </w:rPr>
              <w:t>approved in writing and listed by city and state</w:t>
            </w:r>
            <w:r>
              <w:rPr>
                <w:sz w:val="19"/>
              </w:rPr>
              <w:t xml:space="preserve"> in a schedule. Data may not be moved or replicated to an unlisted site without </w:t>
            </w:r>
            <w:r>
              <w:rPr>
                <w:b/>
                <w:sz w:val="19"/>
              </w:rPr>
              <w:t>90 days' notice and consent</w:t>
            </w:r>
            <w:r>
              <w:rPr>
                <w:sz w:val="19"/>
              </w:rPr>
              <w:t xml:space="preserve">, which Meridian may withhold in its sole discretion. Data must remain in the </w:t>
            </w:r>
            <w:r>
              <w:rPr>
                <w:b/>
                <w:sz w:val="19"/>
              </w:rPr>
              <w:t>continental United States</w:t>
            </w:r>
            <w:r>
              <w:rPr>
                <w:sz w:val="19"/>
              </w:rPr>
              <w:t xml:space="preserve"> and may not be hosted, processed, stored </w:t>
            </w:r>
            <w:r>
              <w:rPr>
                <w:b/>
                <w:sz w:val="19"/>
              </w:rPr>
              <w:t>or accessed</w:t>
            </w:r>
            <w:r>
              <w:rPr>
                <w:sz w:val="19"/>
              </w:rPr>
              <w:t xml:space="preserve"> from outside it without consent.</w:t>
            </w:r>
          </w:p>
        </w:tc>
      </w:tr>
      <w:tr>
        <w:tc>
          <w:tcPr>
            <w:tcW w:type="dxa" w:w="2088"/>
            <w:shd w:val="clear" w:color="auto" w:fill="DCE6F1"/>
          </w:tcPr>
          <w:p>
            <w:r/>
            <w:r>
              <w:rPr>
                <w:b/>
                <w:sz w:val="19"/>
              </w:rPr>
              <w:t>Agreement provision</w:t>
            </w:r>
          </w:p>
        </w:tc>
        <w:tc>
          <w:tcPr>
            <w:tcW w:type="dxa" w:w="7272"/>
          </w:tcPr>
          <w:p>
            <w:r>
              <w:rPr>
                <w:sz w:val="19"/>
              </w:rPr>
            </w:r>
            <w:r>
              <w:rPr>
                <w:sz w:val="19"/>
              </w:rPr>
              <w:t>§7.3: data may be hosted in "any Stratos Cloud Services data center located in the United States." Cloudvance may move data between Stratos U.S. data centers "at its discretion." Transfer or storage outside the U.S. requires consent. §E.6: backups are kept in geographically separate Stratos U.S. locations.</w:t>
            </w:r>
          </w:p>
        </w:tc>
      </w:tr>
      <w:tr>
        <w:tc>
          <w:tcPr>
            <w:tcW w:type="dxa" w:w="2088"/>
            <w:shd w:val="clear" w:color="auto" w:fill="DCE6F1"/>
          </w:tcPr>
          <w:p>
            <w:r/>
            <w:r>
              <w:rPr>
                <w:b/>
                <w:sz w:val="19"/>
              </w:rPr>
              <w:t>Gap / analysis</w:t>
            </w:r>
          </w:p>
        </w:tc>
        <w:tc>
          <w:tcPr>
            <w:tcW w:type="dxa" w:w="7272"/>
          </w:tcPr>
          <w:p>
            <w:r>
              <w:rPr>
                <w:sz w:val="19"/>
              </w:rPr>
            </w:r>
            <w:r>
              <w:rPr>
                <w:sz w:val="19"/>
              </w:rPr>
              <w:t xml:space="preserve">There is no schedule of approved sites, no notice or consent for moves, and no restriction on </w:t>
            </w:r>
            <w:r>
              <w:rPr>
                <w:b/>
                <w:sz w:val="19"/>
              </w:rPr>
              <w:t>remote access</w:t>
            </w:r>
            <w:r>
              <w:rPr>
                <w:sz w:val="19"/>
              </w:rPr>
              <w:t xml:space="preserve"> from outside the U.S. (for example, by offshore support personnel). "United States" could include non-continental states and territories. Moving data within Stratos also changes the subcontractor risk profile without Meridian's knowledge.</w:t>
            </w:r>
          </w:p>
        </w:tc>
      </w:tr>
      <w:tr>
        <w:tc>
          <w:tcPr>
            <w:tcW w:type="dxa" w:w="2088"/>
            <w:shd w:val="clear" w:color="auto" w:fill="DCE6F1"/>
          </w:tcPr>
          <w:p>
            <w:r/>
            <w:r>
              <w:rPr>
                <w:b/>
                <w:sz w:val="19"/>
              </w:rPr>
              <w:t>Recommended redline</w:t>
            </w:r>
          </w:p>
        </w:tc>
        <w:tc>
          <w:tcPr>
            <w:tcW w:type="dxa" w:w="7272"/>
          </w:tcPr>
          <w:p>
            <w:r>
              <w:rPr>
                <w:sz w:val="19"/>
              </w:rPr>
            </w:r>
            <w:r>
              <w:rPr>
                <w:sz w:val="19"/>
              </w:rPr>
              <w:t xml:space="preserve">Replace §7.3: "Customer Data (including backups) shall be hosted, processed and stored only at the data center locations listed by city and state in </w:t>
            </w:r>
            <w:r>
              <w:rPr>
                <w:b/>
                <w:sz w:val="19"/>
              </w:rPr>
              <w:t>Schedule 7.3</w:t>
            </w:r>
            <w:r>
              <w:rPr>
                <w:sz w:val="19"/>
              </w:rPr>
              <w:t xml:space="preserve">, each approved in writing by Customer. Cloudvance shall not migrate, replicate or transfer Customer Data to any other location without at least ninety (90) days' prior written notice and Customer's prior written consent, which Customer may withhold in its sole discretion. Customer Data shall at all times remain within the continental United States and shall not be hosted, processed, stored or </w:t>
            </w:r>
            <w:r>
              <w:rPr>
                <w:b/>
                <w:sz w:val="19"/>
              </w:rPr>
              <w:t>accessed</w:t>
            </w:r>
            <w:r>
              <w:rPr>
                <w:sz w:val="19"/>
              </w:rPr>
              <w:t xml:space="preserve"> from any location outside the continental United States without Customer's prior written consent."</w:t>
            </w:r>
          </w:p>
        </w:tc>
      </w:tr>
      <w:tr>
        <w:tc>
          <w:tcPr>
            <w:tcW w:type="dxa" w:w="2088"/>
            <w:shd w:val="clear" w:color="auto" w:fill="DCE6F1"/>
          </w:tcPr>
          <w:p>
            <w:r/>
            <w:r>
              <w:rPr>
                <w:b/>
                <w:sz w:val="19"/>
              </w:rPr>
              <w:t>Negotiation position</w:t>
            </w:r>
          </w:p>
        </w:tc>
        <w:tc>
          <w:tcPr>
            <w:tcW w:type="dxa" w:w="7272"/>
          </w:tcPr>
          <w:p>
            <w:r>
              <w:rPr>
                <w:sz w:val="19"/>
              </w:rPr>
            </w:r>
            <w:r>
              <w:rPr>
                <w:sz w:val="19"/>
              </w:rPr>
              <w:t>Must-have for the offshore-access restriction and the schedule of sites. On moves between listed Stratos sites, a 30-day notice period could be considered as a fallback, which would be a deviation.</w:t>
            </w:r>
          </w:p>
        </w:tc>
      </w:tr>
    </w:tbl>
    <w:p>
      <w:pPr>
        <w:spacing w:after="40"/>
      </w:pPr>
    </w:p>
    <w:p>
      <w:pPr>
        <w:pStyle w:val="Heading2"/>
      </w:pPr>
      <w:r>
        <w:t>7. Limitation of Liability and Indemnification (SLS §9; MSA §§8.2, 9, 10)</w:t>
      </w:r>
    </w:p>
    <w:p>
      <w:pPr>
        <w:pStyle w:val="Heading3"/>
      </w:pPr>
      <w:r>
        <w:t>F-1  Liability cap: 12 months of subscription fees ($6.84M) versus 24 months of total fees ($15.48M)</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9"/>
              </w:rPr>
              <w:t>Risk rating</w:t>
            </w:r>
          </w:p>
        </w:tc>
        <w:tc>
          <w:tcPr>
            <w:tcW w:type="dxa" w:w="7272"/>
          </w:tcPr>
          <w:p>
            <w:r>
              <w:rPr>
                <w:b/>
                <w:color w:val="C00000"/>
                <w:sz w:val="19"/>
              </w:rPr>
            </w:r>
            <w:r>
              <w:rPr>
                <w:b/>
                <w:color w:val="C00000"/>
                <w:sz w:val="19"/>
              </w:rPr>
              <w:t>Critical</w:t>
            </w:r>
          </w:p>
        </w:tc>
      </w:tr>
      <w:tr>
        <w:tc>
          <w:tcPr>
            <w:tcW w:type="dxa" w:w="2088"/>
            <w:shd w:val="clear" w:color="auto" w:fill="DCE6F1"/>
          </w:tcPr>
          <w:p>
            <w:r/>
            <w:r>
              <w:rPr>
                <w:b/>
                <w:sz w:val="19"/>
              </w:rPr>
              <w:t>SLS v4.2 requirement</w:t>
            </w:r>
          </w:p>
        </w:tc>
        <w:tc>
          <w:tcPr>
            <w:tcW w:type="dxa" w:w="7272"/>
          </w:tcPr>
          <w:p>
            <w:r>
              <w:rPr>
                <w:sz w:val="19"/>
              </w:rPr>
            </w:r>
            <w:r>
              <w:rPr>
                <w:sz w:val="19"/>
              </w:rPr>
              <w:t xml:space="preserve">SLS §9.1: the cap must be at least </w:t>
            </w:r>
            <w:r>
              <w:rPr>
                <w:b/>
                <w:sz w:val="19"/>
              </w:rPr>
              <w:t>24 months of total fees</w:t>
            </w:r>
            <w:r>
              <w:rPr>
                <w:sz w:val="19"/>
              </w:rPr>
              <w:t xml:space="preserve">, including subscription, implementation and professional services fees. Using the SLS's own worked example for this deal: ($6.84M + $4.5M / 5) × 2 = </w:t>
            </w:r>
            <w:r>
              <w:rPr>
                <w:b/>
                <w:sz w:val="19"/>
              </w:rPr>
              <w:t>$15.48M</w:t>
            </w:r>
            <w:r>
              <w:rPr>
                <w:sz w:val="19"/>
              </w:rPr>
              <w:t>. A cap based only on subscription fees must be flagged, with CISO, VP and General Counsel approval.</w:t>
            </w:r>
          </w:p>
        </w:tc>
      </w:tr>
      <w:tr>
        <w:tc>
          <w:tcPr>
            <w:tcW w:type="dxa" w:w="2088"/>
            <w:shd w:val="clear" w:color="auto" w:fill="DCE6F1"/>
          </w:tcPr>
          <w:p>
            <w:r/>
            <w:r>
              <w:rPr>
                <w:b/>
                <w:sz w:val="19"/>
              </w:rPr>
              <w:t>Agreement provision</w:t>
            </w:r>
          </w:p>
        </w:tc>
        <w:tc>
          <w:tcPr>
            <w:tcW w:type="dxa" w:w="7272"/>
          </w:tcPr>
          <w:p>
            <w:r>
              <w:rPr>
                <w:sz w:val="19"/>
              </w:rPr>
            </w:r>
            <w:r>
              <w:rPr>
                <w:sz w:val="19"/>
              </w:rPr>
              <w:t>§10.2: each party's aggregate liability is capped at "TWELVE (12) MONTHS OF SUBSCRIPTION FEES ... (I.E., ... $6,840,000.00)." The only exception is §9 indemnification obligations. §10.3 applies the cap expressly to the BAA, Exhibit E data security and Exhibit C.</w:t>
            </w:r>
          </w:p>
        </w:tc>
      </w:tr>
      <w:tr>
        <w:tc>
          <w:tcPr>
            <w:tcW w:type="dxa" w:w="2088"/>
            <w:shd w:val="clear" w:color="auto" w:fill="DCE6F1"/>
          </w:tcPr>
          <w:p>
            <w:r/>
            <w:r>
              <w:rPr>
                <w:b/>
                <w:sz w:val="19"/>
              </w:rPr>
              <w:t>Gap / analysis</w:t>
            </w:r>
          </w:p>
        </w:tc>
        <w:tc>
          <w:tcPr>
            <w:tcW w:type="dxa" w:w="7272"/>
          </w:tcPr>
          <w:p>
            <w:r>
              <w:rPr>
                <w:sz w:val="19"/>
              </w:rPr>
            </w:r>
            <w:r>
              <w:rPr>
                <w:sz w:val="19"/>
              </w:rPr>
              <w:t xml:space="preserve">The cap is </w:t>
            </w:r>
            <w:r>
              <w:rPr>
                <w:b/>
                <w:sz w:val="19"/>
              </w:rPr>
              <w:t>$8.64M (about 56%) below</w:t>
            </w:r>
            <w:r>
              <w:rPr>
                <w:sz w:val="19"/>
              </w:rPr>
              <w:t xml:space="preserve"> the SLS minimum. It fails the SLS on both the multiplier (12 months instead of 24) and the base (subscription fees only, excluding the $4.5M implementation fee). It is also a single aggregate cap for the full five-year, $38.7M term (about 17.7% of contract value), so one significant breach could exhaust it for the rest of the relationship.</w:t>
            </w:r>
          </w:p>
        </w:tc>
      </w:tr>
      <w:tr>
        <w:tc>
          <w:tcPr>
            <w:tcW w:type="dxa" w:w="2088"/>
            <w:shd w:val="clear" w:color="auto" w:fill="DCE6F1"/>
          </w:tcPr>
          <w:p>
            <w:r/>
            <w:r>
              <w:rPr>
                <w:b/>
                <w:sz w:val="19"/>
              </w:rPr>
              <w:t>Recommended redline</w:t>
            </w:r>
          </w:p>
        </w:tc>
        <w:tc>
          <w:tcPr>
            <w:tcW w:type="dxa" w:w="7272"/>
          </w:tcPr>
          <w:p>
            <w:r>
              <w:rPr>
                <w:sz w:val="19"/>
              </w:rPr>
            </w:r>
            <w:r>
              <w:rPr>
                <w:sz w:val="19"/>
              </w:rPr>
              <w:t xml:space="preserve">Replace §10.2: "Except for the Excluded Claims (Section 10.4), each Party's total aggregate liability arising out of or related to this Agreement shall not exceed an amount equal to </w:t>
            </w:r>
            <w:r>
              <w:rPr>
                <w:b/>
                <w:sz w:val="19"/>
              </w:rPr>
              <w:t>twenty-four (24) months of Total Fees</w:t>
            </w:r>
            <w:r>
              <w:rPr>
                <w:sz w:val="19"/>
              </w:rPr>
              <w:t xml:space="preserve">, where "Total Fees" means the annual Subscription Fee plus the Implementation Fees divided by the number of years in the initial Subscription Term (i.e., not less than </w:t>
            </w:r>
            <w:r>
              <w:rPr>
                <w:b/>
                <w:sz w:val="19"/>
              </w:rPr>
              <w:t>$15,480,000</w:t>
            </w:r>
            <w:r>
              <w:rPr>
                <w:sz w:val="19"/>
              </w:rPr>
              <w:t>)." Consider also: the cap resets annually or is the greater of the fixed amount and fees paid in the preceding 24 months; and a separate, higher "super-cap" for data breach and BAA claims, with insurance limits matched to it (our recommendation).</w:t>
            </w:r>
          </w:p>
        </w:tc>
      </w:tr>
      <w:tr>
        <w:tc>
          <w:tcPr>
            <w:tcW w:type="dxa" w:w="2088"/>
            <w:shd w:val="clear" w:color="auto" w:fill="DCE6F1"/>
          </w:tcPr>
          <w:p>
            <w:r/>
            <w:r>
              <w:rPr>
                <w:b/>
                <w:sz w:val="19"/>
              </w:rPr>
              <w:t>Negotiation position</w:t>
            </w:r>
          </w:p>
        </w:tc>
        <w:tc>
          <w:tcPr>
            <w:tcW w:type="dxa" w:w="7272"/>
          </w:tcPr>
          <w:p>
            <w:r>
              <w:rPr>
                <w:sz w:val="19"/>
              </w:rPr>
            </w:r>
            <w:r>
              <w:rPr>
                <w:sz w:val="19"/>
              </w:rPr>
              <w:t>Must-have at the $15.48M floor. A super-cap for data and privacy claims is the market approach for EHR deals and may be the realistic compromise if Cloudvance refuses an unlimited data breach carve-out. Any super-cap, however, must sit within the SLS §9.2 framework (see F-2).</w:t>
            </w:r>
          </w:p>
        </w:tc>
      </w:tr>
    </w:tbl>
    <w:p>
      <w:pPr>
        <w:spacing w:after="40"/>
      </w:pPr>
    </w:p>
    <w:p>
      <w:pPr>
        <w:pStyle w:val="Heading3"/>
      </w:pPr>
      <w:r>
        <w:t>F-2  Consequential-damages exclusion expressly covers data breaches and the BAA; no carve-outs</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9"/>
              </w:rPr>
              <w:t>Risk rating</w:t>
            </w:r>
          </w:p>
        </w:tc>
        <w:tc>
          <w:tcPr>
            <w:tcW w:type="dxa" w:w="7272"/>
          </w:tcPr>
          <w:p>
            <w:r>
              <w:rPr>
                <w:b/>
                <w:color w:val="C00000"/>
                <w:sz w:val="19"/>
              </w:rPr>
            </w:r>
            <w:r>
              <w:rPr>
                <w:b/>
                <w:color w:val="C00000"/>
                <w:sz w:val="19"/>
              </w:rPr>
              <w:t>Critical</w:t>
            </w:r>
          </w:p>
        </w:tc>
      </w:tr>
      <w:tr>
        <w:tc>
          <w:tcPr>
            <w:tcW w:type="dxa" w:w="2088"/>
            <w:shd w:val="clear" w:color="auto" w:fill="DCE6F1"/>
          </w:tcPr>
          <w:p>
            <w:r/>
            <w:r>
              <w:rPr>
                <w:b/>
                <w:sz w:val="19"/>
              </w:rPr>
              <w:t>SLS v4.2 requirement</w:t>
            </w:r>
          </w:p>
        </w:tc>
        <w:tc>
          <w:tcPr>
            <w:tcW w:type="dxa" w:w="7272"/>
          </w:tcPr>
          <w:p>
            <w:r>
              <w:rPr>
                <w:sz w:val="19"/>
              </w:rPr>
            </w:r>
            <w:r>
              <w:rPr>
                <w:sz w:val="19"/>
              </w:rPr>
              <w:t xml:space="preserve">SLS §9.2: a mutual exclusion is allowed, but the following must be </w:t>
            </w:r>
            <w:r>
              <w:rPr>
                <w:b/>
                <w:sz w:val="19"/>
              </w:rPr>
              <w:t>carved out</w:t>
            </w:r>
            <w:r>
              <w:rPr>
                <w:sz w:val="19"/>
              </w:rPr>
              <w:t xml:space="preserve"> and subject at least to the full cap: (a) data breaches, including notification, credit monitoring, forensics, regulatory defense and penalties; (b) BAA violations; (c) third-party IP infringement; (d) willful misconduct or gross negligence, with </w:t>
            </w:r>
            <w:r>
              <w:rPr>
                <w:b/>
                <w:sz w:val="19"/>
              </w:rPr>
              <w:t>unlimited</w:t>
            </w:r>
            <w:r>
              <w:rPr>
                <w:sz w:val="19"/>
              </w:rPr>
              <w:t xml:space="preserve"> liability; and (e) breach of confidentiality. An unqualified exclusion "shall be returned to the vendor."</w:t>
            </w:r>
          </w:p>
        </w:tc>
      </w:tr>
      <w:tr>
        <w:tc>
          <w:tcPr>
            <w:tcW w:type="dxa" w:w="2088"/>
            <w:shd w:val="clear" w:color="auto" w:fill="DCE6F1"/>
          </w:tcPr>
          <w:p>
            <w:r/>
            <w:r>
              <w:rPr>
                <w:b/>
                <w:sz w:val="19"/>
              </w:rPr>
              <w:t>Agreement provision</w:t>
            </w:r>
          </w:p>
        </w:tc>
        <w:tc>
          <w:tcPr>
            <w:tcW w:type="dxa" w:w="7272"/>
          </w:tcPr>
          <w:p>
            <w:r>
              <w:rPr>
                <w:sz w:val="19"/>
              </w:rPr>
            </w:r>
            <w:r>
              <w:rPr>
                <w:sz w:val="19"/>
              </w:rPr>
              <w:t>§10.1 excludes indirect, consequential and similar damages, "INCLUDING ... LOSS OF DATA ... BUSINESS INTERRUPTION, COST OF PROCUREMENT OF SUBSTITUTE SERVICES," and adds that it applies to "CLAIMS RELATED TO DATA SECURITY, DATA BREACHES, AND THE BAA." No carve-out exists for gross negligence, willful misconduct or confidentiality.</w:t>
            </w:r>
          </w:p>
        </w:tc>
      </w:tr>
      <w:tr>
        <w:tc>
          <w:tcPr>
            <w:tcW w:type="dxa" w:w="2088"/>
            <w:shd w:val="clear" w:color="auto" w:fill="DCE6F1"/>
          </w:tcPr>
          <w:p>
            <w:r/>
            <w:r>
              <w:rPr>
                <w:b/>
                <w:sz w:val="19"/>
              </w:rPr>
              <w:t>Gap / analysis</w:t>
            </w:r>
          </w:p>
        </w:tc>
        <w:tc>
          <w:tcPr>
            <w:tcW w:type="dxa" w:w="7272"/>
          </w:tcPr>
          <w:p>
            <w:r>
              <w:rPr>
                <w:sz w:val="19"/>
              </w:rPr>
            </w:r>
            <w:r>
              <w:rPr>
                <w:sz w:val="19"/>
              </w:rPr>
              <w:t>This is the reverse of SLS §9.2: the Agreement singles out exactly the claims the SLS requires to be carved out and confirms that they are subject to the exclusion. Cloudvance could argue that breach notification costs, credit monitoring, regulatory penalties, forensic costs and patient-care disruption costs are "consequential" and therefore not recoverable at all. If so, Meridian's recovery for a major PHI breach could be close to zero, even within the $6.84M cap.</w:t>
            </w:r>
          </w:p>
          <w:p>
            <w:r>
              <w:rPr>
                <w:sz w:val="19"/>
              </w:rPr>
              <w:t xml:space="preserve">Gross negligence and willful misconduct remain capped, and possibly excluded. Under the SLS they must be </w:t>
            </w:r>
            <w:r>
              <w:rPr>
                <w:b/>
                <w:sz w:val="19"/>
              </w:rPr>
              <w:t>unlimited</w:t>
            </w:r>
            <w:r>
              <w:rPr>
                <w:sz w:val="19"/>
              </w:rPr>
              <w:t>.</w:t>
            </w:r>
          </w:p>
        </w:tc>
      </w:tr>
      <w:tr>
        <w:tc>
          <w:tcPr>
            <w:tcW w:type="dxa" w:w="2088"/>
            <w:shd w:val="clear" w:color="auto" w:fill="DCE6F1"/>
          </w:tcPr>
          <w:p>
            <w:r/>
            <w:r>
              <w:rPr>
                <w:b/>
                <w:sz w:val="19"/>
              </w:rPr>
              <w:t>Recommended redline</w:t>
            </w:r>
          </w:p>
        </w:tc>
        <w:tc>
          <w:tcPr>
            <w:tcW w:type="dxa" w:w="7272"/>
          </w:tcPr>
          <w:p>
            <w:r>
              <w:rPr>
                <w:sz w:val="19"/>
              </w:rPr>
            </w:r>
            <w:r>
              <w:rPr>
                <w:sz w:val="19"/>
              </w:rPr>
              <w:t xml:space="preserve">Insert new §10.4 (Excluded Claims): "The exclusions in Section 10.1 shall not apply to, and the following shall be recoverable as direct damages: (a) </w:t>
            </w:r>
            <w:r>
              <w:rPr>
                <w:b/>
                <w:sz w:val="19"/>
              </w:rPr>
              <w:t>Data Breach Costs</w:t>
            </w:r>
            <w:r>
              <w:rPr>
                <w:sz w:val="19"/>
              </w:rPr>
              <w:t xml:space="preserve">, meaning all costs of investigation, forensic analysis, notification, call centers, credit and identity monitoring, regulatory defense, fines, penalties and assessments arising from any unauthorized access to, acquisition, disclosure or loss of Customer Data or PHI caused by Cloudvance or its Subcontractors; (b) damages arising from breach of the BAA; (c) damages arising from infringement or misappropriation of third-party Intellectual Property Rights; and (d) damages arising from breach of Section 5 (Confidentiality). Claims under (a) to (d) shall be subject to the cap in Section 10.2. </w:t>
            </w:r>
            <w:r>
              <w:rPr>
                <w:b/>
                <w:sz w:val="19"/>
              </w:rPr>
              <w:t>Liability arising from a Party's gross negligence, willful misconduct or fraud shall not be subject to any exclusion or limitation of liability.</w:t>
            </w:r>
            <w:r>
              <w:rPr>
                <w:sz w:val="19"/>
              </w:rPr>
              <w:t>" Delete the last sentence of §10.1, and delete the references to the BAA, Exhibit E and Exhibit C in §10.3.</w:t>
            </w:r>
          </w:p>
        </w:tc>
      </w:tr>
      <w:tr>
        <w:tc>
          <w:tcPr>
            <w:tcW w:type="dxa" w:w="2088"/>
            <w:shd w:val="clear" w:color="auto" w:fill="DCE6F1"/>
          </w:tcPr>
          <w:p>
            <w:r/>
            <w:r>
              <w:rPr>
                <w:b/>
                <w:sz w:val="19"/>
              </w:rPr>
              <w:t>Negotiation position</w:t>
            </w:r>
          </w:p>
        </w:tc>
        <w:tc>
          <w:tcPr>
            <w:tcW w:type="dxa" w:w="7272"/>
          </w:tcPr>
          <w:p>
            <w:r>
              <w:rPr>
                <w:sz w:val="19"/>
              </w:rPr>
            </w:r>
            <w:r>
              <w:rPr>
                <w:sz w:val="19"/>
              </w:rPr>
              <w:t>Must-have and, under SLS §9.2, a gating issue on the same footing as the sole-remedy clause.</w:t>
            </w:r>
          </w:p>
        </w:tc>
      </w:tr>
    </w:tbl>
    <w:p>
      <w:pPr>
        <w:spacing w:after="40"/>
      </w:pPr>
    </w:p>
    <w:p>
      <w:pPr>
        <w:pStyle w:val="Heading3"/>
      </w:pPr>
      <w:r>
        <w:t>F-3  Indemnification: narrow vendor indemnity, broad and uncapped customer indemnity</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9"/>
              </w:rPr>
              <w:t>Risk rating</w:t>
            </w:r>
          </w:p>
        </w:tc>
        <w:tc>
          <w:tcPr>
            <w:tcW w:type="dxa" w:w="7272"/>
          </w:tcPr>
          <w:p>
            <w:r>
              <w:rPr>
                <w:b/>
                <w:color w:val="E26B0A"/>
                <w:sz w:val="19"/>
              </w:rPr>
            </w:r>
            <w:r>
              <w:rPr>
                <w:b/>
                <w:color w:val="E26B0A"/>
                <w:sz w:val="19"/>
              </w:rPr>
              <w:t>High</w:t>
            </w:r>
          </w:p>
        </w:tc>
      </w:tr>
      <w:tr>
        <w:tc>
          <w:tcPr>
            <w:tcW w:type="dxa" w:w="2088"/>
            <w:shd w:val="clear" w:color="auto" w:fill="DCE6F1"/>
          </w:tcPr>
          <w:p>
            <w:r/>
            <w:r>
              <w:rPr>
                <w:b/>
                <w:sz w:val="19"/>
              </w:rPr>
              <w:t>SLS v4.2 requirement</w:t>
            </w:r>
          </w:p>
        </w:tc>
        <w:tc>
          <w:tcPr>
            <w:tcW w:type="dxa" w:w="7272"/>
          </w:tcPr>
          <w:p>
            <w:r>
              <w:rPr>
                <w:sz w:val="19"/>
              </w:rPr>
            </w:r>
            <w:r>
              <w:rPr>
                <w:sz w:val="19"/>
              </w:rPr>
              <w:t>SLS §9.2(a) to (c) and §10.5 assume vendor responsibility for data breach, BAA and IP claims, and §10.5 requires indemnification obligations to survive. Marcus Ellison specifically asked for liability and indemnification to be covered.</w:t>
            </w:r>
          </w:p>
        </w:tc>
      </w:tr>
      <w:tr>
        <w:tc>
          <w:tcPr>
            <w:tcW w:type="dxa" w:w="2088"/>
            <w:shd w:val="clear" w:color="auto" w:fill="DCE6F1"/>
          </w:tcPr>
          <w:p>
            <w:r/>
            <w:r>
              <w:rPr>
                <w:b/>
                <w:sz w:val="19"/>
              </w:rPr>
              <w:t>Agreement provision</w:t>
            </w:r>
          </w:p>
        </w:tc>
        <w:tc>
          <w:tcPr>
            <w:tcW w:type="dxa" w:w="7272"/>
          </w:tcPr>
          <w:p>
            <w:r>
              <w:rPr>
                <w:sz w:val="19"/>
              </w:rPr>
            </w:r>
            <w:r>
              <w:rPr>
                <w:sz w:val="19"/>
              </w:rPr>
              <w:t xml:space="preserve">§9.1: Cloudvance indemnifies only against claims that use of the Platform infringes a </w:t>
            </w:r>
            <w:r>
              <w:rPr>
                <w:b/>
                <w:sz w:val="19"/>
              </w:rPr>
              <w:t>U.S.</w:t>
            </w:r>
            <w:r>
              <w:rPr>
                <w:sz w:val="19"/>
              </w:rPr>
              <w:t xml:space="preserve"> patent, copyright or trademark. Trade secrets and non-U.S. rights are not covered, and the indemnity has broad combination exclusions. §8.2(d): the non-infringement warranty is qualified "to Cloudvance's knowledge." §9.2: </w:t>
            </w:r>
            <w:r>
              <w:rPr>
                <w:b/>
                <w:sz w:val="19"/>
              </w:rPr>
              <w:t>Meridian</w:t>
            </w:r>
            <w:r>
              <w:rPr>
                <w:sz w:val="19"/>
              </w:rPr>
              <w:t xml:space="preserve"> indemnifies Cloudvance for all claims "arising out of or relating to ... Customer Data," a standard that is not fault-based except where Cloudvance's breach caused the claim. Because §10.2 excludes §9 from the cap, Meridian's indemnity is </w:t>
            </w:r>
            <w:r>
              <w:rPr>
                <w:b/>
                <w:sz w:val="19"/>
              </w:rPr>
              <w:t>uncapped</w:t>
            </w:r>
            <w:r>
              <w:rPr>
                <w:sz w:val="19"/>
              </w:rPr>
              <w:t>.</w:t>
            </w:r>
          </w:p>
        </w:tc>
      </w:tr>
      <w:tr>
        <w:tc>
          <w:tcPr>
            <w:tcW w:type="dxa" w:w="2088"/>
            <w:shd w:val="clear" w:color="auto" w:fill="DCE6F1"/>
          </w:tcPr>
          <w:p>
            <w:r/>
            <w:r>
              <w:rPr>
                <w:b/>
                <w:sz w:val="19"/>
              </w:rPr>
              <w:t>Gap / analysis</w:t>
            </w:r>
          </w:p>
        </w:tc>
        <w:tc>
          <w:tcPr>
            <w:tcW w:type="dxa" w:w="7272"/>
          </w:tcPr>
          <w:p>
            <w:r>
              <w:rPr>
                <w:sz w:val="19"/>
              </w:rPr>
            </w:r>
            <w:r>
              <w:rPr>
                <w:sz w:val="19"/>
              </w:rPr>
              <w:t>Cloudvance gives no indemnity for third-party and regulatory claims arising from its own data breaches, BAA violations, violations of law, or bodily injury and property damage. Those are the claims most likely to arise for an EHR vendor, for example patient class actions after a breach. In contrast, Meridian's indemnity for anything "relating to Customer Data" could be read to require Meridian to defend Cloudvance against patient claims arising from a breach at Cloudvance, unless Meridian proves Cloudvance breached the Agreement. The imbalance is significant.</w:t>
            </w:r>
          </w:p>
        </w:tc>
      </w:tr>
      <w:tr>
        <w:tc>
          <w:tcPr>
            <w:tcW w:type="dxa" w:w="2088"/>
            <w:shd w:val="clear" w:color="auto" w:fill="DCE6F1"/>
          </w:tcPr>
          <w:p>
            <w:r/>
            <w:r>
              <w:rPr>
                <w:b/>
                <w:sz w:val="19"/>
              </w:rPr>
              <w:t>Recommended redline</w:t>
            </w:r>
          </w:p>
        </w:tc>
        <w:tc>
          <w:tcPr>
            <w:tcW w:type="dxa" w:w="7272"/>
          </w:tcPr>
          <w:p>
            <w:r>
              <w:rPr>
                <w:sz w:val="19"/>
              </w:rPr>
            </w:r>
            <w:r>
              <w:rPr>
                <w:sz w:val="19"/>
              </w:rPr>
              <w:t>Expand §9.1 to add: "(b) any breach of the BAA or Exhibit E, or any Security Incident or Breach involving Customer Data caused by Cloudvance or its Subcontractors; (c) Cloudvance's violation of applicable law, including HIPAA/HITECH; (d) gross negligence or willful misconduct of Cloudvance or its Subcontractors; and (e) bodily injury, death or property damage caused by Cloudvance." Extend IP coverage to infringement or misappropriation of any Intellectual Property Rights, worldwide, and delete the knowledge qualifier in §8.2(d). Narrow §9.2(a) to claims that Customer Data, as provided by Customer, infringes third-party IP rights or was provided in violation of law. Make Meridian's indemnity subject to the §10.2 cap.</w:t>
            </w:r>
          </w:p>
        </w:tc>
      </w:tr>
      <w:tr>
        <w:tc>
          <w:tcPr>
            <w:tcW w:type="dxa" w:w="2088"/>
            <w:shd w:val="clear" w:color="auto" w:fill="DCE6F1"/>
          </w:tcPr>
          <w:p>
            <w:r/>
            <w:r>
              <w:rPr>
                <w:b/>
                <w:sz w:val="19"/>
              </w:rPr>
              <w:t>Negotiation position</w:t>
            </w:r>
          </w:p>
        </w:tc>
        <w:tc>
          <w:tcPr>
            <w:tcW w:type="dxa" w:w="7272"/>
          </w:tcPr>
          <w:p>
            <w:r>
              <w:rPr>
                <w:sz w:val="19"/>
              </w:rPr>
            </w:r>
            <w:r>
              <w:rPr>
                <w:sz w:val="19"/>
              </w:rPr>
              <w:t>Must-have for the data breach and BAA indemnity and for narrowing the customer indemnity. The worldwide IP scope is a should-have, because Meridian operates only in the U.S.</w:t>
            </w:r>
          </w:p>
        </w:tc>
      </w:tr>
    </w:tbl>
    <w:p>
      <w:pPr>
        <w:spacing w:after="40"/>
      </w:pPr>
    </w:p>
    <w:p>
      <w:pPr>
        <w:pStyle w:val="Heading2"/>
      </w:pPr>
      <w:r>
        <w:t>8. Termination (SLS §10; MSA §§11, 15.1; Ex. D §D.6)</w:t>
      </w:r>
    </w:p>
    <w:p>
      <w:pPr>
        <w:pStyle w:val="Heading3"/>
      </w:pPr>
      <w:r>
        <w:t>G-1  Termination for cause: 60-day cure period; no definition of material breach</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9"/>
              </w:rPr>
              <w:t>Risk rating</w:t>
            </w:r>
          </w:p>
        </w:tc>
        <w:tc>
          <w:tcPr>
            <w:tcW w:type="dxa" w:w="7272"/>
          </w:tcPr>
          <w:p>
            <w:r>
              <w:rPr>
                <w:b/>
                <w:color w:val="E26B0A"/>
                <w:sz w:val="19"/>
              </w:rPr>
            </w:r>
            <w:r>
              <w:rPr>
                <w:b/>
                <w:color w:val="E26B0A"/>
                <w:sz w:val="19"/>
              </w:rPr>
              <w:t>High</w:t>
            </w:r>
          </w:p>
        </w:tc>
      </w:tr>
      <w:tr>
        <w:tc>
          <w:tcPr>
            <w:tcW w:type="dxa" w:w="2088"/>
            <w:shd w:val="clear" w:color="auto" w:fill="DCE6F1"/>
          </w:tcPr>
          <w:p>
            <w:r/>
            <w:r>
              <w:rPr>
                <w:b/>
                <w:sz w:val="19"/>
              </w:rPr>
              <w:t>SLS v4.2 requirement</w:t>
            </w:r>
          </w:p>
        </w:tc>
        <w:tc>
          <w:tcPr>
            <w:tcW w:type="dxa" w:w="7272"/>
          </w:tcPr>
          <w:p>
            <w:r>
              <w:rPr>
                <w:sz w:val="19"/>
              </w:rPr>
            </w:r>
            <w:r>
              <w:rPr>
                <w:sz w:val="19"/>
              </w:rPr>
              <w:t xml:space="preserve">SLS §10.1: Meridian may terminate for material breach not cured within </w:t>
            </w:r>
            <w:r>
              <w:rPr>
                <w:b/>
                <w:sz w:val="19"/>
              </w:rPr>
              <w:t>30 days</w:t>
            </w:r>
            <w:r>
              <w:rPr>
                <w:sz w:val="19"/>
              </w:rPr>
              <w:t xml:space="preserve">. Material breach includes failing uptime commitments for </w:t>
            </w:r>
            <w:r>
              <w:rPr>
                <w:b/>
                <w:sz w:val="19"/>
              </w:rPr>
              <w:t>2 consecutive months</w:t>
            </w:r>
            <w:r>
              <w:rPr>
                <w:sz w:val="19"/>
              </w:rPr>
              <w:t>, security or BAA failures, unauthorized use or disclosure of Customer Data, failure to provide transition assistance, and violation of law. No termination fee applies, and data retrieval and transition rights continue.</w:t>
            </w:r>
          </w:p>
        </w:tc>
      </w:tr>
      <w:tr>
        <w:tc>
          <w:tcPr>
            <w:tcW w:type="dxa" w:w="2088"/>
            <w:shd w:val="clear" w:color="auto" w:fill="DCE6F1"/>
          </w:tcPr>
          <w:p>
            <w:r/>
            <w:r>
              <w:rPr>
                <w:b/>
                <w:sz w:val="19"/>
              </w:rPr>
              <w:t>Agreement provision</w:t>
            </w:r>
          </w:p>
        </w:tc>
        <w:tc>
          <w:tcPr>
            <w:tcW w:type="dxa" w:w="7272"/>
          </w:tcPr>
          <w:p>
            <w:r>
              <w:rPr>
                <w:sz w:val="19"/>
              </w:rPr>
            </w:r>
            <w:r>
              <w:rPr>
                <w:sz w:val="19"/>
              </w:rPr>
              <w:t xml:space="preserve">§11.2: either party may terminate on </w:t>
            </w:r>
            <w:r>
              <w:rPr>
                <w:b/>
                <w:sz w:val="19"/>
              </w:rPr>
              <w:t>60 days'</w:t>
            </w:r>
            <w:r>
              <w:rPr>
                <w:sz w:val="19"/>
              </w:rPr>
              <w:t xml:space="preserve"> notice if a material breach is not cured within that period. Material breach is not defined. §D.6: BAA breaches route to §11.2.</w:t>
            </w:r>
          </w:p>
        </w:tc>
      </w:tr>
      <w:tr>
        <w:tc>
          <w:tcPr>
            <w:tcW w:type="dxa" w:w="2088"/>
            <w:shd w:val="clear" w:color="auto" w:fill="DCE6F1"/>
          </w:tcPr>
          <w:p>
            <w:r/>
            <w:r>
              <w:rPr>
                <w:b/>
                <w:sz w:val="19"/>
              </w:rPr>
              <w:t>Gap / analysis</w:t>
            </w:r>
          </w:p>
        </w:tc>
        <w:tc>
          <w:tcPr>
            <w:tcW w:type="dxa" w:w="7272"/>
          </w:tcPr>
          <w:p>
            <w:r>
              <w:rPr>
                <w:sz w:val="19"/>
              </w:rPr>
            </w:r>
            <w:r>
              <w:rPr>
                <w:sz w:val="19"/>
              </w:rPr>
              <w:t>The cure period is twice the SLS standard. Because material breach is undefined, Meridian would face arguments over whether SLA misses (which the Agreement makes non-binding) or security failures count. A mutual 60-day cure also benefits Cloudvance if Meridian is in a payment dispute.</w:t>
            </w:r>
          </w:p>
        </w:tc>
      </w:tr>
      <w:tr>
        <w:tc>
          <w:tcPr>
            <w:tcW w:type="dxa" w:w="2088"/>
            <w:shd w:val="clear" w:color="auto" w:fill="DCE6F1"/>
          </w:tcPr>
          <w:p>
            <w:r/>
            <w:r>
              <w:rPr>
                <w:b/>
                <w:sz w:val="19"/>
              </w:rPr>
              <w:t>Recommended redline</w:t>
            </w:r>
          </w:p>
        </w:tc>
        <w:tc>
          <w:tcPr>
            <w:tcW w:type="dxa" w:w="7272"/>
          </w:tcPr>
          <w:p>
            <w:r>
              <w:rPr>
                <w:sz w:val="19"/>
              </w:rPr>
            </w:r>
            <w:r>
              <w:rPr>
                <w:sz w:val="19"/>
              </w:rPr>
              <w:t xml:space="preserve">Amend §11.2: "Customer may terminate this Agreement upon written notice if Cloudvance commits a material breach and fails to cure it within </w:t>
            </w:r>
            <w:r>
              <w:rPr>
                <w:b/>
                <w:sz w:val="19"/>
              </w:rPr>
              <w:t>thirty (30) days</w:t>
            </w:r>
            <w:r>
              <w:rPr>
                <w:sz w:val="19"/>
              </w:rPr>
              <w:t xml:space="preserve"> after written notice. Material breach by Cloudvance includes: (a) failure to meet the Monthly Uptime commitment in any two (2) consecutive months; (b) failure to comply with Exhibit E or the BAA; (c) any unauthorized use or disclosure of Customer Data; (d) failure to provide transition assistance; and (e) failure to comply with applicable law." Confirm that no termination fee applies and that §§6.5 and 11.7 continue to apply.</w:t>
            </w:r>
          </w:p>
        </w:tc>
      </w:tr>
      <w:tr>
        <w:tc>
          <w:tcPr>
            <w:tcW w:type="dxa" w:w="2088"/>
            <w:shd w:val="clear" w:color="auto" w:fill="DCE6F1"/>
          </w:tcPr>
          <w:p>
            <w:r/>
            <w:r>
              <w:rPr>
                <w:b/>
                <w:sz w:val="19"/>
              </w:rPr>
              <w:t>Negotiation position</w:t>
            </w:r>
          </w:p>
        </w:tc>
        <w:tc>
          <w:tcPr>
            <w:tcW w:type="dxa" w:w="7272"/>
          </w:tcPr>
          <w:p>
            <w:r>
              <w:rPr>
                <w:sz w:val="19"/>
              </w:rPr>
            </w:r>
            <w:r>
              <w:rPr>
                <w:sz w:val="19"/>
              </w:rPr>
              <w:t>Must-have.</w:t>
            </w:r>
          </w:p>
        </w:tc>
      </w:tr>
    </w:tbl>
    <w:p>
      <w:pPr>
        <w:spacing w:after="40"/>
      </w:pPr>
    </w:p>
    <w:p>
      <w:pPr>
        <w:pStyle w:val="Heading3"/>
      </w:pPr>
      <w:r>
        <w:t>G-2  Termination for convenience: 180 days' notice and termination fee</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9"/>
              </w:rPr>
              <w:t>Risk rating</w:t>
            </w:r>
          </w:p>
        </w:tc>
        <w:tc>
          <w:tcPr>
            <w:tcW w:type="dxa" w:w="7272"/>
          </w:tcPr>
          <w:p>
            <w:r>
              <w:rPr>
                <w:b/>
                <w:color w:val="E26B0A"/>
                <w:sz w:val="19"/>
              </w:rPr>
            </w:r>
            <w:r>
              <w:rPr>
                <w:b/>
                <w:color w:val="E26B0A"/>
                <w:sz w:val="19"/>
              </w:rPr>
              <w:t>High</w:t>
            </w:r>
          </w:p>
        </w:tc>
      </w:tr>
      <w:tr>
        <w:tc>
          <w:tcPr>
            <w:tcW w:type="dxa" w:w="2088"/>
            <w:shd w:val="clear" w:color="auto" w:fill="DCE6F1"/>
          </w:tcPr>
          <w:p>
            <w:r/>
            <w:r>
              <w:rPr>
                <w:b/>
                <w:sz w:val="19"/>
              </w:rPr>
              <w:t>SLS v4.2 requirement</w:t>
            </w:r>
          </w:p>
        </w:tc>
        <w:tc>
          <w:tcPr>
            <w:tcW w:type="dxa" w:w="7272"/>
          </w:tcPr>
          <w:p>
            <w:r>
              <w:rPr>
                <w:sz w:val="19"/>
              </w:rPr>
            </w:r>
            <w:r>
              <w:rPr>
                <w:sz w:val="19"/>
              </w:rPr>
              <w:t xml:space="preserve">SLS §10.2: </w:t>
            </w:r>
            <w:r>
              <w:rPr>
                <w:b/>
                <w:sz w:val="19"/>
              </w:rPr>
              <w:t>90 days'</w:t>
            </w:r>
            <w:r>
              <w:rPr>
                <w:sz w:val="19"/>
              </w:rPr>
              <w:t xml:space="preserve"> notice, with </w:t>
            </w:r>
            <w:r>
              <w:rPr>
                <w:b/>
                <w:sz w:val="19"/>
              </w:rPr>
              <w:t>no termination fee, penalty or remaining-term fee</w:t>
            </w:r>
            <w:r>
              <w:rPr>
                <w:sz w:val="19"/>
              </w:rPr>
              <w:t>. Pre-paid fees for services not yet rendered are refunded pro rata.</w:t>
            </w:r>
          </w:p>
        </w:tc>
      </w:tr>
      <w:tr>
        <w:tc>
          <w:tcPr>
            <w:tcW w:type="dxa" w:w="2088"/>
            <w:shd w:val="clear" w:color="auto" w:fill="DCE6F1"/>
          </w:tcPr>
          <w:p>
            <w:r/>
            <w:r>
              <w:rPr>
                <w:b/>
                <w:sz w:val="19"/>
              </w:rPr>
              <w:t>Agreement provision</w:t>
            </w:r>
          </w:p>
        </w:tc>
        <w:tc>
          <w:tcPr>
            <w:tcW w:type="dxa" w:w="7272"/>
          </w:tcPr>
          <w:p>
            <w:r>
              <w:rPr>
                <w:sz w:val="19"/>
              </w:rPr>
            </w:r>
            <w:r>
              <w:rPr>
                <w:sz w:val="19"/>
              </w:rPr>
              <w:t xml:space="preserve">§11.3: </w:t>
            </w:r>
            <w:r>
              <w:rPr>
                <w:b/>
                <w:sz w:val="19"/>
              </w:rPr>
              <w:t>180 days'</w:t>
            </w:r>
            <w:r>
              <w:rPr>
                <w:sz w:val="19"/>
              </w:rPr>
              <w:t xml:space="preserve"> notice plus a termination fee equal to the unpaid quarterly installments for the current contract year, stated to be liquidated damages and "not a penalty." §4.1: fees are "non-cancellable and non-refundable." §11.5(b) makes the termination fee payable on termination.</w:t>
            </w:r>
          </w:p>
        </w:tc>
      </w:tr>
      <w:tr>
        <w:tc>
          <w:tcPr>
            <w:tcW w:type="dxa" w:w="2088"/>
            <w:shd w:val="clear" w:color="auto" w:fill="DCE6F1"/>
          </w:tcPr>
          <w:p>
            <w:r/>
            <w:r>
              <w:rPr>
                <w:b/>
                <w:sz w:val="19"/>
              </w:rPr>
              <w:t>Gap / analysis</w:t>
            </w:r>
          </w:p>
        </w:tc>
        <w:tc>
          <w:tcPr>
            <w:tcW w:type="dxa" w:w="7272"/>
          </w:tcPr>
          <w:p>
            <w:r>
              <w:rPr>
                <w:sz w:val="19"/>
              </w:rPr>
            </w:r>
            <w:r>
              <w:rPr>
                <w:sz w:val="19"/>
              </w:rPr>
              <w:t>Depending on timing, the fee could reach $5.13M (three quarterly installments) if termination takes effect just after a July 1 payment. That is on top of roughly two quarters of fees ($3.42M) paid during the 180-day notice period. Prepaid fees are not refunded. The structure makes a convenience exit far more expensive than the SLS allows.</w:t>
            </w:r>
          </w:p>
        </w:tc>
      </w:tr>
      <w:tr>
        <w:tc>
          <w:tcPr>
            <w:tcW w:type="dxa" w:w="2088"/>
            <w:shd w:val="clear" w:color="auto" w:fill="DCE6F1"/>
          </w:tcPr>
          <w:p>
            <w:r/>
            <w:r>
              <w:rPr>
                <w:b/>
                <w:sz w:val="19"/>
              </w:rPr>
              <w:t>Recommended redline</w:t>
            </w:r>
          </w:p>
        </w:tc>
        <w:tc>
          <w:tcPr>
            <w:tcW w:type="dxa" w:w="7272"/>
          </w:tcPr>
          <w:p>
            <w:r>
              <w:rPr>
                <w:sz w:val="19"/>
              </w:rPr>
            </w:r>
            <w:r>
              <w:rPr>
                <w:sz w:val="19"/>
              </w:rPr>
              <w:t xml:space="preserve">Amend §11.3: "Customer may terminate this Agreement for convenience upon </w:t>
            </w:r>
            <w:r>
              <w:rPr>
                <w:b/>
                <w:sz w:val="19"/>
              </w:rPr>
              <w:t>ninety (90) days'</w:t>
            </w:r>
            <w:r>
              <w:rPr>
                <w:sz w:val="19"/>
              </w:rPr>
              <w:t xml:space="preserve"> prior written notice. </w:t>
            </w:r>
            <w:r>
              <w:rPr>
                <w:b/>
                <w:sz w:val="19"/>
              </w:rPr>
              <w:t>No termination fee, early termination penalty or remaining-term fee shall apply.</w:t>
            </w:r>
            <w:r>
              <w:rPr>
                <w:sz w:val="19"/>
              </w:rPr>
              <w:t xml:space="preserve"> Cloudvance shall refund, within thirty (30) days, any prepaid fees attributable to the period after the effective date of termination." Conform §4.1 ("except as expressly set forth in this Agreement, including Sections 11.3 and C.4") and §11.5(b).</w:t>
            </w:r>
          </w:p>
        </w:tc>
      </w:tr>
      <w:tr>
        <w:tc>
          <w:tcPr>
            <w:tcW w:type="dxa" w:w="2088"/>
            <w:shd w:val="clear" w:color="auto" w:fill="DCE6F1"/>
          </w:tcPr>
          <w:p>
            <w:r/>
            <w:r>
              <w:rPr>
                <w:b/>
                <w:sz w:val="19"/>
              </w:rPr>
              <w:t>Negotiation position</w:t>
            </w:r>
          </w:p>
        </w:tc>
        <w:tc>
          <w:tcPr>
            <w:tcW w:type="dxa" w:w="7272"/>
          </w:tcPr>
          <w:p>
            <w:r>
              <w:rPr>
                <w:sz w:val="19"/>
              </w:rPr>
            </w:r>
            <w:r>
              <w:rPr>
                <w:sz w:val="19"/>
              </w:rPr>
              <w:t>Must-have under the SLS. Expect significant resistance, because Cloudvance's implementation pricing likely assumes five years of subscription revenue. If Meridian's leadership considers a compromise, one option would be a declining fee in years 1 and 2 only, set at no more than unamortized implementation cost. That would be an SLS deviation requiring approval.</w:t>
            </w:r>
          </w:p>
        </w:tc>
      </w:tr>
    </w:tbl>
    <w:p>
      <w:pPr>
        <w:spacing w:after="40"/>
      </w:pPr>
    </w:p>
    <w:p>
      <w:pPr>
        <w:pStyle w:val="Heading3"/>
      </w:pPr>
      <w:r>
        <w:t>G-3  No termination right for data breach; "no other termination rights" clause</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9"/>
              </w:rPr>
              <w:t>Risk rating</w:t>
            </w:r>
          </w:p>
        </w:tc>
        <w:tc>
          <w:tcPr>
            <w:tcW w:type="dxa" w:w="7272"/>
          </w:tcPr>
          <w:p>
            <w:r>
              <w:rPr>
                <w:b/>
                <w:color w:val="C00000"/>
                <w:sz w:val="19"/>
              </w:rPr>
            </w:r>
            <w:r>
              <w:rPr>
                <w:b/>
                <w:color w:val="C00000"/>
                <w:sz w:val="19"/>
              </w:rPr>
              <w:t>Critical</w:t>
            </w:r>
          </w:p>
        </w:tc>
      </w:tr>
      <w:tr>
        <w:tc>
          <w:tcPr>
            <w:tcW w:type="dxa" w:w="2088"/>
            <w:shd w:val="clear" w:color="auto" w:fill="DCE6F1"/>
          </w:tcPr>
          <w:p>
            <w:r/>
            <w:r>
              <w:rPr>
                <w:b/>
                <w:sz w:val="19"/>
              </w:rPr>
              <w:t>SLS v4.2 requirement</w:t>
            </w:r>
          </w:p>
        </w:tc>
        <w:tc>
          <w:tcPr>
            <w:tcW w:type="dxa" w:w="7272"/>
          </w:tcPr>
          <w:p>
            <w:r>
              <w:rPr>
                <w:sz w:val="19"/>
              </w:rPr>
            </w:r>
            <w:r>
              <w:rPr>
                <w:sz w:val="19"/>
              </w:rPr>
              <w:t xml:space="preserve">SLS §10.4: immediate termination on notice for a data breach or security incident affecting PHI or Customer Data. The vendor gets a </w:t>
            </w:r>
            <w:r>
              <w:rPr>
                <w:b/>
                <w:sz w:val="19"/>
              </w:rPr>
              <w:t>10-day cure</w:t>
            </w:r>
            <w:r>
              <w:rPr>
                <w:sz w:val="19"/>
              </w:rPr>
              <w:t xml:space="preserve"> only if it (a) shows full containment, (b) completes all HIPAA, HITECH and state notifications, and (c) delivers a satisfactory remediation plan. Otherwise termination takes effect automatically. No fee applies. SLS §10.3: chronic SLA failure termination (see B-4).</w:t>
            </w:r>
          </w:p>
        </w:tc>
      </w:tr>
      <w:tr>
        <w:tc>
          <w:tcPr>
            <w:tcW w:type="dxa" w:w="2088"/>
            <w:shd w:val="clear" w:color="auto" w:fill="DCE6F1"/>
          </w:tcPr>
          <w:p>
            <w:r/>
            <w:r>
              <w:rPr>
                <w:b/>
                <w:sz w:val="19"/>
              </w:rPr>
              <w:t>Agreement provision</w:t>
            </w:r>
          </w:p>
        </w:tc>
        <w:tc>
          <w:tcPr>
            <w:tcW w:type="dxa" w:w="7272"/>
          </w:tcPr>
          <w:p>
            <w:r>
              <w:rPr>
                <w:sz w:val="19"/>
              </w:rPr>
            </w:r>
            <w:r>
              <w:rPr>
                <w:sz w:val="19"/>
              </w:rPr>
              <w:t>No breach-specific termination right. §11.4: "No other termination rights, whether arising by operation of law or otherwise." §D.6 routes BAA breaches through the 60-day §11.2 process. §15.1 separately allows termination after 90 days of force majeure, which is internally inconsistent with §11.4.</w:t>
            </w:r>
          </w:p>
        </w:tc>
      </w:tr>
      <w:tr>
        <w:tc>
          <w:tcPr>
            <w:tcW w:type="dxa" w:w="2088"/>
            <w:shd w:val="clear" w:color="auto" w:fill="DCE6F1"/>
          </w:tcPr>
          <w:p>
            <w:r/>
            <w:r>
              <w:rPr>
                <w:b/>
                <w:sz w:val="19"/>
              </w:rPr>
              <w:t>Gap / analysis</w:t>
            </w:r>
          </w:p>
        </w:tc>
        <w:tc>
          <w:tcPr>
            <w:tcW w:type="dxa" w:w="7272"/>
          </w:tcPr>
          <w:p>
            <w:r>
              <w:rPr>
                <w:sz w:val="19"/>
              </w:rPr>
            </w:r>
            <w:r>
              <w:rPr>
                <w:sz w:val="19"/>
              </w:rPr>
              <w:t>After a ransomware attack or significant PHI breach, Meridian would have to give 60 days' notice, and Cloudvance could defeat termination by "curing." §11.4 could also be argued to waive common-law remedies for repudiation or fundamental breach. HIPAA (45 CFR §164.504(e)(2)(iii)) requires that a BAA authorize termination by the covered entity for a material violation. The §D.6 cross-reference likely satisfies that requirement, but the 60-day cure period is far longer than the SLS allows.</w:t>
            </w:r>
          </w:p>
        </w:tc>
      </w:tr>
      <w:tr>
        <w:tc>
          <w:tcPr>
            <w:tcW w:type="dxa" w:w="2088"/>
            <w:shd w:val="clear" w:color="auto" w:fill="DCE6F1"/>
          </w:tcPr>
          <w:p>
            <w:r/>
            <w:r>
              <w:rPr>
                <w:b/>
                <w:sz w:val="19"/>
              </w:rPr>
              <w:t>Recommended redline</w:t>
            </w:r>
          </w:p>
        </w:tc>
        <w:tc>
          <w:tcPr>
            <w:tcW w:type="dxa" w:w="7272"/>
          </w:tcPr>
          <w:p>
            <w:r>
              <w:rPr>
                <w:sz w:val="19"/>
              </w:rPr>
            </w:r>
            <w:r>
              <w:rPr>
                <w:sz w:val="19"/>
              </w:rPr>
              <w:t>Insert new §11.8 (Termination for Data Breach), reproducing SLS §10.4 in full, including the 10-day conditional cure and automatic termination. Replace §11.4: "The termination rights in this Agreement are cumulative and in addition to any other rights and remedies available at law or in equity." Amend §D.6 to cross-reference §11.8.</w:t>
            </w:r>
          </w:p>
        </w:tc>
      </w:tr>
      <w:tr>
        <w:tc>
          <w:tcPr>
            <w:tcW w:type="dxa" w:w="2088"/>
            <w:shd w:val="clear" w:color="auto" w:fill="DCE6F1"/>
          </w:tcPr>
          <w:p>
            <w:r/>
            <w:r>
              <w:rPr>
                <w:b/>
                <w:sz w:val="19"/>
              </w:rPr>
              <w:t>Negotiation position</w:t>
            </w:r>
          </w:p>
        </w:tc>
        <w:tc>
          <w:tcPr>
            <w:tcW w:type="dxa" w:w="7272"/>
          </w:tcPr>
          <w:p>
            <w:r>
              <w:rPr>
                <w:sz w:val="19"/>
              </w:rPr>
            </w:r>
            <w:r>
              <w:rPr>
                <w:sz w:val="19"/>
              </w:rPr>
              <w:t>Must-have.</w:t>
            </w:r>
          </w:p>
        </w:tc>
      </w:tr>
    </w:tbl>
    <w:p>
      <w:pPr>
        <w:spacing w:after="40"/>
      </w:pPr>
    </w:p>
    <w:p>
      <w:pPr>
        <w:pStyle w:val="Heading3"/>
      </w:pPr>
      <w:r>
        <w:t>G-4  Effect of termination and survival</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9"/>
              </w:rPr>
              <w:t>Risk rating</w:t>
            </w:r>
          </w:p>
        </w:tc>
        <w:tc>
          <w:tcPr>
            <w:tcW w:type="dxa" w:w="7272"/>
          </w:tcPr>
          <w:p>
            <w:r>
              <w:rPr>
                <w:b/>
                <w:color w:val="BF8F00"/>
                <w:sz w:val="19"/>
              </w:rPr>
            </w:r>
            <w:r>
              <w:rPr>
                <w:b/>
                <w:color w:val="BF8F00"/>
                <w:sz w:val="19"/>
              </w:rPr>
              <w:t>Medium</w:t>
            </w:r>
          </w:p>
        </w:tc>
      </w:tr>
      <w:tr>
        <w:tc>
          <w:tcPr>
            <w:tcW w:type="dxa" w:w="2088"/>
            <w:shd w:val="clear" w:color="auto" w:fill="DCE6F1"/>
          </w:tcPr>
          <w:p>
            <w:r/>
            <w:r>
              <w:rPr>
                <w:b/>
                <w:sz w:val="19"/>
              </w:rPr>
              <w:t>SLS v4.2 requirement</w:t>
            </w:r>
          </w:p>
        </w:tc>
        <w:tc>
          <w:tcPr>
            <w:tcW w:type="dxa" w:w="7272"/>
          </w:tcPr>
          <w:p>
            <w:r>
              <w:rPr>
                <w:sz w:val="19"/>
              </w:rPr>
            </w:r>
            <w:r>
              <w:rPr>
                <w:sz w:val="19"/>
              </w:rPr>
              <w:t xml:space="preserve">SLS §10.5: data ownership, retrieval, transition, liability limits, confidentiality, indemnification, </w:t>
            </w:r>
            <w:r>
              <w:rPr>
                <w:b/>
                <w:sz w:val="19"/>
              </w:rPr>
              <w:t>insurance</w:t>
            </w:r>
            <w:r>
              <w:rPr>
                <w:sz w:val="19"/>
              </w:rPr>
              <w:t xml:space="preserve"> and </w:t>
            </w:r>
            <w:r>
              <w:rPr>
                <w:b/>
                <w:sz w:val="19"/>
              </w:rPr>
              <w:t>accrued service credits</w:t>
            </w:r>
            <w:r>
              <w:rPr>
                <w:sz w:val="19"/>
              </w:rPr>
              <w:t xml:space="preserve"> survive. SLS §4.2: credits are paid in cash after termination.</w:t>
            </w:r>
          </w:p>
        </w:tc>
      </w:tr>
      <w:tr>
        <w:tc>
          <w:tcPr>
            <w:tcW w:type="dxa" w:w="2088"/>
            <w:shd w:val="clear" w:color="auto" w:fill="DCE6F1"/>
          </w:tcPr>
          <w:p>
            <w:r/>
            <w:r>
              <w:rPr>
                <w:b/>
                <w:sz w:val="19"/>
              </w:rPr>
              <w:t>Agreement provision</w:t>
            </w:r>
          </w:p>
        </w:tc>
        <w:tc>
          <w:tcPr>
            <w:tcW w:type="dxa" w:w="7272"/>
          </w:tcPr>
          <w:p>
            <w:r>
              <w:rPr>
                <w:sz w:val="19"/>
              </w:rPr>
            </w:r>
            <w:r>
              <w:rPr>
                <w:sz w:val="19"/>
              </w:rPr>
              <w:t xml:space="preserve">§11.5(e): survival includes §§5, 6.1, </w:t>
            </w:r>
            <w:r>
              <w:rPr>
                <w:b/>
                <w:sz w:val="19"/>
              </w:rPr>
              <w:t>6.3 and 6.4 (Cloudvance's data rights)</w:t>
            </w:r>
            <w:r>
              <w:rPr>
                <w:sz w:val="19"/>
              </w:rPr>
              <w:t xml:space="preserve">, 6.5, 9, 10, 12 and 14. There is no transition provision and no survival of credits, which are forfeited under §C.4. §5.1: confidentiality survives only </w:t>
            </w:r>
            <w:r>
              <w:rPr>
                <w:b/>
                <w:sz w:val="19"/>
              </w:rPr>
              <w:t>3 years</w:t>
            </w:r>
            <w:r>
              <w:rPr>
                <w:sz w:val="19"/>
              </w:rPr>
              <w:t xml:space="preserve"> from disclosure, except for trade secrets.</w:t>
            </w:r>
          </w:p>
        </w:tc>
      </w:tr>
      <w:tr>
        <w:tc>
          <w:tcPr>
            <w:tcW w:type="dxa" w:w="2088"/>
            <w:shd w:val="clear" w:color="auto" w:fill="DCE6F1"/>
          </w:tcPr>
          <w:p>
            <w:r/>
            <w:r>
              <w:rPr>
                <w:b/>
                <w:sz w:val="19"/>
              </w:rPr>
              <w:t>Gap / analysis</w:t>
            </w:r>
          </w:p>
        </w:tc>
        <w:tc>
          <w:tcPr>
            <w:tcW w:type="dxa" w:w="7272"/>
          </w:tcPr>
          <w:p>
            <w:r>
              <w:rPr>
                <w:sz w:val="19"/>
              </w:rPr>
            </w:r>
            <w:r>
              <w:rPr>
                <w:sz w:val="19"/>
              </w:rPr>
              <w:t>The survival clause preserves Cloudvance's data rights while Meridian's accrued credits are forfeited. A three-year confidentiality tail is inadequate for PHI and patient records, which require protection for as long as Cloudvance or its Subcontractors hold them.</w:t>
            </w:r>
          </w:p>
        </w:tc>
      </w:tr>
      <w:tr>
        <w:tc>
          <w:tcPr>
            <w:tcW w:type="dxa" w:w="2088"/>
            <w:shd w:val="clear" w:color="auto" w:fill="DCE6F1"/>
          </w:tcPr>
          <w:p>
            <w:r/>
            <w:r>
              <w:rPr>
                <w:b/>
                <w:sz w:val="19"/>
              </w:rPr>
              <w:t>Recommended redline</w:t>
            </w:r>
          </w:p>
        </w:tc>
        <w:tc>
          <w:tcPr>
            <w:tcW w:type="dxa" w:w="7272"/>
          </w:tcPr>
          <w:p>
            <w:r>
              <w:rPr>
                <w:sz w:val="19"/>
              </w:rPr>
            </w:r>
            <w:r>
              <w:rPr>
                <w:sz w:val="19"/>
              </w:rPr>
              <w:t>Amend §11.5(e): delete §§6.3 and 6.4, and add accrued Service Credits, §11.7 (Transition Assistance), §12 (Insurance) and the BAA. Amend §5.1: "provided that obligations with respect to Customer Data and PHI shall survive for so long as Cloudvance or any Subcontractor retains such data."</w:t>
            </w:r>
          </w:p>
        </w:tc>
      </w:tr>
      <w:tr>
        <w:tc>
          <w:tcPr>
            <w:tcW w:type="dxa" w:w="2088"/>
            <w:shd w:val="clear" w:color="auto" w:fill="DCE6F1"/>
          </w:tcPr>
          <w:p>
            <w:r/>
            <w:r>
              <w:rPr>
                <w:b/>
                <w:sz w:val="19"/>
              </w:rPr>
              <w:t>Negotiation position</w:t>
            </w:r>
          </w:p>
        </w:tc>
        <w:tc>
          <w:tcPr>
            <w:tcW w:type="dxa" w:w="7272"/>
          </w:tcPr>
          <w:p>
            <w:r>
              <w:rPr>
                <w:sz w:val="19"/>
              </w:rPr>
            </w:r>
            <w:r>
              <w:rPr>
                <w:sz w:val="19"/>
              </w:rPr>
              <w:t>Must-have, as a conforming change to the other items in this memo.</w:t>
            </w:r>
          </w:p>
        </w:tc>
      </w:tr>
    </w:tbl>
    <w:p>
      <w:pPr>
        <w:spacing w:after="40"/>
      </w:pPr>
    </w:p>
    <w:p>
      <w:pPr>
        <w:pStyle w:val="Heading2"/>
      </w:pPr>
      <w:r>
        <w:t>9. Audit Rights (SLS §11; MSA §13; Ex. E §E.4)</w:t>
      </w:r>
    </w:p>
    <w:p>
      <w:pPr>
        <w:pStyle w:val="Heading3"/>
      </w:pPr>
      <w:r>
        <w:t>H-1  Audit rights: once per year, BAA-only scope, and SOC 2 can replace the audit</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9"/>
              </w:rPr>
              <w:t>Risk rating</w:t>
            </w:r>
          </w:p>
        </w:tc>
        <w:tc>
          <w:tcPr>
            <w:tcW w:type="dxa" w:w="7272"/>
          </w:tcPr>
          <w:p>
            <w:r>
              <w:rPr>
                <w:b/>
                <w:color w:val="E26B0A"/>
                <w:sz w:val="19"/>
              </w:rPr>
            </w:r>
            <w:r>
              <w:rPr>
                <w:b/>
                <w:color w:val="E26B0A"/>
                <w:sz w:val="19"/>
              </w:rPr>
              <w:t>High</w:t>
            </w:r>
          </w:p>
        </w:tc>
      </w:tr>
      <w:tr>
        <w:tc>
          <w:tcPr>
            <w:tcW w:type="dxa" w:w="2088"/>
            <w:shd w:val="clear" w:color="auto" w:fill="DCE6F1"/>
          </w:tcPr>
          <w:p>
            <w:r/>
            <w:r>
              <w:rPr>
                <w:b/>
                <w:sz w:val="19"/>
              </w:rPr>
              <w:t>SLS v4.2 requirement</w:t>
            </w:r>
          </w:p>
        </w:tc>
        <w:tc>
          <w:tcPr>
            <w:tcW w:type="dxa" w:w="7272"/>
          </w:tcPr>
          <w:p>
            <w:r>
              <w:rPr>
                <w:sz w:val="19"/>
              </w:rPr>
            </w:r>
            <w:r>
              <w:rPr>
                <w:sz w:val="19"/>
              </w:rPr>
              <w:t xml:space="preserve">SLS §11.1: </w:t>
            </w:r>
            <w:r>
              <w:rPr>
                <w:b/>
                <w:sz w:val="19"/>
              </w:rPr>
              <w:t>at least 2 audits per calendar year</w:t>
            </w:r>
            <w:r>
              <w:rPr>
                <w:sz w:val="19"/>
              </w:rPr>
              <w:t xml:space="preserve"> on 30 days' notice, plus </w:t>
            </w:r>
            <w:r>
              <w:rPr>
                <w:b/>
                <w:sz w:val="19"/>
              </w:rPr>
              <w:t>for-cause audits</w:t>
            </w:r>
            <w:r>
              <w:rPr>
                <w:sz w:val="19"/>
              </w:rPr>
              <w:t xml:space="preserve"> on shorter notice (after an incident, a subcontractor or location change, or a regulatory inquiry). SLS §11.2: scope covers security, BAA, SLA performance, data handling and subcontractors, including </w:t>
            </w:r>
            <w:r>
              <w:rPr>
                <w:b/>
                <w:sz w:val="19"/>
              </w:rPr>
              <w:t>physical inspection of data centers</w:t>
            </w:r>
            <w:r>
              <w:rPr>
                <w:sz w:val="19"/>
              </w:rPr>
              <w:t xml:space="preserve">, interviews, log review, </w:t>
            </w:r>
            <w:r>
              <w:rPr>
                <w:b/>
                <w:sz w:val="19"/>
              </w:rPr>
              <w:t>subcontractor audits</w:t>
            </w:r>
            <w:r>
              <w:rPr>
                <w:sz w:val="19"/>
              </w:rPr>
              <w:t xml:space="preserve"> and DR testing. The vendor "</w:t>
            </w:r>
            <w:r>
              <w:rPr>
                <w:b/>
                <w:sz w:val="19"/>
              </w:rPr>
              <w:t>shall not satisfy</w:t>
            </w:r>
            <w:r>
              <w:rPr>
                <w:sz w:val="19"/>
              </w:rPr>
              <w:t xml:space="preserve"> its audit obligations solely by providing a SOC 2 Type II report." SLS §11.3: Meridian pays for routine audits, but the vendor </w:t>
            </w:r>
            <w:r>
              <w:rPr>
                <w:b/>
                <w:sz w:val="19"/>
              </w:rPr>
              <w:t>reimburses audit costs and funds remediation</w:t>
            </w:r>
            <w:r>
              <w:rPr>
                <w:sz w:val="19"/>
              </w:rPr>
              <w:t xml:space="preserve"> if there is material non-compliance.</w:t>
            </w:r>
          </w:p>
        </w:tc>
      </w:tr>
      <w:tr>
        <w:tc>
          <w:tcPr>
            <w:tcW w:type="dxa" w:w="2088"/>
            <w:shd w:val="clear" w:color="auto" w:fill="DCE6F1"/>
          </w:tcPr>
          <w:p>
            <w:r/>
            <w:r>
              <w:rPr>
                <w:b/>
                <w:sz w:val="19"/>
              </w:rPr>
              <w:t>Agreement provision</w:t>
            </w:r>
          </w:p>
        </w:tc>
        <w:tc>
          <w:tcPr>
            <w:tcW w:type="dxa" w:w="7272"/>
          </w:tcPr>
          <w:p>
            <w:r>
              <w:rPr>
                <w:sz w:val="19"/>
              </w:rPr>
            </w:r>
            <w:r>
              <w:rPr>
                <w:sz w:val="19"/>
              </w:rPr>
              <w:t xml:space="preserve">§13.1: no more than </w:t>
            </w:r>
            <w:r>
              <w:rPr>
                <w:b/>
                <w:sz w:val="19"/>
              </w:rPr>
              <w:t>once per year</w:t>
            </w:r>
            <w:r>
              <w:rPr>
                <w:sz w:val="19"/>
              </w:rPr>
              <w:t xml:space="preserve">, on </w:t>
            </w:r>
            <w:r>
              <w:rPr>
                <w:b/>
                <w:sz w:val="19"/>
              </w:rPr>
              <w:t>60 days'</w:t>
            </w:r>
            <w:r>
              <w:rPr>
                <w:sz w:val="19"/>
              </w:rPr>
              <w:t xml:space="preserve"> notice, limited to </w:t>
            </w:r>
            <w:r>
              <w:rPr>
                <w:b/>
                <w:sz w:val="19"/>
              </w:rPr>
              <w:t>BAA compliance</w:t>
            </w:r>
            <w:r>
              <w:rPr>
                <w:sz w:val="19"/>
              </w:rPr>
              <w:t xml:space="preserve">, at Customer's sole expense, using an auditor "reasonably acceptable to Cloudvance," during business hours. Meridian must deliver a summary of findings to Cloudvance. §13.2: Cloudvance may, "at its sole discretion," satisfy </w:t>
            </w:r>
            <w:r>
              <w:rPr>
                <w:b/>
                <w:sz w:val="19"/>
              </w:rPr>
              <w:t>any</w:t>
            </w:r>
            <w:r>
              <w:rPr>
                <w:sz w:val="19"/>
              </w:rPr>
              <w:t xml:space="preserve"> audit request with its SOC 2 Type II report, which "shall be deemed to satisfy any and all audit requests" for the year and eliminates on-site rights.</w:t>
            </w:r>
          </w:p>
        </w:tc>
      </w:tr>
      <w:tr>
        <w:tc>
          <w:tcPr>
            <w:tcW w:type="dxa" w:w="2088"/>
            <w:shd w:val="clear" w:color="auto" w:fill="DCE6F1"/>
          </w:tcPr>
          <w:p>
            <w:r/>
            <w:r>
              <w:rPr>
                <w:b/>
                <w:sz w:val="19"/>
              </w:rPr>
              <w:t>Gap / analysis</w:t>
            </w:r>
          </w:p>
        </w:tc>
        <w:tc>
          <w:tcPr>
            <w:tcW w:type="dxa" w:w="7272"/>
          </w:tcPr>
          <w:p>
            <w:r>
              <w:rPr>
                <w:sz w:val="19"/>
              </w:rPr>
            </w:r>
            <w:r>
              <w:rPr>
                <w:sz w:val="19"/>
              </w:rPr>
              <w:t>In practice, §13.2 means Meridian has no audit right: Cloudvance can respond to every request by sending its SOC 2 report, which SLS §11.2 specifically prohibits. Even without §13.2, the scope excludes SLA performance, security outside the BAA, data handling and Stratos. There is no for-cause audit, no physical inspection and no cost-shifting for non-compliance.</w:t>
            </w:r>
          </w:p>
        </w:tc>
      </w:tr>
      <w:tr>
        <w:tc>
          <w:tcPr>
            <w:tcW w:type="dxa" w:w="2088"/>
            <w:shd w:val="clear" w:color="auto" w:fill="DCE6F1"/>
          </w:tcPr>
          <w:p>
            <w:r/>
            <w:r>
              <w:rPr>
                <w:b/>
                <w:sz w:val="19"/>
              </w:rPr>
              <w:t>Recommended redline</w:t>
            </w:r>
          </w:p>
        </w:tc>
        <w:tc>
          <w:tcPr>
            <w:tcW w:type="dxa" w:w="7272"/>
          </w:tcPr>
          <w:p>
            <w:r>
              <w:rPr>
                <w:sz w:val="19"/>
              </w:rPr>
            </w:r>
            <w:r>
              <w:rPr>
                <w:sz w:val="19"/>
              </w:rPr>
              <w:t>Replace §13 with the SLS §11 framework: two scheduled audits per calendar year on thirty (30) days' notice; for-cause audits on reasonable notice following a Security Incident, suspected non-compliance, a change in Subcontractors or hosting locations, or a regulatory inquiry; the full SLS §11.2(a) to (g) scope, including physical inspection of data centers and audits of Subcontractors (including Stratos), directly or through Cloudvance; delete §13.2 and state that "</w:t>
            </w:r>
            <w:r>
              <w:rPr>
                <w:b/>
                <w:sz w:val="19"/>
              </w:rPr>
              <w:t>SOC 2 Type II or other third-party reports may supplement but shall not replace Customer's audit rights</w:t>
            </w:r>
            <w:r>
              <w:rPr>
                <w:sz w:val="19"/>
              </w:rPr>
              <w:t>"; and if material non-compliance is found, Cloudvance reimburses all audit costs and bears all remediation costs. Delete the "reasonably acceptable to Cloudvance" approval right, or limit it to auditors that are Cloudvance competitors.</w:t>
            </w:r>
          </w:p>
        </w:tc>
      </w:tr>
      <w:tr>
        <w:tc>
          <w:tcPr>
            <w:tcW w:type="dxa" w:w="2088"/>
            <w:shd w:val="clear" w:color="auto" w:fill="DCE6F1"/>
          </w:tcPr>
          <w:p>
            <w:r/>
            <w:r>
              <w:rPr>
                <w:b/>
                <w:sz w:val="19"/>
              </w:rPr>
              <w:t>Negotiation position</w:t>
            </w:r>
          </w:p>
        </w:tc>
        <w:tc>
          <w:tcPr>
            <w:tcW w:type="dxa" w:w="7272"/>
          </w:tcPr>
          <w:p>
            <w:r>
              <w:rPr>
                <w:sz w:val="19"/>
              </w:rPr>
            </w:r>
            <w:r>
              <w:rPr>
                <w:sz w:val="19"/>
              </w:rPr>
              <w:t>Must-have for deleting §13.2, expanding the scope, and adding for-cause audits. The second annual audit and the cost-shifting provision are also SLS requirements. If Cloudvance resists, a single comprehensive annual audit plus unlimited for-cause audits would be a deviation requiring approval.</w:t>
            </w:r>
          </w:p>
        </w:tc>
      </w:tr>
    </w:tbl>
    <w:p>
      <w:pPr>
        <w:spacing w:after="40"/>
      </w:pPr>
    </w:p>
    <w:p>
      <w:pPr>
        <w:pStyle w:val="Heading2"/>
      </w:pPr>
      <w:r>
        <w:t>10. Governing Law and Dispute Resolution (SLS §12; MSA §14)</w:t>
      </w:r>
    </w:p>
    <w:p>
      <w:pPr>
        <w:pStyle w:val="Heading3"/>
      </w:pPr>
      <w:r>
        <w:t>I-1  Governing law: Texas versus North Carolina</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9"/>
              </w:rPr>
              <w:t>Risk rating</w:t>
            </w:r>
          </w:p>
        </w:tc>
        <w:tc>
          <w:tcPr>
            <w:tcW w:type="dxa" w:w="7272"/>
          </w:tcPr>
          <w:p>
            <w:r>
              <w:rPr>
                <w:b/>
                <w:color w:val="E26B0A"/>
                <w:sz w:val="19"/>
              </w:rPr>
            </w:r>
            <w:r>
              <w:rPr>
                <w:b/>
                <w:color w:val="E26B0A"/>
                <w:sz w:val="19"/>
              </w:rPr>
              <w:t>High</w:t>
            </w:r>
          </w:p>
        </w:tc>
      </w:tr>
      <w:tr>
        <w:tc>
          <w:tcPr>
            <w:tcW w:type="dxa" w:w="2088"/>
            <w:shd w:val="clear" w:color="auto" w:fill="DCE6F1"/>
          </w:tcPr>
          <w:p>
            <w:r/>
            <w:r>
              <w:rPr>
                <w:b/>
                <w:sz w:val="19"/>
              </w:rPr>
              <w:t>SLS v4.2 requirement</w:t>
            </w:r>
          </w:p>
        </w:tc>
        <w:tc>
          <w:tcPr>
            <w:tcW w:type="dxa" w:w="7272"/>
          </w:tcPr>
          <w:p>
            <w:r>
              <w:rPr>
                <w:sz w:val="19"/>
              </w:rPr>
            </w:r>
            <w:r>
              <w:rPr>
                <w:sz w:val="19"/>
              </w:rPr>
              <w:t xml:space="preserve">SLS §12.1: agreements must be governed by </w:t>
            </w:r>
            <w:r>
              <w:rPr>
                <w:b/>
                <w:sz w:val="19"/>
              </w:rPr>
              <w:t>North Carolina</w:t>
            </w:r>
            <w:r>
              <w:rPr>
                <w:sz w:val="19"/>
              </w:rPr>
              <w:t xml:space="preserve"> law. Any other choice requires prior written approval from Meridian's General Counsel.</w:t>
            </w:r>
          </w:p>
        </w:tc>
      </w:tr>
      <w:tr>
        <w:tc>
          <w:tcPr>
            <w:tcW w:type="dxa" w:w="2088"/>
            <w:shd w:val="clear" w:color="auto" w:fill="DCE6F1"/>
          </w:tcPr>
          <w:p>
            <w:r/>
            <w:r>
              <w:rPr>
                <w:b/>
                <w:sz w:val="19"/>
              </w:rPr>
              <w:t>Agreement provision</w:t>
            </w:r>
          </w:p>
        </w:tc>
        <w:tc>
          <w:tcPr>
            <w:tcW w:type="dxa" w:w="7272"/>
          </w:tcPr>
          <w:p>
            <w:r>
              <w:rPr>
                <w:sz w:val="19"/>
              </w:rPr>
            </w:r>
            <w:r>
              <w:rPr>
                <w:sz w:val="19"/>
              </w:rPr>
              <w:t>§14.1: Texas law, without regard to conflict-of-law principles.</w:t>
            </w:r>
          </w:p>
        </w:tc>
      </w:tr>
      <w:tr>
        <w:tc>
          <w:tcPr>
            <w:tcW w:type="dxa" w:w="2088"/>
            <w:shd w:val="clear" w:color="auto" w:fill="DCE6F1"/>
          </w:tcPr>
          <w:p>
            <w:r/>
            <w:r>
              <w:rPr>
                <w:b/>
                <w:sz w:val="19"/>
              </w:rPr>
              <w:t>Gap / analysis</w:t>
            </w:r>
          </w:p>
        </w:tc>
        <w:tc>
          <w:tcPr>
            <w:tcW w:type="dxa" w:w="7272"/>
          </w:tcPr>
          <w:p>
            <w:r>
              <w:rPr>
                <w:sz w:val="19"/>
              </w:rPr>
            </w:r>
            <w:r>
              <w:rPr>
                <w:sz w:val="19"/>
              </w:rPr>
              <w:t>Marcus Ellison expected that this would not be acceptable, and the SLS confirms it. Meridian is a North Carolina corporation, headquartered in Charlotte, with facilities in NC, SC and GA. Texas law would apply to questions such as the enforceability of the liquidated-damages termination fee (§11.3), the limitation-of-liability provisions and the jury waiver.</w:t>
            </w:r>
          </w:p>
        </w:tc>
      </w:tr>
      <w:tr>
        <w:tc>
          <w:tcPr>
            <w:tcW w:type="dxa" w:w="2088"/>
            <w:shd w:val="clear" w:color="auto" w:fill="DCE6F1"/>
          </w:tcPr>
          <w:p>
            <w:r/>
            <w:r>
              <w:rPr>
                <w:b/>
                <w:sz w:val="19"/>
              </w:rPr>
              <w:t>Recommended redline</w:t>
            </w:r>
          </w:p>
        </w:tc>
        <w:tc>
          <w:tcPr>
            <w:tcW w:type="dxa" w:w="7272"/>
          </w:tcPr>
          <w:p>
            <w:r>
              <w:rPr>
                <w:sz w:val="19"/>
              </w:rPr>
            </w:r>
            <w:r>
              <w:rPr>
                <w:sz w:val="19"/>
              </w:rPr>
              <w:t>Replace §14.1: "This Agreement shall be governed by and construed in accordance with the laws of the State of North Carolina, without giving effect to any choice-of-law or conflict-of-law rules that would result in the application of the laws of any other jurisdiction."</w:t>
            </w:r>
          </w:p>
        </w:tc>
      </w:tr>
      <w:tr>
        <w:tc>
          <w:tcPr>
            <w:tcW w:type="dxa" w:w="2088"/>
            <w:shd w:val="clear" w:color="auto" w:fill="DCE6F1"/>
          </w:tcPr>
          <w:p>
            <w:r/>
            <w:r>
              <w:rPr>
                <w:b/>
                <w:sz w:val="19"/>
              </w:rPr>
              <w:t>Negotiation position</w:t>
            </w:r>
          </w:p>
        </w:tc>
        <w:tc>
          <w:tcPr>
            <w:tcW w:type="dxa" w:w="7272"/>
          </w:tcPr>
          <w:p>
            <w:r>
              <w:rPr>
                <w:sz w:val="19"/>
              </w:rPr>
            </w:r>
            <w:r>
              <w:rPr>
                <w:sz w:val="19"/>
              </w:rPr>
              <w:t>Must-have without General Counsel approval. Delaware law (Cloudvance's state of incorporation) is sometimes offered as a "neutral" compromise, but it would still require General Counsel approval.</w:t>
            </w:r>
          </w:p>
        </w:tc>
      </w:tr>
    </w:tbl>
    <w:p>
      <w:pPr>
        <w:spacing w:after="40"/>
      </w:pPr>
    </w:p>
    <w:p>
      <w:pPr>
        <w:pStyle w:val="Heading3"/>
      </w:pPr>
      <w:r>
        <w:t>I-2  Mandatory AAA arbitration in Austin; jury waiver embedded in the form</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9"/>
              </w:rPr>
              <w:t>Risk rating</w:t>
            </w:r>
          </w:p>
        </w:tc>
        <w:tc>
          <w:tcPr>
            <w:tcW w:type="dxa" w:w="7272"/>
          </w:tcPr>
          <w:p>
            <w:r>
              <w:rPr>
                <w:b/>
                <w:color w:val="E26B0A"/>
                <w:sz w:val="19"/>
              </w:rPr>
            </w:r>
            <w:r>
              <w:rPr>
                <w:b/>
                <w:color w:val="E26B0A"/>
                <w:sz w:val="19"/>
              </w:rPr>
              <w:t>High</w:t>
            </w:r>
          </w:p>
        </w:tc>
      </w:tr>
      <w:tr>
        <w:tc>
          <w:tcPr>
            <w:tcW w:type="dxa" w:w="2088"/>
            <w:shd w:val="clear" w:color="auto" w:fill="DCE6F1"/>
          </w:tcPr>
          <w:p>
            <w:r/>
            <w:r>
              <w:rPr>
                <w:b/>
                <w:sz w:val="19"/>
              </w:rPr>
              <w:t>SLS v4.2 requirement</w:t>
            </w:r>
          </w:p>
        </w:tc>
        <w:tc>
          <w:tcPr>
            <w:tcW w:type="dxa" w:w="7272"/>
          </w:tcPr>
          <w:p>
            <w:r>
              <w:rPr>
                <w:sz w:val="19"/>
              </w:rPr>
            </w:r>
            <w:r>
              <w:rPr>
                <w:sz w:val="19"/>
              </w:rPr>
              <w:t xml:space="preserve">SLS §12.2: </w:t>
            </w:r>
            <w:r>
              <w:rPr>
                <w:b/>
                <w:sz w:val="19"/>
              </w:rPr>
              <w:t>litigation in state or federal courts in Mecklenburg County, NC</w:t>
            </w:r>
            <w:r>
              <w:rPr>
                <w:sz w:val="19"/>
              </w:rPr>
              <w:t xml:space="preserve">, with exclusive jurisdiction. Optional </w:t>
            </w:r>
            <w:r>
              <w:rPr>
                <w:b/>
                <w:sz w:val="19"/>
              </w:rPr>
              <w:t>non-binding</w:t>
            </w:r>
            <w:r>
              <w:rPr>
                <w:sz w:val="19"/>
              </w:rPr>
              <w:t xml:space="preserve"> mediation in Charlotte may be included, but it cannot be a prerequisite to suit. SLS §12.3: </w:t>
            </w:r>
            <w:r>
              <w:rPr>
                <w:b/>
                <w:sz w:val="19"/>
              </w:rPr>
              <w:t>no mandatory binding arbitration for disputes over $1,000,000</w:t>
            </w:r>
            <w:r>
              <w:rPr>
                <w:sz w:val="19"/>
              </w:rPr>
              <w:t xml:space="preserve">. Arbitration of disputes of $1M or less is allowed only if seated in Charlotte, under NC law, with an arbitrator who has healthcare IT or regulatory expertise. Jury waivers are allowed only in a </w:t>
            </w:r>
            <w:r>
              <w:rPr>
                <w:b/>
                <w:sz w:val="19"/>
              </w:rPr>
              <w:t>separately executed</w:t>
            </w:r>
            <w:r>
              <w:rPr>
                <w:sz w:val="19"/>
              </w:rPr>
              <w:t xml:space="preserve"> document.</w:t>
            </w:r>
          </w:p>
        </w:tc>
      </w:tr>
      <w:tr>
        <w:tc>
          <w:tcPr>
            <w:tcW w:type="dxa" w:w="2088"/>
            <w:shd w:val="clear" w:color="auto" w:fill="DCE6F1"/>
          </w:tcPr>
          <w:p>
            <w:r/>
            <w:r>
              <w:rPr>
                <w:b/>
                <w:sz w:val="19"/>
              </w:rPr>
              <w:t>Agreement provision</w:t>
            </w:r>
          </w:p>
        </w:tc>
        <w:tc>
          <w:tcPr>
            <w:tcW w:type="dxa" w:w="7272"/>
          </w:tcPr>
          <w:p>
            <w:r>
              <w:rPr>
                <w:sz w:val="19"/>
              </w:rPr>
            </w:r>
            <w:r>
              <w:rPr>
                <w:sz w:val="19"/>
              </w:rPr>
              <w:t xml:space="preserve">§14.2: </w:t>
            </w:r>
            <w:r>
              <w:rPr>
                <w:b/>
                <w:sz w:val="19"/>
              </w:rPr>
              <w:t>all</w:t>
            </w:r>
            <w:r>
              <w:rPr>
                <w:sz w:val="19"/>
              </w:rPr>
              <w:t xml:space="preserve"> disputes, including arbitrability, go to binding AAA Commercial arbitration before a single arbitrator seated in </w:t>
            </w:r>
            <w:r>
              <w:rPr>
                <w:b/>
                <w:sz w:val="19"/>
              </w:rPr>
              <w:t>Austin, Texas</w:t>
            </w:r>
            <w:r>
              <w:rPr>
                <w:sz w:val="19"/>
              </w:rPr>
              <w:t>. The arbitrator's authority is subject to the §10 limitations. Proceedings are confidential, and each party bears its own fees. §14.3: an all-caps jury waiver in the body of the Agreement.</w:t>
            </w:r>
          </w:p>
        </w:tc>
      </w:tr>
      <w:tr>
        <w:tc>
          <w:tcPr>
            <w:tcW w:type="dxa" w:w="2088"/>
            <w:shd w:val="clear" w:color="auto" w:fill="DCE6F1"/>
          </w:tcPr>
          <w:p>
            <w:r/>
            <w:r>
              <w:rPr>
                <w:b/>
                <w:sz w:val="19"/>
              </w:rPr>
              <w:t>Gap / analysis</w:t>
            </w:r>
          </w:p>
        </w:tc>
        <w:tc>
          <w:tcPr>
            <w:tcW w:type="dxa" w:w="7272"/>
          </w:tcPr>
          <w:p>
            <w:r>
              <w:rPr>
                <w:sz w:val="19"/>
              </w:rPr>
            </w:r>
            <w:r>
              <w:rPr>
                <w:sz w:val="19"/>
              </w:rPr>
              <w:t>Any significant dispute under a $38.7M contract will exceed the $1M threshold, so under SLS §12.3 mandatory arbitration is presumptively impermissible here. A single arbitrator in Austin, with limited discovery, no appeal and confidential proceedings, combined with Texas law and the §10 limitations, would give Cloudvance substantial procedural leverage. The jury waiver fails the SLS requirement for a separately executed document. There is also no carve-out allowing either party to seek injunctive relief, for example to compel data return or continued service, which an EHR customer may urgently need.</w:t>
            </w:r>
          </w:p>
        </w:tc>
      </w:tr>
      <w:tr>
        <w:tc>
          <w:tcPr>
            <w:tcW w:type="dxa" w:w="2088"/>
            <w:shd w:val="clear" w:color="auto" w:fill="DCE6F1"/>
          </w:tcPr>
          <w:p>
            <w:r/>
            <w:r>
              <w:rPr>
                <w:b/>
                <w:sz w:val="19"/>
              </w:rPr>
              <w:t>Recommended redline</w:t>
            </w:r>
          </w:p>
        </w:tc>
        <w:tc>
          <w:tcPr>
            <w:tcW w:type="dxa" w:w="7272"/>
          </w:tcPr>
          <w:p>
            <w:r>
              <w:rPr>
                <w:sz w:val="19"/>
              </w:rPr>
            </w:r>
            <w:r>
              <w:rPr>
                <w:sz w:val="19"/>
              </w:rPr>
              <w:t>Replace §14.2: "Any dispute arising out of or relating to this Agreement shall be resolved exclusively in the state or federal courts located in Mecklenburg County, North Carolina, and each Party irrevocably submits to the exclusive personal jurisdiction and venue of such courts and waives any objection based on inconvenient forum. The Parties may, by mutual agreement, submit a dispute to non-binding mediation in Charlotte, North Carolina, but mediation shall not be a prerequisite to filing suit." Optionally add: disputes of $1,000,000 or less may be arbitrated in Charlotte under NC law before an arbitrator with healthcare IT or regulatory expertise. Delete §14.3; any jury waiver must be a separately executed instrument. Add: "Nothing herein limits either Party's right to seek injunctive or other equitable relief, including to compel the return of Customer Data or the continuation of Services."</w:t>
            </w:r>
          </w:p>
        </w:tc>
      </w:tr>
      <w:tr>
        <w:tc>
          <w:tcPr>
            <w:tcW w:type="dxa" w:w="2088"/>
            <w:shd w:val="clear" w:color="auto" w:fill="DCE6F1"/>
          </w:tcPr>
          <w:p>
            <w:r/>
            <w:r>
              <w:rPr>
                <w:b/>
                <w:sz w:val="19"/>
              </w:rPr>
              <w:t>Negotiation position</w:t>
            </w:r>
          </w:p>
        </w:tc>
        <w:tc>
          <w:tcPr>
            <w:tcW w:type="dxa" w:w="7272"/>
          </w:tcPr>
          <w:p>
            <w:r>
              <w:rPr>
                <w:sz w:val="19"/>
              </w:rPr>
            </w:r>
            <w:r>
              <w:rPr>
                <w:sz w:val="19"/>
              </w:rPr>
              <w:t>Must-have. If Cloudvance insists on arbitration, the SLS allows it only for disputes of $1M or less and only in Charlotte.</w:t>
            </w:r>
          </w:p>
        </w:tc>
      </w:tr>
    </w:tbl>
    <w:p>
      <w:pPr>
        <w:spacing w:after="40"/>
      </w:pPr>
    </w:p>
    <w:p>
      <w:pPr>
        <w:pStyle w:val="Heading1"/>
      </w:pPr>
      <w:r>
        <w:t>V. Requirements on Which the Agreement Is Silent</w:t>
      </w:r>
    </w:p>
    <w:p>
      <w:pPr>
        <w:spacing w:after="120"/>
      </w:pPr>
      <w:r>
        <w:t>You asked us to flag areas where the Agreement says nothing about matters the SLS requires. Silence is not neutral here: because §15.4 is an entire-agreement clause, SLS requirements that are not written into the Agreement will not bind Cloudvance.</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4464"/>
            <w:shd w:val="clear" w:color="auto" w:fill="1F3A5F"/>
          </w:tcPr>
          <w:p>
            <w:r/>
            <w:r>
              <w:rPr>
                <w:b/>
                <w:color w:val="FFFFFF"/>
                <w:sz w:val="17"/>
              </w:rPr>
              <w:t>SLS requirement</w:t>
            </w:r>
          </w:p>
        </w:tc>
        <w:tc>
          <w:tcPr>
            <w:tcW w:type="dxa" w:w="1152"/>
            <w:shd w:val="clear" w:color="auto" w:fill="1F3A5F"/>
          </w:tcPr>
          <w:p>
            <w:r/>
            <w:r>
              <w:rPr>
                <w:b/>
                <w:color w:val="FFFFFF"/>
                <w:sz w:val="17"/>
              </w:rPr>
              <w:t>SLS ref.</w:t>
            </w:r>
          </w:p>
        </w:tc>
        <w:tc>
          <w:tcPr>
            <w:tcW w:type="dxa" w:w="2592"/>
            <w:shd w:val="clear" w:color="auto" w:fill="1F3A5F"/>
          </w:tcPr>
          <w:p>
            <w:r/>
            <w:r>
              <w:rPr>
                <w:b/>
                <w:color w:val="FFFFFF"/>
                <w:sz w:val="17"/>
              </w:rPr>
              <w:t>Agreement</w:t>
            </w:r>
          </w:p>
        </w:tc>
        <w:tc>
          <w:tcPr>
            <w:tcW w:type="dxa" w:w="1152"/>
            <w:shd w:val="clear" w:color="auto" w:fill="1F3A5F"/>
          </w:tcPr>
          <w:p>
            <w:r/>
            <w:r>
              <w:rPr>
                <w:b/>
                <w:color w:val="FFFFFF"/>
                <w:sz w:val="17"/>
              </w:rPr>
              <w:t>Memo ref.</w:t>
            </w:r>
          </w:p>
        </w:tc>
      </w:tr>
      <w:tr>
        <w:tc>
          <w:tcPr>
            <w:tcW w:type="dxa" w:w="4464"/>
          </w:tcPr>
          <w:p>
            <w:r>
              <w:rPr>
                <w:sz w:val="17"/>
              </w:rPr>
            </w:r>
            <w:r>
              <w:rPr>
                <w:sz w:val="17"/>
              </w:rPr>
              <w:t>Tier 1 designation in the vendor agreement</w:t>
            </w:r>
          </w:p>
        </w:tc>
        <w:tc>
          <w:tcPr>
            <w:tcW w:type="dxa" w:w="1152"/>
          </w:tcPr>
          <w:p>
            <w:r>
              <w:rPr>
                <w:sz w:val="17"/>
              </w:rPr>
            </w:r>
            <w:r>
              <w:rPr>
                <w:sz w:val="17"/>
              </w:rPr>
              <w:t>§§1.2, 2.1</w:t>
            </w:r>
          </w:p>
        </w:tc>
        <w:tc>
          <w:tcPr>
            <w:tcW w:type="dxa" w:w="2592"/>
          </w:tcPr>
          <w:p>
            <w:r>
              <w:rPr>
                <w:sz w:val="17"/>
              </w:rPr>
            </w:r>
            <w:r>
              <w:rPr>
                <w:sz w:val="17"/>
              </w:rPr>
              <w:t>Silent</w:t>
            </w:r>
          </w:p>
        </w:tc>
        <w:tc>
          <w:tcPr>
            <w:tcW w:type="dxa" w:w="1152"/>
          </w:tcPr>
          <w:p>
            <w:r>
              <w:rPr>
                <w:sz w:val="17"/>
              </w:rPr>
            </w:r>
            <w:r>
              <w:rPr>
                <w:sz w:val="17"/>
              </w:rPr>
              <w:t>A-1</w:t>
            </w:r>
          </w:p>
        </w:tc>
      </w:tr>
      <w:tr>
        <w:tc>
          <w:tcPr>
            <w:tcW w:type="dxa" w:w="4464"/>
          </w:tcPr>
          <w:p>
            <w:r>
              <w:rPr>
                <w:sz w:val="17"/>
              </w:rPr>
            </w:r>
            <w:r>
              <w:rPr>
                <w:sz w:val="17"/>
              </w:rPr>
              <w:t>Real-time availability dashboard</w:t>
            </w:r>
          </w:p>
        </w:tc>
        <w:tc>
          <w:tcPr>
            <w:tcW w:type="dxa" w:w="1152"/>
          </w:tcPr>
          <w:p>
            <w:r>
              <w:rPr>
                <w:sz w:val="17"/>
              </w:rPr>
            </w:r>
            <w:r>
              <w:rPr>
                <w:sz w:val="17"/>
              </w:rPr>
              <w:t>§3.1</w:t>
            </w:r>
          </w:p>
        </w:tc>
        <w:tc>
          <w:tcPr>
            <w:tcW w:type="dxa" w:w="2592"/>
          </w:tcPr>
          <w:p>
            <w:r>
              <w:rPr>
                <w:sz w:val="17"/>
              </w:rPr>
            </w:r>
            <w:r>
              <w:rPr>
                <w:sz w:val="17"/>
              </w:rPr>
              <w:t>Silent</w:t>
            </w:r>
          </w:p>
        </w:tc>
        <w:tc>
          <w:tcPr>
            <w:tcW w:type="dxa" w:w="1152"/>
          </w:tcPr>
          <w:p>
            <w:r>
              <w:rPr>
                <w:sz w:val="17"/>
              </w:rPr>
            </w:r>
            <w:r>
              <w:rPr>
                <w:sz w:val="17"/>
              </w:rPr>
              <w:t>A-7</w:t>
            </w:r>
          </w:p>
        </w:tc>
      </w:tr>
      <w:tr>
        <w:tc>
          <w:tcPr>
            <w:tcW w:type="dxa" w:w="4464"/>
          </w:tcPr>
          <w:p>
            <w:r>
              <w:rPr>
                <w:sz w:val="17"/>
              </w:rPr>
            </w:r>
            <w:r>
              <w:rPr>
                <w:sz w:val="17"/>
              </w:rPr>
              <w:t>Monthly maintenance cap; Meridian-approved windows; cap enforcement</w:t>
            </w:r>
          </w:p>
        </w:tc>
        <w:tc>
          <w:tcPr>
            <w:tcW w:type="dxa" w:w="1152"/>
          </w:tcPr>
          <w:p>
            <w:r>
              <w:rPr>
                <w:sz w:val="17"/>
              </w:rPr>
            </w:r>
            <w:r>
              <w:rPr>
                <w:sz w:val="17"/>
              </w:rPr>
              <w:t>§3.2</w:t>
            </w:r>
          </w:p>
        </w:tc>
        <w:tc>
          <w:tcPr>
            <w:tcW w:type="dxa" w:w="2592"/>
          </w:tcPr>
          <w:p>
            <w:r>
              <w:rPr>
                <w:sz w:val="17"/>
              </w:rPr>
            </w:r>
            <w:r>
              <w:rPr>
                <w:sz w:val="17"/>
              </w:rPr>
              <w:t>Silent (weekly 8-hr allowance only)</w:t>
            </w:r>
          </w:p>
        </w:tc>
        <w:tc>
          <w:tcPr>
            <w:tcW w:type="dxa" w:w="1152"/>
          </w:tcPr>
          <w:p>
            <w:r>
              <w:rPr>
                <w:sz w:val="17"/>
              </w:rPr>
            </w:r>
            <w:r>
              <w:rPr>
                <w:sz w:val="17"/>
              </w:rPr>
              <w:t>A-4</w:t>
            </w:r>
          </w:p>
        </w:tc>
      </w:tr>
      <w:tr>
        <w:tc>
          <w:tcPr>
            <w:tcW w:type="dxa" w:w="4464"/>
          </w:tcPr>
          <w:p>
            <w:r>
              <w:rPr>
                <w:sz w:val="17"/>
              </w:rPr>
            </w:r>
            <w:r>
              <w:rPr>
                <w:sz w:val="17"/>
              </w:rPr>
              <w:t>Force majeure exclusions (subcontractor and hosting, bugs, DR failure)</w:t>
            </w:r>
          </w:p>
        </w:tc>
        <w:tc>
          <w:tcPr>
            <w:tcW w:type="dxa" w:w="1152"/>
          </w:tcPr>
          <w:p>
            <w:r>
              <w:rPr>
                <w:sz w:val="17"/>
              </w:rPr>
            </w:r>
            <w:r>
              <w:rPr>
                <w:sz w:val="17"/>
              </w:rPr>
              <w:t>§3.4</w:t>
            </w:r>
          </w:p>
        </w:tc>
        <w:tc>
          <w:tcPr>
            <w:tcW w:type="dxa" w:w="2592"/>
          </w:tcPr>
          <w:p>
            <w:r>
              <w:rPr>
                <w:sz w:val="17"/>
              </w:rPr>
            </w:r>
            <w:r>
              <w:rPr>
                <w:sz w:val="17"/>
              </w:rPr>
              <w:t>Silent; hosting failures expressly included</w:t>
            </w:r>
          </w:p>
        </w:tc>
        <w:tc>
          <w:tcPr>
            <w:tcW w:type="dxa" w:w="1152"/>
          </w:tcPr>
          <w:p>
            <w:r>
              <w:rPr>
                <w:sz w:val="17"/>
              </w:rPr>
            </w:r>
            <w:r>
              <w:rPr>
                <w:sz w:val="17"/>
              </w:rPr>
              <w:t>A-6</w:t>
            </w:r>
          </w:p>
        </w:tc>
      </w:tr>
      <w:tr>
        <w:tc>
          <w:tcPr>
            <w:tcW w:type="dxa" w:w="4464"/>
          </w:tcPr>
          <w:p>
            <w:r>
              <w:rPr>
                <w:sz w:val="17"/>
              </w:rPr>
            </w:r>
            <w:r>
              <w:rPr>
                <w:sz w:val="17"/>
              </w:rPr>
              <w:t>Service-credit dispute escalation; escrow of disputed credits</w:t>
            </w:r>
          </w:p>
        </w:tc>
        <w:tc>
          <w:tcPr>
            <w:tcW w:type="dxa" w:w="1152"/>
          </w:tcPr>
          <w:p>
            <w:r>
              <w:rPr>
                <w:sz w:val="17"/>
              </w:rPr>
            </w:r>
            <w:r>
              <w:rPr>
                <w:sz w:val="17"/>
              </w:rPr>
              <w:t>§4.4</w:t>
            </w:r>
          </w:p>
        </w:tc>
        <w:tc>
          <w:tcPr>
            <w:tcW w:type="dxa" w:w="2592"/>
          </w:tcPr>
          <w:p>
            <w:r>
              <w:rPr>
                <w:sz w:val="17"/>
              </w:rPr>
            </w:r>
            <w:r>
              <w:rPr>
                <w:sz w:val="17"/>
              </w:rPr>
              <w:t>Silent</w:t>
            </w:r>
          </w:p>
        </w:tc>
        <w:tc>
          <w:tcPr>
            <w:tcW w:type="dxa" w:w="1152"/>
          </w:tcPr>
          <w:p>
            <w:r>
              <w:rPr>
                <w:sz w:val="17"/>
              </w:rPr>
            </w:r>
            <w:r>
              <w:rPr>
                <w:sz w:val="17"/>
              </w:rPr>
              <w:t>B-2</w:t>
            </w:r>
          </w:p>
        </w:tc>
      </w:tr>
      <w:tr>
        <w:tc>
          <w:tcPr>
            <w:tcW w:type="dxa" w:w="4464"/>
          </w:tcPr>
          <w:p>
            <w:r>
              <w:rPr>
                <w:sz w:val="17"/>
              </w:rPr>
            </w:r>
            <w:r>
              <w:rPr>
                <w:sz w:val="17"/>
              </w:rPr>
              <w:t>Chronic SLA Failure remedies and termination</w:t>
            </w:r>
          </w:p>
        </w:tc>
        <w:tc>
          <w:tcPr>
            <w:tcW w:type="dxa" w:w="1152"/>
          </w:tcPr>
          <w:p>
            <w:r>
              <w:rPr>
                <w:sz w:val="17"/>
              </w:rPr>
            </w:r>
            <w:r>
              <w:rPr>
                <w:sz w:val="17"/>
              </w:rPr>
              <w:t>§§4.3, 10.3</w:t>
            </w:r>
          </w:p>
        </w:tc>
        <w:tc>
          <w:tcPr>
            <w:tcW w:type="dxa" w:w="2592"/>
          </w:tcPr>
          <w:p>
            <w:r>
              <w:rPr>
                <w:sz w:val="17"/>
              </w:rPr>
            </w:r>
            <w:r>
              <w:rPr>
                <w:sz w:val="17"/>
              </w:rPr>
              <w:t>Silent; §11.4 forecloses</w:t>
            </w:r>
          </w:p>
        </w:tc>
        <w:tc>
          <w:tcPr>
            <w:tcW w:type="dxa" w:w="1152"/>
          </w:tcPr>
          <w:p>
            <w:r>
              <w:rPr>
                <w:sz w:val="17"/>
              </w:rPr>
            </w:r>
            <w:r>
              <w:rPr>
                <w:sz w:val="17"/>
              </w:rPr>
              <w:t>B-4</w:t>
            </w:r>
          </w:p>
        </w:tc>
      </w:tr>
      <w:tr>
        <w:tc>
          <w:tcPr>
            <w:tcW w:type="dxa" w:w="4464"/>
          </w:tcPr>
          <w:p>
            <w:r>
              <w:rPr>
                <w:sz w:val="17"/>
              </w:rPr>
            </w:r>
            <w:r>
              <w:rPr>
                <w:sz w:val="17"/>
              </w:rPr>
              <w:t>Severity 4 tier; Meridian reclassification right</w:t>
            </w:r>
          </w:p>
        </w:tc>
        <w:tc>
          <w:tcPr>
            <w:tcW w:type="dxa" w:w="1152"/>
          </w:tcPr>
          <w:p>
            <w:r>
              <w:rPr>
                <w:sz w:val="17"/>
              </w:rPr>
            </w:r>
            <w:r>
              <w:rPr>
                <w:sz w:val="17"/>
              </w:rPr>
              <w:t>§5.1</w:t>
            </w:r>
          </w:p>
        </w:tc>
        <w:tc>
          <w:tcPr>
            <w:tcW w:type="dxa" w:w="2592"/>
          </w:tcPr>
          <w:p>
            <w:r>
              <w:rPr>
                <w:sz w:val="17"/>
              </w:rPr>
            </w:r>
            <w:r>
              <w:rPr>
                <w:sz w:val="17"/>
              </w:rPr>
              <w:t>Silent</w:t>
            </w:r>
          </w:p>
        </w:tc>
        <w:tc>
          <w:tcPr>
            <w:tcW w:type="dxa" w:w="1152"/>
          </w:tcPr>
          <w:p>
            <w:r>
              <w:rPr>
                <w:sz w:val="17"/>
              </w:rPr>
            </w:r>
            <w:r>
              <w:rPr>
                <w:sz w:val="17"/>
              </w:rPr>
              <w:t>C-1</w:t>
            </w:r>
          </w:p>
        </w:tc>
      </w:tr>
      <w:tr>
        <w:tc>
          <w:tcPr>
            <w:tcW w:type="dxa" w:w="4464"/>
          </w:tcPr>
          <w:p>
            <w:r>
              <w:rPr>
                <w:sz w:val="17"/>
              </w:rPr>
            </w:r>
            <w:r>
              <w:rPr>
                <w:sz w:val="17"/>
              </w:rPr>
              <w:t>Additional credits, VP escalation and 48-hr RCA for missed S1/S2</w:t>
            </w:r>
          </w:p>
        </w:tc>
        <w:tc>
          <w:tcPr>
            <w:tcW w:type="dxa" w:w="1152"/>
          </w:tcPr>
          <w:p>
            <w:r>
              <w:rPr>
                <w:sz w:val="17"/>
              </w:rPr>
            </w:r>
            <w:r>
              <w:rPr>
                <w:sz w:val="17"/>
              </w:rPr>
              <w:t>§5.4</w:t>
            </w:r>
          </w:p>
        </w:tc>
        <w:tc>
          <w:tcPr>
            <w:tcW w:type="dxa" w:w="2592"/>
          </w:tcPr>
          <w:p>
            <w:r>
              <w:rPr>
                <w:sz w:val="17"/>
              </w:rPr>
            </w:r>
            <w:r>
              <w:rPr>
                <w:sz w:val="17"/>
              </w:rPr>
              <w:t>Silent</w:t>
            </w:r>
          </w:p>
        </w:tc>
        <w:tc>
          <w:tcPr>
            <w:tcW w:type="dxa" w:w="1152"/>
          </w:tcPr>
          <w:p>
            <w:r>
              <w:rPr>
                <w:sz w:val="17"/>
              </w:rPr>
            </w:r>
            <w:r>
              <w:rPr>
                <w:sz w:val="17"/>
              </w:rPr>
              <w:t>C-3</w:t>
            </w:r>
          </w:p>
        </w:tc>
      </w:tr>
      <w:tr>
        <w:tc>
          <w:tcPr>
            <w:tcW w:type="dxa" w:w="4464"/>
          </w:tcPr>
          <w:p>
            <w:r>
              <w:rPr>
                <w:sz w:val="17"/>
              </w:rPr>
            </w:r>
            <w:r>
              <w:rPr>
                <w:sz w:val="17"/>
              </w:rPr>
              <w:t>30-min status updates; 24/7 S2 coverage; 5-business-day PIR</w:t>
            </w:r>
          </w:p>
        </w:tc>
        <w:tc>
          <w:tcPr>
            <w:tcW w:type="dxa" w:w="1152"/>
          </w:tcPr>
          <w:p>
            <w:r>
              <w:rPr>
                <w:sz w:val="17"/>
              </w:rPr>
            </w:r>
            <w:r>
              <w:rPr>
                <w:sz w:val="17"/>
              </w:rPr>
              <w:t>§5.5</w:t>
            </w:r>
          </w:p>
        </w:tc>
        <w:tc>
          <w:tcPr>
            <w:tcW w:type="dxa" w:w="2592"/>
          </w:tcPr>
          <w:p>
            <w:r>
              <w:rPr>
                <w:sz w:val="17"/>
              </w:rPr>
            </w:r>
            <w:r>
              <w:rPr>
                <w:sz w:val="17"/>
              </w:rPr>
              <w:t>Silent</w:t>
            </w:r>
          </w:p>
        </w:tc>
        <w:tc>
          <w:tcPr>
            <w:tcW w:type="dxa" w:w="1152"/>
          </w:tcPr>
          <w:p>
            <w:r>
              <w:rPr>
                <w:sz w:val="17"/>
              </w:rPr>
            </w:r>
            <w:r>
              <w:rPr>
                <w:sz w:val="17"/>
              </w:rPr>
              <w:t>C-4</w:t>
            </w:r>
          </w:p>
        </w:tc>
      </w:tr>
      <w:tr>
        <w:tc>
          <w:tcPr>
            <w:tcW w:type="dxa" w:w="4464"/>
          </w:tcPr>
          <w:p>
            <w:r>
              <w:rPr>
                <w:sz w:val="17"/>
              </w:rPr>
            </w:r>
            <w:r>
              <w:rPr>
                <w:sz w:val="17"/>
              </w:rPr>
              <w:t>HITECH Act incorporation; BA acknowledgment; state-law compliance</w:t>
            </w:r>
          </w:p>
        </w:tc>
        <w:tc>
          <w:tcPr>
            <w:tcW w:type="dxa" w:w="1152"/>
          </w:tcPr>
          <w:p>
            <w:r>
              <w:rPr>
                <w:sz w:val="17"/>
              </w:rPr>
            </w:r>
            <w:r>
              <w:rPr>
                <w:sz w:val="17"/>
              </w:rPr>
              <w:t>§6.1</w:t>
            </w:r>
          </w:p>
        </w:tc>
        <w:tc>
          <w:tcPr>
            <w:tcW w:type="dxa" w:w="2592"/>
          </w:tcPr>
          <w:p>
            <w:r>
              <w:rPr>
                <w:sz w:val="17"/>
              </w:rPr>
            </w:r>
            <w:r>
              <w:rPr>
                <w:sz w:val="17"/>
              </w:rPr>
              <w:t>Silent</w:t>
            </w:r>
          </w:p>
        </w:tc>
        <w:tc>
          <w:tcPr>
            <w:tcW w:type="dxa" w:w="1152"/>
          </w:tcPr>
          <w:p>
            <w:r>
              <w:rPr>
                <w:sz w:val="17"/>
              </w:rPr>
            </w:r>
            <w:r>
              <w:rPr>
                <w:sz w:val="17"/>
              </w:rPr>
              <w:t>D-1</w:t>
            </w:r>
          </w:p>
        </w:tc>
      </w:tr>
      <w:tr>
        <w:tc>
          <w:tcPr>
            <w:tcW w:type="dxa" w:w="4464"/>
          </w:tcPr>
          <w:p>
            <w:r>
              <w:rPr>
                <w:sz w:val="17"/>
              </w:rPr>
            </w:r>
            <w:r>
              <w:rPr>
                <w:sz w:val="17"/>
              </w:rPr>
              <w:t>AES-256 / TLS 1.2+ / NIST 800-57 key management</w:t>
            </w:r>
          </w:p>
        </w:tc>
        <w:tc>
          <w:tcPr>
            <w:tcW w:type="dxa" w:w="1152"/>
          </w:tcPr>
          <w:p>
            <w:r>
              <w:rPr>
                <w:sz w:val="17"/>
              </w:rPr>
            </w:r>
            <w:r>
              <w:rPr>
                <w:sz w:val="17"/>
              </w:rPr>
              <w:t>§6.2</w:t>
            </w:r>
          </w:p>
        </w:tc>
        <w:tc>
          <w:tcPr>
            <w:tcW w:type="dxa" w:w="2592"/>
          </w:tcPr>
          <w:p>
            <w:r>
              <w:rPr>
                <w:sz w:val="17"/>
              </w:rPr>
            </w:r>
            <w:r>
              <w:rPr>
                <w:sz w:val="17"/>
              </w:rPr>
              <w:t>Silent ("industry-standard")</w:t>
            </w:r>
          </w:p>
        </w:tc>
        <w:tc>
          <w:tcPr>
            <w:tcW w:type="dxa" w:w="1152"/>
          </w:tcPr>
          <w:p>
            <w:r>
              <w:rPr>
                <w:sz w:val="17"/>
              </w:rPr>
            </w:r>
            <w:r>
              <w:rPr>
                <w:sz w:val="17"/>
              </w:rPr>
              <w:t>D-3</w:t>
            </w:r>
          </w:p>
        </w:tc>
      </w:tr>
      <w:tr>
        <w:tc>
          <w:tcPr>
            <w:tcW w:type="dxa" w:w="4464"/>
          </w:tcPr>
          <w:p>
            <w:r>
              <w:rPr>
                <w:sz w:val="17"/>
              </w:rPr>
            </w:r>
            <w:r>
              <w:rPr>
                <w:sz w:val="17"/>
              </w:rPr>
              <w:t>HITRUST CSF; annual penetration test; quarterly vulnerability scans</w:t>
            </w:r>
          </w:p>
        </w:tc>
        <w:tc>
          <w:tcPr>
            <w:tcW w:type="dxa" w:w="1152"/>
          </w:tcPr>
          <w:p>
            <w:r>
              <w:rPr>
                <w:sz w:val="17"/>
              </w:rPr>
            </w:r>
            <w:r>
              <w:rPr>
                <w:sz w:val="17"/>
              </w:rPr>
              <w:t>§6.3</w:t>
            </w:r>
          </w:p>
        </w:tc>
        <w:tc>
          <w:tcPr>
            <w:tcW w:type="dxa" w:w="2592"/>
          </w:tcPr>
          <w:p>
            <w:r>
              <w:rPr>
                <w:sz w:val="17"/>
              </w:rPr>
            </w:r>
            <w:r>
              <w:rPr>
                <w:sz w:val="17"/>
              </w:rPr>
              <w:t>Silent</w:t>
            </w:r>
          </w:p>
        </w:tc>
        <w:tc>
          <w:tcPr>
            <w:tcW w:type="dxa" w:w="1152"/>
          </w:tcPr>
          <w:p>
            <w:r>
              <w:rPr>
                <w:sz w:val="17"/>
              </w:rPr>
            </w:r>
            <w:r>
              <w:rPr>
                <w:sz w:val="17"/>
              </w:rPr>
              <w:t>D-4</w:t>
            </w:r>
          </w:p>
        </w:tc>
      </w:tr>
      <w:tr>
        <w:tc>
          <w:tcPr>
            <w:tcW w:type="dxa" w:w="4464"/>
          </w:tcPr>
          <w:p>
            <w:r>
              <w:rPr>
                <w:sz w:val="17"/>
              </w:rPr>
            </w:r>
            <w:r>
              <w:rPr>
                <w:sz w:val="17"/>
              </w:rPr>
              <w:t>NIST CSF; IDS/IPS; EDR; network segmentation; IR plan testing</w:t>
            </w:r>
          </w:p>
        </w:tc>
        <w:tc>
          <w:tcPr>
            <w:tcW w:type="dxa" w:w="1152"/>
          </w:tcPr>
          <w:p>
            <w:r>
              <w:rPr>
                <w:sz w:val="17"/>
              </w:rPr>
            </w:r>
            <w:r>
              <w:rPr>
                <w:sz w:val="17"/>
              </w:rPr>
              <w:t>§6.4</w:t>
            </w:r>
          </w:p>
        </w:tc>
        <w:tc>
          <w:tcPr>
            <w:tcW w:type="dxa" w:w="2592"/>
          </w:tcPr>
          <w:p>
            <w:r>
              <w:rPr>
                <w:sz w:val="17"/>
              </w:rPr>
            </w:r>
            <w:r>
              <w:rPr>
                <w:sz w:val="17"/>
              </w:rPr>
              <w:t>Silent</w:t>
            </w:r>
          </w:p>
        </w:tc>
        <w:tc>
          <w:tcPr>
            <w:tcW w:type="dxa" w:w="1152"/>
          </w:tcPr>
          <w:p>
            <w:r>
              <w:rPr>
                <w:sz w:val="17"/>
              </w:rPr>
            </w:r>
            <w:r>
              <w:rPr>
                <w:sz w:val="17"/>
              </w:rPr>
              <w:t>D-5</w:t>
            </w:r>
          </w:p>
        </w:tc>
      </w:tr>
      <w:tr>
        <w:tc>
          <w:tcPr>
            <w:tcW w:type="dxa" w:w="4464"/>
          </w:tcPr>
          <w:p>
            <w:r>
              <w:rPr>
                <w:sz w:val="17"/>
              </w:rPr>
            </w:r>
            <w:r>
              <w:rPr>
                <w:sz w:val="17"/>
              </w:rPr>
              <w:t>De-identified data opt-out and methodology documentation</w:t>
            </w:r>
          </w:p>
        </w:tc>
        <w:tc>
          <w:tcPr>
            <w:tcW w:type="dxa" w:w="1152"/>
          </w:tcPr>
          <w:p>
            <w:r>
              <w:rPr>
                <w:sz w:val="17"/>
              </w:rPr>
            </w:r>
            <w:r>
              <w:rPr>
                <w:sz w:val="17"/>
              </w:rPr>
              <w:t>§6.5</w:t>
            </w:r>
          </w:p>
        </w:tc>
        <w:tc>
          <w:tcPr>
            <w:tcW w:type="dxa" w:w="2592"/>
          </w:tcPr>
          <w:p>
            <w:r>
              <w:rPr>
                <w:sz w:val="17"/>
              </w:rPr>
            </w:r>
            <w:r>
              <w:rPr>
                <w:sz w:val="17"/>
              </w:rPr>
              <w:t>Silent</w:t>
            </w:r>
          </w:p>
        </w:tc>
        <w:tc>
          <w:tcPr>
            <w:tcW w:type="dxa" w:w="1152"/>
          </w:tcPr>
          <w:p>
            <w:r>
              <w:rPr>
                <w:sz w:val="17"/>
              </w:rPr>
            </w:r>
            <w:r>
              <w:rPr>
                <w:sz w:val="17"/>
              </w:rPr>
              <w:t>E-2</w:t>
            </w:r>
          </w:p>
        </w:tc>
      </w:tr>
      <w:tr>
        <w:tc>
          <w:tcPr>
            <w:tcW w:type="dxa" w:w="4464"/>
          </w:tcPr>
          <w:p>
            <w:r>
              <w:rPr>
                <w:sz w:val="17"/>
              </w:rPr>
            </w:r>
            <w:r>
              <w:rPr>
                <w:sz w:val="17"/>
              </w:rPr>
              <w:t>$10M cyber / tech E&amp;O insurance; additional insured; certificates; notice</w:t>
            </w:r>
          </w:p>
        </w:tc>
        <w:tc>
          <w:tcPr>
            <w:tcW w:type="dxa" w:w="1152"/>
          </w:tcPr>
          <w:p>
            <w:r>
              <w:rPr>
                <w:sz w:val="17"/>
              </w:rPr>
            </w:r>
            <w:r>
              <w:rPr>
                <w:sz w:val="17"/>
              </w:rPr>
              <w:t>§6.6</w:t>
            </w:r>
          </w:p>
        </w:tc>
        <w:tc>
          <w:tcPr>
            <w:tcW w:type="dxa" w:w="2592"/>
          </w:tcPr>
          <w:p>
            <w:r>
              <w:rPr>
                <w:sz w:val="17"/>
              </w:rPr>
            </w:r>
            <w:r>
              <w:rPr>
                <w:sz w:val="17"/>
              </w:rPr>
              <w:t>Silent ("commercially reasonable")</w:t>
            </w:r>
          </w:p>
        </w:tc>
        <w:tc>
          <w:tcPr>
            <w:tcW w:type="dxa" w:w="1152"/>
          </w:tcPr>
          <w:p>
            <w:r>
              <w:rPr>
                <w:sz w:val="17"/>
              </w:rPr>
            </w:r>
            <w:r>
              <w:rPr>
                <w:sz w:val="17"/>
              </w:rPr>
              <w:t>D-6</w:t>
            </w:r>
          </w:p>
        </w:tc>
      </w:tr>
      <w:tr>
        <w:tc>
          <w:tcPr>
            <w:tcW w:type="dxa" w:w="4464"/>
          </w:tcPr>
          <w:p>
            <w:r>
              <w:rPr>
                <w:sz w:val="17"/>
              </w:rPr>
            </w:r>
            <w:r>
              <w:rPr>
                <w:sz w:val="17"/>
              </w:rPr>
              <w:t>HL7 FHIR / CSV export; no export fees; successor cooperation; NIST 800-88 destruction certificate</w:t>
            </w:r>
          </w:p>
        </w:tc>
        <w:tc>
          <w:tcPr>
            <w:tcW w:type="dxa" w:w="1152"/>
          </w:tcPr>
          <w:p>
            <w:r>
              <w:rPr>
                <w:sz w:val="17"/>
              </w:rPr>
            </w:r>
            <w:r>
              <w:rPr>
                <w:sz w:val="17"/>
              </w:rPr>
              <w:t>§7.2</w:t>
            </w:r>
          </w:p>
        </w:tc>
        <w:tc>
          <w:tcPr>
            <w:tcW w:type="dxa" w:w="2592"/>
          </w:tcPr>
          <w:p>
            <w:r>
              <w:rPr>
                <w:sz w:val="17"/>
              </w:rPr>
            </w:r>
            <w:r>
              <w:rPr>
                <w:sz w:val="17"/>
              </w:rPr>
              <w:t>Silent</w:t>
            </w:r>
          </w:p>
        </w:tc>
        <w:tc>
          <w:tcPr>
            <w:tcW w:type="dxa" w:w="1152"/>
          </w:tcPr>
          <w:p>
            <w:r>
              <w:rPr>
                <w:sz w:val="17"/>
              </w:rPr>
            </w:r>
            <w:r>
              <w:rPr>
                <w:sz w:val="17"/>
              </w:rPr>
              <w:t>E-3</w:t>
            </w:r>
          </w:p>
        </w:tc>
      </w:tr>
      <w:tr>
        <w:tc>
          <w:tcPr>
            <w:tcW w:type="dxa" w:w="4464"/>
          </w:tcPr>
          <w:p>
            <w:r>
              <w:rPr>
                <w:sz w:val="17"/>
              </w:rPr>
            </w:r>
            <w:r>
              <w:rPr>
                <w:sz w:val="17"/>
              </w:rPr>
              <w:t>Transition Assistance Plan (12 months)</w:t>
            </w:r>
          </w:p>
        </w:tc>
        <w:tc>
          <w:tcPr>
            <w:tcW w:type="dxa" w:w="1152"/>
          </w:tcPr>
          <w:p>
            <w:r>
              <w:rPr>
                <w:sz w:val="17"/>
              </w:rPr>
            </w:r>
            <w:r>
              <w:rPr>
                <w:sz w:val="17"/>
              </w:rPr>
              <w:t>§7.3</w:t>
            </w:r>
          </w:p>
        </w:tc>
        <w:tc>
          <w:tcPr>
            <w:tcW w:type="dxa" w:w="2592"/>
          </w:tcPr>
          <w:p>
            <w:r>
              <w:rPr>
                <w:sz w:val="17"/>
              </w:rPr>
            </w:r>
            <w:r>
              <w:rPr>
                <w:sz w:val="17"/>
              </w:rPr>
              <w:t>Silent</w:t>
            </w:r>
          </w:p>
        </w:tc>
        <w:tc>
          <w:tcPr>
            <w:tcW w:type="dxa" w:w="1152"/>
          </w:tcPr>
          <w:p>
            <w:r>
              <w:rPr>
                <w:sz w:val="17"/>
              </w:rPr>
            </w:r>
            <w:r>
              <w:rPr>
                <w:sz w:val="17"/>
              </w:rPr>
              <w:t>E-4</w:t>
            </w:r>
          </w:p>
        </w:tc>
      </w:tr>
      <w:tr>
        <w:tc>
          <w:tcPr>
            <w:tcW w:type="dxa" w:w="4464"/>
          </w:tcPr>
          <w:p>
            <w:r>
              <w:rPr>
                <w:sz w:val="17"/>
              </w:rPr>
            </w:r>
            <w:r>
              <w:rPr>
                <w:sz w:val="17"/>
              </w:rPr>
              <w:t>Subcontractor approval package; material breach for unapproved use</w:t>
            </w:r>
          </w:p>
        </w:tc>
        <w:tc>
          <w:tcPr>
            <w:tcW w:type="dxa" w:w="1152"/>
          </w:tcPr>
          <w:p>
            <w:r>
              <w:rPr>
                <w:sz w:val="17"/>
              </w:rPr>
            </w:r>
            <w:r>
              <w:rPr>
                <w:sz w:val="17"/>
              </w:rPr>
              <w:t>§8.1</w:t>
            </w:r>
          </w:p>
        </w:tc>
        <w:tc>
          <w:tcPr>
            <w:tcW w:type="dxa" w:w="2592"/>
          </w:tcPr>
          <w:p>
            <w:r>
              <w:rPr>
                <w:sz w:val="17"/>
              </w:rPr>
            </w:r>
            <w:r>
              <w:rPr>
                <w:sz w:val="17"/>
              </w:rPr>
              <w:t>Silent</w:t>
            </w:r>
          </w:p>
        </w:tc>
        <w:tc>
          <w:tcPr>
            <w:tcW w:type="dxa" w:w="1152"/>
          </w:tcPr>
          <w:p>
            <w:r>
              <w:rPr>
                <w:sz w:val="17"/>
              </w:rPr>
            </w:r>
            <w:r>
              <w:rPr>
                <w:sz w:val="17"/>
              </w:rPr>
              <w:t>S-1</w:t>
            </w:r>
          </w:p>
        </w:tc>
      </w:tr>
      <w:tr>
        <w:tc>
          <w:tcPr>
            <w:tcW w:type="dxa" w:w="4464"/>
          </w:tcPr>
          <w:p>
            <w:r>
              <w:rPr>
                <w:sz w:val="17"/>
              </w:rPr>
            </w:r>
            <w:r>
              <w:rPr>
                <w:sz w:val="17"/>
              </w:rPr>
              <w:t>Flow-down of SLAs, audit rights and destruction; subcontractor breach notice</w:t>
            </w:r>
          </w:p>
        </w:tc>
        <w:tc>
          <w:tcPr>
            <w:tcW w:type="dxa" w:w="1152"/>
          </w:tcPr>
          <w:p>
            <w:r>
              <w:rPr>
                <w:sz w:val="17"/>
              </w:rPr>
            </w:r>
            <w:r>
              <w:rPr>
                <w:sz w:val="17"/>
              </w:rPr>
              <w:t>§8.2</w:t>
            </w:r>
          </w:p>
        </w:tc>
        <w:tc>
          <w:tcPr>
            <w:tcW w:type="dxa" w:w="2592"/>
          </w:tcPr>
          <w:p>
            <w:r>
              <w:rPr>
                <w:sz w:val="17"/>
              </w:rPr>
            </w:r>
            <w:r>
              <w:rPr>
                <w:sz w:val="17"/>
              </w:rPr>
              <w:t>Silent</w:t>
            </w:r>
          </w:p>
        </w:tc>
        <w:tc>
          <w:tcPr>
            <w:tcW w:type="dxa" w:w="1152"/>
          </w:tcPr>
          <w:p>
            <w:r>
              <w:rPr>
                <w:sz w:val="17"/>
              </w:rPr>
            </w:r>
            <w:r>
              <w:rPr>
                <w:sz w:val="17"/>
              </w:rPr>
              <w:t>S-2</w:t>
            </w:r>
          </w:p>
        </w:tc>
      </w:tr>
      <w:tr>
        <w:tc>
          <w:tcPr>
            <w:tcW w:type="dxa" w:w="4464"/>
          </w:tcPr>
          <w:p>
            <w:r>
              <w:rPr>
                <w:sz w:val="17"/>
              </w:rPr>
            </w:r>
            <w:r>
              <w:rPr>
                <w:sz w:val="17"/>
              </w:rPr>
              <w:t>Schedule of approved data centers; 90-day change notice; offshore access ban</w:t>
            </w:r>
          </w:p>
        </w:tc>
        <w:tc>
          <w:tcPr>
            <w:tcW w:type="dxa" w:w="1152"/>
          </w:tcPr>
          <w:p>
            <w:r>
              <w:rPr>
                <w:sz w:val="17"/>
              </w:rPr>
            </w:r>
            <w:r>
              <w:rPr>
                <w:sz w:val="17"/>
              </w:rPr>
              <w:t>§8.3</w:t>
            </w:r>
          </w:p>
        </w:tc>
        <w:tc>
          <w:tcPr>
            <w:tcW w:type="dxa" w:w="2592"/>
          </w:tcPr>
          <w:p>
            <w:r>
              <w:rPr>
                <w:sz w:val="17"/>
              </w:rPr>
            </w:r>
            <w:r>
              <w:rPr>
                <w:sz w:val="17"/>
              </w:rPr>
              <w:t>Silent</w:t>
            </w:r>
          </w:p>
        </w:tc>
        <w:tc>
          <w:tcPr>
            <w:tcW w:type="dxa" w:w="1152"/>
          </w:tcPr>
          <w:p>
            <w:r>
              <w:rPr>
                <w:sz w:val="17"/>
              </w:rPr>
            </w:r>
            <w:r>
              <w:rPr>
                <w:sz w:val="17"/>
              </w:rPr>
              <w:t>S-3</w:t>
            </w:r>
          </w:p>
        </w:tc>
      </w:tr>
      <w:tr>
        <w:tc>
          <w:tcPr>
            <w:tcW w:type="dxa" w:w="4464"/>
          </w:tcPr>
          <w:p>
            <w:r>
              <w:rPr>
                <w:sz w:val="17"/>
              </w:rPr>
            </w:r>
            <w:r>
              <w:rPr>
                <w:sz w:val="17"/>
              </w:rPr>
              <w:t>Liability carve-outs; unlimited liability for gross negligence / willful misconduct</w:t>
            </w:r>
          </w:p>
        </w:tc>
        <w:tc>
          <w:tcPr>
            <w:tcW w:type="dxa" w:w="1152"/>
          </w:tcPr>
          <w:p>
            <w:r>
              <w:rPr>
                <w:sz w:val="17"/>
              </w:rPr>
            </w:r>
            <w:r>
              <w:rPr>
                <w:sz w:val="17"/>
              </w:rPr>
              <w:t>§9.2</w:t>
            </w:r>
          </w:p>
        </w:tc>
        <w:tc>
          <w:tcPr>
            <w:tcW w:type="dxa" w:w="2592"/>
          </w:tcPr>
          <w:p>
            <w:r>
              <w:rPr>
                <w:sz w:val="17"/>
              </w:rPr>
            </w:r>
            <w:r>
              <w:rPr>
                <w:sz w:val="17"/>
              </w:rPr>
              <w:t>Silent; exclusion expressly covers breaches</w:t>
            </w:r>
          </w:p>
        </w:tc>
        <w:tc>
          <w:tcPr>
            <w:tcW w:type="dxa" w:w="1152"/>
          </w:tcPr>
          <w:p>
            <w:r>
              <w:rPr>
                <w:sz w:val="17"/>
              </w:rPr>
            </w:r>
            <w:r>
              <w:rPr>
                <w:sz w:val="17"/>
              </w:rPr>
              <w:t>F-2</w:t>
            </w:r>
          </w:p>
        </w:tc>
      </w:tr>
      <w:tr>
        <w:tc>
          <w:tcPr>
            <w:tcW w:type="dxa" w:w="4464"/>
          </w:tcPr>
          <w:p>
            <w:r>
              <w:rPr>
                <w:sz w:val="17"/>
              </w:rPr>
            </w:r>
            <w:r>
              <w:rPr>
                <w:sz w:val="17"/>
              </w:rPr>
              <w:t>Data breach termination right</w:t>
            </w:r>
          </w:p>
        </w:tc>
        <w:tc>
          <w:tcPr>
            <w:tcW w:type="dxa" w:w="1152"/>
          </w:tcPr>
          <w:p>
            <w:r>
              <w:rPr>
                <w:sz w:val="17"/>
              </w:rPr>
            </w:r>
            <w:r>
              <w:rPr>
                <w:sz w:val="17"/>
              </w:rPr>
              <w:t>§10.4</w:t>
            </w:r>
          </w:p>
        </w:tc>
        <w:tc>
          <w:tcPr>
            <w:tcW w:type="dxa" w:w="2592"/>
          </w:tcPr>
          <w:p>
            <w:r>
              <w:rPr>
                <w:sz w:val="17"/>
              </w:rPr>
            </w:r>
            <w:r>
              <w:rPr>
                <w:sz w:val="17"/>
              </w:rPr>
              <w:t>Silent</w:t>
            </w:r>
          </w:p>
        </w:tc>
        <w:tc>
          <w:tcPr>
            <w:tcW w:type="dxa" w:w="1152"/>
          </w:tcPr>
          <w:p>
            <w:r>
              <w:rPr>
                <w:sz w:val="17"/>
              </w:rPr>
            </w:r>
            <w:r>
              <w:rPr>
                <w:sz w:val="17"/>
              </w:rPr>
              <w:t>G-3</w:t>
            </w:r>
          </w:p>
        </w:tc>
      </w:tr>
      <w:tr>
        <w:tc>
          <w:tcPr>
            <w:tcW w:type="dxa" w:w="4464"/>
          </w:tcPr>
          <w:p>
            <w:r>
              <w:rPr>
                <w:sz w:val="17"/>
              </w:rPr>
            </w:r>
            <w:r>
              <w:rPr>
                <w:sz w:val="17"/>
              </w:rPr>
              <w:t>Pro-rata refund of prepaid fees on convenience termination</w:t>
            </w:r>
          </w:p>
        </w:tc>
        <w:tc>
          <w:tcPr>
            <w:tcW w:type="dxa" w:w="1152"/>
          </w:tcPr>
          <w:p>
            <w:r>
              <w:rPr>
                <w:sz w:val="17"/>
              </w:rPr>
            </w:r>
            <w:r>
              <w:rPr>
                <w:sz w:val="17"/>
              </w:rPr>
              <w:t>§10.2</w:t>
            </w:r>
          </w:p>
        </w:tc>
        <w:tc>
          <w:tcPr>
            <w:tcW w:type="dxa" w:w="2592"/>
          </w:tcPr>
          <w:p>
            <w:r>
              <w:rPr>
                <w:sz w:val="17"/>
              </w:rPr>
            </w:r>
            <w:r>
              <w:rPr>
                <w:sz w:val="17"/>
              </w:rPr>
              <w:t>Silent; fees non-refundable</w:t>
            </w:r>
          </w:p>
        </w:tc>
        <w:tc>
          <w:tcPr>
            <w:tcW w:type="dxa" w:w="1152"/>
          </w:tcPr>
          <w:p>
            <w:r>
              <w:rPr>
                <w:sz w:val="17"/>
              </w:rPr>
            </w:r>
            <w:r>
              <w:rPr>
                <w:sz w:val="17"/>
              </w:rPr>
              <w:t>G-2</w:t>
            </w:r>
          </w:p>
        </w:tc>
      </w:tr>
      <w:tr>
        <w:tc>
          <w:tcPr>
            <w:tcW w:type="dxa" w:w="4464"/>
          </w:tcPr>
          <w:p>
            <w:r>
              <w:rPr>
                <w:sz w:val="17"/>
              </w:rPr>
            </w:r>
            <w:r>
              <w:rPr>
                <w:sz w:val="17"/>
              </w:rPr>
              <w:t>For-cause audits; data center inspection; subcontractor audits; cost-shifting</w:t>
            </w:r>
          </w:p>
        </w:tc>
        <w:tc>
          <w:tcPr>
            <w:tcW w:type="dxa" w:w="1152"/>
          </w:tcPr>
          <w:p>
            <w:r>
              <w:rPr>
                <w:sz w:val="17"/>
              </w:rPr>
            </w:r>
            <w:r>
              <w:rPr>
                <w:sz w:val="17"/>
              </w:rPr>
              <w:t>§11</w:t>
            </w:r>
          </w:p>
        </w:tc>
        <w:tc>
          <w:tcPr>
            <w:tcW w:type="dxa" w:w="2592"/>
          </w:tcPr>
          <w:p>
            <w:r>
              <w:rPr>
                <w:sz w:val="17"/>
              </w:rPr>
            </w:r>
            <w:r>
              <w:rPr>
                <w:sz w:val="17"/>
              </w:rPr>
              <w:t>Silent</w:t>
            </w:r>
          </w:p>
        </w:tc>
        <w:tc>
          <w:tcPr>
            <w:tcW w:type="dxa" w:w="1152"/>
          </w:tcPr>
          <w:p>
            <w:r>
              <w:rPr>
                <w:sz w:val="17"/>
              </w:rPr>
            </w:r>
            <w:r>
              <w:rPr>
                <w:sz w:val="17"/>
              </w:rPr>
              <w:t>H-1</w:t>
            </w:r>
          </w:p>
        </w:tc>
      </w:tr>
      <w:tr>
        <w:tc>
          <w:tcPr>
            <w:tcW w:type="dxa" w:w="4464"/>
          </w:tcPr>
          <w:p>
            <w:r>
              <w:rPr>
                <w:sz w:val="17"/>
              </w:rPr>
            </w:r>
            <w:r>
              <w:rPr>
                <w:sz w:val="17"/>
              </w:rPr>
              <w:t>Mecklenburg County forum; arbitration limited to disputes of $1M or less</w:t>
            </w:r>
          </w:p>
        </w:tc>
        <w:tc>
          <w:tcPr>
            <w:tcW w:type="dxa" w:w="1152"/>
          </w:tcPr>
          <w:p>
            <w:r>
              <w:rPr>
                <w:sz w:val="17"/>
              </w:rPr>
            </w:r>
            <w:r>
              <w:rPr>
                <w:sz w:val="17"/>
              </w:rPr>
              <w:t>§12.2-12.3</w:t>
            </w:r>
          </w:p>
        </w:tc>
        <w:tc>
          <w:tcPr>
            <w:tcW w:type="dxa" w:w="2592"/>
          </w:tcPr>
          <w:p>
            <w:r>
              <w:rPr>
                <w:sz w:val="17"/>
              </w:rPr>
            </w:r>
            <w:r>
              <w:rPr>
                <w:sz w:val="17"/>
              </w:rPr>
              <w:t>Silent; contrary provisions</w:t>
            </w:r>
          </w:p>
        </w:tc>
        <w:tc>
          <w:tcPr>
            <w:tcW w:type="dxa" w:w="1152"/>
          </w:tcPr>
          <w:p>
            <w:r>
              <w:rPr>
                <w:sz w:val="17"/>
              </w:rPr>
            </w:r>
            <w:r>
              <w:rPr>
                <w:sz w:val="17"/>
              </w:rPr>
              <w:t>I-2</w:t>
            </w:r>
          </w:p>
        </w:tc>
      </w:tr>
    </w:tbl>
    <w:p>
      <w:pPr>
        <w:spacing w:after="40"/>
      </w:pPr>
    </w:p>
    <w:p>
      <w:pPr>
        <w:pStyle w:val="Heading1"/>
      </w:pPr>
      <w:r>
        <w:t>VI. Additional Issues Outside the SLS</w:t>
      </w:r>
    </w:p>
    <w:p>
      <w:pPr>
        <w:spacing w:after="120"/>
      </w:pPr>
      <w:r>
        <w:t>The following points are not addressed by the SLS but are material to Meridian's risk on this procurement. We recommend raising them in the same negotiation round.</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576"/>
            <w:shd w:val="clear" w:color="auto" w:fill="1F3A5F"/>
          </w:tcPr>
          <w:p>
            <w:r/>
            <w:r>
              <w:rPr>
                <w:b/>
                <w:color w:val="FFFFFF"/>
                <w:sz w:val="16"/>
              </w:rPr>
              <w:t>#</w:t>
            </w:r>
          </w:p>
        </w:tc>
        <w:tc>
          <w:tcPr>
            <w:tcW w:type="dxa" w:w="2880"/>
            <w:shd w:val="clear" w:color="auto" w:fill="1F3A5F"/>
          </w:tcPr>
          <w:p>
            <w:r/>
            <w:r>
              <w:rPr>
                <w:b/>
                <w:color w:val="FFFFFF"/>
                <w:sz w:val="16"/>
              </w:rPr>
              <w:t>Issue</w:t>
            </w:r>
          </w:p>
        </w:tc>
        <w:tc>
          <w:tcPr>
            <w:tcW w:type="dxa" w:w="1440"/>
            <w:shd w:val="clear" w:color="auto" w:fill="1F3A5F"/>
          </w:tcPr>
          <w:p>
            <w:r/>
            <w:r>
              <w:rPr>
                <w:b/>
                <w:color w:val="FFFFFF"/>
                <w:sz w:val="16"/>
              </w:rPr>
              <w:t>Agreement provision</w:t>
            </w:r>
          </w:p>
        </w:tc>
        <w:tc>
          <w:tcPr>
            <w:tcW w:type="dxa" w:w="3600"/>
            <w:shd w:val="clear" w:color="auto" w:fill="1F3A5F"/>
          </w:tcPr>
          <w:p>
            <w:r/>
            <w:r>
              <w:rPr>
                <w:b/>
                <w:color w:val="FFFFFF"/>
                <w:sz w:val="16"/>
              </w:rPr>
              <w:t>Recommendation</w:t>
            </w:r>
          </w:p>
        </w:tc>
        <w:tc>
          <w:tcPr>
            <w:tcW w:type="dxa" w:w="864"/>
            <w:shd w:val="clear" w:color="auto" w:fill="1F3A5F"/>
          </w:tcPr>
          <w:p>
            <w:r/>
            <w:r>
              <w:rPr>
                <w:b/>
                <w:color w:val="FFFFFF"/>
                <w:sz w:val="16"/>
              </w:rPr>
              <w:t>Risk</w:t>
            </w:r>
          </w:p>
        </w:tc>
      </w:tr>
      <w:tr>
        <w:tc>
          <w:tcPr>
            <w:tcW w:type="dxa" w:w="576"/>
          </w:tcPr>
          <w:p>
            <w:r>
              <w:rPr>
                <w:sz w:val="16"/>
              </w:rPr>
            </w:r>
            <w:r>
              <w:rPr>
                <w:sz w:val="16"/>
              </w:rPr>
              <w:t>J-1</w:t>
            </w:r>
          </w:p>
        </w:tc>
        <w:tc>
          <w:tcPr>
            <w:tcW w:type="dxa" w:w="2880"/>
          </w:tcPr>
          <w:p>
            <w:r>
              <w:rPr>
                <w:sz w:val="16"/>
              </w:rPr>
            </w:r>
            <w:r>
              <w:rPr>
                <w:b/>
                <w:sz w:val="16"/>
              </w:rPr>
              <w:t>Go-Live and the LegacyMed gap.</w:t>
            </w:r>
            <w:r>
              <w:rPr>
                <w:sz w:val="16"/>
              </w:rPr>
              <w:t xml:space="preserve"> LegacyMed expires March 31, 2026, but target Go-Live is July 1, 2026. Cloudvance commits only to "commercially reasonable efforts" and bears no consequence for delay. Any slippage risks a clinical-system gap across 58 facilities.</w:t>
            </w:r>
          </w:p>
        </w:tc>
        <w:tc>
          <w:tcPr>
            <w:tcW w:type="dxa" w:w="1440"/>
          </w:tcPr>
          <w:p>
            <w:r>
              <w:rPr>
                <w:sz w:val="16"/>
              </w:rPr>
            </w:r>
            <w:r>
              <w:rPr>
                <w:sz w:val="16"/>
              </w:rPr>
              <w:t>§§1.13, 3.2, 3.3, 11.1; Ex. A §A.2</w:t>
            </w:r>
          </w:p>
        </w:tc>
        <w:tc>
          <w:tcPr>
            <w:tcW w:type="dxa" w:w="3600"/>
          </w:tcPr>
          <w:p>
            <w:r>
              <w:rPr>
                <w:sz w:val="16"/>
              </w:rPr>
            </w:r>
            <w:r>
              <w:rPr>
                <w:sz w:val="16"/>
              </w:rPr>
              <w:t>Confirm a LegacyMed extension or bridge now. Add a binding implementation schedule with milestone dates, delay credits or liquidated damages, a right to terminate with a refund of implementation fees if Go-Live slips beyond an agreed long-stop date, and a commitment that Cloudvance will cooperate with LegacyMed on data extraction.</w:t>
            </w:r>
          </w:p>
        </w:tc>
        <w:tc>
          <w:tcPr>
            <w:tcW w:type="dxa" w:w="864"/>
          </w:tcPr>
          <w:p>
            <w:r>
              <w:rPr>
                <w:b/>
                <w:color w:val="E26B0A"/>
                <w:sz w:val="16"/>
              </w:rPr>
            </w:r>
            <w:r>
              <w:rPr>
                <w:b/>
                <w:color w:val="E26B0A"/>
                <w:sz w:val="16"/>
              </w:rPr>
              <w:t>High</w:t>
            </w:r>
          </w:p>
        </w:tc>
      </w:tr>
      <w:tr>
        <w:tc>
          <w:tcPr>
            <w:tcW w:type="dxa" w:w="576"/>
          </w:tcPr>
          <w:p>
            <w:r>
              <w:rPr>
                <w:sz w:val="16"/>
              </w:rPr>
            </w:r>
            <w:r>
              <w:rPr>
                <w:sz w:val="16"/>
              </w:rPr>
              <w:t>J-2</w:t>
            </w:r>
          </w:p>
        </w:tc>
        <w:tc>
          <w:tcPr>
            <w:tcW w:type="dxa" w:w="2880"/>
          </w:tcPr>
          <w:p>
            <w:r>
              <w:rPr>
                <w:sz w:val="16"/>
              </w:rPr>
            </w:r>
            <w:r>
              <w:rPr>
                <w:b/>
                <w:sz w:val="16"/>
              </w:rPr>
              <w:t>Suspension of a clinical system for non-payment.</w:t>
            </w:r>
            <w:r>
              <w:rPr>
                <w:sz w:val="16"/>
              </w:rPr>
              <w:t xml:space="preserve"> Cloudvance may suspend all access to the EHR after 30 plus 15 days' notice of an undisputed overdue amount.</w:t>
            </w:r>
          </w:p>
        </w:tc>
        <w:tc>
          <w:tcPr>
            <w:tcW w:type="dxa" w:w="1440"/>
          </w:tcPr>
          <w:p>
            <w:r>
              <w:rPr>
                <w:sz w:val="16"/>
              </w:rPr>
            </w:r>
            <w:r>
              <w:rPr>
                <w:sz w:val="16"/>
              </w:rPr>
              <w:t>§4.4</w:t>
            </w:r>
          </w:p>
        </w:tc>
        <w:tc>
          <w:tcPr>
            <w:tcW w:type="dxa" w:w="3600"/>
          </w:tcPr>
          <w:p>
            <w:r>
              <w:rPr>
                <w:sz w:val="16"/>
              </w:rPr>
            </w:r>
            <w:r>
              <w:rPr>
                <w:sz w:val="16"/>
              </w:rPr>
              <w:t>Prohibit suspension of clinical functionality. At a minimum, require escalation to executives and to Meridian's CISO and General Counsel, exclude disputed amounts, and preserve read-only access to records. Suspending an EHR creates patient-safety and regulatory risk.</w:t>
            </w:r>
          </w:p>
        </w:tc>
        <w:tc>
          <w:tcPr>
            <w:tcW w:type="dxa" w:w="864"/>
          </w:tcPr>
          <w:p>
            <w:r>
              <w:rPr>
                <w:b/>
                <w:color w:val="E26B0A"/>
                <w:sz w:val="16"/>
              </w:rPr>
            </w:r>
            <w:r>
              <w:rPr>
                <w:b/>
                <w:color w:val="E26B0A"/>
                <w:sz w:val="16"/>
              </w:rPr>
              <w:t>High</w:t>
            </w:r>
          </w:p>
        </w:tc>
      </w:tr>
      <w:tr>
        <w:tc>
          <w:tcPr>
            <w:tcW w:type="dxa" w:w="576"/>
          </w:tcPr>
          <w:p>
            <w:r>
              <w:rPr>
                <w:sz w:val="16"/>
              </w:rPr>
            </w:r>
            <w:r>
              <w:rPr>
                <w:sz w:val="16"/>
              </w:rPr>
              <w:t>J-3</w:t>
            </w:r>
          </w:p>
        </w:tc>
        <w:tc>
          <w:tcPr>
            <w:tcW w:type="dxa" w:w="2880"/>
          </w:tcPr>
          <w:p>
            <w:r>
              <w:rPr>
                <w:sz w:val="16"/>
              </w:rPr>
            </w:r>
            <w:r>
              <w:rPr>
                <w:b/>
                <w:sz w:val="16"/>
              </w:rPr>
              <w:t>Deemed acceptance.</w:t>
            </w:r>
            <w:r>
              <w:rPr>
                <w:sz w:val="16"/>
              </w:rPr>
              <w:t xml:space="preserve"> Acceptance occurs at Go-Live, or 10 business days afterward, without acceptance testing. Go-Live also triggers the $1.35M Milestone 3 payment and subscription billing.</w:t>
            </w:r>
          </w:p>
        </w:tc>
        <w:tc>
          <w:tcPr>
            <w:tcW w:type="dxa" w:w="1440"/>
          </w:tcPr>
          <w:p>
            <w:r>
              <w:rPr>
                <w:sz w:val="16"/>
              </w:rPr>
            </w:r>
            <w:r>
              <w:rPr>
                <w:sz w:val="16"/>
              </w:rPr>
              <w:t>§§3.3, 4.1, 4.2</w:t>
            </w:r>
          </w:p>
        </w:tc>
        <w:tc>
          <w:tcPr>
            <w:tcW w:type="dxa" w:w="3600"/>
          </w:tcPr>
          <w:p>
            <w:r>
              <w:rPr>
                <w:sz w:val="16"/>
              </w:rPr>
            </w:r>
            <w:r>
              <w:rPr>
                <w:sz w:val="16"/>
              </w:rPr>
              <w:t>Add objective acceptance criteria and a testing period (for example, 30 to 60 days of stable production). Tie Milestone 3 and the start of subscription billing to acceptance. Consider holdbacks on Milestone 1 ($1.8M, 40% of implementation fees, due at signing).</w:t>
            </w:r>
          </w:p>
        </w:tc>
        <w:tc>
          <w:tcPr>
            <w:tcW w:type="dxa" w:w="864"/>
          </w:tcPr>
          <w:p>
            <w:r>
              <w:rPr>
                <w:b/>
                <w:color w:val="BF8F00"/>
                <w:sz w:val="16"/>
              </w:rPr>
            </w:r>
            <w:r>
              <w:rPr>
                <w:b/>
                <w:color w:val="BF8F00"/>
                <w:sz w:val="16"/>
              </w:rPr>
              <w:t>Medium</w:t>
            </w:r>
          </w:p>
        </w:tc>
      </w:tr>
      <w:tr>
        <w:tc>
          <w:tcPr>
            <w:tcW w:type="dxa" w:w="576"/>
          </w:tcPr>
          <w:p>
            <w:r>
              <w:rPr>
                <w:sz w:val="16"/>
              </w:rPr>
            </w:r>
            <w:r>
              <w:rPr>
                <w:sz w:val="16"/>
              </w:rPr>
              <w:t>J-4</w:t>
            </w:r>
          </w:p>
        </w:tc>
        <w:tc>
          <w:tcPr>
            <w:tcW w:type="dxa" w:w="2880"/>
          </w:tcPr>
          <w:p>
            <w:r>
              <w:rPr>
                <w:sz w:val="16"/>
              </w:rPr>
            </w:r>
            <w:r>
              <w:rPr>
                <w:b/>
                <w:sz w:val="16"/>
              </w:rPr>
              <w:t>Order of precedence.</w:t>
            </w:r>
            <w:r>
              <w:rPr>
                <w:sz w:val="16"/>
              </w:rPr>
              <w:t xml:space="preserve"> The body of the MSA controls over the Exhibits, except for PHI matters in the BAA. That would let the body's limitations override the SLA and data-security protections negotiated in Exhibits C and E.</w:t>
            </w:r>
          </w:p>
        </w:tc>
        <w:tc>
          <w:tcPr>
            <w:tcW w:type="dxa" w:w="1440"/>
          </w:tcPr>
          <w:p>
            <w:r>
              <w:rPr>
                <w:sz w:val="16"/>
              </w:rPr>
            </w:r>
            <w:r>
              <w:rPr>
                <w:sz w:val="16"/>
              </w:rPr>
              <w:t>§15.9</w:t>
            </w:r>
          </w:p>
        </w:tc>
        <w:tc>
          <w:tcPr>
            <w:tcW w:type="dxa" w:w="3600"/>
          </w:tcPr>
          <w:p>
            <w:r>
              <w:rPr>
                <w:sz w:val="16"/>
              </w:rPr>
            </w:r>
            <w:r>
              <w:rPr>
                <w:sz w:val="16"/>
              </w:rPr>
              <w:t>Provide that the more protective provision for Customer controls, and that Exhibits C, D and E control on their subject matter.</w:t>
            </w:r>
          </w:p>
        </w:tc>
        <w:tc>
          <w:tcPr>
            <w:tcW w:type="dxa" w:w="864"/>
          </w:tcPr>
          <w:p>
            <w:r>
              <w:rPr>
                <w:b/>
                <w:color w:val="BF8F00"/>
                <w:sz w:val="16"/>
              </w:rPr>
            </w:r>
            <w:r>
              <w:rPr>
                <w:b/>
                <w:color w:val="BF8F00"/>
                <w:sz w:val="16"/>
              </w:rPr>
              <w:t>Medium</w:t>
            </w:r>
          </w:p>
        </w:tc>
      </w:tr>
      <w:tr>
        <w:tc>
          <w:tcPr>
            <w:tcW w:type="dxa" w:w="576"/>
          </w:tcPr>
          <w:p>
            <w:r>
              <w:rPr>
                <w:sz w:val="16"/>
              </w:rPr>
            </w:r>
            <w:r>
              <w:rPr>
                <w:sz w:val="16"/>
              </w:rPr>
              <w:t>J-5</w:t>
            </w:r>
          </w:p>
        </w:tc>
        <w:tc>
          <w:tcPr>
            <w:tcW w:type="dxa" w:w="2880"/>
          </w:tcPr>
          <w:p>
            <w:r>
              <w:rPr>
                <w:sz w:val="16"/>
              </w:rPr>
            </w:r>
            <w:r>
              <w:rPr>
                <w:b/>
                <w:sz w:val="16"/>
              </w:rPr>
              <w:t>Assignment.</w:t>
            </w:r>
            <w:r>
              <w:rPr>
                <w:sz w:val="16"/>
              </w:rPr>
              <w:t xml:space="preserve"> Cloudvance may assign without consent to Affiliates or in an M&amp;A transaction.</w:t>
            </w:r>
          </w:p>
        </w:tc>
        <w:tc>
          <w:tcPr>
            <w:tcW w:type="dxa" w:w="1440"/>
          </w:tcPr>
          <w:p>
            <w:r>
              <w:rPr>
                <w:sz w:val="16"/>
              </w:rPr>
            </w:r>
            <w:r>
              <w:rPr>
                <w:sz w:val="16"/>
              </w:rPr>
              <w:t>§15.2</w:t>
            </w:r>
          </w:p>
        </w:tc>
        <w:tc>
          <w:tcPr>
            <w:tcW w:type="dxa" w:w="3600"/>
          </w:tcPr>
          <w:p>
            <w:r>
              <w:rPr>
                <w:sz w:val="16"/>
              </w:rPr>
            </w:r>
            <w:r>
              <w:rPr>
                <w:sz w:val="16"/>
              </w:rPr>
              <w:t>Require consent, or give Meridian a no-fee termination right and transition rights on assignment or change of control, and require any assignee to meet the SLS (HITRUST, insurance and similar).</w:t>
            </w:r>
          </w:p>
        </w:tc>
        <w:tc>
          <w:tcPr>
            <w:tcW w:type="dxa" w:w="864"/>
          </w:tcPr>
          <w:p>
            <w:r>
              <w:rPr>
                <w:b/>
                <w:color w:val="BF8F00"/>
                <w:sz w:val="16"/>
              </w:rPr>
            </w:r>
            <w:r>
              <w:rPr>
                <w:b/>
                <w:color w:val="BF8F00"/>
                <w:sz w:val="16"/>
              </w:rPr>
              <w:t>Medium</w:t>
            </w:r>
          </w:p>
        </w:tc>
      </w:tr>
      <w:tr>
        <w:tc>
          <w:tcPr>
            <w:tcW w:type="dxa" w:w="576"/>
          </w:tcPr>
          <w:p>
            <w:r>
              <w:rPr>
                <w:sz w:val="16"/>
              </w:rPr>
            </w:r>
            <w:r>
              <w:rPr>
                <w:sz w:val="16"/>
              </w:rPr>
              <w:t>J-6</w:t>
            </w:r>
          </w:p>
        </w:tc>
        <w:tc>
          <w:tcPr>
            <w:tcW w:type="dxa" w:w="2880"/>
          </w:tcPr>
          <w:p>
            <w:r>
              <w:rPr>
                <w:sz w:val="16"/>
              </w:rPr>
            </w:r>
            <w:r>
              <w:rPr>
                <w:b/>
                <w:sz w:val="16"/>
              </w:rPr>
              <w:t>Platform warranty.</w:t>
            </w:r>
            <w:r>
              <w:rPr>
                <w:sz w:val="16"/>
              </w:rPr>
              <w:t xml:space="preserve"> The sole remedy is commercially reasonable efforts to repair, the warranty is otherwise "AS IS," and the non-infringement warranty is knowledge-qualified.</w:t>
            </w:r>
          </w:p>
        </w:tc>
        <w:tc>
          <w:tcPr>
            <w:tcW w:type="dxa" w:w="1440"/>
          </w:tcPr>
          <w:p>
            <w:r>
              <w:rPr>
                <w:sz w:val="16"/>
              </w:rPr>
            </w:r>
            <w:r>
              <w:rPr>
                <w:sz w:val="16"/>
              </w:rPr>
              <w:t>§§8.2, 8.3</w:t>
            </w:r>
          </w:p>
        </w:tc>
        <w:tc>
          <w:tcPr>
            <w:tcW w:type="dxa" w:w="3600"/>
          </w:tcPr>
          <w:p>
            <w:r>
              <w:rPr>
                <w:sz w:val="16"/>
              </w:rPr>
            </w:r>
            <w:r>
              <w:rPr>
                <w:sz w:val="16"/>
              </w:rPr>
              <w:t>Delete the sole-remedy sentence. Add warranties covering no malicious code, regulatory certification (ONC Health IT certification for EHR modules, if applicable), and no material diminution of interoperability.</w:t>
            </w:r>
          </w:p>
        </w:tc>
        <w:tc>
          <w:tcPr>
            <w:tcW w:type="dxa" w:w="864"/>
          </w:tcPr>
          <w:p>
            <w:r>
              <w:rPr>
                <w:b/>
                <w:color w:val="BF8F00"/>
                <w:sz w:val="16"/>
              </w:rPr>
            </w:r>
            <w:r>
              <w:rPr>
                <w:b/>
                <w:color w:val="BF8F00"/>
                <w:sz w:val="16"/>
              </w:rPr>
              <w:t>Medium</w:t>
            </w:r>
          </w:p>
        </w:tc>
      </w:tr>
      <w:tr>
        <w:tc>
          <w:tcPr>
            <w:tcW w:type="dxa" w:w="576"/>
          </w:tcPr>
          <w:p>
            <w:r>
              <w:rPr>
                <w:sz w:val="16"/>
              </w:rPr>
            </w:r>
            <w:r>
              <w:rPr>
                <w:sz w:val="16"/>
              </w:rPr>
              <w:t>J-7</w:t>
            </w:r>
          </w:p>
        </w:tc>
        <w:tc>
          <w:tcPr>
            <w:tcW w:type="dxa" w:w="2880"/>
          </w:tcPr>
          <w:p>
            <w:r>
              <w:rPr>
                <w:sz w:val="16"/>
              </w:rPr>
            </w:r>
            <w:r>
              <w:rPr>
                <w:b/>
                <w:sz w:val="16"/>
              </w:rPr>
              <w:t>Support hours.</w:t>
            </w:r>
            <w:r>
              <w:rPr>
                <w:sz w:val="16"/>
              </w:rPr>
              <w:t xml:space="preserve"> Standard support runs 8 AM to 8 PM ET on weekdays, excluding federal holidays, which does not fit 24/7 hospital operations.</w:t>
            </w:r>
          </w:p>
        </w:tc>
        <w:tc>
          <w:tcPr>
            <w:tcW w:type="dxa" w:w="1440"/>
          </w:tcPr>
          <w:p>
            <w:r>
              <w:rPr>
                <w:sz w:val="16"/>
              </w:rPr>
            </w:r>
            <w:r>
              <w:rPr>
                <w:sz w:val="16"/>
              </w:rPr>
              <w:t>Ex. A §A.3(a)</w:t>
            </w:r>
          </w:p>
        </w:tc>
        <w:tc>
          <w:tcPr>
            <w:tcW w:type="dxa" w:w="3600"/>
          </w:tcPr>
          <w:p>
            <w:r>
              <w:rPr>
                <w:sz w:val="16"/>
              </w:rPr>
            </w:r>
            <w:r>
              <w:rPr>
                <w:sz w:val="16"/>
              </w:rPr>
              <w:t>Provide 24/7/365 support for S1 and S2 incidents (see C-4), and extended hours for S3.</w:t>
            </w:r>
          </w:p>
        </w:tc>
        <w:tc>
          <w:tcPr>
            <w:tcW w:type="dxa" w:w="864"/>
          </w:tcPr>
          <w:p>
            <w:r>
              <w:rPr>
                <w:b/>
                <w:color w:val="BF8F00"/>
                <w:sz w:val="16"/>
              </w:rPr>
            </w:r>
            <w:r>
              <w:rPr>
                <w:b/>
                <w:color w:val="BF8F00"/>
                <w:sz w:val="16"/>
              </w:rPr>
              <w:t>Medium</w:t>
            </w:r>
          </w:p>
        </w:tc>
      </w:tr>
      <w:tr>
        <w:tc>
          <w:tcPr>
            <w:tcW w:type="dxa" w:w="576"/>
          </w:tcPr>
          <w:p>
            <w:r>
              <w:rPr>
                <w:sz w:val="16"/>
              </w:rPr>
            </w:r>
            <w:r>
              <w:rPr>
                <w:sz w:val="16"/>
              </w:rPr>
              <w:t>J-8</w:t>
            </w:r>
          </w:p>
        </w:tc>
        <w:tc>
          <w:tcPr>
            <w:tcW w:type="dxa" w:w="2880"/>
          </w:tcPr>
          <w:p>
            <w:r>
              <w:rPr>
                <w:sz w:val="16"/>
              </w:rPr>
            </w:r>
            <w:r>
              <w:rPr>
                <w:b/>
                <w:sz w:val="16"/>
              </w:rPr>
              <w:t>Internal inconsistencies.</w:t>
            </w:r>
            <w:r>
              <w:rPr>
                <w:sz w:val="16"/>
              </w:rPr>
              <w:t xml:space="preserve"> (a) §11.4 says no termination rights exist outside §§11.2 and 11.3, but §15.1 allows termination after 90 days of force majeure. (b) §6.5 allows deletion at Cloudvance's sole discretion and §5.3 allows retention in backups, while BAA §D.6 says "retain no copies." (c) §1.26 and §C.1 both define the downtime exclusions.</w:t>
            </w:r>
          </w:p>
        </w:tc>
        <w:tc>
          <w:tcPr>
            <w:tcW w:type="dxa" w:w="1440"/>
          </w:tcPr>
          <w:p>
            <w:r>
              <w:rPr>
                <w:sz w:val="16"/>
              </w:rPr>
            </w:r>
            <w:r>
              <w:rPr>
                <w:sz w:val="16"/>
              </w:rPr>
              <w:t>§§1.26, 5.3, 6.5, 11.4, 15.1; §§C.1, D.6</w:t>
            </w:r>
          </w:p>
        </w:tc>
        <w:tc>
          <w:tcPr>
            <w:tcW w:type="dxa" w:w="3600"/>
          </w:tcPr>
          <w:p>
            <w:r>
              <w:rPr>
                <w:sz w:val="16"/>
              </w:rPr>
            </w:r>
            <w:r>
              <w:rPr>
                <w:sz w:val="16"/>
              </w:rPr>
              <w:t>Resolve these in Meridian's favor as part of the redline. Until then, they create interpretive risk, and some of that risk may also be usable as leverage.</w:t>
            </w:r>
          </w:p>
        </w:tc>
        <w:tc>
          <w:tcPr>
            <w:tcW w:type="dxa" w:w="864"/>
          </w:tcPr>
          <w:p>
            <w:r>
              <w:rPr>
                <w:b/>
                <w:color w:val="548235"/>
                <w:sz w:val="16"/>
              </w:rPr>
            </w:r>
            <w:r>
              <w:rPr>
                <w:b/>
                <w:color w:val="548235"/>
                <w:sz w:val="16"/>
              </w:rPr>
              <w:t>Low</w:t>
            </w:r>
          </w:p>
        </w:tc>
      </w:tr>
      <w:tr>
        <w:tc>
          <w:tcPr>
            <w:tcW w:type="dxa" w:w="576"/>
          </w:tcPr>
          <w:p>
            <w:r>
              <w:rPr>
                <w:sz w:val="16"/>
              </w:rPr>
            </w:r>
            <w:r>
              <w:rPr>
                <w:sz w:val="16"/>
              </w:rPr>
              <w:t>J-9</w:t>
            </w:r>
          </w:p>
        </w:tc>
        <w:tc>
          <w:tcPr>
            <w:tcW w:type="dxa" w:w="2880"/>
          </w:tcPr>
          <w:p>
            <w:r>
              <w:rPr>
                <w:sz w:val="16"/>
              </w:rPr>
            </w:r>
            <w:r>
              <w:rPr>
                <w:b/>
                <w:sz w:val="16"/>
              </w:rPr>
              <w:t>SLS drafting point (internal).</w:t>
            </w:r>
            <w:r>
              <w:rPr>
                <w:sz w:val="16"/>
              </w:rPr>
              <w:t xml:space="preserve"> SLS §4.1 says credits begin "at the first percentage point below" target, but its own example and Appendix B use 99.94%.</w:t>
            </w:r>
          </w:p>
        </w:tc>
        <w:tc>
          <w:tcPr>
            <w:tcW w:type="dxa" w:w="1440"/>
          </w:tcPr>
          <w:p>
            <w:r>
              <w:rPr>
                <w:sz w:val="16"/>
              </w:rPr>
            </w:r>
            <w:r>
              <w:rPr>
                <w:sz w:val="16"/>
              </w:rPr>
              <w:t>SLS §4.1, App. B</w:t>
            </w:r>
          </w:p>
        </w:tc>
        <w:tc>
          <w:tcPr>
            <w:tcW w:type="dxa" w:w="3600"/>
          </w:tcPr>
          <w:p>
            <w:r>
              <w:rPr>
                <w:sz w:val="16"/>
              </w:rPr>
            </w:r>
            <w:r>
              <w:rPr>
                <w:sz w:val="16"/>
              </w:rPr>
              <w:t>Correct the wording in SLS v4.3 to "any shortfall below the target (e.g., 99.94% for Tier 1)." In the meantime, our redline states the trigger expressly.</w:t>
            </w:r>
          </w:p>
        </w:tc>
        <w:tc>
          <w:tcPr>
            <w:tcW w:type="dxa" w:w="864"/>
          </w:tcPr>
          <w:p>
            <w:r>
              <w:rPr>
                <w:b/>
                <w:color w:val="548235"/>
                <w:sz w:val="16"/>
              </w:rPr>
            </w:r>
            <w:r>
              <w:rPr>
                <w:b/>
                <w:color w:val="548235"/>
                <w:sz w:val="16"/>
              </w:rPr>
              <w:t>Low</w:t>
            </w:r>
          </w:p>
        </w:tc>
      </w:tr>
    </w:tbl>
    <w:p>
      <w:pPr>
        <w:spacing w:after="40"/>
      </w:pPr>
    </w:p>
    <w:p>
      <w:pPr>
        <w:pStyle w:val="Heading1"/>
      </w:pPr>
      <w:r>
        <w:t>VII. Prioritized Negotiation Plan</w:t>
      </w:r>
    </w:p>
    <w:p>
      <w:pPr>
        <w:spacing w:after="120"/>
      </w:pPr>
      <w:r>
        <w:t>We recommend presenting a complete redline that conforms the Agreement to the SLS, with a cover note that sorts the issues into the following priorities. Doing so helps the Board see which points are firm and helps Meridian control where any concessions are made.</w:t>
      </w:r>
    </w:p>
    <w:p>
      <w:pPr>
        <w:pStyle w:val="Heading3"/>
      </w:pPr>
      <w:r>
        <w:t>Priority 1: Gating items (SLS "return to vendor" or non-negotiable)</w:t>
      </w:r>
    </w:p>
    <w:p>
      <w:pPr>
        <w:pStyle w:val="ListNumber"/>
        <w:spacing w:after="60"/>
      </w:pPr>
      <w:r>
        <w:t>Delete the sole-and-exclusive-remedy clause, Ex. C §C.5 (B-3).</w:t>
      </w:r>
    </w:p>
    <w:p>
      <w:pPr>
        <w:pStyle w:val="ListNumber"/>
        <w:spacing w:after="60"/>
      </w:pPr>
      <w:r>
        <w:t>Make response and resolution times binding and adopt the SLS times and four-tier model (C-1, C-2).</w:t>
      </w:r>
    </w:p>
    <w:p>
      <w:pPr>
        <w:pStyle w:val="ListNumber"/>
        <w:spacing w:after="60"/>
      </w:pPr>
      <w:r>
        <w:t>Add carve-outs to the consequential-damages exclusion, with unlimited liability for gross negligence and willful misconduct (F-2).</w:t>
      </w:r>
    </w:p>
    <w:p>
      <w:pPr>
        <w:pStyle w:val="ListNumber"/>
        <w:spacing w:after="60"/>
      </w:pPr>
      <w:r>
        <w:t>Expressly incorporate HIPAA and HITECH in the BAA, with the business associate acknowledgment and state-law compliance (D-1).</w:t>
      </w:r>
    </w:p>
    <w:p>
      <w:pPr>
        <w:pStyle w:val="ListNumber"/>
        <w:spacing w:after="60"/>
      </w:pPr>
      <w:r>
        <w:t>Designate the Platform as Tier 1 and guarantee 99.95% uptime (A-1, A-2).</w:t>
      </w:r>
    </w:p>
    <w:p>
      <w:pPr>
        <w:pStyle w:val="Heading3"/>
      </w:pPr>
      <w:r>
        <w:t>Priority 2: Core economic and risk-allocation terms</w:t>
      </w:r>
    </w:p>
    <w:p>
      <w:pPr>
        <w:pStyle w:val="ListNumber"/>
        <w:spacing w:after="60"/>
      </w:pPr>
      <w:r>
        <w:t>Maintenance cap, notice and windows; counting Emergency Maintenance as downtime; force majeure carve-back for Stratos (A-3 to A-6).</w:t>
      </w:r>
    </w:p>
    <w:p>
      <w:pPr>
        <w:pStyle w:val="ListNumber"/>
        <w:spacing w:after="60"/>
      </w:pPr>
      <w:r>
        <w:t>Uncapped SLS credit formula; vendor-calculated, cash-redeemable credits that survive termination; chronic-failure termination (B-1, B-2, B-4).</w:t>
      </w:r>
    </w:p>
    <w:p>
      <w:pPr>
        <w:pStyle w:val="ListNumber"/>
        <w:spacing w:after="60"/>
      </w:pPr>
      <w:r>
        <w:t>Liability cap of at least $15.48M (24 months of total fees); vendor indemnity for data breach and BAA claims; capping and narrowing Meridian's indemnity (F-1, F-3).</w:t>
      </w:r>
    </w:p>
    <w:p>
      <w:pPr>
        <w:pStyle w:val="ListNumber"/>
        <w:spacing w:after="60"/>
      </w:pPr>
      <w:r>
        <w:t>Strictly-necessary data license; de-identified data limited to uses for Meridian's benefit, with consent and opt-out; deletion of Aggregated Data ownership (E-1, E-2).</w:t>
      </w:r>
    </w:p>
    <w:p>
      <w:pPr>
        <w:pStyle w:val="ListNumber"/>
        <w:spacing w:after="60"/>
      </w:pPr>
      <w:r>
        <w:t>90-day FHIR/CSV retrieval; 12-month Transition Assistance Plan (E-3, E-4).</w:t>
      </w:r>
    </w:p>
    <w:p>
      <w:pPr>
        <w:pStyle w:val="ListNumber"/>
        <w:spacing w:after="60"/>
      </w:pPr>
      <w:r>
        <w:t>Termination: 30-day cure, defined material breach, data-breach termination, 90-day no-fee convenience termination (G-1 to G-3).</w:t>
      </w:r>
    </w:p>
    <w:p>
      <w:pPr>
        <w:pStyle w:val="ListNumber"/>
        <w:spacing w:after="60"/>
      </w:pPr>
      <w:r>
        <w:t>North Carolina law; Mecklenburg County courts; no mandatory arbitration over $1M; no embedded jury waiver (I-1, I-2).</w:t>
      </w:r>
    </w:p>
    <w:p>
      <w:pPr>
        <w:pStyle w:val="Heading3"/>
      </w:pPr>
      <w:r>
        <w:t>Priority 3: Security, compliance and operational controls</w:t>
      </w:r>
    </w:p>
    <w:p>
      <w:pPr>
        <w:pStyle w:val="ListNumber"/>
        <w:spacing w:after="60"/>
      </w:pPr>
      <w:r>
        <w:t>AES-256, TLS 1.2+ and NIST 800-57 key management; HITRUST CSF; penetration testing and vulnerability scans; specific safeguards (D-3 to D-5).</w:t>
      </w:r>
    </w:p>
    <w:p>
      <w:pPr>
        <w:pStyle w:val="ListNumber"/>
        <w:spacing w:after="60"/>
      </w:pPr>
      <w:r>
        <w:t>$10M cyber and technology E&amp;O insurance (D-6).</w:t>
      </w:r>
    </w:p>
    <w:p>
      <w:pPr>
        <w:pStyle w:val="ListNumber"/>
        <w:spacing w:after="60"/>
      </w:pPr>
      <w:r>
        <w:t>Prior consent for subcontractors; flow-downs; schedule of approved data centers and offshore-access ban (S-1 to S-3).</w:t>
      </w:r>
    </w:p>
    <w:p>
      <w:pPr>
        <w:pStyle w:val="ListNumber"/>
        <w:spacing w:after="60"/>
      </w:pPr>
      <w:r>
        <w:t>Two audits per year plus for-cause audits; delete the SOC 2 substitution; cost-shifting on findings (H-1).</w:t>
      </w:r>
    </w:p>
    <w:p>
      <w:pPr>
        <w:pStyle w:val="ListNumber"/>
        <w:spacing w:after="60"/>
      </w:pPr>
      <w:r>
        <w:t>24-hour breach notice; reporting, dashboard and incident communications (D-2, A-7, C-4); additional issues J-1 to J-8.</w:t>
      </w:r>
    </w:p>
    <w:p>
      <w:pPr>
        <w:spacing w:after="120"/>
      </w:pPr>
      <w:r>
        <w:rPr>
          <w:b/>
        </w:rPr>
        <w:t>Where Cloudvance may push back hardest:</w:t>
      </w:r>
      <w:r>
        <w:t xml:space="preserve"> the uncapped credits, the size of the liability cap and its data-breach carve-out, the no-fee convenience termination, and restrictions on de-identified data. These involve real economic cost to Cloudvance. If Meridian's leadership is willing to consider compromises on these points, each one is an SLS deviation and must go through the CISO/VP deviation approval process under SLS §1.1, with General Counsel input where the SLS requires it. We would advise against conceding on any Priority 1 item, on HITECH incorporation, or on the Stratos force majeure carve-back. Those terms protect Meridian's regulatory position and the integrity of the SLA as a whole.</w:t>
      </w:r>
    </w:p>
    <w:p>
      <w:pPr>
        <w:pStyle w:val="Heading1"/>
      </w:pPr>
      <w:r>
        <w:t>VIII. Recommended Next Steps</w:t>
      </w:r>
    </w:p>
    <w:p>
      <w:pPr>
        <w:pStyle w:val="ListNumber"/>
        <w:spacing w:after="60"/>
      </w:pPr>
      <w:r>
        <w:rPr>
          <w:b/>
        </w:rPr>
        <w:t>Call with you and Dr. Nandakumar</w:t>
      </w:r>
      <w:r>
        <w:t xml:space="preserve"> to confirm priorities and fallback authority, and the clinical input on maintenance windows and RTO/RPO, before the redline goes out.</w:t>
      </w:r>
    </w:p>
    <w:p>
      <w:pPr>
        <w:pStyle w:val="ListNumber"/>
        <w:spacing w:after="60"/>
      </w:pPr>
      <w:r>
        <w:rPr>
          <w:b/>
        </w:rPr>
        <w:t>Diligence requests</w:t>
      </w:r>
      <w:r>
        <w:t xml:space="preserve"> to Cloudvance, routed through Meridian Procurement at the time you choose: current SOC 2 Type II report (with scope and treatment of Stratos as a subservice organization); HITRUST CSF status; latest penetration test summary; cipher and TLS configuration; a list of Stratos data center locations by city and state; the Cloudvance–Stratos subcontractor BAA and hosting agreement; a list of all current sub-processors and any offshore access; historical uptime for ClinicalEdge over the last 12 to 24 months; and certificates of insurance.</w:t>
      </w:r>
    </w:p>
    <w:p>
      <w:pPr>
        <w:pStyle w:val="ListNumber"/>
        <w:spacing w:after="60"/>
      </w:pPr>
      <w:r>
        <w:rPr>
          <w:b/>
        </w:rPr>
        <w:t>LegacyMed bridge:</w:t>
      </w:r>
      <w:r>
        <w:t xml:space="preserve"> confirm the status of an extension past March 31, 2026, and coordinate its terms with the implementation timetable in the Cloudvance Agreement (J-1).</w:t>
      </w:r>
    </w:p>
    <w:p>
      <w:pPr>
        <w:pStyle w:val="ListNumber"/>
        <w:spacing w:after="60"/>
      </w:pPr>
      <w:r>
        <w:rPr>
          <w:b/>
        </w:rPr>
        <w:t>Redline preparation:</w:t>
      </w:r>
      <w:r>
        <w:t xml:space="preserve"> we will turn the redline language in Part IV into a full tracked-changes draft of the Agreement and new Exhibits F (Transition Assistance Plan) and Schedule 7.3 (Approved Data Centers) once you confirm the priorities.</w:t>
      </w:r>
    </w:p>
    <w:p>
      <w:pPr>
        <w:pStyle w:val="ListNumber"/>
        <w:spacing w:after="60"/>
      </w:pPr>
      <w:r>
        <w:rPr>
          <w:b/>
        </w:rPr>
        <w:t>Deviation documentation:</w:t>
      </w:r>
      <w:r>
        <w:t xml:space="preserve"> for any SLS deviation Meridian ultimately accepts, prepare the SLS §1.1 deviation approval form (nature of the deviation, business justification, compensating controls) for CISO and VP signature, with General Counsel sign-off for the liability cap (§9.1) and governing law (§12.1).</w:t>
      </w:r>
    </w:p>
    <w:p>
      <w:pPr>
        <w:pStyle w:val="ListNumber"/>
        <w:spacing w:after="60"/>
      </w:pPr>
      <w:r>
        <w:rPr>
          <w:b/>
        </w:rPr>
        <w:t>Timing:</w:t>
      </w:r>
      <w:r>
        <w:t xml:space="preserve"> to meet the year-end target, we suggest sending the redline to Cloudvance in the first week of December, allowing two negotiation rounds before December 19.</w:t>
      </w:r>
    </w:p>
    <w:p>
      <w:pPr>
        <w:spacing w:after="120"/>
      </w:pPr>
      <w:r>
        <w:rPr>
          <w:i/>
          <w:sz w:val="18"/>
        </w:rPr>
        <w:t>This memorandum is based solely on the documents listed in Part II. It does not reflect any discussions with Cloudvance, and we have not independently verified Cloudvance's or Stratos's certifications or practices. Statutory and regulatory references should be confirmed against current text before they are used in the final contract draft.</w:t>
      </w:r>
    </w:p>
    <w:p>
      <w:r>
        <w:br w:type="page"/>
      </w:r>
    </w:p>
    <w:p>
      <w:pPr>
        <w:pStyle w:val="Heading1"/>
      </w:pPr>
      <w:r>
        <w:t>Appendix A: Quantitative Illustrations</w:t>
      </w:r>
    </w:p>
    <w:p>
      <w:pPr>
        <w:pStyle w:val="Heading2"/>
      </w:pPr>
      <w:r>
        <w:t>A.1 Permitted Unplanned Downtime</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736"/>
            <w:shd w:val="clear" w:color="auto" w:fill="1F3A5F"/>
          </w:tcPr>
          <w:p>
            <w:r/>
            <w:r>
              <w:rPr>
                <w:b/>
                <w:color w:val="FFFFFF"/>
                <w:sz w:val="18"/>
              </w:rPr>
              <w:t>Uptime level</w:t>
            </w:r>
          </w:p>
        </w:tc>
        <w:tc>
          <w:tcPr>
            <w:tcW w:type="dxa" w:w="2160"/>
            <w:shd w:val="clear" w:color="auto" w:fill="1F3A5F"/>
          </w:tcPr>
          <w:p>
            <w:r/>
            <w:r>
              <w:rPr>
                <w:b/>
                <w:color w:val="FFFFFF"/>
                <w:sz w:val="18"/>
              </w:rPr>
              <w:t>30-day month (43,200 min)</w:t>
            </w:r>
          </w:p>
        </w:tc>
        <w:tc>
          <w:tcPr>
            <w:tcW w:type="dxa" w:w="2160"/>
            <w:shd w:val="clear" w:color="auto" w:fill="1F3A5F"/>
          </w:tcPr>
          <w:p>
            <w:r/>
            <w:r>
              <w:rPr>
                <w:b/>
                <w:color w:val="FFFFFF"/>
                <w:sz w:val="18"/>
              </w:rPr>
              <w:t>31-day month (44,640 min)</w:t>
            </w:r>
          </w:p>
        </w:tc>
        <w:tc>
          <w:tcPr>
            <w:tcW w:type="dxa" w:w="2304"/>
            <w:shd w:val="clear" w:color="auto" w:fill="1F3A5F"/>
          </w:tcPr>
          <w:p>
            <w:r/>
            <w:r>
              <w:rPr>
                <w:b/>
                <w:color w:val="FFFFFF"/>
                <w:sz w:val="18"/>
              </w:rPr>
              <w:t>Per year (525,600 min)</w:t>
            </w:r>
          </w:p>
        </w:tc>
      </w:tr>
      <w:tr>
        <w:tc>
          <w:tcPr>
            <w:tcW w:type="dxa" w:w="2736"/>
          </w:tcPr>
          <w:p>
            <w:r>
              <w:rPr>
                <w:sz w:val="18"/>
              </w:rPr>
            </w:r>
            <w:r>
              <w:rPr>
                <w:sz w:val="18"/>
              </w:rPr>
              <w:t>99.95% (SLS Tier 1)</w:t>
            </w:r>
          </w:p>
        </w:tc>
        <w:tc>
          <w:tcPr>
            <w:tcW w:type="dxa" w:w="2160"/>
          </w:tcPr>
          <w:p>
            <w:r>
              <w:rPr>
                <w:sz w:val="18"/>
              </w:rPr>
            </w:r>
            <w:r>
              <w:rPr>
                <w:sz w:val="18"/>
              </w:rPr>
              <w:t>21.6 min</w:t>
            </w:r>
          </w:p>
        </w:tc>
        <w:tc>
          <w:tcPr>
            <w:tcW w:type="dxa" w:w="2160"/>
          </w:tcPr>
          <w:p>
            <w:r>
              <w:rPr>
                <w:sz w:val="18"/>
              </w:rPr>
            </w:r>
            <w:r>
              <w:rPr>
                <w:sz w:val="18"/>
              </w:rPr>
              <w:t>22.3 min</w:t>
            </w:r>
          </w:p>
        </w:tc>
        <w:tc>
          <w:tcPr>
            <w:tcW w:type="dxa" w:w="2304"/>
          </w:tcPr>
          <w:p>
            <w:r>
              <w:rPr>
                <w:sz w:val="18"/>
              </w:rPr>
            </w:r>
            <w:r>
              <w:rPr>
                <w:sz w:val="18"/>
              </w:rPr>
              <w:t>4.4 hrs</w:t>
            </w:r>
          </w:p>
        </w:tc>
      </w:tr>
      <w:tr>
        <w:tc>
          <w:tcPr>
            <w:tcW w:type="dxa" w:w="2736"/>
          </w:tcPr>
          <w:p>
            <w:r>
              <w:rPr>
                <w:sz w:val="18"/>
              </w:rPr>
            </w:r>
            <w:r>
              <w:rPr>
                <w:sz w:val="18"/>
              </w:rPr>
              <w:t>99.9% (SLS Tier 2)</w:t>
            </w:r>
          </w:p>
        </w:tc>
        <w:tc>
          <w:tcPr>
            <w:tcW w:type="dxa" w:w="2160"/>
          </w:tcPr>
          <w:p>
            <w:r>
              <w:rPr>
                <w:sz w:val="18"/>
              </w:rPr>
            </w:r>
            <w:r>
              <w:rPr>
                <w:sz w:val="18"/>
              </w:rPr>
              <w:t>43.2 min</w:t>
            </w:r>
          </w:p>
        </w:tc>
        <w:tc>
          <w:tcPr>
            <w:tcW w:type="dxa" w:w="2160"/>
          </w:tcPr>
          <w:p>
            <w:r>
              <w:rPr>
                <w:sz w:val="18"/>
              </w:rPr>
            </w:r>
            <w:r>
              <w:rPr>
                <w:sz w:val="18"/>
              </w:rPr>
              <w:t>44.6 min</w:t>
            </w:r>
          </w:p>
        </w:tc>
        <w:tc>
          <w:tcPr>
            <w:tcW w:type="dxa" w:w="2304"/>
          </w:tcPr>
          <w:p>
            <w:r>
              <w:rPr>
                <w:sz w:val="18"/>
              </w:rPr>
            </w:r>
            <w:r>
              <w:rPr>
                <w:sz w:val="18"/>
              </w:rPr>
              <w:t>8.8 hrs</w:t>
            </w:r>
          </w:p>
        </w:tc>
      </w:tr>
      <w:tr>
        <w:tc>
          <w:tcPr>
            <w:tcW w:type="dxa" w:w="2736"/>
          </w:tcPr>
          <w:p>
            <w:r>
              <w:rPr>
                <w:sz w:val="18"/>
              </w:rPr>
            </w:r>
            <w:r>
              <w:rPr>
                <w:sz w:val="18"/>
              </w:rPr>
              <w:t>99.5% (Agreement / SLS Tier 3)</w:t>
            </w:r>
          </w:p>
        </w:tc>
        <w:tc>
          <w:tcPr>
            <w:tcW w:type="dxa" w:w="2160"/>
          </w:tcPr>
          <w:p>
            <w:r>
              <w:rPr>
                <w:sz w:val="18"/>
              </w:rPr>
            </w:r>
            <w:r>
              <w:rPr>
                <w:sz w:val="18"/>
              </w:rPr>
              <w:t>216.0 min (3.6 hrs)</w:t>
            </w:r>
          </w:p>
        </w:tc>
        <w:tc>
          <w:tcPr>
            <w:tcW w:type="dxa" w:w="2160"/>
          </w:tcPr>
          <w:p>
            <w:r>
              <w:rPr>
                <w:sz w:val="18"/>
              </w:rPr>
            </w:r>
            <w:r>
              <w:rPr>
                <w:sz w:val="18"/>
              </w:rPr>
              <w:t>223.2 min (3.7 hrs)</w:t>
            </w:r>
          </w:p>
        </w:tc>
        <w:tc>
          <w:tcPr>
            <w:tcW w:type="dxa" w:w="2304"/>
          </w:tcPr>
          <w:p>
            <w:r>
              <w:rPr>
                <w:sz w:val="18"/>
              </w:rPr>
            </w:r>
            <w:r>
              <w:rPr>
                <w:sz w:val="18"/>
              </w:rPr>
              <w:t>43.8 hrs</w:t>
            </w:r>
          </w:p>
        </w:tc>
      </w:tr>
    </w:tbl>
    <w:p>
      <w:pPr>
        <w:spacing w:after="40"/>
      </w:pPr>
    </w:p>
    <w:p>
      <w:pPr>
        <w:spacing w:after="120"/>
      </w:pPr>
      <w:r>
        <w:rPr>
          <w:b/>
          <w:sz w:val="20"/>
        </w:rPr>
        <w:t>Maintenance on top of unplanned downtime.</w:t>
      </w:r>
      <w:r>
        <w:rPr>
          <w:sz w:val="20"/>
        </w:rPr>
        <w:t xml:space="preserve"> In a 31-day month with five weekends, the Agreement allows up to 40 hours (2,400 minutes) of excluded Scheduled Maintenance plus 223.2 minutes of unplanned downtime, a total of 2,623.2 minutes. That is about 5.9% of the month, or effective availability of about </w:t>
      </w:r>
      <w:r>
        <w:rPr>
          <w:b/>
          <w:sz w:val="20"/>
        </w:rPr>
        <w:t>94.1%</w:t>
      </w:r>
      <w:r>
        <w:rPr>
          <w:sz w:val="20"/>
        </w:rPr>
        <w:t>, before any Emergency Maintenance or force majeure exclusions. Under the SLS, the comparable maximum is 4 hours (240 minutes) plus 22.3 minutes, about 0.59% of the month, or effective availability of about 99.41%.</w:t>
      </w:r>
    </w:p>
    <w:p>
      <w:pPr>
        <w:pStyle w:val="Heading2"/>
      </w:pPr>
      <w:r>
        <w:t>A.2 Service Credits per Month: SLS Formula Compared with Agreement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440"/>
            <w:shd w:val="clear" w:color="auto" w:fill="1F3A5F"/>
          </w:tcPr>
          <w:p>
            <w:r/>
            <w:r>
              <w:rPr>
                <w:b/>
                <w:color w:val="FFFFFF"/>
                <w:sz w:val="18"/>
              </w:rPr>
              <w:t>Monthly uptime</w:t>
            </w:r>
          </w:p>
        </w:tc>
        <w:tc>
          <w:tcPr>
            <w:tcW w:type="dxa" w:w="1728"/>
            <w:shd w:val="clear" w:color="auto" w:fill="1F3A5F"/>
          </w:tcPr>
          <w:p>
            <w:r/>
            <w:r>
              <w:rPr>
                <w:b/>
                <w:color w:val="FFFFFF"/>
                <w:sz w:val="18"/>
              </w:rPr>
              <w:t>Downtime (30-day month)</w:t>
            </w:r>
          </w:p>
        </w:tc>
        <w:tc>
          <w:tcPr>
            <w:tcW w:type="dxa" w:w="2304"/>
            <w:shd w:val="clear" w:color="auto" w:fill="1F3A5F"/>
          </w:tcPr>
          <w:p>
            <w:r/>
            <w:r>
              <w:rPr>
                <w:b/>
                <w:color w:val="FFFFFF"/>
                <w:sz w:val="18"/>
              </w:rPr>
              <w:t>SLS credit (10%/0.1%, uncapped)</w:t>
            </w:r>
          </w:p>
        </w:tc>
        <w:tc>
          <w:tcPr>
            <w:tcW w:type="dxa" w:w="2304"/>
            <w:shd w:val="clear" w:color="auto" w:fill="1F3A5F"/>
          </w:tcPr>
          <w:p>
            <w:r/>
            <w:r>
              <w:rPr>
                <w:b/>
                <w:color w:val="FFFFFF"/>
                <w:sz w:val="18"/>
              </w:rPr>
              <w:t>Agreement credit (tiered, capped)</w:t>
            </w:r>
          </w:p>
        </w:tc>
        <w:tc>
          <w:tcPr>
            <w:tcW w:type="dxa" w:w="1584"/>
            <w:shd w:val="clear" w:color="auto" w:fill="1F3A5F"/>
          </w:tcPr>
          <w:p>
            <w:r/>
            <w:r>
              <w:rPr>
                <w:b/>
                <w:color w:val="FFFFFF"/>
                <w:sz w:val="18"/>
              </w:rPr>
              <w:t>Shortfall to Meridian</w:t>
            </w:r>
          </w:p>
        </w:tc>
      </w:tr>
      <w:tr>
        <w:tc>
          <w:tcPr>
            <w:tcW w:type="dxa" w:w="1440"/>
          </w:tcPr>
          <w:p>
            <w:r>
              <w:rPr>
                <w:sz w:val="18"/>
              </w:rPr>
            </w:r>
            <w:r>
              <w:rPr>
                <w:sz w:val="18"/>
              </w:rPr>
              <w:t>99.94%</w:t>
            </w:r>
          </w:p>
        </w:tc>
        <w:tc>
          <w:tcPr>
            <w:tcW w:type="dxa" w:w="1728"/>
          </w:tcPr>
          <w:p>
            <w:r>
              <w:rPr>
                <w:sz w:val="18"/>
              </w:rPr>
            </w:r>
            <w:r>
              <w:rPr>
                <w:sz w:val="18"/>
              </w:rPr>
              <w:t>26 min</w:t>
            </w:r>
          </w:p>
        </w:tc>
        <w:tc>
          <w:tcPr>
            <w:tcW w:type="dxa" w:w="2304"/>
          </w:tcPr>
          <w:p>
            <w:r>
              <w:rPr>
                <w:sz w:val="18"/>
              </w:rPr>
            </w:r>
            <w:r>
              <w:rPr>
                <w:sz w:val="18"/>
              </w:rPr>
              <w:t>10% = $57,000</w:t>
            </w:r>
          </w:p>
        </w:tc>
        <w:tc>
          <w:tcPr>
            <w:tcW w:type="dxa" w:w="2304"/>
          </w:tcPr>
          <w:p>
            <w:r>
              <w:rPr>
                <w:sz w:val="18"/>
              </w:rPr>
            </w:r>
            <w:r>
              <w:rPr>
                <w:sz w:val="18"/>
              </w:rPr>
              <w:t>0% = $0</w:t>
            </w:r>
          </w:p>
        </w:tc>
        <w:tc>
          <w:tcPr>
            <w:tcW w:type="dxa" w:w="1584"/>
          </w:tcPr>
          <w:p>
            <w:r>
              <w:rPr>
                <w:sz w:val="18"/>
              </w:rPr>
            </w:r>
            <w:r>
              <w:rPr>
                <w:sz w:val="18"/>
              </w:rPr>
              <w:t>$57,000</w:t>
            </w:r>
          </w:p>
        </w:tc>
      </w:tr>
      <w:tr>
        <w:tc>
          <w:tcPr>
            <w:tcW w:type="dxa" w:w="1440"/>
          </w:tcPr>
          <w:p>
            <w:r>
              <w:rPr>
                <w:sz w:val="18"/>
              </w:rPr>
            </w:r>
            <w:r>
              <w:rPr>
                <w:sz w:val="18"/>
              </w:rPr>
              <w:t>99.90%</w:t>
            </w:r>
          </w:p>
        </w:tc>
        <w:tc>
          <w:tcPr>
            <w:tcW w:type="dxa" w:w="1728"/>
          </w:tcPr>
          <w:p>
            <w:r>
              <w:rPr>
                <w:sz w:val="18"/>
              </w:rPr>
            </w:r>
            <w:r>
              <w:rPr>
                <w:sz w:val="18"/>
              </w:rPr>
              <w:t>43 min</w:t>
            </w:r>
          </w:p>
        </w:tc>
        <w:tc>
          <w:tcPr>
            <w:tcW w:type="dxa" w:w="2304"/>
          </w:tcPr>
          <w:p>
            <w:r>
              <w:rPr>
                <w:sz w:val="18"/>
              </w:rPr>
            </w:r>
            <w:r>
              <w:rPr>
                <w:sz w:val="18"/>
              </w:rPr>
              <w:t>10% = $57,000</w:t>
            </w:r>
          </w:p>
        </w:tc>
        <w:tc>
          <w:tcPr>
            <w:tcW w:type="dxa" w:w="2304"/>
          </w:tcPr>
          <w:p>
            <w:r>
              <w:rPr>
                <w:sz w:val="18"/>
              </w:rPr>
            </w:r>
            <w:r>
              <w:rPr>
                <w:sz w:val="18"/>
              </w:rPr>
              <w:t>0% = $0</w:t>
            </w:r>
          </w:p>
        </w:tc>
        <w:tc>
          <w:tcPr>
            <w:tcW w:type="dxa" w:w="1584"/>
          </w:tcPr>
          <w:p>
            <w:r>
              <w:rPr>
                <w:sz w:val="18"/>
              </w:rPr>
            </w:r>
            <w:r>
              <w:rPr>
                <w:sz w:val="18"/>
              </w:rPr>
              <w:t>$57,000</w:t>
            </w:r>
          </w:p>
        </w:tc>
      </w:tr>
      <w:tr>
        <w:tc>
          <w:tcPr>
            <w:tcW w:type="dxa" w:w="1440"/>
          </w:tcPr>
          <w:p>
            <w:r>
              <w:rPr>
                <w:sz w:val="18"/>
              </w:rPr>
            </w:r>
            <w:r>
              <w:rPr>
                <w:sz w:val="18"/>
              </w:rPr>
              <w:t>99.70%</w:t>
            </w:r>
          </w:p>
        </w:tc>
        <w:tc>
          <w:tcPr>
            <w:tcW w:type="dxa" w:w="1728"/>
          </w:tcPr>
          <w:p>
            <w:r>
              <w:rPr>
                <w:sz w:val="18"/>
              </w:rPr>
            </w:r>
            <w:r>
              <w:rPr>
                <w:sz w:val="18"/>
              </w:rPr>
              <w:t>130 min</w:t>
            </w:r>
          </w:p>
        </w:tc>
        <w:tc>
          <w:tcPr>
            <w:tcW w:type="dxa" w:w="2304"/>
          </w:tcPr>
          <w:p>
            <w:r>
              <w:rPr>
                <w:sz w:val="18"/>
              </w:rPr>
            </w:r>
            <w:r>
              <w:rPr>
                <w:sz w:val="18"/>
              </w:rPr>
              <w:t>30% = $171,000</w:t>
            </w:r>
          </w:p>
        </w:tc>
        <w:tc>
          <w:tcPr>
            <w:tcW w:type="dxa" w:w="2304"/>
          </w:tcPr>
          <w:p>
            <w:r>
              <w:rPr>
                <w:sz w:val="18"/>
              </w:rPr>
            </w:r>
            <w:r>
              <w:rPr>
                <w:sz w:val="18"/>
              </w:rPr>
              <w:t>0% = $0</w:t>
            </w:r>
          </w:p>
        </w:tc>
        <w:tc>
          <w:tcPr>
            <w:tcW w:type="dxa" w:w="1584"/>
          </w:tcPr>
          <w:p>
            <w:r>
              <w:rPr>
                <w:sz w:val="18"/>
              </w:rPr>
            </w:r>
            <w:r>
              <w:rPr>
                <w:sz w:val="18"/>
              </w:rPr>
              <w:t>$171,000</w:t>
            </w:r>
          </w:p>
        </w:tc>
      </w:tr>
      <w:tr>
        <w:tc>
          <w:tcPr>
            <w:tcW w:type="dxa" w:w="1440"/>
          </w:tcPr>
          <w:p>
            <w:r>
              <w:rPr>
                <w:sz w:val="18"/>
              </w:rPr>
            </w:r>
            <w:r>
              <w:rPr>
                <w:sz w:val="18"/>
              </w:rPr>
              <w:t>99.50%</w:t>
            </w:r>
          </w:p>
        </w:tc>
        <w:tc>
          <w:tcPr>
            <w:tcW w:type="dxa" w:w="1728"/>
          </w:tcPr>
          <w:p>
            <w:r>
              <w:rPr>
                <w:sz w:val="18"/>
              </w:rPr>
            </w:r>
            <w:r>
              <w:rPr>
                <w:sz w:val="18"/>
              </w:rPr>
              <w:t>216 min</w:t>
            </w:r>
          </w:p>
        </w:tc>
        <w:tc>
          <w:tcPr>
            <w:tcW w:type="dxa" w:w="2304"/>
          </w:tcPr>
          <w:p>
            <w:r>
              <w:rPr>
                <w:sz w:val="18"/>
              </w:rPr>
            </w:r>
            <w:r>
              <w:rPr>
                <w:sz w:val="18"/>
              </w:rPr>
              <w:t>50% = $285,000</w:t>
            </w:r>
          </w:p>
        </w:tc>
        <w:tc>
          <w:tcPr>
            <w:tcW w:type="dxa" w:w="2304"/>
          </w:tcPr>
          <w:p>
            <w:r>
              <w:rPr>
                <w:sz w:val="18"/>
              </w:rPr>
            </w:r>
            <w:r>
              <w:rPr>
                <w:sz w:val="18"/>
              </w:rPr>
              <w:t>0% = $0</w:t>
            </w:r>
          </w:p>
        </w:tc>
        <w:tc>
          <w:tcPr>
            <w:tcW w:type="dxa" w:w="1584"/>
          </w:tcPr>
          <w:p>
            <w:r>
              <w:rPr>
                <w:sz w:val="18"/>
              </w:rPr>
            </w:r>
            <w:r>
              <w:rPr>
                <w:sz w:val="18"/>
              </w:rPr>
              <w:t>$285,000</w:t>
            </w:r>
          </w:p>
        </w:tc>
      </w:tr>
      <w:tr>
        <w:tc>
          <w:tcPr>
            <w:tcW w:type="dxa" w:w="1440"/>
          </w:tcPr>
          <w:p>
            <w:r>
              <w:rPr>
                <w:sz w:val="18"/>
              </w:rPr>
            </w:r>
            <w:r>
              <w:rPr>
                <w:sz w:val="18"/>
              </w:rPr>
              <w:t>99.40%</w:t>
            </w:r>
          </w:p>
        </w:tc>
        <w:tc>
          <w:tcPr>
            <w:tcW w:type="dxa" w:w="1728"/>
          </w:tcPr>
          <w:p>
            <w:r>
              <w:rPr>
                <w:sz w:val="18"/>
              </w:rPr>
            </w:r>
            <w:r>
              <w:rPr>
                <w:sz w:val="18"/>
              </w:rPr>
              <w:t>259 min</w:t>
            </w:r>
          </w:p>
        </w:tc>
        <w:tc>
          <w:tcPr>
            <w:tcW w:type="dxa" w:w="2304"/>
          </w:tcPr>
          <w:p>
            <w:r>
              <w:rPr>
                <w:sz w:val="18"/>
              </w:rPr>
            </w:r>
            <w:r>
              <w:rPr>
                <w:sz w:val="18"/>
              </w:rPr>
              <w:t>60% = $342,000</w:t>
            </w:r>
          </w:p>
        </w:tc>
        <w:tc>
          <w:tcPr>
            <w:tcW w:type="dxa" w:w="2304"/>
          </w:tcPr>
          <w:p>
            <w:r>
              <w:rPr>
                <w:sz w:val="18"/>
              </w:rPr>
            </w:r>
            <w:r>
              <w:rPr>
                <w:sz w:val="18"/>
              </w:rPr>
              <w:t>5% = $28,500</w:t>
            </w:r>
          </w:p>
        </w:tc>
        <w:tc>
          <w:tcPr>
            <w:tcW w:type="dxa" w:w="1584"/>
          </w:tcPr>
          <w:p>
            <w:r>
              <w:rPr>
                <w:sz w:val="18"/>
              </w:rPr>
            </w:r>
            <w:r>
              <w:rPr>
                <w:sz w:val="18"/>
              </w:rPr>
              <w:t>$313,500</w:t>
            </w:r>
          </w:p>
        </w:tc>
      </w:tr>
      <w:tr>
        <w:tc>
          <w:tcPr>
            <w:tcW w:type="dxa" w:w="1440"/>
          </w:tcPr>
          <w:p>
            <w:r>
              <w:rPr>
                <w:sz w:val="18"/>
              </w:rPr>
            </w:r>
            <w:r>
              <w:rPr>
                <w:sz w:val="18"/>
              </w:rPr>
              <w:t>99.00%</w:t>
            </w:r>
          </w:p>
        </w:tc>
        <w:tc>
          <w:tcPr>
            <w:tcW w:type="dxa" w:w="1728"/>
          </w:tcPr>
          <w:p>
            <w:r>
              <w:rPr>
                <w:sz w:val="18"/>
              </w:rPr>
            </w:r>
            <w:r>
              <w:rPr>
                <w:sz w:val="18"/>
              </w:rPr>
              <w:t>432 min</w:t>
            </w:r>
          </w:p>
        </w:tc>
        <w:tc>
          <w:tcPr>
            <w:tcW w:type="dxa" w:w="2304"/>
          </w:tcPr>
          <w:p>
            <w:r>
              <w:rPr>
                <w:sz w:val="18"/>
              </w:rPr>
            </w:r>
            <w:r>
              <w:rPr>
                <w:sz w:val="18"/>
              </w:rPr>
              <w:t>100% = $570,000</w:t>
            </w:r>
          </w:p>
        </w:tc>
        <w:tc>
          <w:tcPr>
            <w:tcW w:type="dxa" w:w="2304"/>
          </w:tcPr>
          <w:p>
            <w:r>
              <w:rPr>
                <w:sz w:val="18"/>
              </w:rPr>
            </w:r>
            <w:r>
              <w:rPr>
                <w:sz w:val="18"/>
              </w:rPr>
              <w:t>5% = $28,500</w:t>
            </w:r>
          </w:p>
        </w:tc>
        <w:tc>
          <w:tcPr>
            <w:tcW w:type="dxa" w:w="1584"/>
          </w:tcPr>
          <w:p>
            <w:r>
              <w:rPr>
                <w:sz w:val="18"/>
              </w:rPr>
            </w:r>
            <w:r>
              <w:rPr>
                <w:sz w:val="18"/>
              </w:rPr>
              <w:t>$541,500</w:t>
            </w:r>
          </w:p>
        </w:tc>
      </w:tr>
      <w:tr>
        <w:tc>
          <w:tcPr>
            <w:tcW w:type="dxa" w:w="1440"/>
          </w:tcPr>
          <w:p>
            <w:r>
              <w:rPr>
                <w:sz w:val="18"/>
              </w:rPr>
            </w:r>
            <w:r>
              <w:rPr>
                <w:sz w:val="18"/>
              </w:rPr>
              <w:t>98.50%</w:t>
            </w:r>
          </w:p>
        </w:tc>
        <w:tc>
          <w:tcPr>
            <w:tcW w:type="dxa" w:w="1728"/>
          </w:tcPr>
          <w:p>
            <w:r>
              <w:rPr>
                <w:sz w:val="18"/>
              </w:rPr>
            </w:r>
            <w:r>
              <w:rPr>
                <w:sz w:val="18"/>
              </w:rPr>
              <w:t>648 min</w:t>
            </w:r>
          </w:p>
        </w:tc>
        <w:tc>
          <w:tcPr>
            <w:tcW w:type="dxa" w:w="2304"/>
          </w:tcPr>
          <w:p>
            <w:r>
              <w:rPr>
                <w:sz w:val="18"/>
              </w:rPr>
            </w:r>
            <w:r>
              <w:rPr>
                <w:sz w:val="18"/>
              </w:rPr>
              <w:t>150% = $855,000</w:t>
            </w:r>
          </w:p>
        </w:tc>
        <w:tc>
          <w:tcPr>
            <w:tcW w:type="dxa" w:w="2304"/>
          </w:tcPr>
          <w:p>
            <w:r>
              <w:rPr>
                <w:sz w:val="18"/>
              </w:rPr>
            </w:r>
            <w:r>
              <w:rPr>
                <w:sz w:val="18"/>
              </w:rPr>
              <w:t>10% = $57,000</w:t>
            </w:r>
          </w:p>
        </w:tc>
        <w:tc>
          <w:tcPr>
            <w:tcW w:type="dxa" w:w="1584"/>
          </w:tcPr>
          <w:p>
            <w:r>
              <w:rPr>
                <w:sz w:val="18"/>
              </w:rPr>
            </w:r>
            <w:r>
              <w:rPr>
                <w:sz w:val="18"/>
              </w:rPr>
              <w:t>$798,000</w:t>
            </w:r>
          </w:p>
        </w:tc>
      </w:tr>
      <w:tr>
        <w:tc>
          <w:tcPr>
            <w:tcW w:type="dxa" w:w="1440"/>
          </w:tcPr>
          <w:p>
            <w:r>
              <w:rPr>
                <w:sz w:val="18"/>
              </w:rPr>
            </w:r>
            <w:r>
              <w:rPr>
                <w:sz w:val="18"/>
              </w:rPr>
              <w:t>97.00%</w:t>
            </w:r>
          </w:p>
        </w:tc>
        <w:tc>
          <w:tcPr>
            <w:tcW w:type="dxa" w:w="1728"/>
          </w:tcPr>
          <w:p>
            <w:r>
              <w:rPr>
                <w:sz w:val="18"/>
              </w:rPr>
            </w:r>
            <w:r>
              <w:rPr>
                <w:sz w:val="18"/>
              </w:rPr>
              <w:t>1296 min</w:t>
            </w:r>
          </w:p>
        </w:tc>
        <w:tc>
          <w:tcPr>
            <w:tcW w:type="dxa" w:w="2304"/>
          </w:tcPr>
          <w:p>
            <w:r>
              <w:rPr>
                <w:sz w:val="18"/>
              </w:rPr>
            </w:r>
            <w:r>
              <w:rPr>
                <w:sz w:val="18"/>
              </w:rPr>
              <w:t>300% = $1,710,000</w:t>
            </w:r>
          </w:p>
        </w:tc>
        <w:tc>
          <w:tcPr>
            <w:tcW w:type="dxa" w:w="2304"/>
          </w:tcPr>
          <w:p>
            <w:r>
              <w:rPr>
                <w:sz w:val="18"/>
              </w:rPr>
            </w:r>
            <w:r>
              <w:rPr>
                <w:sz w:val="18"/>
              </w:rPr>
              <w:t>15% = $85,500</w:t>
            </w:r>
          </w:p>
        </w:tc>
        <w:tc>
          <w:tcPr>
            <w:tcW w:type="dxa" w:w="1584"/>
          </w:tcPr>
          <w:p>
            <w:r>
              <w:rPr>
                <w:sz w:val="18"/>
              </w:rPr>
            </w:r>
            <w:r>
              <w:rPr>
                <w:sz w:val="18"/>
              </w:rPr>
              <w:t>$1,624,500</w:t>
            </w:r>
          </w:p>
        </w:tc>
      </w:tr>
    </w:tbl>
    <w:p>
      <w:pPr>
        <w:spacing w:after="40"/>
      </w:pPr>
    </w:p>
    <w:p>
      <w:pPr>
        <w:spacing w:after="120"/>
      </w:pPr>
      <w:r>
        <w:rPr>
          <w:sz w:val="20"/>
        </w:rPr>
        <w:t>Monthly Subscription Fee of $570,000 ($6,840,000 / 12), as defined in Ex. C §C.4. Under the Agreement, the maximum credit is $85,500 per month and $1,026,000 per year, and credits are payable only if Meridian claims them in time (§C.6). Under the SLS there is no cap, and credits accrue automatically. Missed S1 and S2 response or resolution times would add 5% of the monthly fee ($28,500) per hour of overrun under SLS §5.4(b). The Agreement provides nothing for these.</w:t>
      </w:r>
    </w:p>
    <w:p>
      <w:pPr>
        <w:pStyle w:val="Heading2"/>
      </w:pPr>
      <w:r>
        <w:t>A.3 Liability Cap</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456"/>
            <w:shd w:val="clear" w:color="auto" w:fill="1F3A5F"/>
          </w:tcPr>
          <w:p>
            <w:r/>
            <w:r>
              <w:rPr>
                <w:b/>
                <w:color w:val="FFFFFF"/>
                <w:sz w:val="18"/>
              </w:rPr>
              <w:t>Measure</w:t>
            </w:r>
          </w:p>
        </w:tc>
        <w:tc>
          <w:tcPr>
            <w:tcW w:type="dxa" w:w="3456"/>
            <w:shd w:val="clear" w:color="auto" w:fill="1F3A5F"/>
          </w:tcPr>
          <w:p>
            <w:r/>
            <w:r>
              <w:rPr>
                <w:b/>
                <w:color w:val="FFFFFF"/>
                <w:sz w:val="18"/>
              </w:rPr>
              <w:t>Computation</w:t>
            </w:r>
          </w:p>
        </w:tc>
        <w:tc>
          <w:tcPr>
            <w:tcW w:type="dxa" w:w="2448"/>
            <w:shd w:val="clear" w:color="auto" w:fill="1F3A5F"/>
          </w:tcPr>
          <w:p>
            <w:r/>
            <w:r>
              <w:rPr>
                <w:b/>
                <w:color w:val="FFFFFF"/>
                <w:sz w:val="18"/>
              </w:rPr>
              <w:t>Amount</w:t>
            </w:r>
          </w:p>
        </w:tc>
      </w:tr>
      <w:tr>
        <w:tc>
          <w:tcPr>
            <w:tcW w:type="dxa" w:w="3456"/>
          </w:tcPr>
          <w:p>
            <w:r>
              <w:rPr>
                <w:sz w:val="18"/>
              </w:rPr>
            </w:r>
            <w:r>
              <w:rPr>
                <w:sz w:val="18"/>
              </w:rPr>
              <w:t>SLS §9.1 minimum (24 months of total fees)</w:t>
            </w:r>
          </w:p>
        </w:tc>
        <w:tc>
          <w:tcPr>
            <w:tcW w:type="dxa" w:w="3456"/>
          </w:tcPr>
          <w:p>
            <w:r>
              <w:rPr>
                <w:sz w:val="18"/>
              </w:rPr>
            </w:r>
            <w:r>
              <w:rPr>
                <w:sz w:val="18"/>
              </w:rPr>
              <w:t>($6.84M + $4.5M / 5) × 2 = $7.74M × 2</w:t>
            </w:r>
          </w:p>
        </w:tc>
        <w:tc>
          <w:tcPr>
            <w:tcW w:type="dxa" w:w="2448"/>
          </w:tcPr>
          <w:p>
            <w:r>
              <w:rPr>
                <w:sz w:val="18"/>
              </w:rPr>
            </w:r>
            <w:r>
              <w:rPr>
                <w:sz w:val="18"/>
              </w:rPr>
              <w:t>$15,480,000</w:t>
            </w:r>
          </w:p>
        </w:tc>
      </w:tr>
      <w:tr>
        <w:tc>
          <w:tcPr>
            <w:tcW w:type="dxa" w:w="3456"/>
          </w:tcPr>
          <w:p>
            <w:r>
              <w:rPr>
                <w:sz w:val="18"/>
              </w:rPr>
            </w:r>
            <w:r>
              <w:rPr>
                <w:sz w:val="18"/>
              </w:rPr>
              <w:t>Agreement §10.2 (12 months of subscription fees)</w:t>
            </w:r>
          </w:p>
        </w:tc>
        <w:tc>
          <w:tcPr>
            <w:tcW w:type="dxa" w:w="3456"/>
          </w:tcPr>
          <w:p>
            <w:r>
              <w:rPr>
                <w:sz w:val="18"/>
              </w:rPr>
            </w:r>
            <w:r>
              <w:rPr>
                <w:sz w:val="18"/>
              </w:rPr>
              <w:t>$6.84M × 1</w:t>
            </w:r>
          </w:p>
        </w:tc>
        <w:tc>
          <w:tcPr>
            <w:tcW w:type="dxa" w:w="2448"/>
          </w:tcPr>
          <w:p>
            <w:r>
              <w:rPr>
                <w:sz w:val="18"/>
              </w:rPr>
            </w:r>
            <w:r>
              <w:rPr>
                <w:sz w:val="18"/>
              </w:rPr>
              <w:t>$6,840,000</w:t>
            </w:r>
          </w:p>
        </w:tc>
      </w:tr>
      <w:tr>
        <w:tc>
          <w:tcPr>
            <w:tcW w:type="dxa" w:w="3456"/>
          </w:tcPr>
          <w:p>
            <w:r>
              <w:rPr>
                <w:sz w:val="18"/>
              </w:rPr>
            </w:r>
            <w:r>
              <w:rPr>
                <w:sz w:val="18"/>
              </w:rPr>
              <w:t>Shortfall</w:t>
            </w:r>
          </w:p>
        </w:tc>
        <w:tc>
          <w:tcPr>
            <w:tcW w:type="dxa" w:w="3456"/>
          </w:tcPr>
          <w:p>
            <w:r>
              <w:rPr>
                <w:sz w:val="18"/>
              </w:rPr>
            </w:r>
          </w:p>
        </w:tc>
        <w:tc>
          <w:tcPr>
            <w:tcW w:type="dxa" w:w="2448"/>
          </w:tcPr>
          <w:p>
            <w:r>
              <w:rPr>
                <w:sz w:val="18"/>
              </w:rPr>
            </w:r>
            <w:r>
              <w:rPr>
                <w:sz w:val="18"/>
              </w:rPr>
              <w:t>$8,640,000 (about 56% below the SLS minimum)</w:t>
            </w:r>
          </w:p>
        </w:tc>
      </w:tr>
      <w:tr>
        <w:tc>
          <w:tcPr>
            <w:tcW w:type="dxa" w:w="3456"/>
          </w:tcPr>
          <w:p>
            <w:r>
              <w:rPr>
                <w:sz w:val="18"/>
              </w:rPr>
            </w:r>
            <w:r>
              <w:rPr>
                <w:sz w:val="18"/>
              </w:rPr>
              <w:t>Agreement cap as % of $38.7M TCV</w:t>
            </w:r>
          </w:p>
        </w:tc>
        <w:tc>
          <w:tcPr>
            <w:tcW w:type="dxa" w:w="3456"/>
          </w:tcPr>
          <w:p>
            <w:r>
              <w:rPr>
                <w:sz w:val="18"/>
              </w:rPr>
            </w:r>
          </w:p>
        </w:tc>
        <w:tc>
          <w:tcPr>
            <w:tcW w:type="dxa" w:w="2448"/>
          </w:tcPr>
          <w:p>
            <w:r>
              <w:rPr>
                <w:sz w:val="18"/>
              </w:rPr>
            </w:r>
            <w:r>
              <w:rPr>
                <w:sz w:val="18"/>
              </w:rPr>
              <w:t>about 17.7%</w:t>
            </w:r>
          </w:p>
        </w:tc>
      </w:tr>
    </w:tbl>
    <w:p>
      <w:pPr>
        <w:spacing w:after="40"/>
      </w:pPr>
    </w:p>
    <w:p>
      <w:pPr>
        <w:pStyle w:val="Heading2"/>
      </w:pPr>
      <w:r>
        <w:t>A.4 Cost of a Convenience Exit</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016"/>
            <w:shd w:val="clear" w:color="auto" w:fill="1F3A5F"/>
          </w:tcPr>
          <w:p>
            <w:r/>
            <w:r>
              <w:rPr>
                <w:b/>
                <w:color w:val="FFFFFF"/>
                <w:sz w:val="18"/>
              </w:rPr>
              <w:t>Item</w:t>
            </w:r>
          </w:p>
        </w:tc>
        <w:tc>
          <w:tcPr>
            <w:tcW w:type="dxa" w:w="2304"/>
            <w:shd w:val="clear" w:color="auto" w:fill="1F3A5F"/>
          </w:tcPr>
          <w:p>
            <w:r/>
            <w:r>
              <w:rPr>
                <w:b/>
                <w:color w:val="FFFFFF"/>
                <w:sz w:val="18"/>
              </w:rPr>
              <w:t>SLS §10.2</w:t>
            </w:r>
          </w:p>
        </w:tc>
        <w:tc>
          <w:tcPr>
            <w:tcW w:type="dxa" w:w="5040"/>
            <w:shd w:val="clear" w:color="auto" w:fill="1F3A5F"/>
          </w:tcPr>
          <w:p>
            <w:r/>
            <w:r>
              <w:rPr>
                <w:b/>
                <w:color w:val="FFFFFF"/>
                <w:sz w:val="18"/>
              </w:rPr>
              <w:t>Agreement §11.3</w:t>
            </w:r>
          </w:p>
        </w:tc>
      </w:tr>
      <w:tr>
        <w:tc>
          <w:tcPr>
            <w:tcW w:type="dxa" w:w="2016"/>
          </w:tcPr>
          <w:p>
            <w:r>
              <w:rPr>
                <w:sz w:val="18"/>
              </w:rPr>
            </w:r>
            <w:r>
              <w:rPr>
                <w:sz w:val="18"/>
              </w:rPr>
              <w:t>Notice period</w:t>
            </w:r>
          </w:p>
        </w:tc>
        <w:tc>
          <w:tcPr>
            <w:tcW w:type="dxa" w:w="2304"/>
          </w:tcPr>
          <w:p>
            <w:r>
              <w:rPr>
                <w:sz w:val="18"/>
              </w:rPr>
            </w:r>
            <w:r>
              <w:rPr>
                <w:sz w:val="18"/>
              </w:rPr>
              <w:t>90 days</w:t>
            </w:r>
          </w:p>
        </w:tc>
        <w:tc>
          <w:tcPr>
            <w:tcW w:type="dxa" w:w="5040"/>
          </w:tcPr>
          <w:p>
            <w:r>
              <w:rPr>
                <w:sz w:val="18"/>
              </w:rPr>
            </w:r>
            <w:r>
              <w:rPr>
                <w:sz w:val="18"/>
              </w:rPr>
              <w:t>180 days (about 2 quarterly installments, $3.42M, paid during notice)</w:t>
            </w:r>
          </w:p>
        </w:tc>
      </w:tr>
      <w:tr>
        <w:tc>
          <w:tcPr>
            <w:tcW w:type="dxa" w:w="2016"/>
          </w:tcPr>
          <w:p>
            <w:r>
              <w:rPr>
                <w:sz w:val="18"/>
              </w:rPr>
            </w:r>
            <w:r>
              <w:rPr>
                <w:sz w:val="18"/>
              </w:rPr>
              <w:t>Termination fee</w:t>
            </w:r>
          </w:p>
        </w:tc>
        <w:tc>
          <w:tcPr>
            <w:tcW w:type="dxa" w:w="2304"/>
          </w:tcPr>
          <w:p>
            <w:r>
              <w:rPr>
                <w:sz w:val="18"/>
              </w:rPr>
            </w:r>
            <w:r>
              <w:rPr>
                <w:sz w:val="18"/>
              </w:rPr>
              <w:t>None</w:t>
            </w:r>
          </w:p>
        </w:tc>
        <w:tc>
          <w:tcPr>
            <w:tcW w:type="dxa" w:w="5040"/>
          </w:tcPr>
          <w:p>
            <w:r>
              <w:rPr>
                <w:sz w:val="18"/>
              </w:rPr>
            </w:r>
            <w:r>
              <w:rPr>
                <w:sz w:val="18"/>
              </w:rPr>
              <w:t>Unpaid installments for the current contract year: up to $5.13M (3 × $1.71M) if termination takes effect just after a July 1 payment</w:t>
            </w:r>
          </w:p>
        </w:tc>
      </w:tr>
      <w:tr>
        <w:tc>
          <w:tcPr>
            <w:tcW w:type="dxa" w:w="2016"/>
          </w:tcPr>
          <w:p>
            <w:r>
              <w:rPr>
                <w:sz w:val="18"/>
              </w:rPr>
            </w:r>
            <w:r>
              <w:rPr>
                <w:sz w:val="18"/>
              </w:rPr>
              <w:t>Prepaid fees</w:t>
            </w:r>
          </w:p>
        </w:tc>
        <w:tc>
          <w:tcPr>
            <w:tcW w:type="dxa" w:w="2304"/>
          </w:tcPr>
          <w:p>
            <w:r>
              <w:rPr>
                <w:sz w:val="18"/>
              </w:rPr>
            </w:r>
            <w:r>
              <w:rPr>
                <w:sz w:val="18"/>
              </w:rPr>
              <w:t>Refunded pro rata</w:t>
            </w:r>
          </w:p>
        </w:tc>
        <w:tc>
          <w:tcPr>
            <w:tcW w:type="dxa" w:w="5040"/>
          </w:tcPr>
          <w:p>
            <w:r>
              <w:rPr>
                <w:sz w:val="18"/>
              </w:rPr>
            </w:r>
            <w:r>
              <w:rPr>
                <w:sz w:val="18"/>
              </w:rPr>
              <w:t>Non-refundable (§4.1)</w:t>
            </w:r>
          </w:p>
        </w:tc>
      </w:tr>
      <w:tr>
        <w:tc>
          <w:tcPr>
            <w:tcW w:type="dxa" w:w="2016"/>
          </w:tcPr>
          <w:p>
            <w:r>
              <w:rPr>
                <w:sz w:val="18"/>
              </w:rPr>
            </w:r>
            <w:r>
              <w:rPr>
                <w:sz w:val="18"/>
              </w:rPr>
              <w:t>Accrued service credits</w:t>
            </w:r>
          </w:p>
        </w:tc>
        <w:tc>
          <w:tcPr>
            <w:tcW w:type="dxa" w:w="2304"/>
          </w:tcPr>
          <w:p>
            <w:r>
              <w:rPr>
                <w:sz w:val="18"/>
              </w:rPr>
            </w:r>
            <w:r>
              <w:rPr>
                <w:sz w:val="18"/>
              </w:rPr>
              <w:t>Paid in cash within 30 days</w:t>
            </w:r>
          </w:p>
        </w:tc>
        <w:tc>
          <w:tcPr>
            <w:tcW w:type="dxa" w:w="5040"/>
          </w:tcPr>
          <w:p>
            <w:r>
              <w:rPr>
                <w:sz w:val="18"/>
              </w:rPr>
            </w:r>
            <w:r>
              <w:rPr>
                <w:sz w:val="18"/>
              </w:rPr>
              <w:t>Forfeited (Ex. C §C.4)</w:t>
            </w:r>
          </w:p>
        </w:tc>
      </w:tr>
    </w:tbl>
    <w:p>
      <w:pPr>
        <w:spacing w:after="4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Cloudvance ClinicalEdge MSA: Gap Analysis Against Meridian SLS v4.2 | Draft for client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