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sz w:val="18"/>
        </w:rPr>
        <w:t>PRIVILEGED &amp; CONFIDENTIAL — ATTORNEY-CLIENT COMMUNICATION / ATTORNEY WORK PRODUCT</w:t>
      </w:r>
    </w:p>
    <w:p>
      <w:pPr>
        <w:spacing w:after="240"/>
        <w:jc w:val="center"/>
      </w:pPr>
      <w:r>
        <w:rPr>
          <w:b/>
          <w:sz w:val="18"/>
        </w:rPr>
        <w:t>Subject to LOI Mutual NDA (Feb. 20, 2025) and Term Sheet § 16</w:t>
      </w:r>
    </w:p>
    <w:p>
      <w:pPr>
        <w:spacing w:after="40"/>
        <w:jc w:val="center"/>
      </w:pPr>
      <w:r>
        <w:rPr>
          <w:b/>
          <w:sz w:val="28"/>
        </w:rPr>
        <w:t>HARGROVE, PELLETIER &amp; SINGH LLP</w:t>
      </w:r>
    </w:p>
    <w:p>
      <w:pPr>
        <w:spacing w:after="240"/>
        <w:jc w:val="center"/>
      </w:pPr>
      <w:r>
        <w:rPr>
          <w:b/>
          <w:sz w:val="26"/>
        </w:rPr>
        <w:t>MEMORANDUM</w:t>
      </w:r>
    </w:p>
    <w:tbl>
      <w:tblPr>
        <w:tblStyle w:val="TableGrid"/>
        <w:tblW w:type="auto" w:w="0"/>
        <w:jc w:val="center"/>
        <w:tblLook w:firstColumn="1" w:firstRow="1" w:lastColumn="0" w:lastRow="0" w:noHBand="0" w:noVBand="1" w:val="04A0"/>
      </w:tblPr>
      <w:tblGrid>
        <w:gridCol w:w="4680"/>
        <w:gridCol w:w="4680"/>
      </w:tblGrid>
      <w:tr>
        <w:tc>
          <w:tcPr>
            <w:tcW w:type="dxa" w:w="1440"/>
            <w:shd w:val="clear" w:color="auto" w:fill="1F3A5F"/>
          </w:tcPr>
          <w:p>
            <w:r/>
            <w:r>
              <w:rPr>
                <w:b/>
                <w:color w:val="FFFFFF"/>
                <w:sz w:val="20"/>
              </w:rPr>
            </w:r>
          </w:p>
        </w:tc>
        <w:tc>
          <w:tcPr>
            <w:tcW w:type="dxa" w:w="7920"/>
            <w:shd w:val="clear" w:color="auto" w:fill="1F3A5F"/>
          </w:tcPr>
          <w:p>
            <w:r/>
            <w:r>
              <w:rPr>
                <w:b/>
                <w:color w:val="FFFFFF"/>
                <w:sz w:val="20"/>
              </w:rPr>
            </w:r>
          </w:p>
        </w:tc>
      </w:tr>
      <w:tr>
        <w:tc>
          <w:tcPr>
            <w:tcW w:type="dxa" w:w="1440"/>
          </w:tcPr>
          <w:p>
            <w:r/>
            <w:r>
              <w:rPr>
                <w:b/>
                <w:sz w:val="20"/>
              </w:rPr>
              <w:t>To:</w:t>
            </w:r>
          </w:p>
        </w:tc>
        <w:tc>
          <w:tcPr>
            <w:tcW w:type="dxa" w:w="7920"/>
          </w:tcPr>
          <w:p>
            <w:r/>
            <w:r>
              <w:rPr>
                <w:sz w:val="20"/>
              </w:rPr>
              <w:t>Elaine Whitford, General Counsel, Atherton Medical Systems, Inc. (for the Board of Directors meeting of April 22, 2025)</w:t>
            </w:r>
          </w:p>
        </w:tc>
      </w:tr>
      <w:tr>
        <w:tc>
          <w:tcPr>
            <w:tcW w:type="dxa" w:w="1440"/>
          </w:tcPr>
          <w:p>
            <w:r/>
            <w:r>
              <w:rPr>
                <w:b/>
                <w:sz w:val="20"/>
              </w:rPr>
              <w:t>From:</w:t>
            </w:r>
          </w:p>
        </w:tc>
        <w:tc>
          <w:tcPr>
            <w:tcW w:type="dxa" w:w="7920"/>
          </w:tcPr>
          <w:p>
            <w:r/>
            <w:r>
              <w:rPr>
                <w:sz w:val="20"/>
              </w:rPr>
              <w:t>Catherine Pelletier and David Moncrieff, Hargrove, Pelletier &amp; Singh LLP</w:t>
            </w:r>
          </w:p>
        </w:tc>
      </w:tr>
      <w:tr>
        <w:tc>
          <w:tcPr>
            <w:tcW w:type="dxa" w:w="1440"/>
          </w:tcPr>
          <w:p>
            <w:r/>
            <w:r>
              <w:rPr>
                <w:b/>
                <w:sz w:val="20"/>
              </w:rPr>
              <w:t>Date:</w:t>
            </w:r>
          </w:p>
        </w:tc>
        <w:tc>
          <w:tcPr>
            <w:tcW w:type="dxa" w:w="7920"/>
          </w:tcPr>
          <w:p>
            <w:r/>
            <w:r>
              <w:rPr>
                <w:sz w:val="20"/>
              </w:rPr>
              <w:t>April 14, 2025</w:t>
            </w:r>
          </w:p>
        </w:tc>
      </w:tr>
      <w:tr>
        <w:tc>
          <w:tcPr>
            <w:tcW w:type="dxa" w:w="1440"/>
          </w:tcPr>
          <w:p>
            <w:r/>
            <w:r>
              <w:rPr>
                <w:b/>
                <w:sz w:val="20"/>
              </w:rPr>
              <w:t>Re:</w:t>
            </w:r>
          </w:p>
        </w:tc>
        <w:tc>
          <w:tcPr>
            <w:tcW w:type="dxa" w:w="7920"/>
          </w:tcPr>
          <w:p>
            <w:r/>
            <w:r>
              <w:rPr>
                <w:sz w:val="20"/>
              </w:rPr>
              <w:t>Kaelen Health Corporation — Proposed Exclusive License of ClearSight AI: Issue-Identification Memorandum on the Term Sheet and Technical Specifications Side Letter (each dated March 28, 2025)</w:t>
            </w:r>
          </w:p>
        </w:tc>
      </w:tr>
    </w:tbl>
    <w:p>
      <w:pPr>
        <w:spacing w:after="40"/>
      </w:pPr>
    </w:p>
    <w:p>
      <w:pPr>
        <w:pStyle w:val="Heading1"/>
      </w:pPr>
      <w:r>
        <w:t>I. Executive Summary and Bottom Line</w:t>
      </w:r>
    </w:p>
    <w:p>
      <w:pPr>
        <w:spacing w:after="120"/>
      </w:pPr>
      <w:r>
        <w:t xml:space="preserve">Kaelen’s proposal (7-year exclusive license across 43 hospitals in 9 states; stated $45.0 million minimum commitment) is commercially significant — the $45.0 million total is roughly 2.4x Atherton’s current combined ARR of $18.4 million, and the $6.8 million annual fee alone would add about 37% to existing ARR — and is supported by a successful pilot. </w:t>
      </w:r>
      <w:r>
        <w:rPr>
          <w:b/>
        </w:rPr>
        <w:t>However, the Term Sheet and Side Letter are not signable in their current form.</w:t>
      </w:r>
      <w:r>
        <w:t xml:space="preserve"> Our review against the Voss Data License Agreement (Jan. 15, 2022), the Investors’ Rights Agreement (Apr. 12, 2024), the Pinnacle Software License Agreement (Mar. 1, 2023), and the ClearSight AI product overview identified </w:t>
      </w:r>
      <w:r>
        <w:rPr>
          <w:b/>
        </w:rPr>
        <w:t>nine Critical issues</w:t>
      </w:r>
      <w:r>
        <w:t>, several of which are gating items that would place Atherton in breach of existing agreements on Day 1 if not resolved before signing.</w:t>
      </w:r>
    </w:p>
    <w:p>
      <w:pPr>
        <w:spacing w:after="120"/>
      </w:pPr>
      <w:r>
        <w:rPr>
          <w:b/>
        </w:rPr>
        <w:t>The five points the Board most needs to understand:</w:t>
      </w:r>
    </w:p>
    <w:p>
      <w:pPr>
        <w:pStyle w:val="ListNumber"/>
        <w:spacing w:after="60"/>
      </w:pPr>
      <w:r>
        <w:rPr>
          <w:b/>
        </w:rPr>
        <w:t>Two third-party consents are legally required before Atherton can sign, and neither is in hand.</w:t>
      </w:r>
      <w:r>
        <w:t xml:space="preserve"> (a) Ridgeline’s Lead Investor Director (Samir Okafor) must give prior written consent, in his sole discretion, under IRA § 7.4 (7-year exclusive term exceeds the 3-year threshold), and the deal separately requires Board approval with his affirmative vote under IRA § 7.3 (consideration exceeds $20 million). (b) </w:t>
      </w:r>
      <w:r>
        <w:rPr>
          <w:b/>
        </w:rPr>
        <w:t>Voss Biodata Partners’ prior written consent is required under DLA § 4.3(b)</w:t>
      </w:r>
      <w:r>
        <w:t xml:space="preserve"> because Kaelen operates 43 Hospital Facilities (threshold: 25), and the request must be submitted at least 60 days before access is granted — i.e., </w:t>
      </w:r>
      <w:r>
        <w:rPr>
          <w:b/>
        </w:rPr>
        <w:t>by May 2, 2025</w:t>
      </w:r>
      <w:r>
        <w:t xml:space="preserve"> for a July 1, 2025 Effective Date. The GC instructions did not flag the Voss consent; it is, in our view, the most time-critical item. We also need to confirm whether Voss consent was obtained for the 2024 Kaelen pilot, which appears to have triggered the same threshold.</w:t>
      </w:r>
    </w:p>
    <w:p>
      <w:pPr>
        <w:pStyle w:val="ListNumber"/>
        <w:spacing w:after="60"/>
      </w:pPr>
      <w:r>
        <w:rPr>
          <w:b/>
        </w:rPr>
        <w:t>The source-code escrow (TS § 9) would hand Kaelen Atherton’s crown jewels and likely breach the Voss DLA.</w:t>
      </w:r>
      <w:r>
        <w:t xml:space="preserve"> It requires deposit of production model weights and training pipelines — which Atherton classifies as its highest-tier trade secrets and which the DLA treats as a Derivative Model and as part of Atherton’s use of the Licensed Data — and releases them on triggers as broad as any uncured material breach (which, via Side Letter § 5.2, includes the SOC 2 Type II gap).</w:t>
      </w:r>
    </w:p>
    <w:p>
      <w:pPr>
        <w:pStyle w:val="ListNumber"/>
        <w:spacing w:after="60"/>
      </w:pPr>
      <w:r>
        <w:rPr>
          <w:b/>
        </w:rPr>
        <w:t>The Voss data license ends long before the Kaelen obligations do.</w:t>
      </w:r>
      <w:r>
        <w:t xml:space="preserve"> The DLA expires December 31, 2027 (at the latest December 31, 2030 if renewed), after which Atherton cannot retrain or update any model using Voss data. Kaelen’s Initial Term runs to June 30, 2032 (up to June 30, 2038 with auto-renewals) and requires quarterly model updates and an FDA-clearance maintenance warranty for the entire period.</w:t>
      </w:r>
    </w:p>
    <w:p>
      <w:pPr>
        <w:pStyle w:val="ListNumber"/>
        <w:spacing w:after="60"/>
      </w:pPr>
      <w:r>
        <w:rPr>
          <w:b/>
        </w:rPr>
        <w:t>Several terms are inconsistent with ClearSight AI’s FDA 510(k) clearance and with Atherton’s actual compliance posture.</w:t>
      </w:r>
      <w:r>
        <w:t xml:space="preserve"> The Side Letter positions ClearSight AI as a “primary diagnostic screening tool” and “initial diagnostic screening layer” for all studies, whereas K223847 clears a computer-aided detection (CADe) tool that assists radiologists and is not cleared for autonomous diagnosis. Separately, Atherton holds only a SOC 2 Type I report (Greystone, Aug. 10, 2024); the Side Letter makes delivery of a Type II report by the Effective Date a requirement and any lapse a material breach.</w:t>
      </w:r>
    </w:p>
    <w:p>
      <w:pPr>
        <w:pStyle w:val="ListNumber"/>
        <w:spacing w:after="60"/>
      </w:pPr>
      <w:r>
        <w:rPr>
          <w:b/>
        </w:rPr>
        <w:t>The $45.0 million “minimum commitment” is not actually committed, while Atherton’s concessions are long-dated.</w:t>
      </w:r>
      <w:r>
        <w:t xml:space="preserve"> Kaelen can exit without penalty on 30 days’ notice if a 92% concordance threshold (measured on a Kaelen-selected dataset against Kaelen radiologists, under a protocol not yet agreed) is missed by January 1, 2027; the Floor Payment mechanism could reduce Years 3–7 fees to 75%; and a 30-mile facility-by-facility radius restriction, MFL clause, and perpetual royalty-free license to all Improvements would survive or bind Atherton for up to 13 years. On a per-hospital basis, Kaelen would pay approximately $158,000 per hospital per year (Years 2–7 base) versus roughly $497,000 per hospital per year implied by existing licensee ARR.</w:t>
      </w:r>
    </w:p>
    <w:p>
      <w:pPr>
        <w:spacing w:after="120"/>
      </w:pPr>
      <w:r>
        <w:rPr>
          <w:b/>
        </w:rPr>
        <w:t>Recommendation.</w:t>
      </w:r>
      <w:r>
        <w:t xml:space="preserve"> Proceed with the transaction, but (i) immediately launch the Ridgeline and Voss consent processes (after obtaining Kaelen’s written consent to disclosure under TS § 16), (ii) treat the April 22 meeting as an informational/preliminary Board session rather than the IRA § 7.4 approval meeting unless the § 7.4 package was delivered to Mr. Okafor on or before April 1, 2025, (iii) deliver a comprehensive Atherton mark-up of the Term Sheet and Side Letter reflecting the positions in Parts V and VII, and (iv) seek a short extension of the LOI negotiation-exclusivity period (expiring May 21, 2025) and, if needed, of the June 30, 2025 signing target to accommodate the consent timelines. Decisions requested of the Board are set out in Part VIII.</w:t>
      </w:r>
    </w:p>
    <w:p>
      <w:pPr>
        <w:pStyle w:val="Heading1"/>
      </w:pPr>
      <w:r>
        <w:t>II. Scope, Documents Reviewed, and Key Assumptions</w:t>
      </w:r>
    </w:p>
    <w:p>
      <w:pPr>
        <w:spacing w:after="120"/>
      </w:pPr>
      <w:r>
        <w:t>We reviewed: (1) Kaelen Proposed Term Sheet dated March 28, 2025 (“TS”); (2) Technical Specifications Side Letter dated March 28, 2025 (“SL”); (3) excerpts of the Voss Biodata Partners LLC Data License Agreement effective January 15, 2022 (“DLA”); (4) Section 7 of the Investors’ Rights Agreement dated April 12, 2024 (“IRA”); (5) excerpted provisions of the Pinnacle Health Partners Software License Agreement dated March 1, 2023; (6) the ClearSight AI Product Overview deck (Q1 2025); and (7) your April 1, 2025 instruction email.</w:t>
      </w:r>
    </w:p>
    <w:p>
      <w:pPr>
        <w:spacing w:after="120"/>
      </w:pPr>
      <w:r>
        <w:rPr>
          <w:b/>
        </w:rPr>
        <w:t>Limitations.</w:t>
      </w:r>
      <w:r>
        <w:t xml:space="preserve"> The DLA, IRA and Pinnacle materials are excerpts; omitted provisions (e.g., DLA §§ 3, 5–7, 9–10 and Exhibits A–D; IRA § 1.8 “Core IP Assets” and § 3.2; Pinnacle Exhibits and Schedule 1) could alter our conclusions. We have </w:t>
      </w:r>
      <w:r>
        <w:rPr>
          <w:b/>
        </w:rPr>
        <w:t>not</w:t>
      </w:r>
      <w:r>
        <w:t xml:space="preserve"> reviewed the SRMA or GLCN license agreements, the LOI, the pilot agreement, the Board market-segmentation analysis referenced in IRA § 7.4, or the K223847 510(k) summary/labeling. Our observations on FDA, HIPAA, state AI laws and antitrust are issue-spotting only and should be confirmed with regulatory specialists before the definitive agreement is finalized. Business-day calculations assume a Monday–Friday week without holiday adjustments.</w:t>
      </w:r>
    </w:p>
    <w:p>
      <w:pPr>
        <w:pStyle w:val="Heading1"/>
      </w:pPr>
      <w:r>
        <w:t>III. Key Proposed Terms at a Glance</w:t>
      </w:r>
    </w:p>
    <w:tbl>
      <w:tblPr>
        <w:tblStyle w:val="TableGrid"/>
        <w:tblW w:type="auto" w:w="0"/>
        <w:jc w:val="center"/>
        <w:tblLook w:firstColumn="1" w:firstRow="1" w:lastColumn="0" w:lastRow="0" w:noHBand="0" w:noVBand="1" w:val="04A0"/>
      </w:tblPr>
      <w:tblGrid>
        <w:gridCol w:w="3120"/>
        <w:gridCol w:w="3120"/>
        <w:gridCol w:w="3120"/>
      </w:tblGrid>
      <w:tr>
        <w:tc>
          <w:tcPr>
            <w:tcW w:type="dxa" w:w="1872"/>
            <w:shd w:val="clear" w:color="auto" w:fill="1F3A5F"/>
          </w:tcPr>
          <w:p>
            <w:r/>
            <w:r>
              <w:rPr>
                <w:b/>
                <w:color w:val="FFFFFF"/>
                <w:sz w:val="18"/>
              </w:rPr>
              <w:t>Term</w:t>
            </w:r>
          </w:p>
        </w:tc>
        <w:tc>
          <w:tcPr>
            <w:tcW w:type="dxa" w:w="3888"/>
            <w:shd w:val="clear" w:color="auto" w:fill="1F3A5F"/>
          </w:tcPr>
          <w:p>
            <w:r/>
            <w:r>
              <w:rPr>
                <w:b/>
                <w:color w:val="FFFFFF"/>
                <w:sz w:val="18"/>
              </w:rPr>
              <w:t>Kaelen Proposal</w:t>
            </w:r>
          </w:p>
        </w:tc>
        <w:tc>
          <w:tcPr>
            <w:tcW w:type="dxa" w:w="3600"/>
            <w:shd w:val="clear" w:color="auto" w:fill="1F3A5F"/>
          </w:tcPr>
          <w:p>
            <w:r/>
            <w:r>
              <w:rPr>
                <w:b/>
                <w:color w:val="FFFFFF"/>
                <w:sz w:val="18"/>
              </w:rPr>
              <w:t>Initial Observation</w:t>
            </w:r>
          </w:p>
        </w:tc>
      </w:tr>
      <w:tr>
        <w:tc>
          <w:tcPr>
            <w:tcW w:type="dxa" w:w="1872"/>
          </w:tcPr>
          <w:p>
            <w:r/>
            <w:r>
              <w:rPr>
                <w:sz w:val="18"/>
              </w:rPr>
              <w:t>Grant (TS § 2.1)</w:t>
            </w:r>
          </w:p>
        </w:tc>
        <w:tc>
          <w:tcPr>
            <w:tcW w:type="dxa" w:w="3888"/>
          </w:tcPr>
          <w:p>
            <w:r/>
            <w:r>
              <w:rPr>
                <w:sz w:val="18"/>
              </w:rPr>
              <w:t>Exclusive license to use/deploy ClearSight AI within the 43-hospital Kaelen Network for CT, MRI, X-ray</w:t>
            </w:r>
          </w:p>
        </w:tc>
        <w:tc>
          <w:tcPr>
            <w:tcW w:type="dxa" w:w="3600"/>
          </w:tcPr>
          <w:p>
            <w:r/>
            <w:r>
              <w:rPr>
                <w:sz w:val="18"/>
              </w:rPr>
              <w:t>Field limited to CT/MRI/X-ray; “substantially similar” product extension in § 3.1 broadens scope</w:t>
            </w:r>
          </w:p>
        </w:tc>
      </w:tr>
      <w:tr>
        <w:tc>
          <w:tcPr>
            <w:tcW w:type="dxa" w:w="1872"/>
          </w:tcPr>
          <w:p>
            <w:r/>
            <w:r>
              <w:rPr>
                <w:sz w:val="18"/>
              </w:rPr>
              <w:t>Exclusivity (TS § 3)</w:t>
            </w:r>
          </w:p>
        </w:tc>
        <w:tc>
          <w:tcPr>
            <w:tcW w:type="dxa" w:w="3888"/>
          </w:tcPr>
          <w:p>
            <w:r/>
            <w:r>
              <w:rPr>
                <w:sz w:val="18"/>
              </w:rPr>
              <w:t>Network exclusivity + 30-mile radius around every Kaelen facility, facility-by-facility, through all Renewal Periods</w:t>
            </w:r>
          </w:p>
        </w:tc>
        <w:tc>
          <w:tcPr>
            <w:tcW w:type="dxa" w:w="3600"/>
          </w:tcPr>
          <w:p>
            <w:r/>
            <w:r>
              <w:rPr>
                <w:sz w:val="18"/>
              </w:rPr>
              <w:t>Potentially forecloses large parts of the Mid-Atlantic/Southeast, incl. Atherton’s home market; not tied to performance</w:t>
            </w:r>
          </w:p>
        </w:tc>
      </w:tr>
      <w:tr>
        <w:tc>
          <w:tcPr>
            <w:tcW w:type="dxa" w:w="1872"/>
          </w:tcPr>
          <w:p>
            <w:r/>
            <w:r>
              <w:rPr>
                <w:sz w:val="18"/>
              </w:rPr>
              <w:t>Term (TS § 4)</w:t>
            </w:r>
          </w:p>
        </w:tc>
        <w:tc>
          <w:tcPr>
            <w:tcW w:type="dxa" w:w="3888"/>
          </w:tcPr>
          <w:p>
            <w:r/>
            <w:r>
              <w:rPr>
                <w:sz w:val="18"/>
              </w:rPr>
              <w:t>7 years (7/1/2025–6/30/2032) + two automatic 3-year renewals (to 6/30/2038)</w:t>
            </w:r>
          </w:p>
        </w:tc>
        <w:tc>
          <w:tcPr>
            <w:tcW w:type="dxa" w:w="3600"/>
          </w:tcPr>
          <w:p>
            <w:r/>
            <w:r>
              <w:rPr>
                <w:sz w:val="18"/>
              </w:rPr>
              <w:t>Exceeds IRA § 7.4 3-year threshold; extends well past Voss DLA (12/31/2027; max 12/31/2030)</w:t>
            </w:r>
          </w:p>
        </w:tc>
      </w:tr>
      <w:tr>
        <w:tc>
          <w:tcPr>
            <w:tcW w:type="dxa" w:w="1872"/>
          </w:tcPr>
          <w:p>
            <w:r/>
            <w:r>
              <w:rPr>
                <w:sz w:val="18"/>
              </w:rPr>
              <w:t>Fees (TS § 6)</w:t>
            </w:r>
          </w:p>
        </w:tc>
        <w:tc>
          <w:tcPr>
            <w:tcW w:type="dxa" w:w="3888"/>
          </w:tcPr>
          <w:p>
            <w:r/>
            <w:r>
              <w:rPr>
                <w:sz w:val="18"/>
              </w:rPr>
              <w:t>Y1 $4.2M; Y2–7 $6.8M/yr; CPI-U escalation capped at 4%; quarterly in arrears, net-60</w:t>
            </w:r>
          </w:p>
        </w:tc>
        <w:tc>
          <w:tcPr>
            <w:tcW w:type="dxa" w:w="3600"/>
          </w:tcPr>
          <w:p>
            <w:r/>
            <w:r>
              <w:rPr>
                <w:sz w:val="18"/>
              </w:rPr>
              <w:t>Stated $45.0M minimum; up to ~$49.3–$51.1M with maximum CPI; no CPI floor; heavy Y1 cash lag</w:t>
            </w:r>
          </w:p>
        </w:tc>
      </w:tr>
      <w:tr>
        <w:tc>
          <w:tcPr>
            <w:tcW w:type="dxa" w:w="1872"/>
          </w:tcPr>
          <w:p>
            <w:r/>
            <w:r>
              <w:rPr>
                <w:sz w:val="18"/>
              </w:rPr>
              <w:t>Usage / Floor (TS § 6.7)</w:t>
            </w:r>
          </w:p>
        </w:tc>
        <w:tc>
          <w:tcPr>
            <w:tcW w:type="dxa" w:w="3888"/>
          </w:tcPr>
          <w:p>
            <w:r/>
            <w:r>
              <w:rPr>
                <w:sz w:val="18"/>
              </w:rPr>
              <w:t>2.5M images/yr from Y3; if missed, Floor Payment = 75% of Annual License Fee ($5.1M base)</w:t>
            </w:r>
          </w:p>
        </w:tc>
        <w:tc>
          <w:tcPr>
            <w:tcW w:type="dxa" w:w="3600"/>
          </w:tcPr>
          <w:p>
            <w:r/>
            <w:r>
              <w:rPr>
                <w:sz w:val="18"/>
              </w:rPr>
              <w:t>Ambiguous whether Floor replaces the fee; worst case Initial Term revenue ~$36.5M</w:t>
            </w:r>
          </w:p>
        </w:tc>
      </w:tr>
      <w:tr>
        <w:tc>
          <w:tcPr>
            <w:tcW w:type="dxa" w:w="1872"/>
          </w:tcPr>
          <w:p>
            <w:r/>
            <w:r>
              <w:rPr>
                <w:sz w:val="18"/>
              </w:rPr>
              <w:t>MFL (TS § 6.8)</w:t>
            </w:r>
          </w:p>
        </w:tc>
        <w:tc>
          <w:tcPr>
            <w:tcW w:type="dxa" w:w="3888"/>
          </w:tcPr>
          <w:p>
            <w:r/>
            <w:r>
              <w:rPr>
                <w:sz w:val="18"/>
              </w:rPr>
              <w:t>Retroactive repricing if any third party pays &gt;15% less per image</w:t>
            </w:r>
          </w:p>
        </w:tc>
        <w:tc>
          <w:tcPr>
            <w:tcW w:type="dxa" w:w="3600"/>
          </w:tcPr>
          <w:p>
            <w:r/>
            <w:r>
              <w:rPr>
                <w:sz w:val="18"/>
              </w:rPr>
              <w:t>Retroactive, uncapped, no comparability carve-outs</w:t>
            </w:r>
          </w:p>
        </w:tc>
      </w:tr>
      <w:tr>
        <w:tc>
          <w:tcPr>
            <w:tcW w:type="dxa" w:w="1872"/>
          </w:tcPr>
          <w:p>
            <w:r/>
            <w:r>
              <w:rPr>
                <w:sz w:val="18"/>
              </w:rPr>
              <w:t>Performance (TS § 5; SL § 2.2)</w:t>
            </w:r>
          </w:p>
        </w:tc>
        <w:tc>
          <w:tcPr>
            <w:tcW w:type="dxa" w:w="3888"/>
          </w:tcPr>
          <w:p>
            <w:r/>
            <w:r>
              <w:rPr>
                <w:sz w:val="18"/>
              </w:rPr>
              <w:t>≥92% concordance on 10,000 images by 1/1/2027; Kaelen may terminate on 30 days’ notice</w:t>
            </w:r>
          </w:p>
        </w:tc>
        <w:tc>
          <w:tcPr>
            <w:tcW w:type="dxa" w:w="3600"/>
          </w:tcPr>
          <w:p>
            <w:r/>
            <w:r>
              <w:rPr>
                <w:sz w:val="18"/>
              </w:rPr>
              <w:t>Kaelen controls dataset and ground truth; protocol not agreed; no cure</w:t>
            </w:r>
          </w:p>
        </w:tc>
      </w:tr>
      <w:tr>
        <w:tc>
          <w:tcPr>
            <w:tcW w:type="dxa" w:w="1872"/>
          </w:tcPr>
          <w:p>
            <w:r/>
            <w:r>
              <w:rPr>
                <w:sz w:val="18"/>
              </w:rPr>
              <w:t>IP (TS § 7)</w:t>
            </w:r>
          </w:p>
        </w:tc>
        <w:tc>
          <w:tcPr>
            <w:tcW w:type="dxa" w:w="3888"/>
          </w:tcPr>
          <w:p>
            <w:r/>
            <w:r>
              <w:rPr>
                <w:sz w:val="18"/>
              </w:rPr>
              <w:t>Atherton owns all Improvements by either party; Kaelen gets perpetual, royalty-free license to Improvements surviving termination</w:t>
            </w:r>
          </w:p>
        </w:tc>
        <w:tc>
          <w:tcPr>
            <w:tcW w:type="dxa" w:w="3600"/>
          </w:tcPr>
          <w:p>
            <w:r/>
            <w:r>
              <w:rPr>
                <w:sz w:val="18"/>
              </w:rPr>
              <w:t>Ownership favorable; survival of license to Atherton’s own updates is a material leak</w:t>
            </w:r>
          </w:p>
        </w:tc>
      </w:tr>
      <w:tr>
        <w:tc>
          <w:tcPr>
            <w:tcW w:type="dxa" w:w="1872"/>
          </w:tcPr>
          <w:p>
            <w:r/>
            <w:r>
              <w:rPr>
                <w:sz w:val="18"/>
              </w:rPr>
              <w:t>Data (TS § 8)</w:t>
            </w:r>
          </w:p>
        </w:tc>
        <w:tc>
          <w:tcPr>
            <w:tcW w:type="dxa" w:w="3888"/>
          </w:tcPr>
          <w:p>
            <w:r/>
            <w:r>
              <w:rPr>
                <w:sz w:val="18"/>
              </w:rPr>
              <w:t>Kaelen owns Kaelen Data; Atherton gets perpetual, irrevocable license to De-Identified Kaelen Data incl. commercialization</w:t>
            </w:r>
          </w:p>
        </w:tc>
        <w:tc>
          <w:tcPr>
            <w:tcW w:type="dxa" w:w="3600"/>
          </w:tcPr>
          <w:p>
            <w:r/>
            <w:r>
              <w:rPr>
                <w:sz w:val="18"/>
              </w:rPr>
              <w:t>Valuable; must be supported by BAA and de-identification standard; segregate from Voss data</w:t>
            </w:r>
          </w:p>
        </w:tc>
      </w:tr>
      <w:tr>
        <w:tc>
          <w:tcPr>
            <w:tcW w:type="dxa" w:w="1872"/>
          </w:tcPr>
          <w:p>
            <w:r/>
            <w:r>
              <w:rPr>
                <w:sz w:val="18"/>
              </w:rPr>
              <w:t>Escrow (TS § 9)</w:t>
            </w:r>
          </w:p>
        </w:tc>
        <w:tc>
          <w:tcPr>
            <w:tcW w:type="dxa" w:w="3888"/>
          </w:tcPr>
          <w:p>
            <w:r/>
            <w:r>
              <w:rPr>
                <w:sz w:val="18"/>
              </w:rPr>
              <w:t>Source code, production model weights, training pipelines and build docs; release on insolvency, uncured breach (60 days), or 12-month development cessation</w:t>
            </w:r>
          </w:p>
        </w:tc>
        <w:tc>
          <w:tcPr>
            <w:tcW w:type="dxa" w:w="3600"/>
          </w:tcPr>
          <w:p>
            <w:r/>
            <w:r>
              <w:rPr>
                <w:sz w:val="18"/>
              </w:rPr>
              <w:t>Conflicts with Voss DLA and Atherton trade-secret policy; triggers too broad</w:t>
            </w:r>
          </w:p>
        </w:tc>
      </w:tr>
      <w:tr>
        <w:tc>
          <w:tcPr>
            <w:tcW w:type="dxa" w:w="1872"/>
          </w:tcPr>
          <w:p>
            <w:r/>
            <w:r>
              <w:rPr>
                <w:sz w:val="18"/>
              </w:rPr>
              <w:t>Regulatory (TS § 10; SL §§ 5, 7)</w:t>
            </w:r>
          </w:p>
        </w:tc>
        <w:tc>
          <w:tcPr>
            <w:tcW w:type="dxa" w:w="3888"/>
          </w:tcPr>
          <w:p>
            <w:r/>
            <w:r>
              <w:rPr>
                <w:sz w:val="18"/>
              </w:rPr>
              <w:t>FDA 510(k) K223847 maintained through all Renewal Periods; immediate termination on loss/limitation; HIPAA; SOC 2 Type II throughout</w:t>
            </w:r>
          </w:p>
        </w:tc>
        <w:tc>
          <w:tcPr>
            <w:tcW w:type="dxa" w:w="3600"/>
          </w:tcPr>
          <w:p>
            <w:r/>
            <w:r>
              <w:rPr>
                <w:sz w:val="18"/>
              </w:rPr>
              <w:t>SOC 2 Type II not available until ~Q3 2025; intended-use mismatch</w:t>
            </w:r>
          </w:p>
        </w:tc>
      </w:tr>
      <w:tr>
        <w:tc>
          <w:tcPr>
            <w:tcW w:type="dxa" w:w="1872"/>
          </w:tcPr>
          <w:p>
            <w:r/>
            <w:r>
              <w:rPr>
                <w:sz w:val="18"/>
              </w:rPr>
              <w:t>SLA (SL § 3)</w:t>
            </w:r>
          </w:p>
        </w:tc>
        <w:tc>
          <w:tcPr>
            <w:tcW w:type="dxa" w:w="3888"/>
          </w:tcPr>
          <w:p>
            <w:r/>
            <w:r>
              <w:rPr>
                <w:sz w:val="18"/>
              </w:rPr>
              <w:t>99.95% monthly uptime per site; 10% per-site credit; site termination after 6 consecutive failing months</w:t>
            </w:r>
          </w:p>
        </w:tc>
        <w:tc>
          <w:tcPr>
            <w:tcW w:type="dxa" w:w="3600"/>
          </w:tcPr>
          <w:p>
            <w:r/>
            <w:r>
              <w:rPr>
                <w:sz w:val="18"/>
              </w:rPr>
              <w:t>Hosted on Kaelen infrastructure Atherton does not control</w:t>
            </w:r>
          </w:p>
        </w:tc>
      </w:tr>
      <w:tr>
        <w:tc>
          <w:tcPr>
            <w:tcW w:type="dxa" w:w="1872"/>
          </w:tcPr>
          <w:p>
            <w:r/>
            <w:r>
              <w:rPr>
                <w:sz w:val="18"/>
              </w:rPr>
              <w:t>Liability (TS § 14.3)</w:t>
            </w:r>
          </w:p>
        </w:tc>
        <w:tc>
          <w:tcPr>
            <w:tcW w:type="dxa" w:w="3888"/>
          </w:tcPr>
          <w:p>
            <w:r/>
            <w:r>
              <w:rPr>
                <w:sz w:val="18"/>
              </w:rPr>
              <w:t>Mutual consequential-damages exclusion; Atherton cap = 12 months’ fees</w:t>
            </w:r>
          </w:p>
        </w:tc>
        <w:tc>
          <w:tcPr>
            <w:tcW w:type="dxa" w:w="3600"/>
          </w:tcPr>
          <w:p>
            <w:r/>
            <w:r>
              <w:rPr>
                <w:sz w:val="18"/>
              </w:rPr>
              <w:t>Kaelen’s liability uncapped; indemnity carve-outs undefined</w:t>
            </w:r>
          </w:p>
        </w:tc>
      </w:tr>
      <w:tr>
        <w:tc>
          <w:tcPr>
            <w:tcW w:type="dxa" w:w="1872"/>
          </w:tcPr>
          <w:p>
            <w:r/>
            <w:r>
              <w:rPr>
                <w:sz w:val="18"/>
              </w:rPr>
              <w:t>Law / Disputes (TS § 18)</w:t>
            </w:r>
          </w:p>
        </w:tc>
        <w:tc>
          <w:tcPr>
            <w:tcW w:type="dxa" w:w="3888"/>
          </w:tcPr>
          <w:p>
            <w:r/>
            <w:r>
              <w:rPr>
                <w:sz w:val="18"/>
              </w:rPr>
              <w:t>Maryland law; AAA arbitration in Baltimore; Kaelen may assign to successor without consent</w:t>
            </w:r>
          </w:p>
        </w:tc>
        <w:tc>
          <w:tcPr>
            <w:tcW w:type="dxa" w:w="3600"/>
          </w:tcPr>
          <w:p>
            <w:r/>
            <w:r>
              <w:rPr>
                <w:sz w:val="18"/>
              </w:rPr>
              <w:t>Home forum for Kaelen; assignment asymmetry</w:t>
            </w:r>
          </w:p>
        </w:tc>
      </w:tr>
      <w:tr>
        <w:tc>
          <w:tcPr>
            <w:tcW w:type="dxa" w:w="1872"/>
          </w:tcPr>
          <w:p>
            <w:r/>
            <w:r>
              <w:rPr>
                <w:sz w:val="18"/>
              </w:rPr>
              <w:t>Binding terms (TS §§ 16, 17, 19)</w:t>
            </w:r>
          </w:p>
        </w:tc>
        <w:tc>
          <w:tcPr>
            <w:tcW w:type="dxa" w:w="3888"/>
          </w:tcPr>
          <w:p>
            <w:r/>
            <w:r>
              <w:rPr>
                <w:sz w:val="18"/>
              </w:rPr>
              <w:t>Only Confidentiality and Negotiation Exclusivity (to May 21, 2025) are binding</w:t>
            </w:r>
          </w:p>
        </w:tc>
        <w:tc>
          <w:tcPr>
            <w:tcW w:type="dxa" w:w="3600"/>
          </w:tcPr>
          <w:p>
            <w:r/>
            <w:r>
              <w:rPr>
                <w:sz w:val="18"/>
              </w:rPr>
              <w:t>§ 16 must be carved out to permit Ridgeline and Voss disclosures</w:t>
            </w:r>
          </w:p>
        </w:tc>
      </w:tr>
    </w:tbl>
    <w:p>
      <w:pPr>
        <w:spacing w:after="40"/>
      </w:pPr>
    </w:p>
    <w:p>
      <w:pPr>
        <w:pStyle w:val="Heading1"/>
      </w:pPr>
      <w:r>
        <w:t>IV. Issues Matrix (Prioritized by Severity)</w:t>
      </w:r>
    </w:p>
    <w:p>
      <w:pPr>
        <w:spacing w:after="120"/>
      </w:pPr>
      <w:r>
        <w:rPr>
          <w:sz w:val="20"/>
        </w:rPr>
        <w:t xml:space="preserve">Severity reflects the combination of likelihood and impact on Atherton: </w:t>
      </w:r>
      <w:r>
        <w:rPr>
          <w:b/>
          <w:sz w:val="20"/>
        </w:rPr>
        <w:t>CRITICAL</w:t>
      </w:r>
      <w:r>
        <w:rPr>
          <w:sz w:val="20"/>
        </w:rPr>
        <w:t xml:space="preserve"> = gating item, breach of an existing agreement, or loss of core IP/value; </w:t>
      </w:r>
      <w:r>
        <w:rPr>
          <w:b/>
          <w:sz w:val="20"/>
        </w:rPr>
        <w:t>HIGH</w:t>
      </w:r>
      <w:r>
        <w:rPr>
          <w:sz w:val="20"/>
        </w:rPr>
        <w:t xml:space="preserve"> = material economic, compliance or operational exposure requiring a change before signing; </w:t>
      </w:r>
      <w:r>
        <w:rPr>
          <w:b/>
          <w:sz w:val="20"/>
        </w:rPr>
        <w:t>MEDIUM</w:t>
      </w:r>
      <w:r>
        <w:rPr>
          <w:sz w:val="20"/>
        </w:rPr>
        <w:t xml:space="preserve"> = should be addressed in the definitive agreement; </w:t>
      </w:r>
      <w:r>
        <w:rPr>
          <w:b/>
          <w:sz w:val="20"/>
        </w:rPr>
        <w:t>LOW</w:t>
      </w:r>
      <w:r>
        <w:rPr>
          <w:sz w:val="20"/>
        </w:rPr>
        <w:t xml:space="preserve"> = drafting/clean-up. Detailed analysis follows in Part V.</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432"/>
            <w:shd w:val="clear" w:color="auto" w:fill="1F3A5F"/>
          </w:tcPr>
          <w:p>
            <w:r/>
            <w:r>
              <w:rPr>
                <w:b/>
                <w:color w:val="FFFFFF"/>
                <w:sz w:val="16"/>
              </w:rPr>
              <w:t>#</w:t>
            </w:r>
          </w:p>
        </w:tc>
        <w:tc>
          <w:tcPr>
            <w:tcW w:type="dxa" w:w="2880"/>
            <w:shd w:val="clear" w:color="auto" w:fill="1F3A5F"/>
          </w:tcPr>
          <w:p>
            <w:r/>
            <w:r>
              <w:rPr>
                <w:b/>
                <w:color w:val="FFFFFF"/>
                <w:sz w:val="16"/>
              </w:rPr>
              <w:t>Issue</w:t>
            </w:r>
          </w:p>
        </w:tc>
        <w:tc>
          <w:tcPr>
            <w:tcW w:type="dxa" w:w="1872"/>
            <w:shd w:val="clear" w:color="auto" w:fill="1F3A5F"/>
          </w:tcPr>
          <w:p>
            <w:r/>
            <w:r>
              <w:rPr>
                <w:b/>
                <w:color w:val="FFFFFF"/>
                <w:sz w:val="16"/>
              </w:rPr>
              <w:t>Source</w:t>
            </w:r>
          </w:p>
        </w:tc>
        <w:tc>
          <w:tcPr>
            <w:tcW w:type="dxa" w:w="1152"/>
            <w:shd w:val="clear" w:color="auto" w:fill="1F3A5F"/>
          </w:tcPr>
          <w:p>
            <w:r/>
            <w:r>
              <w:rPr>
                <w:b/>
                <w:color w:val="FFFFFF"/>
                <w:sz w:val="16"/>
              </w:rPr>
              <w:t>Severity</w:t>
            </w:r>
          </w:p>
        </w:tc>
        <w:tc>
          <w:tcPr>
            <w:tcW w:type="dxa" w:w="3024"/>
            <w:shd w:val="clear" w:color="auto" w:fill="1F3A5F"/>
          </w:tcPr>
          <w:p>
            <w:r/>
            <w:r>
              <w:rPr>
                <w:b/>
                <w:color w:val="FFFFFF"/>
                <w:sz w:val="16"/>
              </w:rPr>
              <w:t>Recommended Action (summary)</w:t>
            </w:r>
          </w:p>
        </w:tc>
      </w:tr>
      <w:tr>
        <w:tc>
          <w:tcPr>
            <w:tcW w:type="dxa" w:w="432"/>
          </w:tcPr>
          <w:p>
            <w:r/>
            <w:r>
              <w:rPr>
                <w:sz w:val="16"/>
              </w:rPr>
              <w:t>1</w:t>
            </w:r>
          </w:p>
        </w:tc>
        <w:tc>
          <w:tcPr>
            <w:tcW w:type="dxa" w:w="2880"/>
          </w:tcPr>
          <w:p>
            <w:r/>
            <w:r>
              <w:rPr>
                <w:sz w:val="16"/>
              </w:rPr>
              <w:t>Ridgeline consent (IRA § 7.4) and Board approval with Lead Investor Director vote (IRA § 7.3)</w:t>
            </w:r>
          </w:p>
        </w:tc>
        <w:tc>
          <w:tcPr>
            <w:tcW w:type="dxa" w:w="1872"/>
          </w:tcPr>
          <w:p>
            <w:r/>
            <w:r>
              <w:rPr>
                <w:sz w:val="16"/>
              </w:rPr>
              <w:t>IRA §§ 7.3–7.5; TS §§ 3, 4, 6</w:t>
            </w:r>
          </w:p>
        </w:tc>
        <w:tc>
          <w:tcPr>
            <w:tcW w:type="dxa" w:w="1152"/>
            <w:shd w:val="clear" w:color="auto" w:fill="F4CCCC"/>
          </w:tcPr>
          <w:p>
            <w:r/>
            <w:r>
              <w:rPr>
                <w:sz w:val="16"/>
              </w:rPr>
              <w:t>CRITICAL</w:t>
            </w:r>
          </w:p>
        </w:tc>
        <w:tc>
          <w:tcPr>
            <w:tcW w:type="dxa" w:w="3024"/>
          </w:tcPr>
          <w:p>
            <w:r/>
            <w:r>
              <w:rPr>
                <w:sz w:val="16"/>
              </w:rPr>
              <w:t>Deliver § 7.4 package now; obtain written consent signed by Okafor and Ridgeline before signing; add as CP</w:t>
            </w:r>
          </w:p>
        </w:tc>
      </w:tr>
      <w:tr>
        <w:tc>
          <w:tcPr>
            <w:tcW w:type="dxa" w:w="432"/>
          </w:tcPr>
          <w:p>
            <w:r/>
            <w:r>
              <w:rPr>
                <w:sz w:val="16"/>
              </w:rPr>
              <w:t>2</w:t>
            </w:r>
          </w:p>
        </w:tc>
        <w:tc>
          <w:tcPr>
            <w:tcW w:type="dxa" w:w="2880"/>
          </w:tcPr>
          <w:p>
            <w:r/>
            <w:r>
              <w:rPr>
                <w:sz w:val="16"/>
              </w:rPr>
              <w:t>Voss consent for Derivative Access to a 43-hospital system; possible pilot non-compliance</w:t>
            </w:r>
          </w:p>
        </w:tc>
        <w:tc>
          <w:tcPr>
            <w:tcW w:type="dxa" w:w="1872"/>
          </w:tcPr>
          <w:p>
            <w:r/>
            <w:r>
              <w:rPr>
                <w:sz w:val="16"/>
              </w:rPr>
              <w:t>DLA §§ 1.4, 1.5, 4.3(b)–(e), 4.5</w:t>
            </w:r>
          </w:p>
        </w:tc>
        <w:tc>
          <w:tcPr>
            <w:tcW w:type="dxa" w:w="1152"/>
            <w:shd w:val="clear" w:color="auto" w:fill="F4CCCC"/>
          </w:tcPr>
          <w:p>
            <w:r/>
            <w:r>
              <w:rPr>
                <w:sz w:val="16"/>
              </w:rPr>
              <w:t>CRITICAL</w:t>
            </w:r>
          </w:p>
        </w:tc>
        <w:tc>
          <w:tcPr>
            <w:tcW w:type="dxa" w:w="3024"/>
          </w:tcPr>
          <w:p>
            <w:r/>
            <w:r>
              <w:rPr>
                <w:sz w:val="16"/>
              </w:rPr>
              <w:t>Submit § 4.3(d) request by May 2, 2025; investigate pilot; add Voss consent as CP</w:t>
            </w:r>
          </w:p>
        </w:tc>
      </w:tr>
      <w:tr>
        <w:tc>
          <w:tcPr>
            <w:tcW w:type="dxa" w:w="432"/>
          </w:tcPr>
          <w:p>
            <w:r/>
            <w:r>
              <w:rPr>
                <w:sz w:val="16"/>
              </w:rPr>
              <w:t>3</w:t>
            </w:r>
          </w:p>
        </w:tc>
        <w:tc>
          <w:tcPr>
            <w:tcW w:type="dxa" w:w="2880"/>
          </w:tcPr>
          <w:p>
            <w:r/>
            <w:r>
              <w:rPr>
                <w:sz w:val="16"/>
              </w:rPr>
              <w:t>Voss DLA expiry (2027/2030) vs. 7–13-year Kaelen obligations (updates, performance, FDA)</w:t>
            </w:r>
          </w:p>
        </w:tc>
        <w:tc>
          <w:tcPr>
            <w:tcW w:type="dxa" w:w="1872"/>
          </w:tcPr>
          <w:p>
            <w:r/>
            <w:r>
              <w:rPr>
                <w:sz w:val="16"/>
              </w:rPr>
              <w:t>DLA §§ 8.1–8.4; TS §§ 4, 10.1, 11</w:t>
            </w:r>
          </w:p>
        </w:tc>
        <w:tc>
          <w:tcPr>
            <w:tcW w:type="dxa" w:w="1152"/>
            <w:shd w:val="clear" w:color="auto" w:fill="F4CCCC"/>
          </w:tcPr>
          <w:p>
            <w:r/>
            <w:r>
              <w:rPr>
                <w:sz w:val="16"/>
              </w:rPr>
              <w:t>CRITICAL</w:t>
            </w:r>
          </w:p>
        </w:tc>
        <w:tc>
          <w:tcPr>
            <w:tcW w:type="dxa" w:w="3024"/>
          </w:tcPr>
          <w:p>
            <w:r/>
            <w:r>
              <w:rPr>
                <w:sz w:val="16"/>
              </w:rPr>
              <w:t>Secure DLA renewal/extension or alternate data; limit update obligations; data-dependency carve-out</w:t>
            </w:r>
          </w:p>
        </w:tc>
      </w:tr>
      <w:tr>
        <w:tc>
          <w:tcPr>
            <w:tcW w:type="dxa" w:w="432"/>
          </w:tcPr>
          <w:p>
            <w:r/>
            <w:r>
              <w:rPr>
                <w:sz w:val="16"/>
              </w:rPr>
              <w:t>4</w:t>
            </w:r>
          </w:p>
        </w:tc>
        <w:tc>
          <w:tcPr>
            <w:tcW w:type="dxa" w:w="2880"/>
          </w:tcPr>
          <w:p>
            <w:r/>
            <w:r>
              <w:rPr>
                <w:sz w:val="16"/>
              </w:rPr>
              <w:t>Escrow of model weights and training pipelines; overbroad release triggers</w:t>
            </w:r>
          </w:p>
        </w:tc>
        <w:tc>
          <w:tcPr>
            <w:tcW w:type="dxa" w:w="1872"/>
          </w:tcPr>
          <w:p>
            <w:r/>
            <w:r>
              <w:rPr>
                <w:sz w:val="16"/>
              </w:rPr>
              <w:t>TS §§ 9, 15.1(d); DLA §§ 1.3, 1.9, 4.1, 4.3; Deck slide 9</w:t>
            </w:r>
          </w:p>
        </w:tc>
        <w:tc>
          <w:tcPr>
            <w:tcW w:type="dxa" w:w="1152"/>
            <w:shd w:val="clear" w:color="auto" w:fill="F4CCCC"/>
          </w:tcPr>
          <w:p>
            <w:r/>
            <w:r>
              <w:rPr>
                <w:sz w:val="16"/>
              </w:rPr>
              <w:t>CRITICAL</w:t>
            </w:r>
          </w:p>
        </w:tc>
        <w:tc>
          <w:tcPr>
            <w:tcW w:type="dxa" w:w="3024"/>
          </w:tcPr>
          <w:p>
            <w:r/>
            <w:r>
              <w:rPr>
                <w:sz w:val="16"/>
              </w:rPr>
              <w:t>Limit deposit to source/object code; exclude weights/pipelines (or encrypted, use-only); narrow triggers</w:t>
            </w:r>
          </w:p>
        </w:tc>
      </w:tr>
      <w:tr>
        <w:tc>
          <w:tcPr>
            <w:tcW w:type="dxa" w:w="432"/>
          </w:tcPr>
          <w:p>
            <w:r/>
            <w:r>
              <w:rPr>
                <w:sz w:val="16"/>
              </w:rPr>
              <w:t>5</w:t>
            </w:r>
          </w:p>
        </w:tc>
        <w:tc>
          <w:tcPr>
            <w:tcW w:type="dxa" w:w="2880"/>
          </w:tcPr>
          <w:p>
            <w:r/>
            <w:r>
              <w:rPr>
                <w:sz w:val="16"/>
              </w:rPr>
              <w:t>Perpetual, royalty-free, surviving license to all Improvements (incl. Atherton’s own updates)</w:t>
            </w:r>
          </w:p>
        </w:tc>
        <w:tc>
          <w:tcPr>
            <w:tcW w:type="dxa" w:w="1872"/>
          </w:tcPr>
          <w:p>
            <w:r/>
            <w:r>
              <w:rPr>
                <w:sz w:val="16"/>
              </w:rPr>
              <w:t>TS §§ 1, 7.2, 12.5(b)</w:t>
            </w:r>
          </w:p>
        </w:tc>
        <w:tc>
          <w:tcPr>
            <w:tcW w:type="dxa" w:w="1152"/>
            <w:shd w:val="clear" w:color="auto" w:fill="F4CCCC"/>
          </w:tcPr>
          <w:p>
            <w:r/>
            <w:r>
              <w:rPr>
                <w:sz w:val="16"/>
              </w:rPr>
              <w:t>CRITICAL</w:t>
            </w:r>
          </w:p>
        </w:tc>
        <w:tc>
          <w:tcPr>
            <w:tcW w:type="dxa" w:w="3024"/>
          </w:tcPr>
          <w:p>
            <w:r/>
            <w:r>
              <w:rPr>
                <w:sz w:val="16"/>
              </w:rPr>
              <w:t>Limit to Kaelen-developed improvements, term-limited; terminate on Kaelen breach</w:t>
            </w:r>
          </w:p>
        </w:tc>
      </w:tr>
      <w:tr>
        <w:tc>
          <w:tcPr>
            <w:tcW w:type="dxa" w:w="432"/>
          </w:tcPr>
          <w:p>
            <w:r/>
            <w:r>
              <w:rPr>
                <w:sz w:val="16"/>
              </w:rPr>
              <w:t>6</w:t>
            </w:r>
          </w:p>
        </w:tc>
        <w:tc>
          <w:tcPr>
            <w:tcW w:type="dxa" w:w="2880"/>
          </w:tcPr>
          <w:p>
            <w:r/>
            <w:r>
              <w:rPr>
                <w:sz w:val="16"/>
              </w:rPr>
              <w:t>SOC 2 Type II gap from Day 1; breach cascade to termination and escrow release</w:t>
            </w:r>
          </w:p>
        </w:tc>
        <w:tc>
          <w:tcPr>
            <w:tcW w:type="dxa" w:w="1872"/>
          </w:tcPr>
          <w:p>
            <w:r/>
            <w:r>
              <w:rPr>
                <w:sz w:val="16"/>
              </w:rPr>
              <w:t>TS § 10.3; SL § 5.2; TS §§ 9.2(b), 12.1</w:t>
            </w:r>
          </w:p>
        </w:tc>
        <w:tc>
          <w:tcPr>
            <w:tcW w:type="dxa" w:w="1152"/>
            <w:shd w:val="clear" w:color="auto" w:fill="F4CCCC"/>
          </w:tcPr>
          <w:p>
            <w:r/>
            <w:r>
              <w:rPr>
                <w:sz w:val="16"/>
              </w:rPr>
              <w:t>CRITICAL</w:t>
            </w:r>
          </w:p>
        </w:tc>
        <w:tc>
          <w:tcPr>
            <w:tcW w:type="dxa" w:w="3024"/>
          </w:tcPr>
          <w:p>
            <w:r/>
            <w:r>
              <w:rPr>
                <w:sz w:val="16"/>
              </w:rPr>
              <w:t>Disclose now; Type I + bridge letter at signing; Type II by date certain (e.g., 12/31/2025); carve out of escrow</w:t>
            </w:r>
          </w:p>
        </w:tc>
      </w:tr>
      <w:tr>
        <w:tc>
          <w:tcPr>
            <w:tcW w:type="dxa" w:w="432"/>
          </w:tcPr>
          <w:p>
            <w:r/>
            <w:r>
              <w:rPr>
                <w:sz w:val="16"/>
              </w:rPr>
              <w:t>7</w:t>
            </w:r>
          </w:p>
        </w:tc>
        <w:tc>
          <w:tcPr>
            <w:tcW w:type="dxa" w:w="2880"/>
          </w:tcPr>
          <w:p>
            <w:r/>
            <w:r>
              <w:rPr>
                <w:sz w:val="16"/>
              </w:rPr>
              <w:t>Intended use beyond 510(k) clearance; perpetual clearance warranty; immediate termination trigger</w:t>
            </w:r>
          </w:p>
        </w:tc>
        <w:tc>
          <w:tcPr>
            <w:tcW w:type="dxa" w:w="1872"/>
          </w:tcPr>
          <w:p>
            <w:r/>
            <w:r>
              <w:rPr>
                <w:sz w:val="16"/>
              </w:rPr>
              <w:t>SL §§ 2.2, 7.1; TS §§ 10.1, 10.2, 12.3; Deck slide 5</w:t>
            </w:r>
          </w:p>
        </w:tc>
        <w:tc>
          <w:tcPr>
            <w:tcW w:type="dxa" w:w="1152"/>
            <w:shd w:val="clear" w:color="auto" w:fill="F4CCCC"/>
          </w:tcPr>
          <w:p>
            <w:r/>
            <w:r>
              <w:rPr>
                <w:sz w:val="16"/>
              </w:rPr>
              <w:t>CRITICAL</w:t>
            </w:r>
          </w:p>
        </w:tc>
        <w:tc>
          <w:tcPr>
            <w:tcW w:type="dxa" w:w="3024"/>
          </w:tcPr>
          <w:p>
            <w:r/>
            <w:r>
              <w:rPr>
                <w:sz w:val="16"/>
              </w:rPr>
              <w:t>Conform to cleared CADe indication; Kaelen use-per-labeling covenant; soften warranty; regulatory path for updates</w:t>
            </w:r>
          </w:p>
        </w:tc>
      </w:tr>
      <w:tr>
        <w:tc>
          <w:tcPr>
            <w:tcW w:type="dxa" w:w="432"/>
          </w:tcPr>
          <w:p>
            <w:r/>
            <w:r>
              <w:rPr>
                <w:sz w:val="16"/>
              </w:rPr>
              <w:t>8</w:t>
            </w:r>
          </w:p>
        </w:tc>
        <w:tc>
          <w:tcPr>
            <w:tcW w:type="dxa" w:w="2880"/>
          </w:tcPr>
          <w:p>
            <w:r/>
            <w:r>
              <w:rPr>
                <w:sz w:val="16"/>
              </w:rPr>
              <w:t>Exclusivity: 30-mile facility-by-facility radius; “substantially similar” products; impact on growth and existing licensees</w:t>
            </w:r>
          </w:p>
        </w:tc>
        <w:tc>
          <w:tcPr>
            <w:tcW w:type="dxa" w:w="1872"/>
          </w:tcPr>
          <w:p>
            <w:r/>
            <w:r>
              <w:rPr>
                <w:sz w:val="16"/>
              </w:rPr>
              <w:t>TS §§ 2.3, 3.1–3.3; Pinnacle §§ 2.1, 9; Deck slides 12, 14</w:t>
            </w:r>
          </w:p>
        </w:tc>
        <w:tc>
          <w:tcPr>
            <w:tcW w:type="dxa" w:w="1152"/>
            <w:shd w:val="clear" w:color="auto" w:fill="F4CCCC"/>
          </w:tcPr>
          <w:p>
            <w:r/>
            <w:r>
              <w:rPr>
                <w:sz w:val="16"/>
              </w:rPr>
              <w:t>CRITICAL</w:t>
            </w:r>
          </w:p>
        </w:tc>
        <w:tc>
          <w:tcPr>
            <w:tcW w:type="dxa" w:w="3024"/>
          </w:tcPr>
          <w:p>
            <w:r/>
            <w:r>
              <w:rPr>
                <w:sz w:val="16"/>
              </w:rPr>
              <w:t>Delete or sharply narrow radius; grandfather existing licensees; condition exclusivity on payments/usage; no exclusivity in renewals</w:t>
            </w:r>
          </w:p>
        </w:tc>
      </w:tr>
      <w:tr>
        <w:tc>
          <w:tcPr>
            <w:tcW w:type="dxa" w:w="432"/>
          </w:tcPr>
          <w:p>
            <w:r/>
            <w:r>
              <w:rPr>
                <w:sz w:val="16"/>
              </w:rPr>
              <w:t>9</w:t>
            </w:r>
          </w:p>
        </w:tc>
        <w:tc>
          <w:tcPr>
            <w:tcW w:type="dxa" w:w="2880"/>
          </w:tcPr>
          <w:p>
            <w:r/>
            <w:r>
              <w:rPr>
                <w:sz w:val="16"/>
              </w:rPr>
              <w:t>Performance Threshold and illusory minimum commitment (Floor ambiguity; penalty-free exits)</w:t>
            </w:r>
          </w:p>
        </w:tc>
        <w:tc>
          <w:tcPr>
            <w:tcW w:type="dxa" w:w="1872"/>
          </w:tcPr>
          <w:p>
            <w:r/>
            <w:r>
              <w:rPr>
                <w:sz w:val="16"/>
              </w:rPr>
              <w:t>TS §§ 5, 6.4, 6.7, 12.2, 12.6; SL § 2.2</w:t>
            </w:r>
          </w:p>
        </w:tc>
        <w:tc>
          <w:tcPr>
            <w:tcW w:type="dxa" w:w="1152"/>
            <w:shd w:val="clear" w:color="auto" w:fill="F4CCCC"/>
          </w:tcPr>
          <w:p>
            <w:r/>
            <w:r>
              <w:rPr>
                <w:sz w:val="16"/>
              </w:rPr>
              <w:t>CRITICAL</w:t>
            </w:r>
          </w:p>
        </w:tc>
        <w:tc>
          <w:tcPr>
            <w:tcW w:type="dxa" w:w="3024"/>
          </w:tcPr>
          <w:p>
            <w:r/>
            <w:r>
              <w:rPr>
                <w:sz w:val="16"/>
              </w:rPr>
              <w:t>Agree protocol now; independent, stratified dataset; CADe-appropriate metric; cure period; wind-down fee; fix Floor</w:t>
            </w:r>
          </w:p>
        </w:tc>
      </w:tr>
      <w:tr>
        <w:tc>
          <w:tcPr>
            <w:tcW w:type="dxa" w:w="432"/>
          </w:tcPr>
          <w:p>
            <w:r/>
            <w:r>
              <w:rPr>
                <w:sz w:val="16"/>
              </w:rPr>
              <w:t>10</w:t>
            </w:r>
          </w:p>
        </w:tc>
        <w:tc>
          <w:tcPr>
            <w:tcW w:type="dxa" w:w="2880"/>
          </w:tcPr>
          <w:p>
            <w:r/>
            <w:r>
              <w:rPr>
                <w:sz w:val="16"/>
              </w:rPr>
              <w:t>Most-Favored Licensee — retroactive, uncapped per-image repricing</w:t>
            </w:r>
          </w:p>
        </w:tc>
        <w:tc>
          <w:tcPr>
            <w:tcW w:type="dxa" w:w="1872"/>
          </w:tcPr>
          <w:p>
            <w:r/>
            <w:r>
              <w:rPr>
                <w:sz w:val="16"/>
              </w:rPr>
              <w:t>TS § 6.8; Pinnacle § 2.2</w:t>
            </w:r>
          </w:p>
        </w:tc>
        <w:tc>
          <w:tcPr>
            <w:tcW w:type="dxa" w:w="1152"/>
            <w:shd w:val="clear" w:color="auto" w:fill="FCE5CD"/>
          </w:tcPr>
          <w:p>
            <w:r/>
            <w:r>
              <w:rPr>
                <w:sz w:val="16"/>
              </w:rPr>
              <w:t>HIGH</w:t>
            </w:r>
          </w:p>
        </w:tc>
        <w:tc>
          <w:tcPr>
            <w:tcW w:type="dxa" w:w="3024"/>
          </w:tcPr>
          <w:p>
            <w:r/>
            <w:r>
              <w:rPr>
                <w:sz w:val="16"/>
              </w:rPr>
              <w:t>Delete; fallback: prospective only, comparable deals, exclusions</w:t>
            </w:r>
          </w:p>
        </w:tc>
      </w:tr>
      <w:tr>
        <w:tc>
          <w:tcPr>
            <w:tcW w:type="dxa" w:w="432"/>
          </w:tcPr>
          <w:p>
            <w:r/>
            <w:r>
              <w:rPr>
                <w:sz w:val="16"/>
              </w:rPr>
              <w:t>11</w:t>
            </w:r>
          </w:p>
        </w:tc>
        <w:tc>
          <w:tcPr>
            <w:tcW w:type="dxa" w:w="2880"/>
          </w:tcPr>
          <w:p>
            <w:r/>
            <w:r>
              <w:rPr>
                <w:sz w:val="16"/>
              </w:rPr>
              <w:t>Data rights, HIPAA/BAA, de-identification standard, state privacy laws, Voss commingling</w:t>
            </w:r>
          </w:p>
        </w:tc>
        <w:tc>
          <w:tcPr>
            <w:tcW w:type="dxa" w:w="1872"/>
          </w:tcPr>
          <w:p>
            <w:r/>
            <w:r>
              <w:rPr>
                <w:sz w:val="16"/>
              </w:rPr>
              <w:t>TS §§ 8, 10.3; SL §§ 4.2, 5.1, 5.3; DLA § 4.1(d)</w:t>
            </w:r>
          </w:p>
        </w:tc>
        <w:tc>
          <w:tcPr>
            <w:tcW w:type="dxa" w:w="1152"/>
            <w:shd w:val="clear" w:color="auto" w:fill="FCE5CD"/>
          </w:tcPr>
          <w:p>
            <w:r/>
            <w:r>
              <w:rPr>
                <w:sz w:val="16"/>
              </w:rPr>
              <w:t>HIGH</w:t>
            </w:r>
          </w:p>
        </w:tc>
        <w:tc>
          <w:tcPr>
            <w:tcW w:type="dxa" w:w="3024"/>
          </w:tcPr>
          <w:p>
            <w:r/>
            <w:r>
              <w:rPr>
                <w:sz w:val="16"/>
              </w:rPr>
              <w:t>BAA permitting de-identification; HIPAA § 164.514 standard; data segregation; Kaelen indemnity</w:t>
            </w:r>
          </w:p>
        </w:tc>
      </w:tr>
      <w:tr>
        <w:tc>
          <w:tcPr>
            <w:tcW w:type="dxa" w:w="432"/>
          </w:tcPr>
          <w:p>
            <w:r/>
            <w:r>
              <w:rPr>
                <w:sz w:val="16"/>
              </w:rPr>
              <w:t>12</w:t>
            </w:r>
          </w:p>
        </w:tc>
        <w:tc>
          <w:tcPr>
            <w:tcW w:type="dxa" w:w="2880"/>
          </w:tcPr>
          <w:p>
            <w:r/>
            <w:r>
              <w:rPr>
                <w:sz w:val="16"/>
              </w:rPr>
              <w:t>Open-ended state AI-in-healthcare compliance and change-in-law</w:t>
            </w:r>
          </w:p>
        </w:tc>
        <w:tc>
          <w:tcPr>
            <w:tcW w:type="dxa" w:w="1872"/>
          </w:tcPr>
          <w:p>
            <w:r/>
            <w:r>
              <w:rPr>
                <w:sz w:val="16"/>
              </w:rPr>
              <w:t>TS § 10.4; SL §§ 5.1, 7.2</w:t>
            </w:r>
          </w:p>
        </w:tc>
        <w:tc>
          <w:tcPr>
            <w:tcW w:type="dxa" w:w="1152"/>
            <w:shd w:val="clear" w:color="auto" w:fill="FCE5CD"/>
          </w:tcPr>
          <w:p>
            <w:r/>
            <w:r>
              <w:rPr>
                <w:sz w:val="16"/>
              </w:rPr>
              <w:t>HIGH</w:t>
            </w:r>
          </w:p>
        </w:tc>
        <w:tc>
          <w:tcPr>
            <w:tcW w:type="dxa" w:w="3024"/>
          </w:tcPr>
          <w:p>
            <w:r/>
            <w:r>
              <w:rPr>
                <w:sz w:val="16"/>
              </w:rPr>
              <w:t>Allocate developer vs. deployer duties; change-in-law adjustment</w:t>
            </w:r>
          </w:p>
        </w:tc>
      </w:tr>
      <w:tr>
        <w:tc>
          <w:tcPr>
            <w:tcW w:type="dxa" w:w="432"/>
          </w:tcPr>
          <w:p>
            <w:r/>
            <w:r>
              <w:rPr>
                <w:sz w:val="16"/>
              </w:rPr>
              <w:t>13</w:t>
            </w:r>
          </w:p>
        </w:tc>
        <w:tc>
          <w:tcPr>
            <w:tcW w:type="dxa" w:w="2880"/>
          </w:tcPr>
          <w:p>
            <w:r/>
            <w:r>
              <w:rPr>
                <w:sz w:val="16"/>
              </w:rPr>
              <w:t>SLA 99.95% per site and response times on Kaelen-controlled infrastructure</w:t>
            </w:r>
          </w:p>
        </w:tc>
        <w:tc>
          <w:tcPr>
            <w:tcW w:type="dxa" w:w="1872"/>
          </w:tcPr>
          <w:p>
            <w:r/>
            <w:r>
              <w:rPr>
                <w:sz w:val="16"/>
              </w:rPr>
              <w:t>SL §§ 2.1, 3, 4; TS § 12.4</w:t>
            </w:r>
          </w:p>
        </w:tc>
        <w:tc>
          <w:tcPr>
            <w:tcW w:type="dxa" w:w="1152"/>
            <w:shd w:val="clear" w:color="auto" w:fill="FCE5CD"/>
          </w:tcPr>
          <w:p>
            <w:r/>
            <w:r>
              <w:rPr>
                <w:sz w:val="16"/>
              </w:rPr>
              <w:t>HIGH</w:t>
            </w:r>
          </w:p>
        </w:tc>
        <w:tc>
          <w:tcPr>
            <w:tcW w:type="dxa" w:w="3024"/>
          </w:tcPr>
          <w:p>
            <w:r/>
            <w:r>
              <w:rPr>
                <w:sz w:val="16"/>
              </w:rPr>
              <w:t>Exclusions for Kaelen infrastructure/PACS; 99.5–99.9%; average/percentile metrics</w:t>
            </w:r>
          </w:p>
        </w:tc>
      </w:tr>
      <w:tr>
        <w:tc>
          <w:tcPr>
            <w:tcW w:type="dxa" w:w="432"/>
          </w:tcPr>
          <w:p>
            <w:r/>
            <w:r>
              <w:rPr>
                <w:sz w:val="16"/>
              </w:rPr>
              <w:t>14</w:t>
            </w:r>
          </w:p>
        </w:tc>
        <w:tc>
          <w:tcPr>
            <w:tcW w:type="dxa" w:w="2880"/>
          </w:tcPr>
          <w:p>
            <w:r/>
            <w:r>
              <w:rPr>
                <w:sz w:val="16"/>
              </w:rPr>
              <w:t>NovaPACS integration, Arcline dependency and 24-month deployment deadline</w:t>
            </w:r>
          </w:p>
        </w:tc>
        <w:tc>
          <w:tcPr>
            <w:tcW w:type="dxa" w:w="1872"/>
          </w:tcPr>
          <w:p>
            <w:r/>
            <w:r>
              <w:rPr>
                <w:sz w:val="16"/>
              </w:rPr>
              <w:t>SL §§ 1.1, 1.2; TS §§ 2.4, 15.1(b)</w:t>
            </w:r>
          </w:p>
        </w:tc>
        <w:tc>
          <w:tcPr>
            <w:tcW w:type="dxa" w:w="1152"/>
            <w:shd w:val="clear" w:color="auto" w:fill="FCE5CD"/>
          </w:tcPr>
          <w:p>
            <w:r/>
            <w:r>
              <w:rPr>
                <w:sz w:val="16"/>
              </w:rPr>
              <w:t>HIGH</w:t>
            </w:r>
          </w:p>
        </w:tc>
        <w:tc>
          <w:tcPr>
            <w:tcW w:type="dxa" w:w="3024"/>
          </w:tcPr>
          <w:p>
            <w:r/>
            <w:r>
              <w:rPr>
                <w:sz w:val="16"/>
              </w:rPr>
              <w:t>Kaelen dependencies and relief; Arcline cooperation; version scope</w:t>
            </w:r>
          </w:p>
        </w:tc>
      </w:tr>
      <w:tr>
        <w:tc>
          <w:tcPr>
            <w:tcW w:type="dxa" w:w="432"/>
          </w:tcPr>
          <w:p>
            <w:r/>
            <w:r>
              <w:rPr>
                <w:sz w:val="16"/>
              </w:rPr>
              <w:t>15</w:t>
            </w:r>
          </w:p>
        </w:tc>
        <w:tc>
          <w:tcPr>
            <w:tcW w:type="dxa" w:w="2880"/>
          </w:tcPr>
          <w:p>
            <w:r/>
            <w:r>
              <w:rPr>
                <w:sz w:val="16"/>
              </w:rPr>
              <w:t>Quarterly model updates, version support, FDA change control, Pinnacle update parity</w:t>
            </w:r>
          </w:p>
        </w:tc>
        <w:tc>
          <w:tcPr>
            <w:tcW w:type="dxa" w:w="1872"/>
          </w:tcPr>
          <w:p>
            <w:r/>
            <w:r>
              <w:rPr>
                <w:sz w:val="16"/>
              </w:rPr>
              <w:t>TS § 11; SL § 6; Pinnacle §§ 5.2, 5.3</w:t>
            </w:r>
          </w:p>
        </w:tc>
        <w:tc>
          <w:tcPr>
            <w:tcW w:type="dxa" w:w="1152"/>
            <w:shd w:val="clear" w:color="auto" w:fill="FCE5CD"/>
          </w:tcPr>
          <w:p>
            <w:r/>
            <w:r>
              <w:rPr>
                <w:sz w:val="16"/>
              </w:rPr>
              <w:t>HIGH</w:t>
            </w:r>
          </w:p>
        </w:tc>
        <w:tc>
          <w:tcPr>
            <w:tcW w:type="dxa" w:w="3024"/>
          </w:tcPr>
          <w:p>
            <w:r/>
            <w:r>
              <w:rPr>
                <w:sz w:val="16"/>
              </w:rPr>
              <w:t>Current + one prior version; PCCP/regulatory carve-out; parity compliance</w:t>
            </w:r>
          </w:p>
        </w:tc>
      </w:tr>
      <w:tr>
        <w:tc>
          <w:tcPr>
            <w:tcW w:type="dxa" w:w="432"/>
          </w:tcPr>
          <w:p>
            <w:r/>
            <w:r>
              <w:rPr>
                <w:sz w:val="16"/>
              </w:rPr>
              <w:t>16</w:t>
            </w:r>
          </w:p>
        </w:tc>
        <w:tc>
          <w:tcPr>
            <w:tcW w:type="dxa" w:w="2880"/>
          </w:tcPr>
          <w:p>
            <w:r/>
            <w:r>
              <w:rPr>
                <w:sz w:val="16"/>
              </w:rPr>
              <w:t>Representations, indemnity and liability cap</w:t>
            </w:r>
          </w:p>
        </w:tc>
        <w:tc>
          <w:tcPr>
            <w:tcW w:type="dxa" w:w="1872"/>
          </w:tcPr>
          <w:p>
            <w:r/>
            <w:r>
              <w:rPr>
                <w:sz w:val="16"/>
              </w:rPr>
              <w:t>TS §§ 13, 14</w:t>
            </w:r>
          </w:p>
        </w:tc>
        <w:tc>
          <w:tcPr>
            <w:tcW w:type="dxa" w:w="1152"/>
            <w:shd w:val="clear" w:color="auto" w:fill="FCE5CD"/>
          </w:tcPr>
          <w:p>
            <w:r/>
            <w:r>
              <w:rPr>
                <w:sz w:val="16"/>
              </w:rPr>
              <w:t>HIGH</w:t>
            </w:r>
          </w:p>
        </w:tc>
        <w:tc>
          <w:tcPr>
            <w:tcW w:type="dxa" w:w="3024"/>
          </w:tcPr>
          <w:p>
            <w:r/>
            <w:r>
              <w:rPr>
                <w:sz w:val="16"/>
              </w:rPr>
              <w:t>Qualify ownership/non-infringement reps; clinical-use indemnity from Kaelen; define cap carve-outs</w:t>
            </w:r>
          </w:p>
        </w:tc>
      </w:tr>
      <w:tr>
        <w:tc>
          <w:tcPr>
            <w:tcW w:type="dxa" w:w="432"/>
          </w:tcPr>
          <w:p>
            <w:r/>
            <w:r>
              <w:rPr>
                <w:sz w:val="16"/>
              </w:rPr>
              <w:t>17</w:t>
            </w:r>
          </w:p>
        </w:tc>
        <w:tc>
          <w:tcPr>
            <w:tcW w:type="dxa" w:w="2880"/>
          </w:tcPr>
          <w:p>
            <w:r/>
            <w:r>
              <w:rPr>
                <w:sz w:val="16"/>
              </w:rPr>
              <w:t>Payment structure, Year 1 cash flow, CPI mechanics</w:t>
            </w:r>
          </w:p>
        </w:tc>
        <w:tc>
          <w:tcPr>
            <w:tcW w:type="dxa" w:w="1872"/>
          </w:tcPr>
          <w:p>
            <w:r/>
            <w:r>
              <w:rPr>
                <w:sz w:val="16"/>
              </w:rPr>
              <w:t>TS §§ 6.1–6.6</w:t>
            </w:r>
          </w:p>
        </w:tc>
        <w:tc>
          <w:tcPr>
            <w:tcW w:type="dxa" w:w="1152"/>
            <w:shd w:val="clear" w:color="auto" w:fill="FCE5CD"/>
          </w:tcPr>
          <w:p>
            <w:r/>
            <w:r>
              <w:rPr>
                <w:sz w:val="16"/>
              </w:rPr>
              <w:t>HIGH</w:t>
            </w:r>
          </w:p>
        </w:tc>
        <w:tc>
          <w:tcPr>
            <w:tcW w:type="dxa" w:w="3024"/>
          </w:tcPr>
          <w:p>
            <w:r/>
            <w:r>
              <w:rPr>
                <w:sz w:val="16"/>
              </w:rPr>
              <w:t>Upfront deployment fee; monthly/net-30; CPI floor; late-payment and suspension rights</w:t>
            </w:r>
          </w:p>
        </w:tc>
      </w:tr>
      <w:tr>
        <w:tc>
          <w:tcPr>
            <w:tcW w:type="dxa" w:w="432"/>
          </w:tcPr>
          <w:p>
            <w:r/>
            <w:r>
              <w:rPr>
                <w:sz w:val="16"/>
              </w:rPr>
              <w:t>18</w:t>
            </w:r>
          </w:p>
        </w:tc>
        <w:tc>
          <w:tcPr>
            <w:tcW w:type="dxa" w:w="2880"/>
          </w:tcPr>
          <w:p>
            <w:r/>
            <w:r>
              <w:rPr>
                <w:sz w:val="16"/>
              </w:rPr>
              <w:t>Confidentiality restricts required disclosures to Ridgeline (entity) and Voss</w:t>
            </w:r>
          </w:p>
        </w:tc>
        <w:tc>
          <w:tcPr>
            <w:tcW w:type="dxa" w:w="1872"/>
          </w:tcPr>
          <w:p>
            <w:r/>
            <w:r>
              <w:rPr>
                <w:sz w:val="16"/>
              </w:rPr>
              <w:t>TS § 16 (binding); LOI NDA; DLA § 4.3(d)</w:t>
            </w:r>
          </w:p>
        </w:tc>
        <w:tc>
          <w:tcPr>
            <w:tcW w:type="dxa" w:w="1152"/>
            <w:shd w:val="clear" w:color="auto" w:fill="FCE5CD"/>
          </w:tcPr>
          <w:p>
            <w:r/>
            <w:r>
              <w:rPr>
                <w:sz w:val="16"/>
              </w:rPr>
              <w:t>HIGH</w:t>
            </w:r>
          </w:p>
        </w:tc>
        <w:tc>
          <w:tcPr>
            <w:tcW w:type="dxa" w:w="3024"/>
          </w:tcPr>
          <w:p>
            <w:r/>
            <w:r>
              <w:rPr>
                <w:sz w:val="16"/>
              </w:rPr>
              <w:t>Obtain Kaelen written consent now; carve-out in § 16</w:t>
            </w:r>
          </w:p>
        </w:tc>
      </w:tr>
      <w:tr>
        <w:tc>
          <w:tcPr>
            <w:tcW w:type="dxa" w:w="432"/>
          </w:tcPr>
          <w:p>
            <w:r/>
            <w:r>
              <w:rPr>
                <w:sz w:val="16"/>
              </w:rPr>
              <w:t>19</w:t>
            </w:r>
          </w:p>
        </w:tc>
        <w:tc>
          <w:tcPr>
            <w:tcW w:type="dxa" w:w="2880"/>
          </w:tcPr>
          <w:p>
            <w:r/>
            <w:r>
              <w:rPr>
                <w:sz w:val="16"/>
              </w:rPr>
              <w:t>Termination asymmetry and post-termination survival</w:t>
            </w:r>
          </w:p>
        </w:tc>
        <w:tc>
          <w:tcPr>
            <w:tcW w:type="dxa" w:w="1872"/>
          </w:tcPr>
          <w:p>
            <w:r/>
            <w:r>
              <w:rPr>
                <w:sz w:val="16"/>
              </w:rPr>
              <w:t>TS §§ 5.2, 10.2, 12</w:t>
            </w:r>
          </w:p>
        </w:tc>
        <w:tc>
          <w:tcPr>
            <w:tcW w:type="dxa" w:w="1152"/>
            <w:shd w:val="clear" w:color="auto" w:fill="FFF2CC"/>
          </w:tcPr>
          <w:p>
            <w:r/>
            <w:r>
              <w:rPr>
                <w:sz w:val="16"/>
              </w:rPr>
              <w:t>MEDIUM</w:t>
            </w:r>
          </w:p>
        </w:tc>
        <w:tc>
          <w:tcPr>
            <w:tcW w:type="dxa" w:w="3024"/>
          </w:tcPr>
          <w:p>
            <w:r/>
            <w:r>
              <w:rPr>
                <w:sz w:val="16"/>
              </w:rPr>
              <w:t>Atherton termination rights; fees through notice period; survival only on Atherton-fault termination</w:t>
            </w:r>
          </w:p>
        </w:tc>
      </w:tr>
      <w:tr>
        <w:tc>
          <w:tcPr>
            <w:tcW w:type="dxa" w:w="432"/>
          </w:tcPr>
          <w:p>
            <w:r/>
            <w:r>
              <w:rPr>
                <w:sz w:val="16"/>
              </w:rPr>
              <w:t>20</w:t>
            </w:r>
          </w:p>
        </w:tc>
        <w:tc>
          <w:tcPr>
            <w:tcW w:type="dxa" w:w="2880"/>
          </w:tcPr>
          <w:p>
            <w:r/>
            <w:r>
              <w:rPr>
                <w:sz w:val="16"/>
              </w:rPr>
              <w:t>Term, auto-renewal and renewal pricing</w:t>
            </w:r>
          </w:p>
        </w:tc>
        <w:tc>
          <w:tcPr>
            <w:tcW w:type="dxa" w:w="1872"/>
          </w:tcPr>
          <w:p>
            <w:r/>
            <w:r>
              <w:rPr>
                <w:sz w:val="16"/>
              </w:rPr>
              <w:t>TS §§ 4.2, 6.5</w:t>
            </w:r>
          </w:p>
        </w:tc>
        <w:tc>
          <w:tcPr>
            <w:tcW w:type="dxa" w:w="1152"/>
            <w:shd w:val="clear" w:color="auto" w:fill="FFF2CC"/>
          </w:tcPr>
          <w:p>
            <w:r/>
            <w:r>
              <w:rPr>
                <w:sz w:val="16"/>
              </w:rPr>
              <w:t>MEDIUM</w:t>
            </w:r>
          </w:p>
        </w:tc>
        <w:tc>
          <w:tcPr>
            <w:tcW w:type="dxa" w:w="3024"/>
          </w:tcPr>
          <w:p>
            <w:r/>
            <w:r>
              <w:rPr>
                <w:sz w:val="16"/>
              </w:rPr>
              <w:t>Mutual renewal by agreement; exclusivity lapses at renewal unless re-priced</w:t>
            </w:r>
          </w:p>
        </w:tc>
      </w:tr>
      <w:tr>
        <w:tc>
          <w:tcPr>
            <w:tcW w:type="dxa" w:w="432"/>
          </w:tcPr>
          <w:p>
            <w:r/>
            <w:r>
              <w:rPr>
                <w:sz w:val="16"/>
              </w:rPr>
              <w:t>21</w:t>
            </w:r>
          </w:p>
        </w:tc>
        <w:tc>
          <w:tcPr>
            <w:tcW w:type="dxa" w:w="2880"/>
          </w:tcPr>
          <w:p>
            <w:r/>
            <w:r>
              <w:rPr>
                <w:sz w:val="16"/>
              </w:rPr>
              <w:t>Assignment asymmetry and change of control (incl. Voss § 11)</w:t>
            </w:r>
          </w:p>
        </w:tc>
        <w:tc>
          <w:tcPr>
            <w:tcW w:type="dxa" w:w="1872"/>
          </w:tcPr>
          <w:p>
            <w:r/>
            <w:r>
              <w:rPr>
                <w:sz w:val="16"/>
              </w:rPr>
              <w:t>TS § 18.3; DLA § 11; IRA § 7.1(f)</w:t>
            </w:r>
          </w:p>
        </w:tc>
        <w:tc>
          <w:tcPr>
            <w:tcW w:type="dxa" w:w="1152"/>
            <w:shd w:val="clear" w:color="auto" w:fill="FFF2CC"/>
          </w:tcPr>
          <w:p>
            <w:r/>
            <w:r>
              <w:rPr>
                <w:sz w:val="16"/>
              </w:rPr>
              <w:t>MEDIUM</w:t>
            </w:r>
          </w:p>
        </w:tc>
        <w:tc>
          <w:tcPr>
            <w:tcW w:type="dxa" w:w="3024"/>
          </w:tcPr>
          <w:p>
            <w:r/>
            <w:r>
              <w:rPr>
                <w:sz w:val="16"/>
              </w:rPr>
              <w:t>Mutual CoC assignment right; Kaelen acquirer cannot expand Network/radius</w:t>
            </w:r>
          </w:p>
        </w:tc>
      </w:tr>
      <w:tr>
        <w:tc>
          <w:tcPr>
            <w:tcW w:type="dxa" w:w="432"/>
          </w:tcPr>
          <w:p>
            <w:r/>
            <w:r>
              <w:rPr>
                <w:sz w:val="16"/>
              </w:rPr>
              <w:t>22</w:t>
            </w:r>
          </w:p>
        </w:tc>
        <w:tc>
          <w:tcPr>
            <w:tcW w:type="dxa" w:w="2880"/>
          </w:tcPr>
          <w:p>
            <w:r/>
            <w:r>
              <w:rPr>
                <w:sz w:val="16"/>
              </w:rPr>
              <w:t>Conditions precedent omit Atherton’s required consents/approvals</w:t>
            </w:r>
          </w:p>
        </w:tc>
        <w:tc>
          <w:tcPr>
            <w:tcW w:type="dxa" w:w="1872"/>
          </w:tcPr>
          <w:p>
            <w:r/>
            <w:r>
              <w:rPr>
                <w:sz w:val="16"/>
              </w:rPr>
              <w:t>TS § 15</w:t>
            </w:r>
          </w:p>
        </w:tc>
        <w:tc>
          <w:tcPr>
            <w:tcW w:type="dxa" w:w="1152"/>
            <w:shd w:val="clear" w:color="auto" w:fill="FFF2CC"/>
          </w:tcPr>
          <w:p>
            <w:r/>
            <w:r>
              <w:rPr>
                <w:sz w:val="16"/>
              </w:rPr>
              <w:t>MEDIUM</w:t>
            </w:r>
          </w:p>
        </w:tc>
        <w:tc>
          <w:tcPr>
            <w:tcW w:type="dxa" w:w="3024"/>
          </w:tcPr>
          <w:p>
            <w:r/>
            <w:r>
              <w:rPr>
                <w:sz w:val="16"/>
              </w:rPr>
              <w:t>Add Ridgeline, Board, Voss, BAA, SOC 2 interim deliverables</w:t>
            </w:r>
          </w:p>
        </w:tc>
      </w:tr>
      <w:tr>
        <w:tc>
          <w:tcPr>
            <w:tcW w:type="dxa" w:w="432"/>
          </w:tcPr>
          <w:p>
            <w:r/>
            <w:r>
              <w:rPr>
                <w:sz w:val="16"/>
              </w:rPr>
              <w:t>23</w:t>
            </w:r>
          </w:p>
        </w:tc>
        <w:tc>
          <w:tcPr>
            <w:tcW w:type="dxa" w:w="2880"/>
          </w:tcPr>
          <w:p>
            <w:r/>
            <w:r>
              <w:rPr>
                <w:sz w:val="16"/>
              </w:rPr>
              <w:t>Existing licensee agreements (Pinnacle no-impairment; SRMA/GLCN unreviewed)</w:t>
            </w:r>
          </w:p>
        </w:tc>
        <w:tc>
          <w:tcPr>
            <w:tcW w:type="dxa" w:w="1872"/>
          </w:tcPr>
          <w:p>
            <w:r/>
            <w:r>
              <w:rPr>
                <w:sz w:val="16"/>
              </w:rPr>
              <w:t>Pinnacle §§ 5, 9, 12</w:t>
            </w:r>
          </w:p>
        </w:tc>
        <w:tc>
          <w:tcPr>
            <w:tcW w:type="dxa" w:w="1152"/>
            <w:shd w:val="clear" w:color="auto" w:fill="FFF2CC"/>
          </w:tcPr>
          <w:p>
            <w:r/>
            <w:r>
              <w:rPr>
                <w:sz w:val="16"/>
              </w:rPr>
              <w:t>MEDIUM</w:t>
            </w:r>
          </w:p>
        </w:tc>
        <w:tc>
          <w:tcPr>
            <w:tcW w:type="dxa" w:w="3024"/>
          </w:tcPr>
          <w:p>
            <w:r/>
            <w:r>
              <w:rPr>
                <w:sz w:val="16"/>
              </w:rPr>
              <w:t>Review SRMA/GLCN; map facilities; manage update parity</w:t>
            </w:r>
          </w:p>
        </w:tc>
      </w:tr>
      <w:tr>
        <w:tc>
          <w:tcPr>
            <w:tcW w:type="dxa" w:w="432"/>
          </w:tcPr>
          <w:p>
            <w:r/>
            <w:r>
              <w:rPr>
                <w:sz w:val="16"/>
              </w:rPr>
              <w:t>24</w:t>
            </w:r>
          </w:p>
        </w:tc>
        <w:tc>
          <w:tcPr>
            <w:tcW w:type="dxa" w:w="2880"/>
          </w:tcPr>
          <w:p>
            <w:r/>
            <w:r>
              <w:rPr>
                <w:sz w:val="16"/>
              </w:rPr>
              <w:t>Governing law, arbitration forum</w:t>
            </w:r>
          </w:p>
        </w:tc>
        <w:tc>
          <w:tcPr>
            <w:tcW w:type="dxa" w:w="1872"/>
          </w:tcPr>
          <w:p>
            <w:r/>
            <w:r>
              <w:rPr>
                <w:sz w:val="16"/>
              </w:rPr>
              <w:t>TS §§ 18.1, 18.2</w:t>
            </w:r>
          </w:p>
        </w:tc>
        <w:tc>
          <w:tcPr>
            <w:tcW w:type="dxa" w:w="1152"/>
            <w:shd w:val="clear" w:color="auto" w:fill="FFF2CC"/>
          </w:tcPr>
          <w:p>
            <w:r/>
            <w:r>
              <w:rPr>
                <w:sz w:val="16"/>
              </w:rPr>
              <w:t>MEDIUM</w:t>
            </w:r>
          </w:p>
        </w:tc>
        <w:tc>
          <w:tcPr>
            <w:tcW w:type="dxa" w:w="3024"/>
          </w:tcPr>
          <w:p>
            <w:r/>
            <w:r>
              <w:rPr>
                <w:sz w:val="16"/>
              </w:rPr>
              <w:t>Delaware law or neutral seat; carve-out for IP injunctive relief</w:t>
            </w:r>
          </w:p>
        </w:tc>
      </w:tr>
      <w:tr>
        <w:tc>
          <w:tcPr>
            <w:tcW w:type="dxa" w:w="432"/>
          </w:tcPr>
          <w:p>
            <w:r/>
            <w:r>
              <w:rPr>
                <w:sz w:val="16"/>
              </w:rPr>
              <w:t>25</w:t>
            </w:r>
          </w:p>
        </w:tc>
        <w:tc>
          <w:tcPr>
            <w:tcW w:type="dxa" w:w="2880"/>
          </w:tcPr>
          <w:p>
            <w:r/>
            <w:r>
              <w:rPr>
                <w:sz w:val="16"/>
              </w:rPr>
              <w:t>Antitrust sensitivity of long-duration territorial restraint</w:t>
            </w:r>
          </w:p>
        </w:tc>
        <w:tc>
          <w:tcPr>
            <w:tcW w:type="dxa" w:w="1872"/>
          </w:tcPr>
          <w:p>
            <w:r/>
            <w:r>
              <w:rPr>
                <w:sz w:val="16"/>
              </w:rPr>
              <w:t>TS § 3.2</w:t>
            </w:r>
          </w:p>
        </w:tc>
        <w:tc>
          <w:tcPr>
            <w:tcW w:type="dxa" w:w="1152"/>
            <w:shd w:val="clear" w:color="auto" w:fill="FFF2CC"/>
          </w:tcPr>
          <w:p>
            <w:r/>
            <w:r>
              <w:rPr>
                <w:sz w:val="16"/>
              </w:rPr>
              <w:t>MEDIUM</w:t>
            </w:r>
          </w:p>
        </w:tc>
        <w:tc>
          <w:tcPr>
            <w:tcW w:type="dxa" w:w="3024"/>
          </w:tcPr>
          <w:p>
            <w:r/>
            <w:r>
              <w:rPr>
                <w:sz w:val="16"/>
              </w:rPr>
              <w:t>Narrow radius/duration; antitrust review</w:t>
            </w:r>
          </w:p>
        </w:tc>
      </w:tr>
      <w:tr>
        <w:tc>
          <w:tcPr>
            <w:tcW w:type="dxa" w:w="432"/>
          </w:tcPr>
          <w:p>
            <w:r/>
            <w:r>
              <w:rPr>
                <w:sz w:val="16"/>
              </w:rPr>
              <w:t>26</w:t>
            </w:r>
          </w:p>
        </w:tc>
        <w:tc>
          <w:tcPr>
            <w:tcW w:type="dxa" w:w="2880"/>
          </w:tcPr>
          <w:p>
            <w:r/>
            <w:r>
              <w:rPr>
                <w:sz w:val="16"/>
              </w:rPr>
              <w:t>Investor deck describes Voss DLA as “exclusive” (DLA § 2.1 says non-exclusive)</w:t>
            </w:r>
          </w:p>
        </w:tc>
        <w:tc>
          <w:tcPr>
            <w:tcW w:type="dxa" w:w="1872"/>
          </w:tcPr>
          <w:p>
            <w:r/>
            <w:r>
              <w:rPr>
                <w:sz w:val="16"/>
              </w:rPr>
              <w:t>Deck slides 6–7; DLA § 2.1</w:t>
            </w:r>
          </w:p>
        </w:tc>
        <w:tc>
          <w:tcPr>
            <w:tcW w:type="dxa" w:w="1152"/>
            <w:shd w:val="clear" w:color="auto" w:fill="FFF2CC"/>
          </w:tcPr>
          <w:p>
            <w:r/>
            <w:r>
              <w:rPr>
                <w:sz w:val="16"/>
              </w:rPr>
              <w:t>MEDIUM</w:t>
            </w:r>
          </w:p>
        </w:tc>
        <w:tc>
          <w:tcPr>
            <w:tcW w:type="dxa" w:w="3024"/>
          </w:tcPr>
          <w:p>
            <w:r/>
            <w:r>
              <w:rPr>
                <w:sz w:val="16"/>
              </w:rPr>
              <w:t>Correct deck before further investor/customer use</w:t>
            </w:r>
          </w:p>
        </w:tc>
      </w:tr>
      <w:tr>
        <w:tc>
          <w:tcPr>
            <w:tcW w:type="dxa" w:w="432"/>
          </w:tcPr>
          <w:p>
            <w:r/>
            <w:r>
              <w:rPr>
                <w:sz w:val="16"/>
              </w:rPr>
              <w:t>27</w:t>
            </w:r>
          </w:p>
        </w:tc>
        <w:tc>
          <w:tcPr>
            <w:tcW w:type="dxa" w:w="2880"/>
          </w:tcPr>
          <w:p>
            <w:r/>
            <w:r>
              <w:rPr>
                <w:sz w:val="16"/>
              </w:rPr>
              <w:t>Negotiation exclusivity expiry (May 21, 2025) vs. consent timelines</w:t>
            </w:r>
          </w:p>
        </w:tc>
        <w:tc>
          <w:tcPr>
            <w:tcW w:type="dxa" w:w="1872"/>
          </w:tcPr>
          <w:p>
            <w:r/>
            <w:r>
              <w:rPr>
                <w:sz w:val="16"/>
              </w:rPr>
              <w:t>TS § 17; LOI</w:t>
            </w:r>
          </w:p>
        </w:tc>
        <w:tc>
          <w:tcPr>
            <w:tcW w:type="dxa" w:w="1152"/>
            <w:shd w:val="clear" w:color="auto" w:fill="FFF2CC"/>
          </w:tcPr>
          <w:p>
            <w:r/>
            <w:r>
              <w:rPr>
                <w:sz w:val="16"/>
              </w:rPr>
              <w:t>MEDIUM</w:t>
            </w:r>
          </w:p>
        </w:tc>
        <w:tc>
          <w:tcPr>
            <w:tcW w:type="dxa" w:w="3024"/>
          </w:tcPr>
          <w:p>
            <w:r/>
            <w:r>
              <w:rPr>
                <w:sz w:val="16"/>
              </w:rPr>
              <w:t>Seek mutual extension; keep § 17 limited to exclusive rights</w:t>
            </w:r>
          </w:p>
        </w:tc>
      </w:tr>
      <w:tr>
        <w:tc>
          <w:tcPr>
            <w:tcW w:type="dxa" w:w="432"/>
          </w:tcPr>
          <w:p>
            <w:r/>
            <w:r>
              <w:rPr>
                <w:sz w:val="16"/>
              </w:rPr>
              <w:t>28</w:t>
            </w:r>
          </w:p>
        </w:tc>
        <w:tc>
          <w:tcPr>
            <w:tcW w:type="dxa" w:w="2880"/>
          </w:tcPr>
          <w:p>
            <w:r/>
            <w:r>
              <w:rPr>
                <w:sz w:val="16"/>
              </w:rPr>
              <w:t>Drafting inconsistencies between TS and SL; terminology (SOC 2 “certification”); SL signature block</w:t>
            </w:r>
          </w:p>
        </w:tc>
        <w:tc>
          <w:tcPr>
            <w:tcW w:type="dxa" w:w="1872"/>
          </w:tcPr>
          <w:p>
            <w:r/>
            <w:r>
              <w:rPr>
                <w:sz w:val="16"/>
              </w:rPr>
              <w:t>TS/SL passim</w:t>
            </w:r>
          </w:p>
        </w:tc>
        <w:tc>
          <w:tcPr>
            <w:tcW w:type="dxa" w:w="1152"/>
            <w:shd w:val="clear" w:color="auto" w:fill="D9EAD3"/>
          </w:tcPr>
          <w:p>
            <w:r/>
            <w:r>
              <w:rPr>
                <w:sz w:val="16"/>
              </w:rPr>
              <w:t>LOW</w:t>
            </w:r>
          </w:p>
        </w:tc>
        <w:tc>
          <w:tcPr>
            <w:tcW w:type="dxa" w:w="3024"/>
          </w:tcPr>
          <w:p>
            <w:r/>
            <w:r>
              <w:rPr>
                <w:sz w:val="16"/>
              </w:rPr>
              <w:t>Conform documents; single integrated definitive agreement</w:t>
            </w:r>
          </w:p>
        </w:tc>
      </w:tr>
    </w:tbl>
    <w:p>
      <w:pPr>
        <w:spacing w:after="40"/>
      </w:pPr>
    </w:p>
    <w:p>
      <w:pPr>
        <w:pStyle w:val="Heading1"/>
      </w:pPr>
      <w:r>
        <w:t>V. Detailed Analysis</w:t>
      </w:r>
    </w:p>
    <w:p>
      <w:pPr>
        <w:pStyle w:val="Heading2"/>
      </w:pPr>
      <w:r>
        <w:t>A. Critical Issues</w:t>
      </w:r>
    </w:p>
    <w:p>
      <w:pPr>
        <w:pStyle w:val="Heading3"/>
      </w:pPr>
      <w:r>
        <w:t>Issue 1 — Ridgeline Ventures Consent (IRA §§ 7.3 and 7.4)  [CRITICAL — GATING]</w:t>
      </w:r>
    </w:p>
    <w:p>
      <w:pPr>
        <w:spacing w:after="120"/>
      </w:pPr>
      <w:r>
        <w:rPr>
          <w:b/>
        </w:rPr>
        <w:t>Provisions.</w:t>
      </w:r>
      <w:r>
        <w:t xml:space="preserve"> IRA § 7.4 prohibits Atherton from entering into, “</w:t>
      </w:r>
      <w:r>
        <w:rPr>
          <w:b/>
        </w:rPr>
        <w:t>or commit[ting] to enter into</w:t>
      </w:r>
      <w:r>
        <w:t xml:space="preserve">,” any Exclusive License of Core IP Assets without the </w:t>
      </w:r>
      <w:r>
        <w:rPr>
          <w:b/>
        </w:rPr>
        <w:t>prior written consent of the Lead Investor Director</w:t>
      </w:r>
      <w:r>
        <w:t xml:space="preserve"> (currently Samir Okafor), which may be withheld in his </w:t>
      </w:r>
      <w:r>
        <w:rPr>
          <w:b/>
        </w:rPr>
        <w:t>sole discretion</w:t>
      </w:r>
      <w:r>
        <w:t xml:space="preserve">, where (i) the initial term (excluding renewals) exceeds three years, or (ii) the license covers or could reasonably be expected to cover more than 30% of any Defined Market Segment. Separately, IRA § 7.3 requires </w:t>
      </w:r>
      <w:r>
        <w:rPr>
          <w:b/>
        </w:rPr>
        <w:t>prior Board approval, including the affirmative vote of the Lead Investor Director</w:t>
      </w:r>
      <w:r>
        <w:t xml:space="preserve">, for any license of material IP to a single counterparty involving aggregate consideration above </w:t>
      </w:r>
      <w:r>
        <w:rPr>
          <w:b/>
        </w:rPr>
        <w:t>$20,000,000</w:t>
      </w:r>
      <w:r>
        <w:t xml:space="preserve"> over the life of the agreement.</w:t>
      </w:r>
    </w:p>
    <w:p>
      <w:pPr>
        <w:spacing w:after="120"/>
      </w:pPr>
      <w:r>
        <w:rPr>
          <w:b/>
        </w:rPr>
        <w:t>Analysis.</w:t>
      </w:r>
    </w:p>
    <w:p>
      <w:pPr>
        <w:pStyle w:val="ListBullet"/>
        <w:spacing w:after="60"/>
      </w:pPr>
      <w:r>
        <w:rPr>
          <w:b/>
        </w:rPr>
        <w:t>Trigger (i) is clearly met</w:t>
      </w:r>
      <w:r>
        <w:t>: the Initial Term is 7 years (TS § 4.1). The definition expressly captures licenses “exclusive within a defined geographic territory, field of use, or market segment,” so the network- and radius-based exclusivity (TS §§ 2.1, 3) qualifies. ClearSight AI’s algorithms, model weights and patents will almost certainly be “Core IP Assets” (confirm against IRA § 1.8).</w:t>
      </w:r>
    </w:p>
    <w:p>
      <w:pPr>
        <w:pStyle w:val="ListBullet"/>
        <w:spacing w:after="60"/>
      </w:pPr>
      <w:r>
        <w:rPr>
          <w:b/>
        </w:rPr>
        <w:t>Trigger (ii) should also be assessed</w:t>
      </w:r>
      <w:r>
        <w:t xml:space="preserve"> against the Defined Market Segments in the Board’s most recent strategic-plan segmentation analysis. A 43-hospital, 9-state network plus a 30-mile radius could exceed 30% of a regional segment (e.g., Mid-Atlantic/Southeast acute-care imaging). This matters less for this approval (trigger (i) already applies) but frames how Ridgeline will evaluate the radius.</w:t>
      </w:r>
    </w:p>
    <w:p>
      <w:pPr>
        <w:pStyle w:val="ListBullet"/>
        <w:spacing w:after="60"/>
      </w:pPr>
      <w:r>
        <w:rPr>
          <w:b/>
        </w:rPr>
        <w:t>IRA § 7.3 is a separate, cumulative requirement</w:t>
      </w:r>
      <w:r>
        <w:t xml:space="preserve"> (§ 7.5(a)): the $45.0 million commitment (and up to ~$51 million with CPI, more with renewals) exceeds $20 million. Mr. Okafor’s affirmative vote at a properly constituted Board meeting is needed </w:t>
      </w:r>
      <w:r>
        <w:rPr>
          <w:b/>
        </w:rPr>
        <w:t>in addition to</w:t>
      </w:r>
      <w:r>
        <w:t xml:space="preserve"> his separate written § 7.4 consent. A Board vote alone does not satisfy § 7.4 and vice versa.</w:t>
      </w:r>
    </w:p>
    <w:p>
      <w:pPr>
        <w:pStyle w:val="ListBullet"/>
        <w:spacing w:after="60"/>
      </w:pPr>
      <w:r>
        <w:rPr>
          <w:b/>
        </w:rPr>
        <w:t>Procedure and timing.</w:t>
      </w:r>
      <w:r>
        <w:t xml:space="preserve"> Atherton must deliver the proposed Exclusive License or a reasonably detailed summary (counterparty, material economics, term/renewals, scope of exclusivity) </w:t>
      </w:r>
      <w:r>
        <w:rPr>
          <w:b/>
        </w:rPr>
        <w:t>not less than 15 business days before</w:t>
      </w:r>
      <w:r>
        <w:t xml:space="preserve"> the Board meeting at which the transaction is considered. For the April 22, 2025 meeting, that deadline was </w:t>
      </w:r>
      <w:r>
        <w:rPr>
          <w:b/>
        </w:rPr>
        <w:t>April 1, 2025</w:t>
      </w:r>
      <w:r>
        <w:t xml:space="preserve">. Mr. Okafor then has </w:t>
      </w:r>
      <w:r>
        <w:rPr>
          <w:b/>
        </w:rPr>
        <w:t>20 business days from receipt</w:t>
      </w:r>
      <w:r>
        <w:t xml:space="preserve"> to consent or object, and </w:t>
      </w:r>
      <w:r>
        <w:rPr>
          <w:b/>
        </w:rPr>
        <w:t>silence is not consent</w:t>
      </w:r>
      <w:r>
        <w:t xml:space="preserve">. If the package is delivered on April 15, 2025, the response window runs to approximately </w:t>
      </w:r>
      <w:r>
        <w:rPr>
          <w:b/>
        </w:rPr>
        <w:t>May 13, 2025</w:t>
      </w:r>
      <w:r>
        <w:t>. Informal briefing does not satisfy § 7.4; consent must be in writing and delivered to the principal office or by email to the GC (§ 7.5(c)).</w:t>
      </w:r>
    </w:p>
    <w:p>
      <w:pPr>
        <w:pStyle w:val="ListBullet"/>
        <w:spacing w:after="60"/>
      </w:pPr>
      <w:r>
        <w:rPr>
          <w:b/>
        </w:rPr>
        <w:t>“Commit to enter into.”</w:t>
      </w:r>
      <w:r>
        <w:t xml:space="preserve"> Because the Term Sheet’s binding provisions are limited to confidentiality and negotiation exclusivity (TS § 19.1), signing it should not itself be a commitment to enter into an Exclusive License. Nonetheless, out of caution we recommend that any Atherton signature on the Term Sheet be accompanied by an express statement that the Definitive Agreement is subject to Ridgeline consent and Board approval, and that Ridgeline be informed before signing.</w:t>
      </w:r>
    </w:p>
    <w:p>
      <w:pPr>
        <w:pStyle w:val="ListBullet"/>
        <w:spacing w:after="60"/>
      </w:pPr>
      <w:r>
        <w:rPr>
          <w:b/>
        </w:rPr>
        <w:t>Consequences of proceeding without consent.</w:t>
      </w:r>
      <w:r>
        <w:t xml:space="preserve"> At Ridgeline’s election (by notice within 90 days of awareness), the license is deemed a </w:t>
      </w:r>
      <w:r>
        <w:rPr>
          <w:b/>
        </w:rPr>
        <w:t>material breach of the IRA</w:t>
      </w:r>
      <w:r>
        <w:t xml:space="preserve">; Ridgeline may also seek </w:t>
      </w:r>
      <w:r>
        <w:rPr>
          <w:b/>
        </w:rPr>
        <w:t>specific performance and injunctive relief to prevent consummation</w:t>
      </w:r>
      <w:r>
        <w:t xml:space="preserve">. Collateral effects: Atherton’s representation that it has “full authority to grant the licenses” (TS § 13.1(b)) would be inaccurate, triggering Kaelen’s indemnity claim (TS § 14.1(a)); directors approving the transaction would face fiduciary/contract exposure; and investor relations would be damaged ahead of any future financing. </w:t>
      </w:r>
      <w:r>
        <w:rPr>
          <w:b/>
        </w:rPr>
        <w:t>Atherton should not sign the Definitive Agreement without both approvals.</w:t>
      </w:r>
    </w:p>
    <w:p>
      <w:pPr>
        <w:pStyle w:val="ListBullet"/>
        <w:spacing w:after="60"/>
      </w:pPr>
      <w:r>
        <w:rPr>
          <w:b/>
        </w:rPr>
        <w:t>Waiver mechanics.</w:t>
      </w:r>
      <w:r>
        <w:t xml:space="preserve"> Any waiver or amendment of § 7.4 requires a written instrument signed by </w:t>
      </w:r>
      <w:r>
        <w:rPr>
          <w:b/>
        </w:rPr>
        <w:t>the Lead Investor (Ridgeline Ventures LLC)</w:t>
      </w:r>
      <w:r>
        <w:t>, while consent is given by the Lead Investor Director. To avoid any argument about capacity, the consent should be countersigned by both Mr. Okafor and an authorized signatory of Ridgeline.</w:t>
      </w:r>
    </w:p>
    <w:p>
      <w:pPr>
        <w:pStyle w:val="ListBullet"/>
        <w:spacing w:after="60"/>
      </w:pPr>
      <w:r>
        <w:rPr>
          <w:b/>
        </w:rPr>
        <w:t>Related-party check.</w:t>
      </w:r>
      <w:r>
        <w:t xml:space="preserve"> Confirm Kaelen is not a &gt;5% stockholder or affiliate of one (IRA § 7.2(a)), and whether deployment hardware or integration build-out could require capital expenditure above $3,000,000 outside the approved budget (IRA § 7.2(b)); either would require additional Okafor consent.</w:t>
      </w:r>
    </w:p>
    <w:p>
      <w:pPr>
        <w:spacing w:after="120"/>
      </w:pPr>
      <w:r>
        <w:rPr>
          <w:b/>
        </w:rPr>
        <w:t>Recommendations.</w:t>
      </w:r>
      <w:r>
        <w:t xml:space="preserve"> (1) Deliver a § 7.4 package to Mr. Okafor immediately (this memo’s Parts III–IV can form the basis), with a cover letter expressly invoking § 7.4 so the 20-business-day clock starts. (2) Use April 22 for an informational presentation and schedule a special Board meeting at least 15 business days after delivery (late May/early June) for the formal § 7.3 vote. (3) Obtain Kaelen’s written consent under TS § 16 before sharing the Term Sheet with the Ridgeline entity (Mr. Okafor, as a director, falls within the § 16.1(a) exception, but Ridgeline’s investment team may not). (4) Add Ridgeline consent and Board approval as Atherton conditions precedent in TS § 15. (5) Expect Ridgeline to focus on the radius, MFL, escrow and perpetual license terms; negotiating those points (Issues 4, 5, 8, 10) will materially improve the odds of consent.</w:t>
      </w:r>
    </w:p>
    <w:p>
      <w:pPr>
        <w:pStyle w:val="Heading3"/>
      </w:pPr>
      <w:r>
        <w:t>Issue 2 — Voss Consent Required for Derivative Access by a 43-Hospital System (DLA § 4.3)  [CRITICAL — GATING]</w:t>
      </w:r>
    </w:p>
    <w:p>
      <w:pPr>
        <w:spacing w:after="120"/>
      </w:pPr>
      <w:r>
        <w:rPr>
          <w:b/>
        </w:rPr>
        <w:t>Provisions.</w:t>
      </w:r>
      <w:r>
        <w:t xml:space="preserve"> DLA § 4.3(b) prohibits Atherton from providing </w:t>
      </w:r>
      <w:r>
        <w:rPr>
          <w:b/>
        </w:rPr>
        <w:t>Derivative Access</w:t>
      </w:r>
      <w:r>
        <w:t xml:space="preserve"> to any Derivative Model to a single third party that, with its Affiliates, owns, operates, manages or controls </w:t>
      </w:r>
      <w:r>
        <w:rPr>
          <w:b/>
        </w:rPr>
        <w:t>more than 25 Hospital Facilities</w:t>
      </w:r>
      <w:r>
        <w:t xml:space="preserve">, without Voss’s prior written consent. “Derivative Access” expressly includes on-premises installation and any third party that submits data and receives diagnostic outputs (DLA § 1.4). Deck slide 7 confirms that </w:t>
      </w:r>
      <w:r>
        <w:rPr>
          <w:b/>
        </w:rPr>
        <w:t>all ClearSight AI production models incorporate Voss-sourced training data</w:t>
      </w:r>
      <w:r>
        <w:t xml:space="preserve">, so every deployed model is a Derivative Model (DLA § 1.3). Consent requests must be submitted </w:t>
      </w:r>
      <w:r>
        <w:rPr>
          <w:b/>
        </w:rPr>
        <w:t>at least 60 days before</w:t>
      </w:r>
      <w:r>
        <w:t xml:space="preserve"> the proposed grant, with specified information (§ 4.3(d)); Voss has 30 days to respond, may not unreasonably withhold, but </w:t>
      </w:r>
      <w:r>
        <w:rPr>
          <w:b/>
        </w:rPr>
        <w:t>may condition consent on additional fees, security requirements, usage restrictions or reporting</w:t>
      </w:r>
      <w:r>
        <w:t xml:space="preserve"> (§ 4.3(d)). The restriction applies whether or not Atherton is paid (§ 4.3(e)).</w:t>
      </w:r>
    </w:p>
    <w:p>
      <w:pPr>
        <w:spacing w:after="120"/>
      </w:pPr>
      <w:r>
        <w:rPr>
          <w:b/>
        </w:rPr>
        <w:t>Analysis.</w:t>
      </w:r>
    </w:p>
    <w:p>
      <w:pPr>
        <w:pStyle w:val="ListBullet"/>
        <w:spacing w:after="60"/>
      </w:pPr>
      <w:r>
        <w:t xml:space="preserve">Kaelen operates </w:t>
      </w:r>
      <w:r>
        <w:rPr>
          <w:b/>
        </w:rPr>
        <w:t>43</w:t>
      </w:r>
      <w:r>
        <w:t xml:space="preserve"> hospitals — well above the 25-facility threshold. The test is the size of the </w:t>
      </w:r>
      <w:r>
        <w:rPr>
          <w:b/>
        </w:rPr>
        <w:t>counterparty</w:t>
      </w:r>
      <w:r>
        <w:t>, not the size of the deployment.</w:t>
      </w:r>
    </w:p>
    <w:p>
      <w:pPr>
        <w:pStyle w:val="ListBullet"/>
        <w:spacing w:after="60"/>
      </w:pPr>
      <w:r>
        <w:rPr>
          <w:b/>
        </w:rPr>
        <w:t>Timeline.</w:t>
      </w:r>
      <w:r>
        <w:t xml:space="preserve"> For a July 1, 2025 Effective Date, the request must be submitted </w:t>
      </w:r>
      <w:r>
        <w:rPr>
          <w:b/>
        </w:rPr>
        <w:t>no later than May 2, 2025</w:t>
      </w:r>
      <w:r>
        <w:t>; Voss’s response would then be due by about June 1, 2025. If Kaelen pushes deployment or any access earlier, the deadline moves earlier. Any slippage pushes the Effective Date.</w:t>
      </w:r>
    </w:p>
    <w:p>
      <w:pPr>
        <w:pStyle w:val="ListBullet"/>
        <w:spacing w:after="60"/>
      </w:pPr>
      <w:r>
        <w:rPr>
          <w:b/>
        </w:rPr>
        <w:t>Economic risk.</w:t>
      </w:r>
      <w:r>
        <w:t xml:space="preserve"> Voss may condition consent on additional fees or restrictions; those costs are not reflected in Kaelen pricing. The consent request must also describe the “anticipated duration” of access — which, given the perpetual Improvements license and escrow post-release license, could be read as perpetual.</w:t>
      </w:r>
    </w:p>
    <w:p>
      <w:pPr>
        <w:pStyle w:val="ListBullet"/>
        <w:spacing w:after="60"/>
      </w:pPr>
      <w:r>
        <w:rPr>
          <w:b/>
        </w:rPr>
        <w:t>Pilot exposure.</w:t>
      </w:r>
      <w:r>
        <w:t xml:space="preserve"> The June–December 2024 pilot at three Kaelen facilities appears to have provided Derivative Access to the same 43-hospital entity. If Voss consent was not obtained, Atherton may already be in breach of § 4.3(b), exposing it to Voss audit (§ 4.5, including for-cause audits), a 60-day cure/termination right (§ 8.3), and loss of the data feed on which quarterly updates depend. Submitting the Kaelen consent request will likely surface the pilot; the issue should be investigated and, if necessary, addressed proactively (e.g., retroactive consent) in the same request.</w:t>
      </w:r>
    </w:p>
    <w:p>
      <w:pPr>
        <w:pStyle w:val="ListBullet"/>
        <w:spacing w:after="60"/>
      </w:pPr>
      <w:r>
        <w:rPr>
          <w:b/>
        </w:rPr>
        <w:t>Existing licensees</w:t>
      </w:r>
      <w:r>
        <w:t xml:space="preserve"> are each at or below 25 facilities (Pinnacle 12, SRMA 8, GLCN 17), so § 4.3(c) applies to them, provided Atherton maintains the required anti-extraction safeguards.</w:t>
      </w:r>
    </w:p>
    <w:p>
      <w:pPr>
        <w:spacing w:after="120"/>
      </w:pPr>
      <w:r>
        <w:rPr>
          <w:b/>
        </w:rPr>
        <w:t>Recommendations.</w:t>
      </w:r>
      <w:r>
        <w:t xml:space="preserve"> (1) Confirm immediately whether Voss consent was sought for the pilot. (2) Obtain Kaelen’s written consent to disclose the transaction to Voss (TS § 16). (3) Submit a § 4.3(d)-compliant request by </w:t>
      </w:r>
      <w:r>
        <w:rPr>
          <w:b/>
        </w:rPr>
        <w:t>May 2, 2025</w:t>
      </w:r>
      <w:r>
        <w:t>, framed to cover the Initial Term, Renewal Periods and any post-termination use. (4) Make Voss consent (on terms acceptable to Atherton) an Atherton condition precedent, and provide that Effective Date and all time-based milestones float until it is obtained. (5) Ensure Kaelen’s pricing absorbs any Voss consent fee, or include a pass-through.</w:t>
      </w:r>
    </w:p>
    <w:p>
      <w:pPr>
        <w:pStyle w:val="Heading3"/>
      </w:pPr>
      <w:r>
        <w:t>Issue 3 — Voss DLA Term vs. Kaelen Term: Training-Data Continuity  [CRITICAL]</w:t>
      </w:r>
    </w:p>
    <w:p>
      <w:pPr>
        <w:spacing w:after="120"/>
      </w:pPr>
      <w:r>
        <w:rPr>
          <w:b/>
        </w:rPr>
        <w:t>Provisions.</w:t>
      </w:r>
      <w:r>
        <w:t xml:space="preserve"> The DLA Initial Term ends </w:t>
      </w:r>
      <w:r>
        <w:rPr>
          <w:b/>
        </w:rPr>
        <w:t>December 31, 2027</w:t>
      </w:r>
      <w:r>
        <w:t xml:space="preserve">; Atherton may renew once for three years (to </w:t>
      </w:r>
      <w:r>
        <w:rPr>
          <w:b/>
        </w:rPr>
        <w:t>December 31, 2030</w:t>
      </w:r>
      <w:r>
        <w:t xml:space="preserve">) by notice no later than </w:t>
      </w:r>
      <w:r>
        <w:rPr>
          <w:b/>
        </w:rPr>
        <w:t>July 4, 2027</w:t>
      </w:r>
      <w:r>
        <w:t xml:space="preserve">, with fees to be negotiated — and if not agreed, either party may terminate at the end of the Initial Term (DLA § 8.2). There is no further renewal (§ 8.2(d)). After expiry Atherton may keep deploying existing Derivative Models but </w:t>
      </w:r>
      <w:r>
        <w:rPr>
          <w:b/>
        </w:rPr>
        <w:t>may not train, retrain, fine-tune or update</w:t>
      </w:r>
      <w:r>
        <w:t xml:space="preserve"> any model using Voss data (§ 8.4(b)). Voss may also terminate on an Atherton change of control (§ 11.2).</w:t>
      </w:r>
    </w:p>
    <w:p>
      <w:pPr>
        <w:spacing w:after="120"/>
      </w:pPr>
      <w:r>
        <w:rPr>
          <w:b/>
        </w:rPr>
        <w:t>Analysis.</w:t>
      </w:r>
      <w:r>
        <w:t xml:space="preserve"> Kaelen’s Initial Term ends June 30, 2032 and may extend to June 30, 2038. Over that period Atherton must deliver </w:t>
      </w:r>
      <w:r>
        <w:rPr>
          <w:b/>
        </w:rPr>
        <w:t>quarterly model updates</w:t>
      </w:r>
      <w:r>
        <w:t xml:space="preserve"> “incorporating … expanded training data integration” (TS § 11.1; SL § 6.1), achieve and sustain performance thresholds, keep FDA clearance (TS § 10.1), and support all sites. Deck slides 7 and 14 confirm Voss data is “integral to model training, validation, and quarterly update cycles” and that long-term data access beyond the DLA has not been secured. Between 2028 (or 2031) and 2038, Atherton could be contractually bound to improve models it is legally prohibited from retraining with Voss data. Any retraining that removes Voss contributions would require new validation and potentially new FDA submissions. Voss will also gain significant leverage at the 2027 renewal once a $45 million contract depends on it.</w:t>
      </w:r>
    </w:p>
    <w:p>
      <w:pPr>
        <w:spacing w:after="120"/>
      </w:pPr>
      <w:r>
        <w:rPr>
          <w:b/>
        </w:rPr>
        <w:t>Recommendations.</w:t>
      </w:r>
      <w:r>
        <w:t xml:space="preserve"> (1) Before signing, open discussions with Voss on a long-term renewal/extension (possibly bundled with the § 4.3 consent). (2) Develop a data-independence plan — including leveraging the De-Identified Kaelen Data license (TS § 8.2), segregated from Voss data. (3) In the definitive agreement, define update obligations as “commercially reasonable” improvements and bug fixes, expressly excuse model retraining obligations to the extent dependent on third-party data rights that have lapsed, and exclude any such lapse from breach, escrow-release and termination triggers. (4) Confirm the Kaelen license and escrow terms do not purport to grant Kaelen rights in Derivative Models beyond what Voss permits post-term.</w:t>
      </w:r>
    </w:p>
    <w:p>
      <w:pPr>
        <w:pStyle w:val="Heading3"/>
      </w:pPr>
      <w:r>
        <w:t>Issue 4 — Source Code Escrow of Model Weights and Training Pipelines  [CRITICAL]</w:t>
      </w:r>
    </w:p>
    <w:p>
      <w:pPr>
        <w:spacing w:after="120"/>
      </w:pPr>
      <w:r>
        <w:rPr>
          <w:b/>
        </w:rPr>
        <w:t>Provisions.</w:t>
      </w:r>
      <w:r>
        <w:t xml:space="preserve"> TS § 9.1 requires deposit within 90 days of: (a) complete source code; (b) </w:t>
      </w:r>
      <w:r>
        <w:rPr>
          <w:b/>
        </w:rPr>
        <w:t>all production model weights</w:t>
      </w:r>
      <w:r>
        <w:t xml:space="preserve"> as deployed at Kaelen; (c) </w:t>
      </w:r>
      <w:r>
        <w:rPr>
          <w:b/>
        </w:rPr>
        <w:t>training pipelines</w:t>
      </w:r>
      <w:r>
        <w:t xml:space="preserve"> (preprocessing scripts, training configurations, hyperparameters); and (d) all build/train documentation. Release triggers (§ 9.2): (a) any insolvency proceeding “by or against” Atherton; (b) </w:t>
      </w:r>
      <w:r>
        <w:rPr>
          <w:b/>
        </w:rPr>
        <w:t>any material breach uncured for 60 days</w:t>
      </w:r>
      <w:r>
        <w:t xml:space="preserve">; or (c) cessation of active development for 12+ consecutive months. On release, Kaelen receives a perpetual, royalty-free license to </w:t>
      </w:r>
      <w:r>
        <w:rPr>
          <w:b/>
        </w:rPr>
        <w:t>use, modify and deploy</w:t>
      </w:r>
      <w:r>
        <w:t xml:space="preserve"> the materials (§ 9.3), which survives termination (§ 12.5(d)). Establishment of escrow is also a closing condition (TS § 15.1(d)).</w:t>
      </w:r>
    </w:p>
    <w:p>
      <w:pPr>
        <w:spacing w:after="120"/>
      </w:pPr>
      <w:r>
        <w:rPr>
          <w:b/>
        </w:rPr>
        <w:t>Analysis.</w:t>
      </w:r>
    </w:p>
    <w:p>
      <w:pPr>
        <w:pStyle w:val="ListBullet"/>
        <w:spacing w:after="60"/>
      </w:pPr>
      <w:r>
        <w:rPr>
          <w:b/>
        </w:rPr>
        <w:t>Trade-secret risk.</w:t>
      </w:r>
      <w:r>
        <w:t xml:space="preserve"> Deck slide 9 identifies model weights and training pipelines as Atherton’s “highest-tier trade secrets” and “single most valuable asset,” and states a policy that they are </w:t>
      </w:r>
      <w:r>
        <w:rPr>
          <w:b/>
        </w:rPr>
        <w:t>never</w:t>
      </w:r>
      <w:r>
        <w:t xml:space="preserve"> shared with licensees or deposited with third parties under standard commercial terms. Releasing them to a licensee with modification rights would permit Kaelen (or its successor by merger — TS § 18.3) to retrain and replicate ClearSight AI. Even deposit increases leakage risk and may undercut “reasonable measures” needed to preserve trade-secret status.</w:t>
      </w:r>
    </w:p>
    <w:p>
      <w:pPr>
        <w:pStyle w:val="ListBullet"/>
        <w:spacing w:after="60"/>
      </w:pPr>
      <w:r>
        <w:rPr>
          <w:b/>
        </w:rPr>
        <w:t>Voss DLA conflict.</w:t>
      </w:r>
      <w:r>
        <w:t xml:space="preserve"> Model weights are expressly a Derivative Model (DLA § 1.3), and the Training Pipeline is defined as “a component of Licensee’s use of the Licensed Data” (DLA § 1.9). Depositing them with an escrow agent and releasing them to Kaelen with modification rights is in tension with DLA §§ 2.1 (license personal to Atherton), 4.1(c) (use only for the Authorized Purpose, which covers “internal commercial deployment” of Atherton’s own models), 4.3(a)–(b) (no sublicensing/Derivative Access without consent) and the anti-extraction safeguards in § 4.3(c), as well as the omitted DLA confidentiality provisions (§ 6). Voss consent would be needed at a minimum.</w:t>
      </w:r>
    </w:p>
    <w:p>
      <w:pPr>
        <w:pStyle w:val="ListBullet"/>
        <w:spacing w:after="60"/>
      </w:pPr>
      <w:r>
        <w:rPr>
          <w:b/>
        </w:rPr>
        <w:t>Overbroad triggers.</w:t>
      </w:r>
      <w:r>
        <w:t xml:space="preserve"> Trigger (b) converts any uncured material breach — including the SOC 2 Type II issue (SL § 5.2) or an SLA dispute — into release of the crown jewels. Trigger (a) includes involuntary petitions “against” Atherton (which can be filed by creditors without merit), and trigger (c) is undefined (what is “active development”?). Pinnacle § 9.1 already commits Atherton not to cease development for more than 12 months, so trigger (c) is achievable but must be defined.</w:t>
      </w:r>
    </w:p>
    <w:p>
      <w:pPr>
        <w:pStyle w:val="ListBullet"/>
        <w:spacing w:after="60"/>
      </w:pPr>
      <w:r>
        <w:rPr>
          <w:b/>
        </w:rPr>
        <w:t>Practical utility.</w:t>
      </w:r>
      <w:r>
        <w:t xml:space="preserve"> Running and retraining ClearSight AI requires data, infrastructure and regulatory clearance Kaelen lacks; Kaelen’s legitimate interest is business continuity, which a narrower escrow can protect.</w:t>
      </w:r>
    </w:p>
    <w:p>
      <w:pPr>
        <w:spacing w:after="120"/>
      </w:pPr>
      <w:r>
        <w:rPr>
          <w:b/>
        </w:rPr>
        <w:t>Recommendations.</w:t>
      </w:r>
      <w:r>
        <w:t xml:space="preserve"> Escrow limited to source code, object code and deployment/build documentation for the version deployed at Kaelen; </w:t>
      </w:r>
      <w:r>
        <w:rPr>
          <w:b/>
        </w:rPr>
        <w:t>exclude training pipelines entirely</w:t>
      </w:r>
      <w:r>
        <w:t xml:space="preserve">; if model weights must be included, deposit only in encrypted, executable form with a </w:t>
      </w:r>
      <w:r>
        <w:rPr>
          <w:b/>
        </w:rPr>
        <w:t>use-only</w:t>
      </w:r>
      <w:r>
        <w:t xml:space="preserve"> (no modification, no retraining, no reverse engineering) license limited to the Kaelen Network, for the remainder of the then-current Term plus a short transition period, and subject to Voss consent. Limit release to (i) voluntary bankruptcy or an involuntary petition not dismissed within 60–90 days, together with rejection of the agreement or failure to support; and (ii) Atherton’s permanent cessation of support of the Platform without a successor. Delete the general-breach trigger. Add escrow-agent confidentiality, Atherton verification rights, and Kaelen-borne escrow fees. Move escrow establishment from a closing condition to a post-closing covenant (TS § 9.1 already contemplates 90 days).</w:t>
      </w:r>
    </w:p>
    <w:p>
      <w:pPr>
        <w:pStyle w:val="Heading3"/>
      </w:pPr>
      <w:r>
        <w:t>Issue 5 — Perpetual License to Improvements (TS § 7.2)  [CRITICAL]</w:t>
      </w:r>
    </w:p>
    <w:p>
      <w:pPr>
        <w:spacing w:after="120"/>
      </w:pPr>
      <w:r>
        <w:rPr>
          <w:b/>
        </w:rPr>
        <w:t>Provisions.</w:t>
      </w:r>
      <w:r>
        <w:t xml:space="preserve"> “Improvements” means improvements, modifications, enhancements, derivative works or </w:t>
      </w:r>
      <w:r>
        <w:rPr>
          <w:b/>
        </w:rPr>
        <w:t>updates</w:t>
      </w:r>
      <w:r>
        <w:t xml:space="preserve"> to the Platform developed by </w:t>
      </w:r>
      <w:r>
        <w:rPr>
          <w:b/>
        </w:rPr>
        <w:t>either party</w:t>
      </w:r>
      <w:r>
        <w:t xml:space="preserve"> (TS § 1). Atherton owns all Improvements (§ 7.2), but Kaelen receives a </w:t>
      </w:r>
      <w:r>
        <w:rPr>
          <w:b/>
        </w:rPr>
        <w:t>perpetual, royalty-free, non-exclusive license</w:t>
      </w:r>
      <w:r>
        <w:t xml:space="preserve"> to use them for internal clinical purposes that </w:t>
      </w:r>
      <w:r>
        <w:rPr>
          <w:b/>
        </w:rPr>
        <w:t>survives any expiration or termination</w:t>
      </w:r>
      <w:r>
        <w:t xml:space="preserve"> (§§ 7.2, 12.5(b)).</w:t>
      </w:r>
    </w:p>
    <w:p>
      <w:pPr>
        <w:spacing w:after="120"/>
      </w:pPr>
      <w:r>
        <w:rPr>
          <w:b/>
        </w:rPr>
        <w:t>Analysis.</w:t>
      </w:r>
      <w:r>
        <w:t xml:space="preserve"> Atherton’s ownership of Kaelen-developed improvements is favorable (but requires present-tense assignment language, employee/radiologist assignment obligations and cooperation in patent prosecution to be effective). The license-back, however, covers Atherton’s own quarterly updates and modifications — in substance </w:t>
      </w:r>
      <w:r>
        <w:rPr>
          <w:b/>
        </w:rPr>
        <w:t>the whole current Platform</w:t>
      </w:r>
      <w:r>
        <w:t xml:space="preserve">. Read literally, after any termination (including Kaelen’s penalty-free performance termination, or Atherton’s termination for Kaelen’s non-payment), Kaelen could keep using the latest ClearSight AI release across 43 hospitals </w:t>
      </w:r>
      <w:r>
        <w:rPr>
          <w:b/>
        </w:rPr>
        <w:t>for free, forever</w:t>
      </w:r>
      <w:r>
        <w:t>. That undermines the fee structure, conflicts with the Voss DLA (perpetual Derivative Access to a &gt;25-facility system without consent; post-term use limited by DLA § 8.4), and creates FDA/post-market issues (an unsupported, unmonitored device in clinical use).</w:t>
      </w:r>
    </w:p>
    <w:p>
      <w:pPr>
        <w:spacing w:after="120"/>
      </w:pPr>
      <w:r>
        <w:rPr>
          <w:b/>
        </w:rPr>
        <w:t>Recommendations.</w:t>
      </w:r>
      <w:r>
        <w:t xml:space="preserve"> Limit the license-back to improvements </w:t>
      </w:r>
      <w:r>
        <w:rPr>
          <w:b/>
        </w:rPr>
        <w:t>conceived solely by Kaelen</w:t>
      </w:r>
      <w:r>
        <w:t xml:space="preserve"> (if any is granted at all); make it co-terminous with the Agreement (or, at most, a short post-term wind-down while Kaelen transitions); exclude Atherton-developed Improvements and Model Updates, which are licensed only as part of the Platform during the Term; terminate it on termination for Kaelen breach; and make it subject to the third-party data licenses. Strengthen § 7.2 with a present assignment (“hereby assigns”), moral-rights waiver, and further-assurances clause.</w:t>
      </w:r>
    </w:p>
    <w:p>
      <w:pPr>
        <w:pStyle w:val="Heading3"/>
      </w:pPr>
      <w:r>
        <w:t>Issue 6 — SOC 2 Type II Gap (TS § 10.3; SL § 5.2)  [CRITICAL — GC-flagged]</w:t>
      </w:r>
    </w:p>
    <w:p>
      <w:pPr>
        <w:spacing w:after="120"/>
      </w:pPr>
      <w:r>
        <w:rPr>
          <w:b/>
        </w:rPr>
        <w:t>Provisions.</w:t>
      </w:r>
      <w:r>
        <w:t xml:space="preserve"> TS § 10.3 requires Atherton to “maintain SOC 2 Type II certification issued by a nationally recognized audit firm throughout the Term.” SL § 5.2 goes further: Atherton must </w:t>
      </w:r>
      <w:r>
        <w:rPr>
          <w:b/>
        </w:rPr>
        <w:t>obtain and maintain</w:t>
      </w:r>
      <w:r>
        <w:t xml:space="preserve"> Type II status, </w:t>
      </w:r>
      <w:r>
        <w:rPr>
          <w:b/>
        </w:rPr>
        <w:t>deliver a copy of its current SOC 2 Type II report no later than the Effective Date</w:t>
      </w:r>
      <w:r>
        <w:t xml:space="preserve">, and annually thereafter, and any failure to maintain it is a </w:t>
      </w:r>
      <w:r>
        <w:rPr>
          <w:b/>
        </w:rPr>
        <w:t>material breach</w:t>
      </w:r>
      <w:r>
        <w:t xml:space="preserve">, subject to the TS cure provisions (60 days under TS § 12.1). Atherton holds only a </w:t>
      </w:r>
      <w:r>
        <w:rPr>
          <w:b/>
        </w:rPr>
        <w:t>SOC 2 Type I</w:t>
      </w:r>
      <w:r>
        <w:t xml:space="preserve"> report (Greystone Audit Partners LLP, August 10, 2024); the Type II audit is in progress with completion anticipated in </w:t>
      </w:r>
      <w:r>
        <w:rPr>
          <w:b/>
        </w:rPr>
        <w:t>Q3 2025</w:t>
      </w:r>
      <w:r>
        <w:t xml:space="preserve"> (Deck slide 13; GC email).</w:t>
      </w:r>
    </w:p>
    <w:p>
      <w:pPr>
        <w:spacing w:after="120"/>
      </w:pPr>
      <w:r>
        <w:rPr>
          <w:b/>
        </w:rPr>
        <w:t>Analysis.</w:t>
      </w:r>
    </w:p>
    <w:p>
      <w:pPr>
        <w:pStyle w:val="ListBullet"/>
        <w:spacing w:after="60"/>
      </w:pPr>
      <w:r>
        <w:rPr>
          <w:b/>
        </w:rPr>
        <w:t>Day-1 non-compliance is near-certain.</w:t>
      </w:r>
      <w:r>
        <w:t xml:space="preserve"> Atherton cannot deliver a Type II report by July 1, 2025. Unless amended, Atherton would be in breach at signing, and its TS § 13 representations and the “maintain” covenant would be inaccurate.</w:t>
      </w:r>
    </w:p>
    <w:p>
      <w:pPr>
        <w:pStyle w:val="ListBullet"/>
        <w:spacing w:after="60"/>
      </w:pPr>
      <w:r>
        <w:rPr>
          <w:b/>
        </w:rPr>
        <w:t>Cascade risk.</w:t>
      </w:r>
      <w:r>
        <w:t xml:space="preserve"> A 60-day cure would run to about </w:t>
      </w:r>
      <w:r>
        <w:rPr>
          <w:b/>
        </w:rPr>
        <w:t>August 30, 2025</w:t>
      </w:r>
      <w:r>
        <w:t xml:space="preserve">; a Type II report issued late in Q3 (September) would miss it. An uncured material breach would allow Kaelen to terminate for cause (TS § 12.1) and — most seriously — would trigger </w:t>
      </w:r>
      <w:r>
        <w:rPr>
          <w:b/>
        </w:rPr>
        <w:t>escrow release</w:t>
      </w:r>
      <w:r>
        <w:t xml:space="preserve"> of source code, model weights and training pipelines (TS § 9.2(b)). Atherton’s capped liability would not protect against that.</w:t>
      </w:r>
    </w:p>
    <w:p>
      <w:pPr>
        <w:pStyle w:val="ListBullet"/>
        <w:spacing w:after="60"/>
      </w:pPr>
      <w:r>
        <w:rPr>
          <w:b/>
        </w:rPr>
        <w:t>Terminology.</w:t>
      </w:r>
      <w:r>
        <w:t xml:space="preserve"> SOC 2 is an AICPA attestation report, not a “certification.” A Type II report covers the operating effectiveness of controls over an observation period (typically 3–12 months), so the obligation should be framed as delivery of a Type II report with an unqualified opinion (or with exceptions remediated within a set period), not as “certification.”</w:t>
      </w:r>
    </w:p>
    <w:p>
      <w:pPr>
        <w:pStyle w:val="ListBullet"/>
        <w:spacing w:after="60"/>
      </w:pPr>
      <w:r>
        <w:rPr>
          <w:b/>
        </w:rPr>
        <w:t>Candor.</w:t>
      </w:r>
      <w:r>
        <w:t xml:space="preserve"> Kaelen should be told now. The status is already disclosed in Atherton’s product overview (slide 13), and concealment would create misrepresentation and fraud-in-the-inducement exposure; proactive disclosure with a credible plan converts a breach risk into a negotiated deliverable.</w:t>
      </w:r>
    </w:p>
    <w:p>
      <w:pPr>
        <w:spacing w:after="120"/>
      </w:pPr>
      <w:r>
        <w:rPr>
          <w:b/>
        </w:rPr>
        <w:t>Options evaluated:</w:t>
      </w:r>
    </w:p>
    <w:tbl>
      <w:tblPr>
        <w:tblStyle w:val="TableGrid"/>
        <w:tblW w:type="auto" w:w="0"/>
        <w:jc w:val="center"/>
        <w:tblLook w:firstColumn="1" w:firstRow="1" w:lastColumn="0" w:lastRow="0" w:noHBand="0" w:noVBand="1" w:val="04A0"/>
      </w:tblPr>
      <w:tblGrid>
        <w:gridCol w:w="3120"/>
        <w:gridCol w:w="3120"/>
        <w:gridCol w:w="3120"/>
      </w:tblGrid>
      <w:tr>
        <w:tc>
          <w:tcPr>
            <w:tcW w:type="dxa" w:w="2016"/>
            <w:shd w:val="clear" w:color="auto" w:fill="1F3A5F"/>
          </w:tcPr>
          <w:p>
            <w:r/>
            <w:r>
              <w:rPr>
                <w:b/>
                <w:color w:val="FFFFFF"/>
                <w:sz w:val="18"/>
              </w:rPr>
              <w:t>Option</w:t>
            </w:r>
          </w:p>
        </w:tc>
        <w:tc>
          <w:tcPr>
            <w:tcW w:type="dxa" w:w="4032"/>
            <w:shd w:val="clear" w:color="auto" w:fill="1F3A5F"/>
          </w:tcPr>
          <w:p>
            <w:r/>
            <w:r>
              <w:rPr>
                <w:b/>
                <w:color w:val="FFFFFF"/>
                <w:sz w:val="18"/>
              </w:rPr>
              <w:t>How it works</w:t>
            </w:r>
          </w:p>
        </w:tc>
        <w:tc>
          <w:tcPr>
            <w:tcW w:type="dxa" w:w="3312"/>
            <w:shd w:val="clear" w:color="auto" w:fill="1F3A5F"/>
          </w:tcPr>
          <w:p>
            <w:r/>
            <w:r>
              <w:rPr>
                <w:b/>
                <w:color w:val="FFFFFF"/>
                <w:sz w:val="18"/>
              </w:rPr>
              <w:t>Assessment</w:t>
            </w:r>
          </w:p>
        </w:tc>
      </w:tr>
      <w:tr>
        <w:tc>
          <w:tcPr>
            <w:tcW w:type="dxa" w:w="2016"/>
          </w:tcPr>
          <w:p>
            <w:r/>
            <w:r>
              <w:rPr>
                <w:sz w:val="18"/>
              </w:rPr>
              <w:t>A. Grace period (recommended)</w:t>
            </w:r>
          </w:p>
        </w:tc>
        <w:tc>
          <w:tcPr>
            <w:tcW w:type="dxa" w:w="4032"/>
          </w:tcPr>
          <w:p>
            <w:r/>
            <w:r>
              <w:rPr>
                <w:sz w:val="18"/>
              </w:rPr>
              <w:t xml:space="preserve">At signing: deliver Type I report + auditor bridge letter + description of Type II observation period; Type II report due by a date certain (e.g., </w:t>
            </w:r>
            <w:r>
              <w:rPr>
                <w:b/>
                <w:sz w:val="18"/>
              </w:rPr>
              <w:t>December 31, 2025</w:t>
            </w:r>
            <w:r>
              <w:rPr>
                <w:sz w:val="18"/>
              </w:rPr>
              <w:t>, or 90 days after the auditor’s scheduled issuance), with an interim compensating-controls plan.</w:t>
            </w:r>
          </w:p>
        </w:tc>
        <w:tc>
          <w:tcPr>
            <w:tcW w:type="dxa" w:w="3312"/>
          </w:tcPr>
          <w:p>
            <w:r/>
            <w:r>
              <w:rPr>
                <w:sz w:val="18"/>
              </w:rPr>
              <w:t>Preserves July 1 Effective Date and revenue; aligns obligation to reality; customary in healthcare SaaS/AI deals.</w:t>
            </w:r>
          </w:p>
        </w:tc>
      </w:tr>
      <w:tr>
        <w:tc>
          <w:tcPr>
            <w:tcW w:type="dxa" w:w="2016"/>
          </w:tcPr>
          <w:p>
            <w:r/>
            <w:r>
              <w:rPr>
                <w:sz w:val="18"/>
              </w:rPr>
              <w:t>B. Condition precedent / deferred Effective Date</w:t>
            </w:r>
          </w:p>
        </w:tc>
        <w:tc>
          <w:tcPr>
            <w:tcW w:type="dxa" w:w="4032"/>
          </w:tcPr>
          <w:p>
            <w:r/>
            <w:r>
              <w:rPr>
                <w:sz w:val="18"/>
              </w:rPr>
              <w:t>Effective Date occurs only upon delivery of Type II report.</w:t>
            </w:r>
          </w:p>
        </w:tc>
        <w:tc>
          <w:tcPr>
            <w:tcW w:type="dxa" w:w="3312"/>
          </w:tcPr>
          <w:p>
            <w:r/>
            <w:r>
              <w:rPr>
                <w:sz w:val="18"/>
              </w:rPr>
              <w:t>Removes breach risk but defers revenue and shifts all date-linked milestones (deployment, performance, payment); gives Kaelen a walk right if the audit slips; risks losing momentum before exclusivity lapses. Use only as fallback.</w:t>
            </w:r>
          </w:p>
        </w:tc>
      </w:tr>
      <w:tr>
        <w:tc>
          <w:tcPr>
            <w:tcW w:type="dxa" w:w="2016"/>
          </w:tcPr>
          <w:p>
            <w:r/>
            <w:r>
              <w:rPr>
                <w:sz w:val="18"/>
              </w:rPr>
              <w:t>C. Phased compliance</w:t>
            </w:r>
          </w:p>
        </w:tc>
        <w:tc>
          <w:tcPr>
            <w:tcW w:type="dxa" w:w="4032"/>
          </w:tcPr>
          <w:p>
            <w:r/>
            <w:r>
              <w:rPr>
                <w:sz w:val="18"/>
              </w:rPr>
              <w:t>Phase 1 limited to the three pilot facilities (and/or no Atherton remote access to PHI) until the Type II report is delivered; full roll-out thereafter.</w:t>
            </w:r>
          </w:p>
        </w:tc>
        <w:tc>
          <w:tcPr>
            <w:tcW w:type="dxa" w:w="3312"/>
          </w:tcPr>
          <w:p>
            <w:r/>
            <w:r>
              <w:rPr>
                <w:sz w:val="18"/>
              </w:rPr>
              <w:t>Workable complement to Option A; dovetails with phased deployment in SL § 1.2.</w:t>
            </w:r>
          </w:p>
        </w:tc>
      </w:tr>
      <w:tr>
        <w:tc>
          <w:tcPr>
            <w:tcW w:type="dxa" w:w="2016"/>
          </w:tcPr>
          <w:p>
            <w:r/>
            <w:r>
              <w:rPr>
                <w:sz w:val="18"/>
              </w:rPr>
              <w:t>D. Remedy carve-outs</w:t>
            </w:r>
          </w:p>
        </w:tc>
        <w:tc>
          <w:tcPr>
            <w:tcW w:type="dxa" w:w="4032"/>
          </w:tcPr>
          <w:p>
            <w:r/>
            <w:r>
              <w:rPr>
                <w:sz w:val="18"/>
              </w:rPr>
              <w:t>SOC 2 timing failures excluded from escrow release and termination for cause; exclusive remedy = cure plan and, at most, fee credit.</w:t>
            </w:r>
          </w:p>
        </w:tc>
        <w:tc>
          <w:tcPr>
            <w:tcW w:type="dxa" w:w="3312"/>
          </w:tcPr>
          <w:p>
            <w:r/>
            <w:r>
              <w:rPr>
                <w:sz w:val="18"/>
              </w:rPr>
              <w:t>Essential in any scenario.</w:t>
            </w:r>
          </w:p>
        </w:tc>
      </w:tr>
    </w:tbl>
    <w:p>
      <w:pPr>
        <w:spacing w:after="40"/>
      </w:pPr>
    </w:p>
    <w:p>
      <w:pPr>
        <w:spacing w:after="120"/>
      </w:pPr>
      <w:r>
        <w:rPr>
          <w:b/>
        </w:rPr>
        <w:t>Recommendation.</w:t>
      </w:r>
      <w:r>
        <w:t xml:space="preserve"> Combine A, C and D: disclose now; amend SL § 5.2 and TS § 10.3 to require the Type I report and bridge letter at the Effective Date, the Type II report by a date certain with a reasonable extension if auditor-caused, and annual reports thereafter; define compliance by reference to an unqualified opinion (or remediation of exceptions within 90 days); and exclude SOC 2 timing from escrow release and termination for cause. Internally, confirm with Greystone the observation-period start date and expected report date, and that the audit scope covers the systems used for remote access, update delivery and handling of any Kaelen PHI.</w:t>
      </w:r>
    </w:p>
    <w:p>
      <w:pPr>
        <w:pStyle w:val="Heading3"/>
      </w:pPr>
      <w:r>
        <w:t>Issue 7 — FDA 510(k) Scope, Clearance Warranty and Termination Trigger  [CRITICAL]</w:t>
      </w:r>
    </w:p>
    <w:p>
      <w:pPr>
        <w:spacing w:after="120"/>
      </w:pPr>
      <w:r>
        <w:rPr>
          <w:b/>
        </w:rPr>
        <w:t>Provisions.</w:t>
      </w:r>
      <w:r>
        <w:t xml:space="preserve"> TS § 10.1 and SL § 7.1: Atherton warrants that K223847 (cleared September 14, 2023) is in force and will be maintained “throughout the Term and any Renewal Period.” Kaelen may terminate </w:t>
      </w:r>
      <w:r>
        <w:rPr>
          <w:b/>
        </w:rPr>
        <w:t>immediately and without penalty</w:t>
      </w:r>
      <w:r>
        <w:t xml:space="preserve"> if clearance is revoked, suspended, withdrawn or “materially limited” (TS § 10.2) — or “materially modified” (SL § 7.1). SL § 2.2 states that the Performance Threshold validates ClearSight AI “as a </w:t>
      </w:r>
      <w:r>
        <w:rPr>
          <w:b/>
        </w:rPr>
        <w:t>primary diagnostic screening tool</w:t>
      </w:r>
      <w:r>
        <w:t xml:space="preserve">” and that it “shall serve as the </w:t>
      </w:r>
      <w:r>
        <w:rPr>
          <w:b/>
        </w:rPr>
        <w:t>initial diagnostic screening layer for all radiological imaging studies</w:t>
      </w:r>
      <w:r>
        <w:t>.”</w:t>
      </w:r>
    </w:p>
    <w:p>
      <w:pPr>
        <w:spacing w:after="120"/>
      </w:pPr>
      <w:r>
        <w:rPr>
          <w:b/>
        </w:rPr>
        <w:t>Analysis.</w:t>
      </w:r>
    </w:p>
    <w:p>
      <w:pPr>
        <w:pStyle w:val="ListBullet"/>
        <w:spacing w:after="60"/>
      </w:pPr>
      <w:r>
        <w:rPr>
          <w:b/>
        </w:rPr>
        <w:t>Intended-use mismatch.</w:t>
      </w:r>
      <w:r>
        <w:t xml:space="preserve"> Per Deck slide 5, K223847 clears a </w:t>
      </w:r>
      <w:r>
        <w:rPr>
          <w:b/>
        </w:rPr>
        <w:t>computer-aided detection</w:t>
      </w:r>
      <w:r>
        <w:t xml:space="preserve"> tool that </w:t>
      </w:r>
      <w:r>
        <w:rPr>
          <w:b/>
        </w:rPr>
        <w:t>assists</w:t>
      </w:r>
      <w:r>
        <w:t xml:space="preserve"> board-certified radiologists in identifying and prioritizing potential anomalies, and ClearSight AI is </w:t>
      </w:r>
      <w:r>
        <w:rPr>
          <w:b/>
        </w:rPr>
        <w:t>not cleared for autonomous diagnosis or as a replacement for radiologist interpretation</w:t>
      </w:r>
      <w:r>
        <w:t>. Characterizing it in a binding contract as a “primary diagnostic screening tool,” measuring it on “diagnostic outputs” against “radiologist diagnoses” (TS § 1, Concordance Rate), and mandating its use as the first screening layer for “all” studies risks (i) Atherton being viewed as promoting an uncleared intended use (misbranding/adulteration exposure under the FDCA and the need for a new 510(k) or De Novo for a changed intended use), (ii) Kaelen using the device off-label with Atherton’s contractual endorsement, increasing product-liability exposure, and (iii) undermining the Pinnacle Permitted Use framing (“in support of and under the supervision of board-certified radiologists”).</w:t>
      </w:r>
    </w:p>
    <w:p>
      <w:pPr>
        <w:pStyle w:val="ListBullet"/>
        <w:spacing w:after="60"/>
      </w:pPr>
      <w:r>
        <w:rPr>
          <w:b/>
        </w:rPr>
        <w:t>Updates and clearance.</w:t>
      </w:r>
      <w:r>
        <w:t xml:space="preserve"> Quarterly model updates (TS § 11; SL § 6) may themselves require new 510(k) submissions unless covered by an FDA-authorized Predetermined Change Control Plan (PCCP) or otherwise documented as not requiring a new submission under 21 C.F.R. § 807.81(a)(3). A new clearance for an improved model could be characterized as a “material modification” of K223847 under the SL wording, handing Kaelen an immediate termination right for what is in fact regulatory progress.</w:t>
      </w:r>
    </w:p>
    <w:p>
      <w:pPr>
        <w:pStyle w:val="ListBullet"/>
        <w:spacing w:after="60"/>
      </w:pPr>
      <w:r>
        <w:rPr>
          <w:b/>
        </w:rPr>
        <w:t>Absolute warranty.</w:t>
      </w:r>
      <w:r>
        <w:t xml:space="preserve"> A warranty to “maintain” clearance through 2038 is outside Atherton’s full control (FDA policy changes, reclassification, recalls). Coupled with immediate, penalty-free termination, it creates an open-ended exit for Kaelen and potentially a breach-of-warranty claim (indemnified under TS § 14.1(a)).</w:t>
      </w:r>
    </w:p>
    <w:p>
      <w:pPr>
        <w:pStyle w:val="ListBullet"/>
        <w:spacing w:after="60"/>
      </w:pPr>
      <w:r>
        <w:rPr>
          <w:b/>
        </w:rPr>
        <w:t>Notice obligation</w:t>
      </w:r>
      <w:r>
        <w:t xml:space="preserve"> (any FDA inquiry, inspection or adverse event report) is broad; it should be limited to matters reasonably likely to affect the Kaelen deployment and subject to confidentiality.</w:t>
      </w:r>
    </w:p>
    <w:p>
      <w:pPr>
        <w:spacing w:after="120"/>
      </w:pPr>
      <w:r>
        <w:rPr>
          <w:b/>
        </w:rPr>
        <w:t>Recommendations.</w:t>
      </w:r>
      <w:r>
        <w:t xml:space="preserve"> Strike the “primary diagnostic screening tool” and “initial diagnostic screening layer” language; define the Permitted Use by reference to the cleared indications for use (mirroring Pinnacle); add a Kaelen covenant to use the Platform only per labeling under radiologist supervision and a Kaelen indemnity for off-label/clinical use. Recast § 10.1 as a representation that clearance is in effect at signing plus a covenant to use commercially reasonable efforts to maintain clearance (or a successor clearance) for the cleared indications. Limit the termination trigger to final revocation/suspension that prevents lawful use for the cleared indication and is not cured within a reasonable period, and expressly exclude new or replacement clearances, PCCP-authorized changes and labeling updates. Have FDA regulatory counsel confirm the PCCP strategy for the quarterly cadence.</w:t>
      </w:r>
    </w:p>
    <w:p>
      <w:pPr>
        <w:pStyle w:val="Heading3"/>
      </w:pPr>
      <w:r>
        <w:t>Issue 8 — Exclusivity, 30-Mile Radius and Impact on Existing Licensees  [CRITICAL]</w:t>
      </w:r>
    </w:p>
    <w:p>
      <w:pPr>
        <w:spacing w:after="120"/>
      </w:pPr>
      <w:r>
        <w:rPr>
          <w:b/>
        </w:rPr>
        <w:t>Provisions.</w:t>
      </w:r>
      <w:r>
        <w:t xml:space="preserve"> TS § 3.1: no license to third parties of ClearSight AI </w:t>
      </w:r>
      <w:r>
        <w:rPr>
          <w:b/>
        </w:rPr>
        <w:t>or “any substantially similar diagnostic imaging product developed by Atherton”</w:t>
      </w:r>
      <w:r>
        <w:t xml:space="preserve"> within the Kaelen Network. TS § 3.2: no license to any “Competing Hospital System” (defined as </w:t>
      </w:r>
      <w:r>
        <w:rPr>
          <w:b/>
        </w:rPr>
        <w:t>any</w:t>
      </w:r>
      <w:r>
        <w:t xml:space="preserve"> entity operating acute-care hospitals providing imaging) with facilities within </w:t>
      </w:r>
      <w:r>
        <w:rPr>
          <w:b/>
        </w:rPr>
        <w:t>30 miles of any of the 43 Kaelen hospitals</w:t>
      </w:r>
      <w:r>
        <w:t>, on a facility-by-facility basis. Both run through all Renewal Periods (to 2038) (§ 3.3). TS § 2.3: existing licenses need not be terminated, but Atherton may not “expand the scope or territory” of any existing license in a manner that conflicts with Kaelen’s exclusivity.</w:t>
      </w:r>
    </w:p>
    <w:p>
      <w:pPr>
        <w:spacing w:after="120"/>
      </w:pPr>
      <w:r>
        <w:rPr>
          <w:b/>
        </w:rPr>
        <w:t>Analysis.</w:t>
      </w:r>
    </w:p>
    <w:p>
      <w:pPr>
        <w:pStyle w:val="ListBullet"/>
        <w:spacing w:after="60"/>
      </w:pPr>
      <w:r>
        <w:rPr>
          <w:b/>
        </w:rPr>
        <w:t>Market foreclosure.</w:t>
      </w:r>
      <w:r>
        <w:t xml:space="preserve"> Forty-three 30-mile circles across Maryland, Virginia, Pennsylvania, North Carolina, South Carolina, Georgia, Florida, Ohio and Tennessee will likely cover many of the major metropolitan markets in those states — including Atherton’s home market (Durham, NC). Because “Competing Hospital System” captures every acute-care hospital, the restriction is effectively a territorial non-compete. It is in tension with Atherton’s roadmap (100+ hospital deployments by 2028; Deck slide 14) and makes Kaelen’s exclusivity far more valuable than the price reflects: Kaelen pays ~$158,000 per hospital per year (Y2–7 base), versus ~$497,000 per hospital per year implied by existing licensee ARR ($18.4M / 37 hospitals).</w:t>
      </w:r>
    </w:p>
    <w:p>
      <w:pPr>
        <w:pStyle w:val="ListBullet"/>
        <w:spacing w:after="60"/>
      </w:pPr>
      <w:r>
        <w:rPr>
          <w:b/>
        </w:rPr>
        <w:t>Internal ambiguity.</w:t>
      </w:r>
      <w:r>
        <w:t xml:space="preserve"> The first sentence of § 3.2 bars licensing “to that Competing Hospital System” entirely, while the “for the avoidance of doubt” sentence limits the bar to “such facility.” A multi-state system with one facility inside a radius could be wholly excluded under one reading.</w:t>
      </w:r>
    </w:p>
    <w:p>
      <w:pPr>
        <w:pStyle w:val="ListBullet"/>
        <w:spacing w:after="60"/>
      </w:pPr>
      <w:r>
        <w:rPr>
          <w:b/>
        </w:rPr>
        <w:t>“Substantially similar” products.</w:t>
      </w:r>
      <w:r>
        <w:t xml:space="preserve"> § 3.1 reaches future Atherton products. While “Diagnostic Imaging” is limited to CT/MRI/X-ray, the clause could restrict next-generation or multi-modal-fusion products in development (Deck slides 8, 14) and should be removed or tightly defined.</w:t>
      </w:r>
    </w:p>
    <w:p>
      <w:pPr>
        <w:pStyle w:val="ListBullet"/>
        <w:spacing w:after="60"/>
      </w:pPr>
      <w:r>
        <w:rPr>
          <w:b/>
        </w:rPr>
        <w:t>Existing licensees.</w:t>
      </w:r>
      <w:r>
        <w:t xml:space="preserve"> Pinnacle (12 facilities in NC and SC) and likely SRMA (8; “Southeastern”) operate in Kaelen states, and GLCN (17) may overlap in Ohio. Section 2.3 does not clearly protect: (i) Pinnacle’s automatic two-year renewal (to February 2030) or a negotiated renewal of SRMA/GLCN; (ii) Atherton’s consent to add facilities under Pinnacle § 2.1 (expansion requires Atherton’s consent, which Atherton could no longer give inside a radius); (iii) existing licensees’ acquisitions of new hospitals; or (iv) new modalities or Platform Updates delivered to them. Refusing reasonable expansions is not a breach of Pinnacle’s no-impairment covenant (§ 9.2 protects current-facility use, updates and support), but it will strain those relationships.</w:t>
      </w:r>
    </w:p>
    <w:p>
      <w:pPr>
        <w:pStyle w:val="ListBullet"/>
        <w:spacing w:after="60"/>
      </w:pPr>
      <w:r>
        <w:rPr>
          <w:b/>
        </w:rPr>
        <w:t>IRA linkage.</w:t>
      </w:r>
      <w:r>
        <w:t xml:space="preserve"> The breadth of the radius is what may push the deal over IRA § 7.4(ii)’s 30%-of-Defined-Market-Segment test and will drive Ridgeline’s view.</w:t>
      </w:r>
    </w:p>
    <w:p>
      <w:pPr>
        <w:pStyle w:val="ListBullet"/>
        <w:spacing w:after="60"/>
      </w:pPr>
      <w:r>
        <w:rPr>
          <w:b/>
        </w:rPr>
        <w:t>Kaelen growth / successor.</w:t>
      </w:r>
      <w:r>
        <w:t xml:space="preserve"> “Kaelen Network” is a fixed list of 43 facilities, which is helpful; the definitive agreement must make clear that hospitals Kaelen later acquires, or a successor’s facilities after a TS § 18.3 assignment, do not expand the Network or the radius.</w:t>
      </w:r>
    </w:p>
    <w:p>
      <w:pPr>
        <w:spacing w:after="120"/>
      </w:pPr>
      <w:r>
        <w:rPr>
          <w:b/>
        </w:rPr>
        <w:t>Recommendations.</w:t>
      </w:r>
      <w:r>
        <w:t xml:space="preserve"> Primary position: delete § 3.2 (network exclusivity is the customary protection for an enterprise deployment). Fallbacks: (a) limit to a short list of named direct competitors and a much smaller radius (e.g., 10 miles) around facilities actually live on ClearSight AI; (b) radius applies only during the Initial Term; (c) exclusivity is conditioned on Kaelen paying all fees, meeting the Minimum Usage Commitment and deployment cooperation, and falls away for any terminated site and on any Kaelen breach; (d) express grandfathering of existing licensees, including renewals, extensions, facility additions, successor entities, new Platform versions and modalities; (e) delete “substantially similar product”; and (f) fix the facility-vs-system ambiguity in Atherton’s favor. Commission a GIS mapping of the 43 Kaelen hospitals against the 37 existing licensee hospitals and Atherton’s pipeline before the Board vote.</w:t>
      </w:r>
    </w:p>
    <w:p>
      <w:pPr>
        <w:pStyle w:val="Heading3"/>
      </w:pPr>
      <w:r>
        <w:t>Issue 9 — Performance Threshold and the Real Value of the “Minimum Commitment”  [CRITICAL]</w:t>
      </w:r>
    </w:p>
    <w:p>
      <w:pPr>
        <w:spacing w:after="120"/>
      </w:pPr>
      <w:r>
        <w:rPr>
          <w:b/>
        </w:rPr>
        <w:t>Provisions.</w:t>
      </w:r>
      <w:r>
        <w:t xml:space="preserve"> ≥92% Concordance Rate with board-certified radiologist diagnoses on 10,000 images by January 1, 2027 (TS § 5.1); failure lets Kaelen terminate on 30 days’ notice “without penalty and without obligation to pay any fees accrued after the date of such notice” (§ 5.2). Protocol “to be mutually agreed” in the Definitive Agreement (§ 5.3), but SL § 2.2 gives Kaelen the right to </w:t>
      </w:r>
      <w:r>
        <w:rPr>
          <w:b/>
        </w:rPr>
        <w:t>select the validation dataset</w:t>
      </w:r>
      <w:r>
        <w:t xml:space="preserve"> and uses </w:t>
      </w:r>
      <w:r>
        <w:rPr>
          <w:b/>
        </w:rPr>
        <w:t>Kaelen-employed or -affiliated radiologists</w:t>
      </w:r>
      <w:r>
        <w:t xml:space="preserve"> as ground truth. Floor Payment (TS § 6.7): from Year 3, if Kaelen processes fewer than 2.5M images, it “shall pay … a floor payment equal to 75%” of the Annual License Fee. No termination fee for any termination (§ 12.6).</w:t>
      </w:r>
    </w:p>
    <w:p>
      <w:pPr>
        <w:spacing w:after="120"/>
      </w:pPr>
      <w:r>
        <w:rPr>
          <w:b/>
        </w:rPr>
        <w:t>Analysis.</w:t>
      </w:r>
    </w:p>
    <w:p>
      <w:pPr>
        <w:pStyle w:val="ListBullet"/>
        <w:spacing w:after="60"/>
      </w:pPr>
      <w:r>
        <w:rPr>
          <w:b/>
        </w:rPr>
        <w:t>Metric and control.</w:t>
      </w:r>
      <w:r>
        <w:t xml:space="preserve"> “Concordance” with a radiologist diagnosis is a diagnostic metric, while ClearSight AI is a CADe flagging tool (Issue 7); Atherton’s validation data speaks to sensitivity “consistently exceed[ing] 90%” (Deck slide 10), not 92% concordance. Kaelen controls the images, the hardware they run on (SL § 4.1), the PACS integration environment and the reference reads — and benefits from failure. Without a pre-agreed protocol (case mix, modality stratification, image-quality exclusions, adjudication of discordant reads, statistical confidence, re-testing), this is effectively a Kaelen option to exit.</w:t>
      </w:r>
    </w:p>
    <w:p>
      <w:pPr>
        <w:pStyle w:val="ListBullet"/>
        <w:spacing w:after="60"/>
      </w:pPr>
      <w:r>
        <w:rPr>
          <w:b/>
        </w:rPr>
        <w:t>No cure.</w:t>
      </w:r>
      <w:r>
        <w:t xml:space="preserve"> A single measurement at 18 months with no remediation window.</w:t>
      </w:r>
    </w:p>
    <w:p>
      <w:pPr>
        <w:pStyle w:val="ListBullet"/>
        <w:spacing w:after="60"/>
      </w:pPr>
      <w:r>
        <w:rPr>
          <w:b/>
        </w:rPr>
        <w:t>Free service during notice.</w:t>
      </w:r>
      <w:r>
        <w:t xml:space="preserve"> Kaelen owes no fees accrued after its notice, yet Atherton must continue performing during the 30-day period.</w:t>
      </w:r>
    </w:p>
    <w:p>
      <w:pPr>
        <w:pStyle w:val="ListBullet"/>
        <w:spacing w:after="60"/>
      </w:pPr>
      <w:r>
        <w:rPr>
          <w:b/>
        </w:rPr>
        <w:t>Floor ambiguity.</w:t>
      </w:r>
      <w:r>
        <w:t xml:space="preserve"> If the Floor Payment replaces (rather than supplements) the Annual License Fee, Kaelen pays less when it uses the Platform less — a perverse incentive — and the guaranteed Initial-Term revenue drops from $45.0M to approximately </w:t>
      </w:r>
      <w:r>
        <w:rPr>
          <w:b/>
        </w:rPr>
        <w:t>$36.5M</w:t>
      </w:r>
      <w:r>
        <w:t xml:space="preserve"> ($4.2M + $6.8M + 5 × $5.1M).</w:t>
      </w:r>
    </w:p>
    <w:p>
      <w:pPr>
        <w:pStyle w:val="ListBullet"/>
        <w:spacing w:after="60"/>
      </w:pPr>
      <w:r>
        <w:rPr>
          <w:b/>
        </w:rPr>
        <w:t>Walk-away exposure.</w:t>
      </w:r>
      <w:r>
        <w:t xml:space="preserve"> If Kaelen exits at January 2027, Atherton will have received roughly $7.6M (Year 1 plus about half of Year 2) against front-loaded deployment and integration costs for up to 43 sites, while (absent changes) Kaelen keeps a perpetual Improvements license and Atherton has foregone other licensing in the radius for 18 months.</w:t>
      </w:r>
    </w:p>
    <w:p>
      <w:pPr>
        <w:spacing w:after="120"/>
      </w:pPr>
      <w:r>
        <w:rPr>
          <w:b/>
        </w:rPr>
        <w:t>Recommendations.</w:t>
      </w:r>
      <w:r>
        <w:t xml:space="preserve"> Attach the testing protocol as an exhibit to the Definitive Agreement (not deferred); use CADe-appropriate endpoints (e.g., sensitivity/specificity or AUC by modality) at a level supported by Atherton’s validation data and confirmed by Marcus Lindholm; independent or jointly-selected stratified dataset and independent adjudication; measure only at sites live for a minimum period and meeting minimum system requirements; add a 6-month remediation and re-test period; condition the termination right on Kaelen’s performance of its own obligations; require payment through the effective date of termination plus a wind-down/unamortized-deployment fee; clarify that the Annual License Fee is the guaranteed minimum and any usage shortfall payment is additional (or delete the Floor concept); and terminate exclusivity immediately upon any Kaelen exit.</w:t>
      </w:r>
    </w:p>
    <w:p>
      <w:pPr>
        <w:pStyle w:val="Heading2"/>
      </w:pPr>
      <w:r>
        <w:t>B. High-Priority Issues</w:t>
      </w:r>
    </w:p>
    <w:p>
      <w:pPr>
        <w:pStyle w:val="Heading3"/>
      </w:pPr>
      <w:r>
        <w:t>Issue 10 — Most-Favored Licensee Clause (TS § 6.8)  [HIGH]</w:t>
      </w:r>
    </w:p>
    <w:p>
      <w:pPr>
        <w:spacing w:after="120"/>
      </w:pPr>
      <w:r>
        <w:t xml:space="preserve">If Atherton licenses ClearSight AI for Diagnostic Imaging to any third party at aggregate per-image fees more than 15% below Kaelen’s effective per-image fees, Atherton must notify Kaelen and </w:t>
      </w:r>
      <w:r>
        <w:rPr>
          <w:b/>
        </w:rPr>
        <w:t>retroactively</w:t>
      </w:r>
      <w:r>
        <w:t xml:space="preserve"> reprice Kaelen to match, effective from the third-party agreement’s effective date. Issues: (i) no comparability adjustments (volume, term, exclusivity, services, modality mix, pilots, academic or international deals); (ii) “per-image fees effectively paid” is undefined and requires usage data Kaelen controls; (iii) it may capture renewals or amendments of existing licenses (which carry no MFL — Pinnacle § 2.2 — and should be excluded); (iv) retroactivity creates refund liability that could exceed the 12-month liability cap and becomes a pricing constraint on the entire business for up to 13 years; and (v) it would chill future pricing flexibility at precisely the time Atherton is scaling to 100+ hospitals. At minimum usage, Kaelen’s effective rate is about $2.72 per image ($6.8M / 2.5M) and falls as volume rises, so smaller customers paying more per image should not trigger it, but bundled, pilot or strategic pricing could. </w:t>
      </w:r>
      <w:r>
        <w:rPr>
          <w:b/>
        </w:rPr>
        <w:t>Recommendation:</w:t>
      </w:r>
      <w:r>
        <w:t xml:space="preserve"> delete. Fallback: prospective only; compares only licenses with substantially similar scope, volume, term and exclusivity; excludes existing licensees and their renewals, pilots/evaluations, research and non-US deals; annual certification rather than per-deal notice; and capped at a fee credit.</w:t>
      </w:r>
    </w:p>
    <w:p>
      <w:pPr>
        <w:pStyle w:val="Heading3"/>
      </w:pPr>
      <w:r>
        <w:t>Issue 11 — Data Rights, HIPAA and De-Identification (TS §§ 8, 10.3; SL §§ 4.2, 5)  [HIGH]</w:t>
      </w:r>
    </w:p>
    <w:p>
      <w:pPr>
        <w:pStyle w:val="ListBullet"/>
        <w:spacing w:after="60"/>
      </w:pPr>
      <w:r>
        <w:rPr>
          <w:b/>
        </w:rPr>
        <w:t>Value.</w:t>
      </w:r>
      <w:r>
        <w:t xml:space="preserve"> TS § 8.2 (perpetual, irrevocable, worldwide, royalty-free license to De-Identified Kaelen Data for training and commercialization, including for other licensees) is a significant strategic asset and a partial hedge against the Voss term (Issue 3). Kaelen may try to narrow it; we recommend protecting it.</w:t>
      </w:r>
    </w:p>
    <w:p>
      <w:pPr>
        <w:pStyle w:val="ListBullet"/>
        <w:spacing w:after="60"/>
      </w:pPr>
      <w:r>
        <w:rPr>
          <w:b/>
        </w:rPr>
        <w:t>De-identification standard.</w:t>
      </w:r>
      <w:r>
        <w:t xml:space="preserve"> “De-identified” and “in accordance with applicable law” are undefined. The definitive agreement should require de-identification under HIPAA’s Safe Harbor or Expert Determination methods (45 C.F.R. § 164.514(b)), Kaelen representations that it has the right to provide the data (including any patient-consent or state-law restrictions), a Kaelen indemnity for re-identifiable data, and a prohibition on Atherton re-identification. Several Kaelen states have comprehensive privacy statutes with de-identified-data conditions (e.g., public commitments not to re-identify and contractual flow-downs) and special rules for sensitive health information; regulatory counsel should confirm each state.</w:t>
      </w:r>
    </w:p>
    <w:p>
      <w:pPr>
        <w:pStyle w:val="ListBullet"/>
        <w:spacing w:after="60"/>
      </w:pPr>
      <w:r>
        <w:rPr>
          <w:b/>
        </w:rPr>
        <w:t>Atherton will handle PHI.</w:t>
      </w:r>
      <w:r>
        <w:t xml:space="preserve"> ClearSight AI processes identifiable images on Kaelen premises, and Atherton personnel have remote access for maintenance (SL § 4.2), so Atherton is a </w:t>
      </w:r>
      <w:r>
        <w:rPr>
          <w:b/>
        </w:rPr>
        <w:t>business associate</w:t>
      </w:r>
      <w:r>
        <w:t>. The BAA (SL § 5.3) must be executed before the Effective Date and should (i) permit Atherton to de-identify PHI and use de-identified data for the § 8.2 purposes, (ii) align breach-notification timelines, and (iii) address subcontractors and the escrow agent. A BAA that is silent on de-identification by the BA would undercut § 8.2.</w:t>
      </w:r>
    </w:p>
    <w:p>
      <w:pPr>
        <w:pStyle w:val="ListBullet"/>
        <w:spacing w:after="60"/>
      </w:pPr>
      <w:r>
        <w:rPr>
          <w:b/>
        </w:rPr>
        <w:t>Ownership boundaries.</w:t>
      </w:r>
      <w:r>
        <w:t xml:space="preserve"> “Kaelen Data” includes all data “generated or processed within the Kaelen Network,” which could be read to capture ClearSight AI outputs, annotations, logs and models trained on Kaelen data. Clarify that Platform outputs’ underlying model logic, Improvements and models trained on De-Identified Kaelen Data are Atherton property.</w:t>
      </w:r>
    </w:p>
    <w:p>
      <w:pPr>
        <w:pStyle w:val="ListBullet"/>
        <w:spacing w:after="60"/>
      </w:pPr>
      <w:r>
        <w:rPr>
          <w:b/>
        </w:rPr>
        <w:t>Voss commingling.</w:t>
      </w:r>
      <w:r>
        <w:t xml:space="preserve"> DLA § 4.1(d) prohibits commingling Licensed Data with other data in a way that obscures Voss’s ownership; maintain data lineage and segregation when combining Kaelen and Voss data in training.</w:t>
      </w:r>
    </w:p>
    <w:p>
      <w:pPr>
        <w:pStyle w:val="Heading3"/>
      </w:pPr>
      <w:r>
        <w:t>Issue 12 — State AI-in-Healthcare Laws and Change in Law (TS § 10.4; SL §§ 5.1, 7.2)  [HIGH]</w:t>
      </w:r>
    </w:p>
    <w:p>
      <w:pPr>
        <w:spacing w:after="120"/>
      </w:pPr>
      <w:r>
        <w:t xml:space="preserve">The TS requires cooperation; the SL converts this into an unqualified obligation for Atherton to </w:t>
      </w:r>
      <w:r>
        <w:rPr>
          <w:b/>
        </w:rPr>
        <w:t>comply with</w:t>
      </w:r>
      <w:r>
        <w:t xml:space="preserve"> all state AI-in-healthcare laws in nine states and to monitor and notify Kaelen of changes. Many such requirements fall on the </w:t>
      </w:r>
      <w:r>
        <w:rPr>
          <w:b/>
        </w:rPr>
        <w:t>deployer</w:t>
      </w:r>
      <w:r>
        <w:t xml:space="preserve"> (patient disclosure, clinician oversight, impact assessments), not the developer. </w:t>
      </w:r>
      <w:r>
        <w:rPr>
          <w:b/>
        </w:rPr>
        <w:t>Recommendation:</w:t>
      </w:r>
      <w:r>
        <w:t xml:space="preserve"> allocate obligations (Atherton: developer duties and documentation; Kaelen: deployer duties, patient-facing disclosures and clinical governance); add a change-in-law clause with good-faith renegotiation, cost-sharing or fee adjustment, and a mutual termination right (without exclusivity tail) if a law makes performance commercially impracticable.</w:t>
      </w:r>
    </w:p>
    <w:p>
      <w:pPr>
        <w:pStyle w:val="Heading3"/>
      </w:pPr>
      <w:r>
        <w:t>Issue 13 — Uptime SLA and Response Times on Kaelen Infrastructure (SL §§ 2.1, 3, 4; TS § 12.4)  [HIGH]</w:t>
      </w:r>
    </w:p>
    <w:p>
      <w:pPr>
        <w:pStyle w:val="ListBullet"/>
        <w:spacing w:after="60"/>
      </w:pPr>
      <w:r>
        <w:t xml:space="preserve">99.95% monthly uptime </w:t>
      </w:r>
      <w:r>
        <w:rPr>
          <w:b/>
        </w:rPr>
        <w:t>per site</w:t>
      </w:r>
      <w:r>
        <w:t xml:space="preserve"> permits only ~22 minutes of unscheduled downtime per month, yet the Platform runs on </w:t>
      </w:r>
      <w:r>
        <w:rPr>
          <w:b/>
        </w:rPr>
        <w:t>Kaelen’s</w:t>
      </w:r>
      <w:r>
        <w:t xml:space="preserve"> on-premises hardware, network and storage, integrated with a third-party PACS (SL § 4.1). The only exclusion is Atherton’s scheduled maintenance.</w:t>
      </w:r>
    </w:p>
    <w:p>
      <w:pPr>
        <w:pStyle w:val="ListBullet"/>
        <w:spacing w:after="60"/>
      </w:pPr>
      <w:r>
        <w:t>Credits are modest (10% of ~$13,178 per site per month ≈ $1,318), but six consecutive failing months at a site allows site-level termination, and the effect on fees for a terminated site is not specified.</w:t>
      </w:r>
    </w:p>
    <w:p>
      <w:pPr>
        <w:pStyle w:val="ListBullet"/>
        <w:spacing w:after="60"/>
      </w:pPr>
      <w:r>
        <w:t>Response-time limits (≤45 seconds CT/MRI; ≤20 seconds X-ray) are stated “per image,” measured from receipt of a “study” — CT/MRI studies contain hundreds of images. Deck slide 10 presents these as averages, not maxima.</w:t>
      </w:r>
    </w:p>
    <w:p>
      <w:pPr>
        <w:spacing w:after="120"/>
      </w:pPr>
      <w:r>
        <w:rPr>
          <w:b/>
        </w:rPr>
        <w:t>Recommendation:</w:t>
      </w:r>
      <w:r>
        <w:t xml:space="preserve"> uptime of 99.5–99.9% measured on Atherton-controlled components only; exclusions for Kaelen hardware/network/power, NovaPACS/Arcline failures, Kaelen-requested changes, emergency patches and force majeure; SLA effective only after site go-live and only if Kaelen meets Atherton’s minimum system requirements; response times as average or 95th-percentile per study; credits as sole remedy with a fee-reduction mechanism for terminated sites.</w:t>
      </w:r>
    </w:p>
    <w:p>
      <w:pPr>
        <w:pStyle w:val="Heading3"/>
      </w:pPr>
      <w:r>
        <w:t>Issue 14 — NovaPACS Integration and 24-Month Deployment (SL §§ 1.1, 1.2; TS §§ 2.4, 15.1(b))  [HIGH]</w:t>
      </w:r>
    </w:p>
    <w:p>
      <w:pPr>
        <w:spacing w:after="120"/>
      </w:pPr>
      <w:r>
        <w:t xml:space="preserve">Atherton is “solely responsible” for all adapters/middleware for NovaPACS 7.2 and must complete roll-out to all 43 hospitals by July 1, 2027, yet API access is “subject to Arcline’s applicable licensing restrictions,” each go-live requires Kaelen sign-offs (site administrator and Dr. Marchetti), and Kaelen supplies the hardware. Obligations to maintain compatibility through future NovaPACS versions (SL § 6.1) are open-ended over 7–13 years. </w:t>
      </w:r>
      <w:r>
        <w:rPr>
          <w:b/>
        </w:rPr>
        <w:t>Recommendation:</w:t>
      </w:r>
      <w:r>
        <w:t xml:space="preserve"> make the deployment timeline subject to Kaelen dependencies (hardware readiness, Arcline access and licensing at Kaelen’s cost, timely sign-offs with deemed acceptance), with day-for-day relief; limit integration obligations to NovaPACS 7.2 and successor versions on a change-order basis; specify consequences of delay (no termination right absent a long-stop and Atherton fault).</w:t>
      </w:r>
    </w:p>
    <w:p>
      <w:pPr>
        <w:pStyle w:val="Heading3"/>
      </w:pPr>
      <w:r>
        <w:t>Issue 15 — Quarterly Updates, Version Support and Existing-Licensee Parity (TS § 11; SL § 6; Pinnacle §§ 5.2–5.3)  [HIGH]</w:t>
      </w:r>
    </w:p>
    <w:p>
      <w:pPr>
        <w:pStyle w:val="ListBullet"/>
        <w:spacing w:after="60"/>
      </w:pPr>
      <w:r>
        <w:t>Kaelen may reject any update with no limit and Atherton must support whatever version is in production indefinitely (TS § 11.3), creating version fragmentation, cost, and regulatory/cybersecurity risk. Atherton’s practice with Pinnacle is to support only the current or immediately prior version (Pinnacle § 5.3).</w:t>
      </w:r>
    </w:p>
    <w:p>
      <w:pPr>
        <w:pStyle w:val="ListBullet"/>
        <w:spacing w:after="60"/>
      </w:pPr>
      <w:r>
        <w:t>The TS requires express written acceptance; the SL adds deemed acceptance after 30 days. Because the TS controls in a conflict, deemed acceptance should be stated expressly in the Definitive Agreement.</w:t>
      </w:r>
    </w:p>
    <w:p>
      <w:pPr>
        <w:pStyle w:val="ListBullet"/>
        <w:spacing w:after="60"/>
      </w:pPr>
      <w:r>
        <w:t>A fixed quarterly delivery date (the 15th of each quarter) conflicts with FDA change-control (Issue 7) and Voss data availability (Issue 3).</w:t>
      </w:r>
    </w:p>
    <w:p>
      <w:pPr>
        <w:pStyle w:val="ListBullet"/>
        <w:spacing w:after="60"/>
      </w:pPr>
      <w:r>
        <w:rPr>
          <w:b/>
        </w:rPr>
        <w:t>Pinnacle update parity:</w:t>
      </w:r>
      <w:r>
        <w:t xml:space="preserve"> Pinnacle § 5.2 requires that Platform Updates be functionally equivalent across licensees and prohibits preferential access to enhancements or model improvements, except for separately paid customizations or deployment-specific technical/regulatory requirements. Kaelen-specific model tuning, earlier releases or features developed using Kaelen data must either be made available to Pinnacle (and likely SRMA/GLCN) or fit within the exceptions — and Kaelen must not be given contractual rights to withhold improvements from others.</w:t>
      </w:r>
    </w:p>
    <w:p>
      <w:pPr>
        <w:spacing w:after="120"/>
      </w:pPr>
      <w:r>
        <w:rPr>
          <w:b/>
        </w:rPr>
        <w:t>Recommendation:</w:t>
      </w:r>
      <w:r>
        <w:t xml:space="preserve"> support limited to the current and one prior version; updates delivered “approximately quarterly” subject to regulatory clearance and data availability; rejection only for documented material defects; deemed acceptance; mandatory security/FDA patches; and an express acknowledgment that improvements may be made available to other licensees.</w:t>
      </w:r>
    </w:p>
    <w:p>
      <w:pPr>
        <w:pStyle w:val="Heading3"/>
      </w:pPr>
      <w:r>
        <w:t>Issue 16 — Representations, Indemnity and Limitation of Liability (TS §§ 13, 14)  [HIGH]</w:t>
      </w:r>
    </w:p>
    <w:p>
      <w:pPr>
        <w:pStyle w:val="ListBullet"/>
        <w:spacing w:after="60"/>
      </w:pPr>
      <w:r>
        <w:t>§ 13.1(a) “sole owner of all intellectual property rights in ClearSight AI” is inaccurate: the Platform is trained on Voss data that Voss owns (DLA § 2.4) and likely includes third-party/open-source components. Rephrase as ownership of, or sufficient rights to, the Platform IP, with a disclosure schedule.</w:t>
      </w:r>
    </w:p>
    <w:p>
      <w:pPr>
        <w:pStyle w:val="ListBullet"/>
        <w:spacing w:after="60"/>
      </w:pPr>
      <w:r>
        <w:t>§ 13.1(c) is an unqualified non-infringement warranty; it should be knowledge-qualified and limited to US patents/copyrights/trade secrets, with standard exclusions (Kaelen modifications, combinations, data, non-current versions) and remedies (modify, replace, or terminate and refund).</w:t>
      </w:r>
    </w:p>
    <w:p>
      <w:pPr>
        <w:pStyle w:val="ListBullet"/>
        <w:spacing w:after="60"/>
      </w:pPr>
      <w:r>
        <w:t xml:space="preserve">§ 14.1(a) indemnity for </w:t>
      </w:r>
      <w:r>
        <w:rPr>
          <w:b/>
        </w:rPr>
        <w:t>any</w:t>
      </w:r>
      <w:r>
        <w:t xml:space="preserve"> breach of representations converts warranty claims into uncapped-looking indemnity; limit to third-party IP claims and Atherton’s gross negligence/willful misconduct/violations of law.</w:t>
      </w:r>
    </w:p>
    <w:p>
      <w:pPr>
        <w:pStyle w:val="ListBullet"/>
        <w:spacing w:after="60"/>
      </w:pPr>
      <w:r>
        <w:t xml:space="preserve">Kaelen indemnity (§ 14.2) omits </w:t>
      </w:r>
      <w:r>
        <w:rPr>
          <w:b/>
        </w:rPr>
        <w:t>clinical use and patient-care decisions</w:t>
      </w:r>
      <w:r>
        <w:t>, Kaelen’s de-identification failures, Kaelen data rights, and Kaelen infrastructure security — essential for a CADe tool where radiologists make the final call.</w:t>
      </w:r>
    </w:p>
    <w:p>
      <w:pPr>
        <w:pStyle w:val="ListBullet"/>
        <w:spacing w:after="60"/>
      </w:pPr>
      <w:r>
        <w:t>§ 14.3 caps only Atherton’s liability (12 months’ fees, roughly $4.2–$7M); Kaelen will seek carve-outs (indemnities, data breach, confidentiality) — Atherton should pre-define any super-cap (e.g., 2x annual fees for data breach) and require a matching Kaelen cap only if Atherton wants mutuality; confirm insurance (product liability, cyber, E&amp;O) supports any super-cap.</w:t>
      </w:r>
    </w:p>
    <w:p>
      <w:pPr>
        <w:pStyle w:val="Heading3"/>
      </w:pPr>
      <w:r>
        <w:t>Issue 17 — Payment Structure and Cash Flow (TS §§ 6.1–6.6)  [HIGH]</w:t>
      </w:r>
    </w:p>
    <w:p>
      <w:pPr>
        <w:pStyle w:val="ListBullet"/>
        <w:spacing w:after="60"/>
      </w:pPr>
      <w:r>
        <w:rPr>
          <w:b/>
        </w:rPr>
        <w:t>Arithmetic.</w:t>
      </w:r>
      <w:r>
        <w:t xml:space="preserve"> $4.2M + (6 × $6.8M = $40.8M) = </w:t>
      </w:r>
      <w:r>
        <w:rPr>
          <w:b/>
        </w:rPr>
        <w:t>$45.0M</w:t>
      </w:r>
      <w:r>
        <w:t xml:space="preserve"> (pre-CPI) — consistent with the GC summary. With the 4% cap applied each year, Initial-Term fees could reach ~</w:t>
      </w:r>
      <w:r>
        <w:rPr>
          <w:b/>
        </w:rPr>
        <w:t>$49.3M</w:t>
      </w:r>
      <w:r>
        <w:t xml:space="preserve"> (if escalation starts in Year 3) or ~</w:t>
      </w:r>
      <w:r>
        <w:rPr>
          <w:b/>
        </w:rPr>
        <w:t>$51.1M</w:t>
      </w:r>
      <w:r>
        <w:t xml:space="preserve"> (if Year 2 is already escalated). The clause does not specify the start year, index base month, or whether negative CPI reduces fees.</w:t>
      </w:r>
    </w:p>
    <w:p>
      <w:pPr>
        <w:pStyle w:val="ListBullet"/>
        <w:spacing w:after="60"/>
      </w:pPr>
      <w:r>
        <w:rPr>
          <w:b/>
        </w:rPr>
        <w:t>Year 1 ramp and cash lag.</w:t>
      </w:r>
      <w:r>
        <w:t xml:space="preserve"> Year 1 covers deployment, integration, configuration and training for up to 43 sites plus the license — costs that are front-loaded — but is paid quarterly in arrears, net-60. The first payment (~$1.05M) would not be due until about </w:t>
      </w:r>
      <w:r>
        <w:rPr>
          <w:b/>
        </w:rPr>
        <w:t>late November 2025</w:t>
      </w:r>
      <w:r>
        <w:t>, five months after the Effective Date. Combined with Kaelen’s performance exit (Issue 9), Atherton bears the deployment investment risk.</w:t>
      </w:r>
    </w:p>
    <w:p>
      <w:pPr>
        <w:pStyle w:val="ListBullet"/>
        <w:spacing w:after="60"/>
      </w:pPr>
      <w:r>
        <w:t>No late-payment interest, suspension right, or audit right over image volumes (relevant to the Floor and MFL).</w:t>
      </w:r>
    </w:p>
    <w:p>
      <w:pPr>
        <w:spacing w:after="120"/>
      </w:pPr>
      <w:r>
        <w:rPr>
          <w:b/>
        </w:rPr>
        <w:t>Recommendation:</w:t>
      </w:r>
      <w:r>
        <w:t xml:space="preserve"> separate a non-refundable deployment/implementation fee payable at signing or on milestones; license fees quarterly </w:t>
      </w:r>
      <w:r>
        <w:rPr>
          <w:b/>
        </w:rPr>
        <w:t>in advance</w:t>
      </w:r>
      <w:r>
        <w:t>, net-30; CPI-U escalation from Year 3 with a floor of 0% (or a fixed 3% minimum); interest on late amounts and suspension after notice; Kaelen usage reporting and audit rights.</w:t>
      </w:r>
    </w:p>
    <w:p>
      <w:pPr>
        <w:pStyle w:val="Heading3"/>
      </w:pPr>
      <w:r>
        <w:t>Issue 18 — Confidentiality vs. Required Third-Party Disclosures (TS § 16)  [HIGH]</w:t>
      </w:r>
    </w:p>
    <w:p>
      <w:pPr>
        <w:spacing w:after="120"/>
      </w:pPr>
      <w:r>
        <w:t xml:space="preserve">Section 16 is binding upon signing and permits disclosure only to a party’s own officers, directors, employees, agents and advisors, or as required by law. The Voss consent request must identify Kaelen and describe the deal (DLA § 4.3(d)); the IRA § 7.4 package may be reviewed by Ridgeline personnel beyond Mr. Okafor; and Kaelen terms may need to be disclosed to future investors or acquirers. </w:t>
      </w:r>
      <w:r>
        <w:rPr>
          <w:b/>
        </w:rPr>
        <w:t>Recommendation:</w:t>
      </w:r>
      <w:r>
        <w:t xml:space="preserve"> before sending anything, obtain Kaelen’s written consent (email from Mr. Hammill suffices if the LOI NDA permits) and add a § 16 carve-out for disclosures to licensors whose consent is required, investors with contractual consent rights, and bona fide financing/M&amp;A counterparties under NDA. Confirm the LOI NDA does not impose stricter terms.</w:t>
      </w:r>
    </w:p>
    <w:p>
      <w:pPr>
        <w:pStyle w:val="Heading2"/>
      </w:pPr>
      <w:r>
        <w:t>C. Medium-Priority Issues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432"/>
            <w:shd w:val="clear" w:color="auto" w:fill="1F3A5F"/>
          </w:tcPr>
          <w:p>
            <w:r/>
            <w:r>
              <w:rPr>
                <w:b/>
                <w:color w:val="FFFFFF"/>
                <w:sz w:val="16"/>
              </w:rPr>
              <w:t>#</w:t>
            </w:r>
          </w:p>
        </w:tc>
        <w:tc>
          <w:tcPr>
            <w:tcW w:type="dxa" w:w="1872"/>
            <w:shd w:val="clear" w:color="auto" w:fill="1F3A5F"/>
          </w:tcPr>
          <w:p>
            <w:r/>
            <w:r>
              <w:rPr>
                <w:b/>
                <w:color w:val="FFFFFF"/>
                <w:sz w:val="16"/>
              </w:rPr>
              <w:t>Issue</w:t>
            </w:r>
          </w:p>
        </w:tc>
        <w:tc>
          <w:tcPr>
            <w:tcW w:type="dxa" w:w="3744"/>
            <w:shd w:val="clear" w:color="auto" w:fill="1F3A5F"/>
          </w:tcPr>
          <w:p>
            <w:r/>
            <w:r>
              <w:rPr>
                <w:b/>
                <w:color w:val="FFFFFF"/>
                <w:sz w:val="16"/>
              </w:rPr>
              <w:t>Analysis</w:t>
            </w:r>
          </w:p>
        </w:tc>
        <w:tc>
          <w:tcPr>
            <w:tcW w:type="dxa" w:w="3312"/>
            <w:shd w:val="clear" w:color="auto" w:fill="1F3A5F"/>
          </w:tcPr>
          <w:p>
            <w:r/>
            <w:r>
              <w:rPr>
                <w:b/>
                <w:color w:val="FFFFFF"/>
                <w:sz w:val="16"/>
              </w:rPr>
              <w:t>Recommended Position</w:t>
            </w:r>
          </w:p>
        </w:tc>
      </w:tr>
      <w:tr>
        <w:tc>
          <w:tcPr>
            <w:tcW w:type="dxa" w:w="432"/>
          </w:tcPr>
          <w:p>
            <w:r/>
            <w:r>
              <w:rPr>
                <w:sz w:val="16"/>
              </w:rPr>
              <w:t>19</w:t>
            </w:r>
          </w:p>
        </w:tc>
        <w:tc>
          <w:tcPr>
            <w:tcW w:type="dxa" w:w="1872"/>
          </w:tcPr>
          <w:p>
            <w:r/>
            <w:r>
              <w:rPr>
                <w:sz w:val="16"/>
              </w:rPr>
              <w:t>Termination asymmetry and effects (TS §§ 5.2, 10.2, 12)</w:t>
            </w:r>
          </w:p>
        </w:tc>
        <w:tc>
          <w:tcPr>
            <w:tcW w:type="dxa" w:w="3744"/>
          </w:tcPr>
          <w:p>
            <w:r/>
            <w:r>
              <w:rPr>
                <w:sz w:val="16"/>
              </w:rPr>
              <w:t>Kaelen has performance, FDA, SLA (per site), and for-cause exits, none with a fee; Atherton has only 60-day for-cause termination. Surviving rights (Improvements license, escrow license) survive even if Kaelen is the breaching party. “Fees accrued” is undefined for quarterly-in-arrears billing.</w:t>
            </w:r>
          </w:p>
        </w:tc>
        <w:tc>
          <w:tcPr>
            <w:tcW w:type="dxa" w:w="3312"/>
          </w:tcPr>
          <w:p>
            <w:r/>
            <w:r>
              <w:rPr>
                <w:sz w:val="16"/>
              </w:rPr>
              <w:t>Atherton termination for non-payment (30 days), insolvency and challenge to Atherton IP; suspension right; survival of Kaelen licenses only on termination for Atherton’s uncured breach; define accrued fees pro rata through effective termination date; wind-down/transition services at Kaelen’s cost.</w:t>
            </w:r>
          </w:p>
        </w:tc>
      </w:tr>
      <w:tr>
        <w:tc>
          <w:tcPr>
            <w:tcW w:type="dxa" w:w="432"/>
          </w:tcPr>
          <w:p>
            <w:r/>
            <w:r>
              <w:rPr>
                <w:sz w:val="16"/>
              </w:rPr>
              <w:t>20</w:t>
            </w:r>
          </w:p>
        </w:tc>
        <w:tc>
          <w:tcPr>
            <w:tcW w:type="dxa" w:w="1872"/>
          </w:tcPr>
          <w:p>
            <w:r/>
            <w:r>
              <w:rPr>
                <w:sz w:val="16"/>
              </w:rPr>
              <w:t>Automatic renewal and renewal pricing (TS §§ 4.2, 6.5)</w:t>
            </w:r>
          </w:p>
        </w:tc>
        <w:tc>
          <w:tcPr>
            <w:tcW w:type="dxa" w:w="3744"/>
          </w:tcPr>
          <w:p>
            <w:r/>
            <w:r>
              <w:rPr>
                <w:sz w:val="16"/>
              </w:rPr>
              <w:t>Two automatic 3-year renewals extend exclusivity to 2038; renewal fees only “negotiated in good faith” with a floor of the Year 7 fee, so Atherton could be locked into renewal (and exclusivity) at the floor. Non-renewal notice is due 12 months ahead (by June 30, 2031).</w:t>
            </w:r>
          </w:p>
        </w:tc>
        <w:tc>
          <w:tcPr>
            <w:tcW w:type="dxa" w:w="3312"/>
          </w:tcPr>
          <w:p>
            <w:r/>
            <w:r>
              <w:rPr>
                <w:sz w:val="16"/>
              </w:rPr>
              <w:t>Renewals by mutual written agreement, or auto-renewal only if renewal fees are agreed; exclusivity in Renewal Periods only if separately priced; renewals contingent on Atherton retaining necessary third-party data rights.</w:t>
            </w:r>
          </w:p>
        </w:tc>
      </w:tr>
      <w:tr>
        <w:tc>
          <w:tcPr>
            <w:tcW w:type="dxa" w:w="432"/>
          </w:tcPr>
          <w:p>
            <w:r/>
            <w:r>
              <w:rPr>
                <w:sz w:val="16"/>
              </w:rPr>
              <w:t>21</w:t>
            </w:r>
          </w:p>
        </w:tc>
        <w:tc>
          <w:tcPr>
            <w:tcW w:type="dxa" w:w="1872"/>
          </w:tcPr>
          <w:p>
            <w:r/>
            <w:r>
              <w:rPr>
                <w:sz w:val="16"/>
              </w:rPr>
              <w:t>Assignment and change of control (TS § 18.3; DLA § 11; IRA § 7.1(f))</w:t>
            </w:r>
          </w:p>
        </w:tc>
        <w:tc>
          <w:tcPr>
            <w:tcW w:type="dxa" w:w="3744"/>
          </w:tcPr>
          <w:p>
            <w:r/>
            <w:r>
              <w:rPr>
                <w:sz w:val="16"/>
              </w:rPr>
              <w:t>Kaelen may assign to any successor without consent; Atherton may not assign at all without consent, impairing an Atherton sale (which also requires Series C consent under IRA § 7.1(f) and may trigger Voss’s termination right under DLA § 11.2). A Kaelen acquirer could be an Atherton competitor or a much larger system (requiring fresh Voss consent).</w:t>
            </w:r>
          </w:p>
        </w:tc>
        <w:tc>
          <w:tcPr>
            <w:tcW w:type="dxa" w:w="3312"/>
          </w:tcPr>
          <w:p>
            <w:r/>
            <w:r>
              <w:rPr>
                <w:sz w:val="16"/>
              </w:rPr>
              <w:t>Mutual right to assign to a successor in a merger/sale of substantially all assets; no assignment by Kaelen to an Atherton competitor; successor cannot expand Kaelen Network, radius or usage without consent; Kaelen to notify Atherton of any change of control.</w:t>
            </w:r>
          </w:p>
        </w:tc>
      </w:tr>
      <w:tr>
        <w:tc>
          <w:tcPr>
            <w:tcW w:type="dxa" w:w="432"/>
          </w:tcPr>
          <w:p>
            <w:r/>
            <w:r>
              <w:rPr>
                <w:sz w:val="16"/>
              </w:rPr>
              <w:t>22</w:t>
            </w:r>
          </w:p>
        </w:tc>
        <w:tc>
          <w:tcPr>
            <w:tcW w:type="dxa" w:w="1872"/>
          </w:tcPr>
          <w:p>
            <w:r/>
            <w:r>
              <w:rPr>
                <w:sz w:val="16"/>
              </w:rPr>
              <w:t>Conditions precedent (TS § 15)</w:t>
            </w:r>
          </w:p>
        </w:tc>
        <w:tc>
          <w:tcPr>
            <w:tcW w:type="dxa" w:w="3744"/>
          </w:tcPr>
          <w:p>
            <w:r/>
            <w:r>
              <w:rPr>
                <w:sz w:val="16"/>
              </w:rPr>
              <w:t>Lists only Kaelen-oriented items (incl. Atherton’s own due diligence on NovaPACS). Omits Atherton’s required approvals; escrow as a closing condition conflicts with the 90-day post-closing deposit in § 9.1.</w:t>
            </w:r>
          </w:p>
        </w:tc>
        <w:tc>
          <w:tcPr>
            <w:tcW w:type="dxa" w:w="3312"/>
          </w:tcPr>
          <w:p>
            <w:r/>
            <w:r>
              <w:rPr>
                <w:sz w:val="16"/>
              </w:rPr>
              <w:t>Add: Ridgeline § 7.4 consent; Board approval under § 7.3; Voss § 4.3 consent; executed BAA; agreed testing protocol; agreed SOC 2 interim deliverable. Move escrow to post-closing covenant.</w:t>
            </w:r>
          </w:p>
        </w:tc>
      </w:tr>
      <w:tr>
        <w:tc>
          <w:tcPr>
            <w:tcW w:type="dxa" w:w="432"/>
          </w:tcPr>
          <w:p>
            <w:r/>
            <w:r>
              <w:rPr>
                <w:sz w:val="16"/>
              </w:rPr>
              <w:t>23</w:t>
            </w:r>
          </w:p>
        </w:tc>
        <w:tc>
          <w:tcPr>
            <w:tcW w:type="dxa" w:w="1872"/>
          </w:tcPr>
          <w:p>
            <w:r/>
            <w:r>
              <w:rPr>
                <w:sz w:val="16"/>
              </w:rPr>
              <w:t>Existing licensee agreements</w:t>
            </w:r>
          </w:p>
        </w:tc>
        <w:tc>
          <w:tcPr>
            <w:tcW w:type="dxa" w:w="3744"/>
          </w:tcPr>
          <w:p>
            <w:r/>
            <w:r>
              <w:rPr>
                <w:sz w:val="16"/>
              </w:rPr>
              <w:t>Pinnacle: non-exclusive, no MFL, no geographic exclusivity — no direct conflict, but update parity (§ 5.2), no-impairment (§ 9.2, with 90-day cure and termination/refund remedy) and continued-development (§ 9.1) covenants must be respected; any Voss consent conditions or loss of Voss data would impair all licensees. SRMA and GLCN agreements have not been reviewed.</w:t>
            </w:r>
          </w:p>
        </w:tc>
        <w:tc>
          <w:tcPr>
            <w:tcW w:type="dxa" w:w="3312"/>
          </w:tcPr>
          <w:p>
            <w:r/>
            <w:r>
              <w:rPr>
                <w:sz w:val="16"/>
              </w:rPr>
              <w:t>Review SRMA and GLCN in full (MFL, exclusivity, parity, no-impairment, territory); map facilities against Kaelen radii; ensure Kaelen terms do not restrict updates to other licensees.</w:t>
            </w:r>
          </w:p>
        </w:tc>
      </w:tr>
      <w:tr>
        <w:tc>
          <w:tcPr>
            <w:tcW w:type="dxa" w:w="432"/>
          </w:tcPr>
          <w:p>
            <w:r/>
            <w:r>
              <w:rPr>
                <w:sz w:val="16"/>
              </w:rPr>
              <w:t>24</w:t>
            </w:r>
          </w:p>
        </w:tc>
        <w:tc>
          <w:tcPr>
            <w:tcW w:type="dxa" w:w="1872"/>
          </w:tcPr>
          <w:p>
            <w:r/>
            <w:r>
              <w:rPr>
                <w:sz w:val="16"/>
              </w:rPr>
              <w:t>Governing law and dispute resolution (TS §§ 18.1–18.2)</w:t>
            </w:r>
          </w:p>
        </w:tc>
        <w:tc>
          <w:tcPr>
            <w:tcW w:type="dxa" w:w="3744"/>
          </w:tcPr>
          <w:p>
            <w:r/>
            <w:r>
              <w:rPr>
                <w:sz w:val="16"/>
              </w:rPr>
              <w:t>Maryland law and AAA arbitration in Baltimore favor Kaelen; no carve-out for injunctive relief to protect IP/trade secrets; no confidentiality of arbitration.</w:t>
            </w:r>
          </w:p>
        </w:tc>
        <w:tc>
          <w:tcPr>
            <w:tcW w:type="dxa" w:w="3312"/>
          </w:tcPr>
          <w:p>
            <w:r/>
            <w:r>
              <w:rPr>
                <w:sz w:val="16"/>
              </w:rPr>
              <w:t>Delaware law (consistent with the DLA/IRA entities) or a neutral seat; carve-out for court injunctive relief for IP/confidentiality; confidential arbitration; escalation step.</w:t>
            </w:r>
          </w:p>
        </w:tc>
      </w:tr>
      <w:tr>
        <w:tc>
          <w:tcPr>
            <w:tcW w:type="dxa" w:w="432"/>
          </w:tcPr>
          <w:p>
            <w:r/>
            <w:r>
              <w:rPr>
                <w:sz w:val="16"/>
              </w:rPr>
              <w:t>25</w:t>
            </w:r>
          </w:p>
        </w:tc>
        <w:tc>
          <w:tcPr>
            <w:tcW w:type="dxa" w:w="1872"/>
          </w:tcPr>
          <w:p>
            <w:r/>
            <w:r>
              <w:rPr>
                <w:sz w:val="16"/>
              </w:rPr>
              <w:t>Antitrust</w:t>
            </w:r>
          </w:p>
        </w:tc>
        <w:tc>
          <w:tcPr>
            <w:tcW w:type="dxa" w:w="3744"/>
          </w:tcPr>
          <w:p>
            <w:r/>
            <w:r>
              <w:rPr>
                <w:sz w:val="16"/>
              </w:rPr>
              <w:t>A long-duration (up to 13-year) territorial restraint covering all acute-care hospitals near 43 facilities is a vertical restraint generally assessed under the rule of reason; risk is modest given Atherton’s position, but breadth and duration increase scrutiny and private-claim risk from foreclosed hospitals.</w:t>
            </w:r>
          </w:p>
        </w:tc>
        <w:tc>
          <w:tcPr>
            <w:tcW w:type="dxa" w:w="3312"/>
          </w:tcPr>
          <w:p>
            <w:r/>
            <w:r>
              <w:rPr>
                <w:sz w:val="16"/>
              </w:rPr>
              <w:t>Narrowing the radius per Issue 8 largely resolves; obtain antitrust review if any radius survives.</w:t>
            </w:r>
          </w:p>
        </w:tc>
      </w:tr>
      <w:tr>
        <w:tc>
          <w:tcPr>
            <w:tcW w:type="dxa" w:w="432"/>
          </w:tcPr>
          <w:p>
            <w:r/>
            <w:r>
              <w:rPr>
                <w:sz w:val="16"/>
              </w:rPr>
              <w:t>26</w:t>
            </w:r>
          </w:p>
        </w:tc>
        <w:tc>
          <w:tcPr>
            <w:tcW w:type="dxa" w:w="1872"/>
          </w:tcPr>
          <w:p>
            <w:r/>
            <w:r>
              <w:rPr>
                <w:sz w:val="16"/>
              </w:rPr>
              <w:t>Product deck describes Voss DLA as “exclusive” (slides 6–7)</w:t>
            </w:r>
          </w:p>
        </w:tc>
        <w:tc>
          <w:tcPr>
            <w:tcW w:type="dxa" w:w="3744"/>
          </w:tcPr>
          <w:p>
            <w:r/>
            <w:r>
              <w:rPr>
                <w:sz w:val="16"/>
              </w:rPr>
              <w:t xml:space="preserve">DLA § 2.1 grants a </w:t>
            </w:r>
            <w:r>
              <w:rPr>
                <w:b/>
                <w:sz w:val="16"/>
              </w:rPr>
              <w:t>non-exclusive</w:t>
            </w:r>
            <w:r>
              <w:rPr>
                <w:sz w:val="16"/>
              </w:rPr>
              <w:t xml:space="preserve"> license. The deck is marked for investor and customer use; inaccurate statements could support misrepresentation claims and mislead Kaelen/Ridgeline diligence.</w:t>
            </w:r>
          </w:p>
        </w:tc>
        <w:tc>
          <w:tcPr>
            <w:tcW w:type="dxa" w:w="3312"/>
          </w:tcPr>
          <w:p>
            <w:r/>
            <w:r>
              <w:rPr>
                <w:sz w:val="16"/>
              </w:rPr>
              <w:t>Correct the deck before further circulation; ensure Kaelen diligence materials are accurate.</w:t>
            </w:r>
          </w:p>
        </w:tc>
      </w:tr>
      <w:tr>
        <w:tc>
          <w:tcPr>
            <w:tcW w:type="dxa" w:w="432"/>
          </w:tcPr>
          <w:p>
            <w:r/>
            <w:r>
              <w:rPr>
                <w:sz w:val="16"/>
              </w:rPr>
              <w:t>27</w:t>
            </w:r>
          </w:p>
        </w:tc>
        <w:tc>
          <w:tcPr>
            <w:tcW w:type="dxa" w:w="1872"/>
          </w:tcPr>
          <w:p>
            <w:r/>
            <w:r>
              <w:rPr>
                <w:sz w:val="16"/>
              </w:rPr>
              <w:t>Negotiation exclusivity (TS § 17; LOI)</w:t>
            </w:r>
          </w:p>
        </w:tc>
        <w:tc>
          <w:tcPr>
            <w:tcW w:type="dxa" w:w="3744"/>
          </w:tcPr>
          <w:p>
            <w:r/>
            <w:r>
              <w:rPr>
                <w:sz w:val="16"/>
              </w:rPr>
              <w:t>Atherton may not discuss exclusive rights with third parties until May 21, 2025. Consent processes (Ridgeline to ~May 13+; Voss to ~June 1) mean the Definitive Agreement likely cannot be signed within that window. Non-exclusive licensing discussions remain permitted.</w:t>
            </w:r>
          </w:p>
        </w:tc>
        <w:tc>
          <w:tcPr>
            <w:tcW w:type="dxa" w:w="3312"/>
          </w:tcPr>
          <w:p>
            <w:r/>
            <w:r>
              <w:rPr>
                <w:sz w:val="16"/>
              </w:rPr>
              <w:t>Agree a short mutual extension tied to consent milestones; do not accept an extension that restricts non-exclusive licensing.</w:t>
            </w:r>
          </w:p>
        </w:tc>
      </w:tr>
    </w:tbl>
    <w:p>
      <w:pPr>
        <w:spacing w:after="40"/>
      </w:pPr>
    </w:p>
    <w:p>
      <w:pPr>
        <w:pStyle w:val="Heading2"/>
      </w:pPr>
      <w:r>
        <w:t>D. Low-Priority / Drafting Issues and TS–SL Inconsistencies</w:t>
      </w:r>
    </w:p>
    <w:p>
      <w:pPr>
        <w:spacing w:after="120"/>
      </w:pPr>
      <w:r>
        <w:rPr>
          <w:sz w:val="20"/>
        </w:rPr>
        <w:t>The SL states that the TS controls in any conflict unless the SL expressly says otherwise. The following inconsistencies should be resolved in a single integrated Definitive Agreement: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728"/>
            <w:shd w:val="clear" w:color="auto" w:fill="1F3A5F"/>
          </w:tcPr>
          <w:p>
            <w:r/>
            <w:r>
              <w:rPr>
                <w:b/>
                <w:color w:val="FFFFFF"/>
                <w:sz w:val="16"/>
              </w:rPr>
              <w:t>Topic</w:t>
            </w:r>
          </w:p>
        </w:tc>
        <w:tc>
          <w:tcPr>
            <w:tcW w:type="dxa" w:w="2448"/>
            <w:shd w:val="clear" w:color="auto" w:fill="1F3A5F"/>
          </w:tcPr>
          <w:p>
            <w:r/>
            <w:r>
              <w:rPr>
                <w:b/>
                <w:color w:val="FFFFFF"/>
                <w:sz w:val="16"/>
              </w:rPr>
              <w:t>Term Sheet</w:t>
            </w:r>
          </w:p>
        </w:tc>
        <w:tc>
          <w:tcPr>
            <w:tcW w:type="dxa" w:w="2592"/>
            <w:shd w:val="clear" w:color="auto" w:fill="1F3A5F"/>
          </w:tcPr>
          <w:p>
            <w:r/>
            <w:r>
              <w:rPr>
                <w:b/>
                <w:color w:val="FFFFFF"/>
                <w:sz w:val="16"/>
              </w:rPr>
              <w:t>Side Letter</w:t>
            </w:r>
          </w:p>
        </w:tc>
        <w:tc>
          <w:tcPr>
            <w:tcW w:type="dxa" w:w="2592"/>
            <w:shd w:val="clear" w:color="auto" w:fill="1F3A5F"/>
          </w:tcPr>
          <w:p>
            <w:r/>
            <w:r>
              <w:rPr>
                <w:b/>
                <w:color w:val="FFFFFF"/>
                <w:sz w:val="16"/>
              </w:rPr>
              <w:t>Recommended Fix</w:t>
            </w:r>
          </w:p>
        </w:tc>
      </w:tr>
      <w:tr>
        <w:tc>
          <w:tcPr>
            <w:tcW w:type="dxa" w:w="1728"/>
          </w:tcPr>
          <w:p>
            <w:r/>
            <w:r>
              <w:rPr>
                <w:sz w:val="16"/>
              </w:rPr>
              <w:t>SOC 2</w:t>
            </w:r>
          </w:p>
        </w:tc>
        <w:tc>
          <w:tcPr>
            <w:tcW w:type="dxa" w:w="2448"/>
          </w:tcPr>
          <w:p>
            <w:r/>
            <w:r>
              <w:rPr>
                <w:sz w:val="16"/>
              </w:rPr>
              <w:t>“Maintain” Type II “certification” (§ 10.3)</w:t>
            </w:r>
          </w:p>
        </w:tc>
        <w:tc>
          <w:tcPr>
            <w:tcW w:type="dxa" w:w="2592"/>
          </w:tcPr>
          <w:p>
            <w:r/>
            <w:r>
              <w:rPr>
                <w:sz w:val="16"/>
              </w:rPr>
              <w:t>“Obtain and maintain”; report due by Effective Date; failure = material breach (§ 5.2)</w:t>
            </w:r>
          </w:p>
        </w:tc>
        <w:tc>
          <w:tcPr>
            <w:tcW w:type="dxa" w:w="2592"/>
          </w:tcPr>
          <w:p>
            <w:r/>
            <w:r>
              <w:rPr>
                <w:sz w:val="16"/>
              </w:rPr>
              <w:t>Per Issue 6; use “report,” not “certification”</w:t>
            </w:r>
          </w:p>
        </w:tc>
      </w:tr>
      <w:tr>
        <w:tc>
          <w:tcPr>
            <w:tcW w:type="dxa" w:w="1728"/>
          </w:tcPr>
          <w:p>
            <w:r/>
            <w:r>
              <w:rPr>
                <w:sz w:val="16"/>
              </w:rPr>
              <w:t>FDA termination trigger</w:t>
            </w:r>
          </w:p>
        </w:tc>
        <w:tc>
          <w:tcPr>
            <w:tcW w:type="dxa" w:w="2448"/>
          </w:tcPr>
          <w:p>
            <w:r/>
            <w:r>
              <w:rPr>
                <w:sz w:val="16"/>
              </w:rPr>
              <w:t>Revoked, suspended, withdrawn or “materially limited” (§ 10.2)</w:t>
            </w:r>
          </w:p>
        </w:tc>
        <w:tc>
          <w:tcPr>
            <w:tcW w:type="dxa" w:w="2592"/>
          </w:tcPr>
          <w:p>
            <w:r/>
            <w:r>
              <w:rPr>
                <w:sz w:val="16"/>
              </w:rPr>
              <w:t>Revoked, suspended or “materially modified” (§ 7.1)</w:t>
            </w:r>
          </w:p>
        </w:tc>
        <w:tc>
          <w:tcPr>
            <w:tcW w:type="dxa" w:w="2592"/>
          </w:tcPr>
          <w:p>
            <w:r/>
            <w:r>
              <w:rPr>
                <w:sz w:val="16"/>
              </w:rPr>
              <w:t>Single narrow trigger per Issue 7</w:t>
            </w:r>
          </w:p>
        </w:tc>
      </w:tr>
      <w:tr>
        <w:tc>
          <w:tcPr>
            <w:tcW w:type="dxa" w:w="1728"/>
          </w:tcPr>
          <w:p>
            <w:r/>
            <w:r>
              <w:rPr>
                <w:sz w:val="16"/>
              </w:rPr>
              <w:t>FDA notice</w:t>
            </w:r>
          </w:p>
        </w:tc>
        <w:tc>
          <w:tcPr>
            <w:tcW w:type="dxa" w:w="2448"/>
          </w:tcPr>
          <w:p>
            <w:r/>
            <w:r>
              <w:rPr>
                <w:sz w:val="16"/>
              </w:rPr>
              <w:t>Inquiry, inspection, warning letter, adverse action</w:t>
            </w:r>
          </w:p>
        </w:tc>
        <w:tc>
          <w:tcPr>
            <w:tcW w:type="dxa" w:w="2592"/>
          </w:tcPr>
          <w:p>
            <w:r/>
            <w:r>
              <w:rPr>
                <w:sz w:val="16"/>
              </w:rPr>
              <w:t>Adds “adverse event report”</w:t>
            </w:r>
          </w:p>
        </w:tc>
        <w:tc>
          <w:tcPr>
            <w:tcW w:type="dxa" w:w="2592"/>
          </w:tcPr>
          <w:p>
            <w:r/>
            <w:r>
              <w:rPr>
                <w:sz w:val="16"/>
              </w:rPr>
              <w:t>Materiality-qualified notice</w:t>
            </w:r>
          </w:p>
        </w:tc>
      </w:tr>
      <w:tr>
        <w:tc>
          <w:tcPr>
            <w:tcW w:type="dxa" w:w="1728"/>
          </w:tcPr>
          <w:p>
            <w:r/>
            <w:r>
              <w:rPr>
                <w:sz w:val="16"/>
              </w:rPr>
              <w:t>Update acceptance</w:t>
            </w:r>
          </w:p>
        </w:tc>
        <w:tc>
          <w:tcPr>
            <w:tcW w:type="dxa" w:w="2448"/>
          </w:tcPr>
          <w:p>
            <w:r/>
            <w:r>
              <w:rPr>
                <w:sz w:val="16"/>
              </w:rPr>
              <w:t>Written acceptance/rejection; silence not addressed (§ 11.2)</w:t>
            </w:r>
          </w:p>
        </w:tc>
        <w:tc>
          <w:tcPr>
            <w:tcW w:type="dxa" w:w="2592"/>
          </w:tcPr>
          <w:p>
            <w:r/>
            <w:r>
              <w:rPr>
                <w:sz w:val="16"/>
              </w:rPr>
              <w:t>Deemed acceptance after 30 days; rejection reasons required (§§ 6.2–6.3)</w:t>
            </w:r>
          </w:p>
        </w:tc>
        <w:tc>
          <w:tcPr>
            <w:tcW w:type="dxa" w:w="2592"/>
          </w:tcPr>
          <w:p>
            <w:r/>
            <w:r>
              <w:rPr>
                <w:sz w:val="16"/>
              </w:rPr>
              <w:t>Adopt SL deemed acceptance expressly</w:t>
            </w:r>
          </w:p>
        </w:tc>
      </w:tr>
      <w:tr>
        <w:tc>
          <w:tcPr>
            <w:tcW w:type="dxa" w:w="1728"/>
          </w:tcPr>
          <w:p>
            <w:r/>
            <w:r>
              <w:rPr>
                <w:sz w:val="16"/>
              </w:rPr>
              <w:t>Rejected updates</w:t>
            </w:r>
          </w:p>
        </w:tc>
        <w:tc>
          <w:tcPr>
            <w:tcW w:type="dxa" w:w="2448"/>
          </w:tcPr>
          <w:p>
            <w:r/>
            <w:r>
              <w:rPr>
                <w:sz w:val="16"/>
              </w:rPr>
              <w:t>Prior version remains at “affected” facilities (§ 11.3)</w:t>
            </w:r>
          </w:p>
        </w:tc>
        <w:tc>
          <w:tcPr>
            <w:tcW w:type="dxa" w:w="2592"/>
          </w:tcPr>
          <w:p>
            <w:r/>
            <w:r>
              <w:rPr>
                <w:sz w:val="16"/>
              </w:rPr>
              <w:t>Prior version remains at “all” sites (§ 6.3)</w:t>
            </w:r>
          </w:p>
        </w:tc>
        <w:tc>
          <w:tcPr>
            <w:tcW w:type="dxa" w:w="2592"/>
          </w:tcPr>
          <w:p>
            <w:r/>
            <w:r>
              <w:rPr>
                <w:sz w:val="16"/>
              </w:rPr>
              <w:t>Clarify; limit version support</w:t>
            </w:r>
          </w:p>
        </w:tc>
      </w:tr>
      <w:tr>
        <w:tc>
          <w:tcPr>
            <w:tcW w:type="dxa" w:w="1728"/>
          </w:tcPr>
          <w:p>
            <w:r/>
            <w:r>
              <w:rPr>
                <w:sz w:val="16"/>
              </w:rPr>
              <w:t>Validation dataset</w:t>
            </w:r>
          </w:p>
        </w:tc>
        <w:tc>
          <w:tcPr>
            <w:tcW w:type="dxa" w:w="2448"/>
          </w:tcPr>
          <w:p>
            <w:r/>
            <w:r>
              <w:rPr>
                <w:sz w:val="16"/>
              </w:rPr>
              <w:t>Protocol to be mutually agreed (§ 5.3)</w:t>
            </w:r>
          </w:p>
        </w:tc>
        <w:tc>
          <w:tcPr>
            <w:tcW w:type="dxa" w:w="2592"/>
          </w:tcPr>
          <w:p>
            <w:r/>
            <w:r>
              <w:rPr>
                <w:sz w:val="16"/>
              </w:rPr>
              <w:t>Kaelen selects dataset; Kaelen radiologists are reference (§ 2.2)</w:t>
            </w:r>
          </w:p>
        </w:tc>
        <w:tc>
          <w:tcPr>
            <w:tcW w:type="dxa" w:w="2592"/>
          </w:tcPr>
          <w:p>
            <w:r/>
            <w:r>
              <w:rPr>
                <w:sz w:val="16"/>
              </w:rPr>
              <w:t>Agreed protocol exhibit, independent dataset</w:t>
            </w:r>
          </w:p>
        </w:tc>
      </w:tr>
      <w:tr>
        <w:tc>
          <w:tcPr>
            <w:tcW w:type="dxa" w:w="1728"/>
          </w:tcPr>
          <w:p>
            <w:r/>
            <w:r>
              <w:rPr>
                <w:sz w:val="16"/>
              </w:rPr>
              <w:t>Use characterization</w:t>
            </w:r>
          </w:p>
        </w:tc>
        <w:tc>
          <w:tcPr>
            <w:tcW w:type="dxa" w:w="2448"/>
          </w:tcPr>
          <w:p>
            <w:r/>
            <w:r>
              <w:rPr>
                <w:sz w:val="16"/>
              </w:rPr>
              <w:t>Diagnostic Imaging analysis</w:t>
            </w:r>
          </w:p>
        </w:tc>
        <w:tc>
          <w:tcPr>
            <w:tcW w:type="dxa" w:w="2592"/>
          </w:tcPr>
          <w:p>
            <w:r/>
            <w:r>
              <w:rPr>
                <w:sz w:val="16"/>
              </w:rPr>
              <w:t>“Primary diagnostic screening tool” (§ 2.2)</w:t>
            </w:r>
          </w:p>
        </w:tc>
        <w:tc>
          <w:tcPr>
            <w:tcW w:type="dxa" w:w="2592"/>
          </w:tcPr>
          <w:p>
            <w:r/>
            <w:r>
              <w:rPr>
                <w:sz w:val="16"/>
              </w:rPr>
              <w:t>Conform to cleared CADe indication</w:t>
            </w:r>
          </w:p>
        </w:tc>
      </w:tr>
      <w:tr>
        <w:tc>
          <w:tcPr>
            <w:tcW w:type="dxa" w:w="1728"/>
          </w:tcPr>
          <w:p>
            <w:r/>
            <w:r>
              <w:rPr>
                <w:sz w:val="16"/>
              </w:rPr>
              <w:t>State AI laws</w:t>
            </w:r>
          </w:p>
        </w:tc>
        <w:tc>
          <w:tcPr>
            <w:tcW w:type="dxa" w:w="2448"/>
          </w:tcPr>
          <w:p>
            <w:r/>
            <w:r>
              <w:rPr>
                <w:sz w:val="16"/>
              </w:rPr>
              <w:t>Cooperate with Kaelen (§ 10.4)</w:t>
            </w:r>
          </w:p>
        </w:tc>
        <w:tc>
          <w:tcPr>
            <w:tcW w:type="dxa" w:w="2592"/>
          </w:tcPr>
          <w:p>
            <w:r/>
            <w:r>
              <w:rPr>
                <w:sz w:val="16"/>
              </w:rPr>
              <w:t>Atherton shall comply and monitor (§§ 5.1, 7.2)</w:t>
            </w:r>
          </w:p>
        </w:tc>
        <w:tc>
          <w:tcPr>
            <w:tcW w:type="dxa" w:w="2592"/>
          </w:tcPr>
          <w:p>
            <w:r/>
            <w:r>
              <w:rPr>
                <w:sz w:val="16"/>
              </w:rPr>
              <w:t>Allocate developer/deployer duties</w:t>
            </w:r>
          </w:p>
        </w:tc>
      </w:tr>
      <w:tr>
        <w:tc>
          <w:tcPr>
            <w:tcW w:type="dxa" w:w="1728"/>
          </w:tcPr>
          <w:p>
            <w:r/>
            <w:r>
              <w:rPr>
                <w:sz w:val="16"/>
              </w:rPr>
              <w:t>SL signature</w:t>
            </w:r>
          </w:p>
        </w:tc>
        <w:tc>
          <w:tcPr>
            <w:tcW w:type="dxa" w:w="2448"/>
          </w:tcPr>
          <w:p>
            <w:r/>
            <w:r>
              <w:rPr>
                <w:sz w:val="16"/>
              </w:rPr>
              <w:t>—</w:t>
            </w:r>
          </w:p>
        </w:tc>
        <w:tc>
          <w:tcPr>
            <w:tcW w:type="dxa" w:w="2592"/>
          </w:tcPr>
          <w:p>
            <w:r/>
            <w:r>
              <w:rPr>
                <w:sz w:val="16"/>
              </w:rPr>
              <w:t>Atherton “Acknowledged and Received” block</w:t>
            </w:r>
          </w:p>
        </w:tc>
        <w:tc>
          <w:tcPr>
            <w:tcW w:type="dxa" w:w="2592"/>
          </w:tcPr>
          <w:p>
            <w:r/>
            <w:r>
              <w:rPr>
                <w:sz w:val="16"/>
              </w:rPr>
              <w:t>Sign only after mark-up; state expressly non-binding; SL execution is a TS § 15.1(c) CP</w:t>
            </w:r>
          </w:p>
        </w:tc>
      </w:tr>
      <w:tr>
        <w:tc>
          <w:tcPr>
            <w:tcW w:type="dxa" w:w="1728"/>
          </w:tcPr>
          <w:p>
            <w:r/>
            <w:r>
              <w:rPr>
                <w:sz w:val="16"/>
              </w:rPr>
              <w:t>Letterhead details</w:t>
            </w:r>
          </w:p>
        </w:tc>
        <w:tc>
          <w:tcPr>
            <w:tcW w:type="dxa" w:w="2448"/>
          </w:tcPr>
          <w:p>
            <w:r/>
            <w:r>
              <w:rPr>
                <w:sz w:val="16"/>
              </w:rPr>
              <w:t>Tidewater tel. (410) 555-7200</w:t>
            </w:r>
          </w:p>
        </w:tc>
        <w:tc>
          <w:tcPr>
            <w:tcW w:type="dxa" w:w="2592"/>
          </w:tcPr>
          <w:p>
            <w:r/>
            <w:r>
              <w:rPr>
                <w:sz w:val="16"/>
              </w:rPr>
              <w:t>Tidewater tel. (410) 625-7400</w:t>
            </w:r>
          </w:p>
        </w:tc>
        <w:tc>
          <w:tcPr>
            <w:tcW w:type="dxa" w:w="2592"/>
          </w:tcPr>
          <w:p>
            <w:r/>
            <w:r>
              <w:rPr>
                <w:sz w:val="16"/>
              </w:rPr>
              <w:t>Clerical; confirm notice details</w:t>
            </w:r>
          </w:p>
        </w:tc>
      </w:tr>
    </w:tbl>
    <w:p>
      <w:pPr>
        <w:spacing w:after="40"/>
      </w:pPr>
    </w:p>
    <w:p>
      <w:pPr>
        <w:pStyle w:val="Heading1"/>
      </w:pPr>
      <w:r>
        <w:t>VI. Critical-Path Timeline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728"/>
            <w:shd w:val="clear" w:color="auto" w:fill="1F3A5F"/>
          </w:tcPr>
          <w:p>
            <w:r/>
            <w:r>
              <w:rPr>
                <w:b/>
                <w:color w:val="FFFFFF"/>
                <w:sz w:val="16"/>
              </w:rPr>
              <w:t>Date</w:t>
            </w:r>
          </w:p>
        </w:tc>
        <w:tc>
          <w:tcPr>
            <w:tcW w:type="dxa" w:w="3600"/>
            <w:shd w:val="clear" w:color="auto" w:fill="1F3A5F"/>
          </w:tcPr>
          <w:p>
            <w:r/>
            <w:r>
              <w:rPr>
                <w:b/>
                <w:color w:val="FFFFFF"/>
                <w:sz w:val="16"/>
              </w:rPr>
              <w:t>Event / Deadline</w:t>
            </w:r>
          </w:p>
        </w:tc>
        <w:tc>
          <w:tcPr>
            <w:tcW w:type="dxa" w:w="1728"/>
            <w:shd w:val="clear" w:color="auto" w:fill="1F3A5F"/>
          </w:tcPr>
          <w:p>
            <w:r/>
            <w:r>
              <w:rPr>
                <w:b/>
                <w:color w:val="FFFFFF"/>
                <w:sz w:val="16"/>
              </w:rPr>
              <w:t>Source</w:t>
            </w:r>
          </w:p>
        </w:tc>
        <w:tc>
          <w:tcPr>
            <w:tcW w:type="dxa" w:w="2304"/>
            <w:shd w:val="clear" w:color="auto" w:fill="1F3A5F"/>
          </w:tcPr>
          <w:p>
            <w:r/>
            <w:r>
              <w:rPr>
                <w:b/>
                <w:color w:val="FFFFFF"/>
                <w:sz w:val="16"/>
              </w:rPr>
              <w:t>Comment</w:t>
            </w:r>
          </w:p>
        </w:tc>
      </w:tr>
      <w:tr>
        <w:tc>
          <w:tcPr>
            <w:tcW w:type="dxa" w:w="1728"/>
          </w:tcPr>
          <w:p>
            <w:r/>
            <w:r>
              <w:rPr>
                <w:sz w:val="16"/>
              </w:rPr>
              <w:t>Feb. 20, 2025</w:t>
            </w:r>
          </w:p>
        </w:tc>
        <w:tc>
          <w:tcPr>
            <w:tcW w:type="dxa" w:w="3600"/>
          </w:tcPr>
          <w:p>
            <w:r/>
            <w:r>
              <w:rPr>
                <w:sz w:val="16"/>
              </w:rPr>
              <w:t>LOI signed; negotiation exclusivity begins</w:t>
            </w:r>
          </w:p>
        </w:tc>
        <w:tc>
          <w:tcPr>
            <w:tcW w:type="dxa" w:w="1728"/>
          </w:tcPr>
          <w:p>
            <w:r/>
            <w:r>
              <w:rPr>
                <w:sz w:val="16"/>
              </w:rPr>
              <w:t>TS § 17.1</w:t>
            </w:r>
          </w:p>
        </w:tc>
        <w:tc>
          <w:tcPr>
            <w:tcW w:type="dxa" w:w="2304"/>
          </w:tcPr>
          <w:p>
            <w:r/>
            <w:r>
              <w:rPr>
                <w:sz w:val="16"/>
              </w:rPr>
              <w:t>—</w:t>
            </w:r>
          </w:p>
        </w:tc>
      </w:tr>
      <w:tr>
        <w:tc>
          <w:tcPr>
            <w:tcW w:type="dxa" w:w="1728"/>
          </w:tcPr>
          <w:p>
            <w:r/>
            <w:r>
              <w:rPr>
                <w:sz w:val="16"/>
              </w:rPr>
              <w:t>Apr. 1, 2025</w:t>
            </w:r>
          </w:p>
        </w:tc>
        <w:tc>
          <w:tcPr>
            <w:tcW w:type="dxa" w:w="3600"/>
          </w:tcPr>
          <w:p>
            <w:r/>
            <w:r>
              <w:rPr>
                <w:sz w:val="16"/>
              </w:rPr>
              <w:t>Last day to deliver IRA § 7.4 package for consideration at the April 22 Board meeting (15 business days prior)</w:t>
            </w:r>
          </w:p>
        </w:tc>
        <w:tc>
          <w:tcPr>
            <w:tcW w:type="dxa" w:w="1728"/>
          </w:tcPr>
          <w:p>
            <w:r/>
            <w:r>
              <w:rPr>
                <w:sz w:val="16"/>
              </w:rPr>
              <w:t>IRA § 7.4</w:t>
            </w:r>
          </w:p>
        </w:tc>
        <w:tc>
          <w:tcPr>
            <w:tcW w:type="dxa" w:w="2304"/>
          </w:tcPr>
          <w:p>
            <w:r/>
            <w:r>
              <w:rPr>
                <w:sz w:val="16"/>
              </w:rPr>
              <w:t>If missed, April 22 should be informational only</w:t>
            </w:r>
          </w:p>
        </w:tc>
      </w:tr>
      <w:tr>
        <w:tc>
          <w:tcPr>
            <w:tcW w:type="dxa" w:w="1728"/>
          </w:tcPr>
          <w:p>
            <w:r/>
            <w:r>
              <w:rPr>
                <w:sz w:val="16"/>
              </w:rPr>
              <w:t>Apr. 15, 2025</w:t>
            </w:r>
          </w:p>
        </w:tc>
        <w:tc>
          <w:tcPr>
            <w:tcW w:type="dxa" w:w="3600"/>
          </w:tcPr>
          <w:p>
            <w:r/>
            <w:r>
              <w:rPr>
                <w:sz w:val="16"/>
              </w:rPr>
              <w:t>Issue memo due to GC</w:t>
            </w:r>
          </w:p>
        </w:tc>
        <w:tc>
          <w:tcPr>
            <w:tcW w:type="dxa" w:w="1728"/>
          </w:tcPr>
          <w:p>
            <w:r/>
            <w:r>
              <w:rPr>
                <w:sz w:val="16"/>
              </w:rPr>
              <w:t>GC email</w:t>
            </w:r>
          </w:p>
        </w:tc>
        <w:tc>
          <w:tcPr>
            <w:tcW w:type="dxa" w:w="2304"/>
          </w:tcPr>
          <w:p>
            <w:r/>
            <w:r>
              <w:rPr>
                <w:sz w:val="16"/>
              </w:rPr>
              <w:t>—</w:t>
            </w:r>
          </w:p>
        </w:tc>
      </w:tr>
      <w:tr>
        <w:tc>
          <w:tcPr>
            <w:tcW w:type="dxa" w:w="1728"/>
          </w:tcPr>
          <w:p>
            <w:r/>
            <w:r>
              <w:rPr>
                <w:sz w:val="16"/>
              </w:rPr>
              <w:t>Apr. 22, 2025</w:t>
            </w:r>
          </w:p>
        </w:tc>
        <w:tc>
          <w:tcPr>
            <w:tcW w:type="dxa" w:w="3600"/>
          </w:tcPr>
          <w:p>
            <w:r/>
            <w:r>
              <w:rPr>
                <w:sz w:val="16"/>
              </w:rPr>
              <w:t>Board meeting</w:t>
            </w:r>
          </w:p>
        </w:tc>
        <w:tc>
          <w:tcPr>
            <w:tcW w:type="dxa" w:w="1728"/>
          </w:tcPr>
          <w:p>
            <w:r/>
            <w:r>
              <w:rPr>
                <w:sz w:val="16"/>
              </w:rPr>
              <w:t>GC email</w:t>
            </w:r>
          </w:p>
        </w:tc>
        <w:tc>
          <w:tcPr>
            <w:tcW w:type="dxa" w:w="2304"/>
          </w:tcPr>
          <w:p>
            <w:r/>
            <w:r>
              <w:rPr>
                <w:sz w:val="16"/>
              </w:rPr>
              <w:t>Present issues; authorize negotiation positions and consent requests</w:t>
            </w:r>
          </w:p>
        </w:tc>
      </w:tr>
      <w:tr>
        <w:tc>
          <w:tcPr>
            <w:tcW w:type="dxa" w:w="1728"/>
          </w:tcPr>
          <w:p>
            <w:r/>
            <w:r>
              <w:rPr>
                <w:sz w:val="16"/>
              </w:rPr>
              <w:t>Promptly (target before Apr. 22)</w:t>
            </w:r>
          </w:p>
        </w:tc>
        <w:tc>
          <w:tcPr>
            <w:tcW w:type="dxa" w:w="3600"/>
          </w:tcPr>
          <w:p>
            <w:r/>
            <w:r>
              <w:rPr>
                <w:sz w:val="16"/>
              </w:rPr>
              <w:t>Kaelen written consent to disclose to Voss and Ridgeline; deliver § 7.4 package; investigate pilot consent</w:t>
            </w:r>
          </w:p>
        </w:tc>
        <w:tc>
          <w:tcPr>
            <w:tcW w:type="dxa" w:w="1728"/>
          </w:tcPr>
          <w:p>
            <w:r/>
            <w:r>
              <w:rPr>
                <w:sz w:val="16"/>
              </w:rPr>
              <w:t>TS § 16; IRA § 7.4; DLA § 4.3</w:t>
            </w:r>
          </w:p>
        </w:tc>
        <w:tc>
          <w:tcPr>
            <w:tcW w:type="dxa" w:w="2304"/>
          </w:tcPr>
          <w:p>
            <w:r/>
            <w:r>
              <w:rPr>
                <w:sz w:val="16"/>
              </w:rPr>
              <w:t>Starts 20-business-day Ridgeline clock (e.g., Apr. 15 delivery → ~May 13)</w:t>
            </w:r>
          </w:p>
        </w:tc>
      </w:tr>
      <w:tr>
        <w:tc>
          <w:tcPr>
            <w:tcW w:type="dxa" w:w="1728"/>
          </w:tcPr>
          <w:p>
            <w:r/>
            <w:r>
              <w:rPr>
                <w:sz w:val="16"/>
              </w:rPr>
              <w:t>May 2, 2025</w:t>
            </w:r>
          </w:p>
        </w:tc>
        <w:tc>
          <w:tcPr>
            <w:tcW w:type="dxa" w:w="3600"/>
          </w:tcPr>
          <w:p>
            <w:r/>
            <w:r>
              <w:rPr>
                <w:sz w:val="16"/>
              </w:rPr>
              <w:t>Latest date to submit Voss § 4.3(d) consent request for a July 1 Effective Date (60 days prior)</w:t>
            </w:r>
          </w:p>
        </w:tc>
        <w:tc>
          <w:tcPr>
            <w:tcW w:type="dxa" w:w="1728"/>
          </w:tcPr>
          <w:p>
            <w:r/>
            <w:r>
              <w:rPr>
                <w:sz w:val="16"/>
              </w:rPr>
              <w:t>DLA § 4.3(d)</w:t>
            </w:r>
          </w:p>
        </w:tc>
        <w:tc>
          <w:tcPr>
            <w:tcW w:type="dxa" w:w="2304"/>
          </w:tcPr>
          <w:p>
            <w:r/>
            <w:r>
              <w:rPr>
                <w:sz w:val="16"/>
              </w:rPr>
              <w:t>Voss response due within 30 days of receipt (~June 1)</w:t>
            </w:r>
          </w:p>
        </w:tc>
      </w:tr>
      <w:tr>
        <w:tc>
          <w:tcPr>
            <w:tcW w:type="dxa" w:w="1728"/>
          </w:tcPr>
          <w:p>
            <w:r/>
            <w:r>
              <w:rPr>
                <w:sz w:val="16"/>
              </w:rPr>
              <w:t>May 21, 2025</w:t>
            </w:r>
          </w:p>
        </w:tc>
        <w:tc>
          <w:tcPr>
            <w:tcW w:type="dxa" w:w="3600"/>
          </w:tcPr>
          <w:p>
            <w:r/>
            <w:r>
              <w:rPr>
                <w:sz w:val="16"/>
              </w:rPr>
              <w:t>LOI/TS negotiation exclusivity expires</w:t>
            </w:r>
          </w:p>
        </w:tc>
        <w:tc>
          <w:tcPr>
            <w:tcW w:type="dxa" w:w="1728"/>
          </w:tcPr>
          <w:p>
            <w:r/>
            <w:r>
              <w:rPr>
                <w:sz w:val="16"/>
              </w:rPr>
              <w:t>TS § 17.1</w:t>
            </w:r>
          </w:p>
        </w:tc>
        <w:tc>
          <w:tcPr>
            <w:tcW w:type="dxa" w:w="2304"/>
          </w:tcPr>
          <w:p>
            <w:r/>
            <w:r>
              <w:rPr>
                <w:sz w:val="16"/>
              </w:rPr>
              <w:t>Seek short extension</w:t>
            </w:r>
          </w:p>
        </w:tc>
      </w:tr>
      <w:tr>
        <w:tc>
          <w:tcPr>
            <w:tcW w:type="dxa" w:w="1728"/>
          </w:tcPr>
          <w:p>
            <w:r/>
            <w:r>
              <w:rPr>
                <w:sz w:val="16"/>
              </w:rPr>
              <w:t>Late May / early June 2025</w:t>
            </w:r>
          </w:p>
        </w:tc>
        <w:tc>
          <w:tcPr>
            <w:tcW w:type="dxa" w:w="3600"/>
          </w:tcPr>
          <w:p>
            <w:r/>
            <w:r>
              <w:rPr>
                <w:sz w:val="16"/>
              </w:rPr>
              <w:t>Special Board meeting for IRA § 7.3 approval (≥15 business days after package delivery)</w:t>
            </w:r>
          </w:p>
        </w:tc>
        <w:tc>
          <w:tcPr>
            <w:tcW w:type="dxa" w:w="1728"/>
          </w:tcPr>
          <w:p>
            <w:r/>
            <w:r>
              <w:rPr>
                <w:sz w:val="16"/>
              </w:rPr>
              <w:t>IRA §§ 7.3, 7.4</w:t>
            </w:r>
          </w:p>
        </w:tc>
        <w:tc>
          <w:tcPr>
            <w:tcW w:type="dxa" w:w="2304"/>
          </w:tcPr>
          <w:p>
            <w:r/>
            <w:r>
              <w:rPr>
                <w:sz w:val="16"/>
              </w:rPr>
              <w:t>Lead Investor Director must vote in favor</w:t>
            </w:r>
          </w:p>
        </w:tc>
      </w:tr>
      <w:tr>
        <w:tc>
          <w:tcPr>
            <w:tcW w:type="dxa" w:w="1728"/>
          </w:tcPr>
          <w:p>
            <w:r/>
            <w:r>
              <w:rPr>
                <w:sz w:val="16"/>
              </w:rPr>
              <w:t>June 30, 2025</w:t>
            </w:r>
          </w:p>
        </w:tc>
        <w:tc>
          <w:tcPr>
            <w:tcW w:type="dxa" w:w="3600"/>
          </w:tcPr>
          <w:p>
            <w:r/>
            <w:r>
              <w:rPr>
                <w:sz w:val="16"/>
              </w:rPr>
              <w:t>Target signing of Definitive Agreement; BAA executed</w:t>
            </w:r>
          </w:p>
        </w:tc>
        <w:tc>
          <w:tcPr>
            <w:tcW w:type="dxa" w:w="1728"/>
          </w:tcPr>
          <w:p>
            <w:r/>
            <w:r>
              <w:rPr>
                <w:sz w:val="16"/>
              </w:rPr>
              <w:t>TS preamble; SL § 5.3</w:t>
            </w:r>
          </w:p>
        </w:tc>
        <w:tc>
          <w:tcPr>
            <w:tcW w:type="dxa" w:w="2304"/>
          </w:tcPr>
          <w:p>
            <w:r/>
            <w:r>
              <w:rPr>
                <w:sz w:val="16"/>
              </w:rPr>
              <w:t>Only after Ridgeline written consent, Board approval and Voss consent</w:t>
            </w:r>
          </w:p>
        </w:tc>
      </w:tr>
      <w:tr>
        <w:tc>
          <w:tcPr>
            <w:tcW w:type="dxa" w:w="1728"/>
          </w:tcPr>
          <w:p>
            <w:r/>
            <w:r>
              <w:rPr>
                <w:sz w:val="16"/>
              </w:rPr>
              <w:t>July 1, 2025</w:t>
            </w:r>
          </w:p>
        </w:tc>
        <w:tc>
          <w:tcPr>
            <w:tcW w:type="dxa" w:w="3600"/>
          </w:tcPr>
          <w:p>
            <w:r/>
            <w:r>
              <w:rPr>
                <w:sz w:val="16"/>
              </w:rPr>
              <w:t>Projected Effective Date; SOC 2 Type II report due under SL § 5.2 as drafted</w:t>
            </w:r>
          </w:p>
        </w:tc>
        <w:tc>
          <w:tcPr>
            <w:tcW w:type="dxa" w:w="1728"/>
          </w:tcPr>
          <w:p>
            <w:r/>
            <w:r>
              <w:rPr>
                <w:sz w:val="16"/>
              </w:rPr>
              <w:t>TS § 1; SL § 5.2</w:t>
            </w:r>
          </w:p>
        </w:tc>
        <w:tc>
          <w:tcPr>
            <w:tcW w:type="dxa" w:w="2304"/>
          </w:tcPr>
          <w:p>
            <w:r/>
            <w:r>
              <w:rPr>
                <w:sz w:val="16"/>
              </w:rPr>
              <w:t>Type II not expected until Q3 2025</w:t>
            </w:r>
          </w:p>
        </w:tc>
      </w:tr>
      <w:tr>
        <w:tc>
          <w:tcPr>
            <w:tcW w:type="dxa" w:w="1728"/>
          </w:tcPr>
          <w:p>
            <w:r/>
            <w:r>
              <w:rPr>
                <w:sz w:val="16"/>
              </w:rPr>
              <w:t>~July 31, 2025</w:t>
            </w:r>
          </w:p>
        </w:tc>
        <w:tc>
          <w:tcPr>
            <w:tcW w:type="dxa" w:w="3600"/>
          </w:tcPr>
          <w:p>
            <w:r/>
            <w:r>
              <w:rPr>
                <w:sz w:val="16"/>
              </w:rPr>
              <w:t>Deployment schedule and minimum system requirements due (30 days)</w:t>
            </w:r>
          </w:p>
        </w:tc>
        <w:tc>
          <w:tcPr>
            <w:tcW w:type="dxa" w:w="1728"/>
          </w:tcPr>
          <w:p>
            <w:r/>
            <w:r>
              <w:rPr>
                <w:sz w:val="16"/>
              </w:rPr>
              <w:t>SL §§ 1.2, 4.1</w:t>
            </w:r>
          </w:p>
        </w:tc>
        <w:tc>
          <w:tcPr>
            <w:tcW w:type="dxa" w:w="2304"/>
          </w:tcPr>
          <w:p>
            <w:r/>
            <w:r>
              <w:rPr>
                <w:sz w:val="16"/>
              </w:rPr>
              <w:t>—</w:t>
            </w:r>
          </w:p>
        </w:tc>
      </w:tr>
      <w:tr>
        <w:tc>
          <w:tcPr>
            <w:tcW w:type="dxa" w:w="1728"/>
          </w:tcPr>
          <w:p>
            <w:r/>
            <w:r>
              <w:rPr>
                <w:sz w:val="16"/>
              </w:rPr>
              <w:t>~Aug. 30, 2025</w:t>
            </w:r>
          </w:p>
        </w:tc>
        <w:tc>
          <w:tcPr>
            <w:tcW w:type="dxa" w:w="3600"/>
          </w:tcPr>
          <w:p>
            <w:r/>
            <w:r>
              <w:rPr>
                <w:sz w:val="16"/>
              </w:rPr>
              <w:t>End of 60-day cure period if SOC 2 failure noticed on Day 1</w:t>
            </w:r>
          </w:p>
        </w:tc>
        <w:tc>
          <w:tcPr>
            <w:tcW w:type="dxa" w:w="1728"/>
          </w:tcPr>
          <w:p>
            <w:r/>
            <w:r>
              <w:rPr>
                <w:sz w:val="16"/>
              </w:rPr>
              <w:t>TS § 12.1</w:t>
            </w:r>
          </w:p>
        </w:tc>
        <w:tc>
          <w:tcPr>
            <w:tcW w:type="dxa" w:w="2304"/>
          </w:tcPr>
          <w:p>
            <w:r/>
            <w:r>
              <w:rPr>
                <w:sz w:val="16"/>
              </w:rPr>
              <w:t>Escrow-release risk if uncured</w:t>
            </w:r>
          </w:p>
        </w:tc>
      </w:tr>
      <w:tr>
        <w:tc>
          <w:tcPr>
            <w:tcW w:type="dxa" w:w="1728"/>
          </w:tcPr>
          <w:p>
            <w:r/>
            <w:r>
              <w:rPr>
                <w:sz w:val="16"/>
              </w:rPr>
              <w:t>~Sept. 29, 2025</w:t>
            </w:r>
          </w:p>
        </w:tc>
        <w:tc>
          <w:tcPr>
            <w:tcW w:type="dxa" w:w="3600"/>
          </w:tcPr>
          <w:p>
            <w:r/>
            <w:r>
              <w:rPr>
                <w:sz w:val="16"/>
              </w:rPr>
              <w:t>Escrow deposit due (90 days)</w:t>
            </w:r>
          </w:p>
        </w:tc>
        <w:tc>
          <w:tcPr>
            <w:tcW w:type="dxa" w:w="1728"/>
          </w:tcPr>
          <w:p>
            <w:r/>
            <w:r>
              <w:rPr>
                <w:sz w:val="16"/>
              </w:rPr>
              <w:t>TS § 9.1</w:t>
            </w:r>
          </w:p>
        </w:tc>
        <w:tc>
          <w:tcPr>
            <w:tcW w:type="dxa" w:w="2304"/>
          </w:tcPr>
          <w:p>
            <w:r/>
            <w:r>
              <w:rPr>
                <w:sz w:val="16"/>
              </w:rPr>
              <w:t>—</w:t>
            </w:r>
          </w:p>
        </w:tc>
      </w:tr>
      <w:tr>
        <w:tc>
          <w:tcPr>
            <w:tcW w:type="dxa" w:w="1728"/>
          </w:tcPr>
          <w:p>
            <w:r/>
            <w:r>
              <w:rPr>
                <w:sz w:val="16"/>
              </w:rPr>
              <w:t>~Late Nov. 2025</w:t>
            </w:r>
          </w:p>
        </w:tc>
        <w:tc>
          <w:tcPr>
            <w:tcW w:type="dxa" w:w="3600"/>
          </w:tcPr>
          <w:p>
            <w:r/>
            <w:r>
              <w:rPr>
                <w:sz w:val="16"/>
              </w:rPr>
              <w:t>First Kaelen payment due (Q3 invoice, net-60)</w:t>
            </w:r>
          </w:p>
        </w:tc>
        <w:tc>
          <w:tcPr>
            <w:tcW w:type="dxa" w:w="1728"/>
          </w:tcPr>
          <w:p>
            <w:r/>
            <w:r>
              <w:rPr>
                <w:sz w:val="16"/>
              </w:rPr>
              <w:t>TS § 6.6</w:t>
            </w:r>
          </w:p>
        </w:tc>
        <w:tc>
          <w:tcPr>
            <w:tcW w:type="dxa" w:w="2304"/>
          </w:tcPr>
          <w:p>
            <w:r/>
            <w:r>
              <w:rPr>
                <w:sz w:val="16"/>
              </w:rPr>
              <w:t>Cash-flow lag</w:t>
            </w:r>
          </w:p>
        </w:tc>
      </w:tr>
      <w:tr>
        <w:tc>
          <w:tcPr>
            <w:tcW w:type="dxa" w:w="1728"/>
          </w:tcPr>
          <w:p>
            <w:r/>
            <w:r>
              <w:rPr>
                <w:sz w:val="16"/>
              </w:rPr>
              <w:t>Jan. 1, 2027</w:t>
            </w:r>
          </w:p>
        </w:tc>
        <w:tc>
          <w:tcPr>
            <w:tcW w:type="dxa" w:w="3600"/>
          </w:tcPr>
          <w:p>
            <w:r/>
            <w:r>
              <w:rPr>
                <w:sz w:val="16"/>
              </w:rPr>
              <w:t>Performance Threshold deadline (92% concordance)</w:t>
            </w:r>
          </w:p>
        </w:tc>
        <w:tc>
          <w:tcPr>
            <w:tcW w:type="dxa" w:w="1728"/>
          </w:tcPr>
          <w:p>
            <w:r/>
            <w:r>
              <w:rPr>
                <w:sz w:val="16"/>
              </w:rPr>
              <w:t>TS § 5.1</w:t>
            </w:r>
          </w:p>
        </w:tc>
        <w:tc>
          <w:tcPr>
            <w:tcW w:type="dxa" w:w="2304"/>
          </w:tcPr>
          <w:p>
            <w:r/>
            <w:r>
              <w:rPr>
                <w:sz w:val="16"/>
              </w:rPr>
              <w:t>Kaelen exit right on 30 days’ notice</w:t>
            </w:r>
          </w:p>
        </w:tc>
      </w:tr>
      <w:tr>
        <w:tc>
          <w:tcPr>
            <w:tcW w:type="dxa" w:w="1728"/>
          </w:tcPr>
          <w:p>
            <w:r/>
            <w:r>
              <w:rPr>
                <w:sz w:val="16"/>
              </w:rPr>
              <w:t>July 1, 2027</w:t>
            </w:r>
          </w:p>
        </w:tc>
        <w:tc>
          <w:tcPr>
            <w:tcW w:type="dxa" w:w="3600"/>
          </w:tcPr>
          <w:p>
            <w:r/>
            <w:r>
              <w:rPr>
                <w:sz w:val="16"/>
              </w:rPr>
              <w:t>Full deployment deadline (43 hospitals)</w:t>
            </w:r>
          </w:p>
        </w:tc>
        <w:tc>
          <w:tcPr>
            <w:tcW w:type="dxa" w:w="1728"/>
          </w:tcPr>
          <w:p>
            <w:r/>
            <w:r>
              <w:rPr>
                <w:sz w:val="16"/>
              </w:rPr>
              <w:t>TS § 2.4; SL § 1.2</w:t>
            </w:r>
          </w:p>
        </w:tc>
        <w:tc>
          <w:tcPr>
            <w:tcW w:type="dxa" w:w="2304"/>
          </w:tcPr>
          <w:p>
            <w:r/>
            <w:r>
              <w:rPr>
                <w:sz w:val="16"/>
              </w:rPr>
              <w:t>—</w:t>
            </w:r>
          </w:p>
        </w:tc>
      </w:tr>
      <w:tr>
        <w:tc>
          <w:tcPr>
            <w:tcW w:type="dxa" w:w="1728"/>
          </w:tcPr>
          <w:p>
            <w:r/>
            <w:r>
              <w:rPr>
                <w:sz w:val="16"/>
              </w:rPr>
              <w:t>July 4, 2027</w:t>
            </w:r>
          </w:p>
        </w:tc>
        <w:tc>
          <w:tcPr>
            <w:tcW w:type="dxa" w:w="3600"/>
          </w:tcPr>
          <w:p>
            <w:r/>
            <w:r>
              <w:rPr>
                <w:sz w:val="16"/>
              </w:rPr>
              <w:t>Deadline for Atherton’s Voss renewal notice</w:t>
            </w:r>
          </w:p>
        </w:tc>
        <w:tc>
          <w:tcPr>
            <w:tcW w:type="dxa" w:w="1728"/>
          </w:tcPr>
          <w:p>
            <w:r/>
            <w:r>
              <w:rPr>
                <w:sz w:val="16"/>
              </w:rPr>
              <w:t>DLA § 8.2(a)</w:t>
            </w:r>
          </w:p>
        </w:tc>
        <w:tc>
          <w:tcPr>
            <w:tcW w:type="dxa" w:w="2304"/>
          </w:tcPr>
          <w:p>
            <w:r/>
            <w:r>
              <w:rPr>
                <w:sz w:val="16"/>
              </w:rPr>
              <w:t>Diary now</w:t>
            </w:r>
          </w:p>
        </w:tc>
      </w:tr>
      <w:tr>
        <w:tc>
          <w:tcPr>
            <w:tcW w:type="dxa" w:w="1728"/>
          </w:tcPr>
          <w:p>
            <w:r/>
            <w:r>
              <w:rPr>
                <w:sz w:val="16"/>
              </w:rPr>
              <w:t>Dec. 31, 2027</w:t>
            </w:r>
          </w:p>
        </w:tc>
        <w:tc>
          <w:tcPr>
            <w:tcW w:type="dxa" w:w="3600"/>
          </w:tcPr>
          <w:p>
            <w:r/>
            <w:r>
              <w:rPr>
                <w:sz w:val="16"/>
              </w:rPr>
              <w:t>Voss DLA Initial Term expires</w:t>
            </w:r>
          </w:p>
        </w:tc>
        <w:tc>
          <w:tcPr>
            <w:tcW w:type="dxa" w:w="1728"/>
          </w:tcPr>
          <w:p>
            <w:r/>
            <w:r>
              <w:rPr>
                <w:sz w:val="16"/>
              </w:rPr>
              <w:t>DLA § 8.1</w:t>
            </w:r>
          </w:p>
        </w:tc>
        <w:tc>
          <w:tcPr>
            <w:tcW w:type="dxa" w:w="2304"/>
          </w:tcPr>
          <w:p>
            <w:r/>
            <w:r>
              <w:rPr>
                <w:sz w:val="16"/>
              </w:rPr>
              <w:t>No retraining with Voss data afterward unless renewed</w:t>
            </w:r>
          </w:p>
        </w:tc>
      </w:tr>
      <w:tr>
        <w:tc>
          <w:tcPr>
            <w:tcW w:type="dxa" w:w="1728"/>
          </w:tcPr>
          <w:p>
            <w:r/>
            <w:r>
              <w:rPr>
                <w:sz w:val="16"/>
              </w:rPr>
              <w:t>Feb. 28, 2028</w:t>
            </w:r>
          </w:p>
        </w:tc>
        <w:tc>
          <w:tcPr>
            <w:tcW w:type="dxa" w:w="3600"/>
          </w:tcPr>
          <w:p>
            <w:r/>
            <w:r>
              <w:rPr>
                <w:sz w:val="16"/>
              </w:rPr>
              <w:t>Pinnacle initial term ends; one automatic 2-year renewal unless 180 days’ notice</w:t>
            </w:r>
          </w:p>
        </w:tc>
        <w:tc>
          <w:tcPr>
            <w:tcW w:type="dxa" w:w="1728"/>
          </w:tcPr>
          <w:p>
            <w:r/>
            <w:r>
              <w:rPr>
                <w:sz w:val="16"/>
              </w:rPr>
              <w:t>Pinnacle § 8.1 (as summarized)</w:t>
            </w:r>
          </w:p>
        </w:tc>
        <w:tc>
          <w:tcPr>
            <w:tcW w:type="dxa" w:w="2304"/>
          </w:tcPr>
          <w:p>
            <w:r/>
            <w:r>
              <w:rPr>
                <w:sz w:val="16"/>
              </w:rPr>
              <w:t>Ensure renewal is grandfathered against Kaelen radius</w:t>
            </w:r>
          </w:p>
        </w:tc>
      </w:tr>
      <w:tr>
        <w:tc>
          <w:tcPr>
            <w:tcW w:type="dxa" w:w="1728"/>
          </w:tcPr>
          <w:p>
            <w:r/>
            <w:r>
              <w:rPr>
                <w:sz w:val="16"/>
              </w:rPr>
              <w:t>Dec. 31, 2030</w:t>
            </w:r>
          </w:p>
        </w:tc>
        <w:tc>
          <w:tcPr>
            <w:tcW w:type="dxa" w:w="3600"/>
          </w:tcPr>
          <w:p>
            <w:r/>
            <w:r>
              <w:rPr>
                <w:sz w:val="16"/>
              </w:rPr>
              <w:t>Voss DLA Renewal Term (if exercised) expires; no further renewal</w:t>
            </w:r>
          </w:p>
        </w:tc>
        <w:tc>
          <w:tcPr>
            <w:tcW w:type="dxa" w:w="1728"/>
          </w:tcPr>
          <w:p>
            <w:r/>
            <w:r>
              <w:rPr>
                <w:sz w:val="16"/>
              </w:rPr>
              <w:t>DLA § 8.2</w:t>
            </w:r>
          </w:p>
        </w:tc>
        <w:tc>
          <w:tcPr>
            <w:tcW w:type="dxa" w:w="2304"/>
          </w:tcPr>
          <w:p>
            <w:r/>
            <w:r>
              <w:rPr>
                <w:sz w:val="16"/>
              </w:rPr>
              <w:t>—</w:t>
            </w:r>
          </w:p>
        </w:tc>
      </w:tr>
      <w:tr>
        <w:tc>
          <w:tcPr>
            <w:tcW w:type="dxa" w:w="1728"/>
          </w:tcPr>
          <w:p>
            <w:r/>
            <w:r>
              <w:rPr>
                <w:sz w:val="16"/>
              </w:rPr>
              <w:t>June 30, 2031</w:t>
            </w:r>
          </w:p>
        </w:tc>
        <w:tc>
          <w:tcPr>
            <w:tcW w:type="dxa" w:w="3600"/>
          </w:tcPr>
          <w:p>
            <w:r/>
            <w:r>
              <w:rPr>
                <w:sz w:val="16"/>
              </w:rPr>
              <w:t>Last day for non-renewal notice of Kaelen Initial Term (12 months)</w:t>
            </w:r>
          </w:p>
        </w:tc>
        <w:tc>
          <w:tcPr>
            <w:tcW w:type="dxa" w:w="1728"/>
          </w:tcPr>
          <w:p>
            <w:r/>
            <w:r>
              <w:rPr>
                <w:sz w:val="16"/>
              </w:rPr>
              <w:t>TS § 4.2</w:t>
            </w:r>
          </w:p>
        </w:tc>
        <w:tc>
          <w:tcPr>
            <w:tcW w:type="dxa" w:w="2304"/>
          </w:tcPr>
          <w:p>
            <w:r/>
            <w:r>
              <w:rPr>
                <w:sz w:val="16"/>
              </w:rPr>
              <w:t>—</w:t>
            </w:r>
          </w:p>
        </w:tc>
      </w:tr>
      <w:tr>
        <w:tc>
          <w:tcPr>
            <w:tcW w:type="dxa" w:w="1728"/>
          </w:tcPr>
          <w:p>
            <w:r/>
            <w:r>
              <w:rPr>
                <w:sz w:val="16"/>
              </w:rPr>
              <w:t>June 30, 2032 / 2038</w:t>
            </w:r>
          </w:p>
        </w:tc>
        <w:tc>
          <w:tcPr>
            <w:tcW w:type="dxa" w:w="3600"/>
          </w:tcPr>
          <w:p>
            <w:r/>
            <w:r>
              <w:rPr>
                <w:sz w:val="16"/>
              </w:rPr>
              <w:t>Kaelen Initial Term ends / maximum term ends</w:t>
            </w:r>
          </w:p>
        </w:tc>
        <w:tc>
          <w:tcPr>
            <w:tcW w:type="dxa" w:w="1728"/>
          </w:tcPr>
          <w:p>
            <w:r/>
            <w:r>
              <w:rPr>
                <w:sz w:val="16"/>
              </w:rPr>
              <w:t>TS §§ 4.1, 4.3</w:t>
            </w:r>
          </w:p>
        </w:tc>
        <w:tc>
          <w:tcPr>
            <w:tcW w:type="dxa" w:w="2304"/>
          </w:tcPr>
          <w:p>
            <w:r/>
            <w:r>
              <w:rPr>
                <w:sz w:val="16"/>
              </w:rPr>
              <w:t>—</w:t>
            </w:r>
          </w:p>
        </w:tc>
      </w:tr>
    </w:tbl>
    <w:p>
      <w:pPr>
        <w:spacing w:after="40"/>
      </w:pPr>
    </w:p>
    <w:p>
      <w:pPr>
        <w:pStyle w:val="Heading1"/>
      </w:pPr>
      <w:r>
        <w:t>VII. Negotiation Strategy — Priority Asks of Kaelen</w:t>
      </w:r>
    </w:p>
    <w:p>
      <w:pPr>
        <w:spacing w:after="120"/>
      </w:pPr>
      <w:r>
        <w:t>We recommend that Atherton’s response to Tidewater &amp; Branch be organized in three tiers:</w:t>
      </w:r>
    </w:p>
    <w:p>
      <w:pPr>
        <w:pStyle w:val="ListBullet"/>
        <w:spacing w:after="60"/>
      </w:pPr>
      <w:r>
        <w:rPr>
          <w:b/>
        </w:rPr>
        <w:t>Must-haves (walk-away items):</w:t>
      </w:r>
      <w:r>
        <w:t xml:space="preserve"> Atherton consents as CPs (Ridgeline, Board, Voss); escrow limited to code (no training pipelines; weights only encrypted/use-only, if at all) with narrow release triggers; Improvements license-back limited and non-perpetual; Permitted Use aligned to the cleared CADe indication; SOC 2 grace period and carve-out from escrow/termination; Performance Threshold protocol agreed and remediation period; Floor Payment clarified so the $45.0M is genuinely committed; data-dependency carve-out for model updates; § 16 disclosure carve-out.</w:t>
      </w:r>
    </w:p>
    <w:p>
      <w:pPr>
        <w:pStyle w:val="ListBullet"/>
        <w:spacing w:after="60"/>
      </w:pPr>
      <w:r>
        <w:rPr>
          <w:b/>
        </w:rPr>
        <w:t>Strong preferences:</w:t>
      </w:r>
      <w:r>
        <w:t xml:space="preserve"> delete the 30-mile radius (or narrow drastically) and grandfather existing licensees; delete the MFL; advance-pay deployment fee; SLA exclusions; qualified IP representations and Kaelen clinical-use indemnity; mutual assignment on change of control.</w:t>
      </w:r>
    </w:p>
    <w:p>
      <w:pPr>
        <w:pStyle w:val="ListBullet"/>
        <w:spacing w:after="60"/>
      </w:pPr>
      <w:r>
        <w:rPr>
          <w:b/>
        </w:rPr>
        <w:t>Tradeable items:</w:t>
      </w:r>
      <w:r>
        <w:t xml:space="preserve"> governing law/seat, renewal mechanics, CPI floor, notice periods, version-support details, response-time metric definitions. Atherton can offer in exchange: strong data-security commitments, a phased roll-out with priority for pilot sites, transition assistance, network exclusivity within the 43 Kaelen facilities, and a commitment to seek FDA clearance (or a PCCP) for the update program.</w:t>
      </w:r>
    </w:p>
    <w:p>
      <w:pPr>
        <w:pStyle w:val="Heading1"/>
      </w:pPr>
      <w:r>
        <w:t>VIII. Decisions and Actions Requested of the Board (April 22, 2025)</w:t>
      </w:r>
    </w:p>
    <w:p>
      <w:pPr>
        <w:pStyle w:val="ListNumber"/>
        <w:spacing w:after="60"/>
      </w:pPr>
      <w:r>
        <w:t>Note that the transaction requires (a) Ridgeline Lead Investor Director prior written consent under IRA § 7.4 and (b) Board approval including his affirmative vote under IRA § 7.3, and that no binding commitment will be made until both are obtained.</w:t>
      </w:r>
    </w:p>
    <w:p>
      <w:pPr>
        <w:pStyle w:val="ListNumber"/>
        <w:spacing w:after="60"/>
      </w:pPr>
      <w:r>
        <w:t>Authorize management to (a) seek Kaelen’s written consent to necessary disclosures, (b) submit the Voss § 4.3 consent request by May 2, 2025 (and open renewal/extension discussions), and (c) investigate and, if needed, remediate the pilot-period Voss consent question.</w:t>
      </w:r>
    </w:p>
    <w:p>
      <w:pPr>
        <w:pStyle w:val="ListNumber"/>
        <w:spacing w:after="60"/>
      </w:pPr>
      <w:r>
        <w:t>Approve the negotiating parameters in Part VII, in particular the positions on escrow, the Improvements license, the radius restriction, the MFL, and the SOC 2 approach.</w:t>
      </w:r>
    </w:p>
    <w:p>
      <w:pPr>
        <w:pStyle w:val="ListNumber"/>
        <w:spacing w:after="60"/>
      </w:pPr>
      <w:r>
        <w:t>Authorize management to seek a short extension of the negotiation-exclusivity period and to move the signing/Effective Date if needed to accommodate consents.</w:t>
      </w:r>
    </w:p>
    <w:p>
      <w:pPr>
        <w:pStyle w:val="ListNumber"/>
        <w:spacing w:after="60"/>
      </w:pPr>
      <w:r>
        <w:t>Schedule a special Board meeting (at least 15 business days after the § 7.4 package is delivered) to consider final approval.</w:t>
      </w:r>
    </w:p>
    <w:p>
      <w:pPr>
        <w:pStyle w:val="Heading1"/>
      </w:pPr>
      <w:r>
        <w:t>IX. Immediate Next Steps and Information Requests</w:t>
      </w:r>
    </w:p>
    <w:tbl>
      <w:tblPr>
        <w:tblStyle w:val="TableGrid"/>
        <w:tblW w:type="auto" w:w="0"/>
        <w:jc w:val="center"/>
        <w:tblLook w:firstColumn="1" w:firstRow="1" w:lastColumn="0" w:lastRow="0" w:noHBand="0" w:noVBand="1" w:val="04A0"/>
      </w:tblPr>
      <w:tblGrid>
        <w:gridCol w:w="3120"/>
        <w:gridCol w:w="3120"/>
        <w:gridCol w:w="3120"/>
      </w:tblGrid>
      <w:tr>
        <w:tc>
          <w:tcPr>
            <w:tcW w:type="dxa" w:w="432"/>
            <w:shd w:val="clear" w:color="auto" w:fill="1F3A5F"/>
          </w:tcPr>
          <w:p>
            <w:r/>
            <w:r>
              <w:rPr>
                <w:b/>
                <w:color w:val="FFFFFF"/>
                <w:sz w:val="18"/>
              </w:rPr>
              <w:t>#</w:t>
            </w:r>
          </w:p>
        </w:tc>
        <w:tc>
          <w:tcPr>
            <w:tcW w:type="dxa" w:w="6624"/>
            <w:shd w:val="clear" w:color="auto" w:fill="1F3A5F"/>
          </w:tcPr>
          <w:p>
            <w:r/>
            <w:r>
              <w:rPr>
                <w:b/>
                <w:color w:val="FFFFFF"/>
                <w:sz w:val="18"/>
              </w:rPr>
              <w:t>Action / Information Needed</w:t>
            </w:r>
          </w:p>
        </w:tc>
        <w:tc>
          <w:tcPr>
            <w:tcW w:type="dxa" w:w="2304"/>
            <w:shd w:val="clear" w:color="auto" w:fill="1F3A5F"/>
          </w:tcPr>
          <w:p>
            <w:r/>
            <w:r>
              <w:rPr>
                <w:b/>
                <w:color w:val="FFFFFF"/>
                <w:sz w:val="18"/>
              </w:rPr>
              <w:t>Owner</w:t>
            </w:r>
          </w:p>
        </w:tc>
      </w:tr>
      <w:tr>
        <w:tc>
          <w:tcPr>
            <w:tcW w:type="dxa" w:w="432"/>
          </w:tcPr>
          <w:p>
            <w:r/>
            <w:r>
              <w:rPr>
                <w:sz w:val="18"/>
              </w:rPr>
              <w:t>1</w:t>
            </w:r>
          </w:p>
        </w:tc>
        <w:tc>
          <w:tcPr>
            <w:tcW w:type="dxa" w:w="6624"/>
          </w:tcPr>
          <w:p>
            <w:r/>
            <w:r>
              <w:rPr>
                <w:sz w:val="18"/>
              </w:rPr>
              <w:t>Confirm date (if any) the IRA § 7.4 package was delivered to Mr. Okafor; deliver formal package now</w:t>
            </w:r>
          </w:p>
        </w:tc>
        <w:tc>
          <w:tcPr>
            <w:tcW w:type="dxa" w:w="2304"/>
          </w:tcPr>
          <w:p>
            <w:r/>
            <w:r>
              <w:rPr>
                <w:sz w:val="18"/>
              </w:rPr>
              <w:t>Atherton GC / HPS</w:t>
            </w:r>
          </w:p>
        </w:tc>
      </w:tr>
      <w:tr>
        <w:tc>
          <w:tcPr>
            <w:tcW w:type="dxa" w:w="432"/>
          </w:tcPr>
          <w:p>
            <w:r/>
            <w:r>
              <w:rPr>
                <w:sz w:val="18"/>
              </w:rPr>
              <w:t>2</w:t>
            </w:r>
          </w:p>
        </w:tc>
        <w:tc>
          <w:tcPr>
            <w:tcW w:type="dxa" w:w="6624"/>
          </w:tcPr>
          <w:p>
            <w:r/>
            <w:r>
              <w:rPr>
                <w:sz w:val="18"/>
              </w:rPr>
              <w:t>Confirm whether Voss consent was obtained for the 2024 Kaelen pilot; provide pilot agreement</w:t>
            </w:r>
          </w:p>
        </w:tc>
        <w:tc>
          <w:tcPr>
            <w:tcW w:type="dxa" w:w="2304"/>
          </w:tcPr>
          <w:p>
            <w:r/>
            <w:r>
              <w:rPr>
                <w:sz w:val="18"/>
              </w:rPr>
              <w:t>Atherton GC</w:t>
            </w:r>
          </w:p>
        </w:tc>
      </w:tr>
      <w:tr>
        <w:tc>
          <w:tcPr>
            <w:tcW w:type="dxa" w:w="432"/>
          </w:tcPr>
          <w:p>
            <w:r/>
            <w:r>
              <w:rPr>
                <w:sz w:val="18"/>
              </w:rPr>
              <w:t>3</w:t>
            </w:r>
          </w:p>
        </w:tc>
        <w:tc>
          <w:tcPr>
            <w:tcW w:type="dxa" w:w="6624"/>
          </w:tcPr>
          <w:p>
            <w:r/>
            <w:r>
              <w:rPr>
                <w:sz w:val="18"/>
              </w:rPr>
              <w:t>Full Voss DLA (incl. §§ 3, 5–7, 9–10, Exhibits A–D) and any Voss correspondence</w:t>
            </w:r>
          </w:p>
        </w:tc>
        <w:tc>
          <w:tcPr>
            <w:tcW w:type="dxa" w:w="2304"/>
          </w:tcPr>
          <w:p>
            <w:r/>
            <w:r>
              <w:rPr>
                <w:sz w:val="18"/>
              </w:rPr>
              <w:t>Atherton GC</w:t>
            </w:r>
          </w:p>
        </w:tc>
      </w:tr>
      <w:tr>
        <w:tc>
          <w:tcPr>
            <w:tcW w:type="dxa" w:w="432"/>
          </w:tcPr>
          <w:p>
            <w:r/>
            <w:r>
              <w:rPr>
                <w:sz w:val="18"/>
              </w:rPr>
              <w:t>4</w:t>
            </w:r>
          </w:p>
        </w:tc>
        <w:tc>
          <w:tcPr>
            <w:tcW w:type="dxa" w:w="6624"/>
          </w:tcPr>
          <w:p>
            <w:r/>
            <w:r>
              <w:rPr>
                <w:sz w:val="18"/>
              </w:rPr>
              <w:t>Full IRA (incl. § 1.8 Core IP Assets, § 3.2) and Board market-segmentation analysis</w:t>
            </w:r>
          </w:p>
        </w:tc>
        <w:tc>
          <w:tcPr>
            <w:tcW w:type="dxa" w:w="2304"/>
          </w:tcPr>
          <w:p>
            <w:r/>
            <w:r>
              <w:rPr>
                <w:sz w:val="18"/>
              </w:rPr>
              <w:t>Atherton GC</w:t>
            </w:r>
          </w:p>
        </w:tc>
      </w:tr>
      <w:tr>
        <w:tc>
          <w:tcPr>
            <w:tcW w:type="dxa" w:w="432"/>
          </w:tcPr>
          <w:p>
            <w:r/>
            <w:r>
              <w:rPr>
                <w:sz w:val="18"/>
              </w:rPr>
              <w:t>5</w:t>
            </w:r>
          </w:p>
        </w:tc>
        <w:tc>
          <w:tcPr>
            <w:tcW w:type="dxa" w:w="6624"/>
          </w:tcPr>
          <w:p>
            <w:r/>
            <w:r>
              <w:rPr>
                <w:sz w:val="18"/>
              </w:rPr>
              <w:t>Full SRMA and GLCN agreements; Pinnacle full agreement and Schedule 1; facility addresses for all 37 hospitals</w:t>
            </w:r>
          </w:p>
        </w:tc>
        <w:tc>
          <w:tcPr>
            <w:tcW w:type="dxa" w:w="2304"/>
          </w:tcPr>
          <w:p>
            <w:r/>
            <w:r>
              <w:rPr>
                <w:sz w:val="18"/>
              </w:rPr>
              <w:t>Atherton GC</w:t>
            </w:r>
          </w:p>
        </w:tc>
      </w:tr>
      <w:tr>
        <w:tc>
          <w:tcPr>
            <w:tcW w:type="dxa" w:w="432"/>
          </w:tcPr>
          <w:p>
            <w:r/>
            <w:r>
              <w:rPr>
                <w:sz w:val="18"/>
              </w:rPr>
              <w:t>6</w:t>
            </w:r>
          </w:p>
        </w:tc>
        <w:tc>
          <w:tcPr>
            <w:tcW w:type="dxa" w:w="6624"/>
          </w:tcPr>
          <w:p>
            <w:r/>
            <w:r>
              <w:rPr>
                <w:sz w:val="18"/>
              </w:rPr>
              <w:t>GIS mapping of 30-mile radii around Kaelen’s 43 facilities vs. existing licensees and pipeline</w:t>
            </w:r>
          </w:p>
        </w:tc>
        <w:tc>
          <w:tcPr>
            <w:tcW w:type="dxa" w:w="2304"/>
          </w:tcPr>
          <w:p>
            <w:r/>
            <w:r>
              <w:rPr>
                <w:sz w:val="18"/>
              </w:rPr>
              <w:t>Atherton Commercial / HPS</w:t>
            </w:r>
          </w:p>
        </w:tc>
      </w:tr>
      <w:tr>
        <w:tc>
          <w:tcPr>
            <w:tcW w:type="dxa" w:w="432"/>
          </w:tcPr>
          <w:p>
            <w:r/>
            <w:r>
              <w:rPr>
                <w:sz w:val="18"/>
              </w:rPr>
              <w:t>7</w:t>
            </w:r>
          </w:p>
        </w:tc>
        <w:tc>
          <w:tcPr>
            <w:tcW w:type="dxa" w:w="6624"/>
          </w:tcPr>
          <w:p>
            <w:r/>
            <w:r>
              <w:rPr>
                <w:sz w:val="18"/>
              </w:rPr>
              <w:t>Greystone confirmation of Type II observation period and expected report date; scope of audit</w:t>
            </w:r>
          </w:p>
        </w:tc>
        <w:tc>
          <w:tcPr>
            <w:tcW w:type="dxa" w:w="2304"/>
          </w:tcPr>
          <w:p>
            <w:r/>
            <w:r>
              <w:rPr>
                <w:sz w:val="18"/>
              </w:rPr>
              <w:t>Atherton CTO / Security</w:t>
            </w:r>
          </w:p>
        </w:tc>
      </w:tr>
      <w:tr>
        <w:tc>
          <w:tcPr>
            <w:tcW w:type="dxa" w:w="432"/>
          </w:tcPr>
          <w:p>
            <w:r/>
            <w:r>
              <w:rPr>
                <w:sz w:val="18"/>
              </w:rPr>
              <w:t>8</w:t>
            </w:r>
          </w:p>
        </w:tc>
        <w:tc>
          <w:tcPr>
            <w:tcW w:type="dxa" w:w="6624"/>
          </w:tcPr>
          <w:p>
            <w:r/>
            <w:r>
              <w:rPr>
                <w:sz w:val="18"/>
              </w:rPr>
              <w:t>K223847 510(k) summary, indications for use and labeling; FDA counsel view on quarterly updates/PCCP</w:t>
            </w:r>
          </w:p>
        </w:tc>
        <w:tc>
          <w:tcPr>
            <w:tcW w:type="dxa" w:w="2304"/>
          </w:tcPr>
          <w:p>
            <w:r/>
            <w:r>
              <w:rPr>
                <w:sz w:val="18"/>
              </w:rPr>
              <w:t>Atherton Regulatory / FDA counsel</w:t>
            </w:r>
          </w:p>
        </w:tc>
      </w:tr>
      <w:tr>
        <w:tc>
          <w:tcPr>
            <w:tcW w:type="dxa" w:w="432"/>
          </w:tcPr>
          <w:p>
            <w:r/>
            <w:r>
              <w:rPr>
                <w:sz w:val="18"/>
              </w:rPr>
              <w:t>9</w:t>
            </w:r>
          </w:p>
        </w:tc>
        <w:tc>
          <w:tcPr>
            <w:tcW w:type="dxa" w:w="6624"/>
          </w:tcPr>
          <w:p>
            <w:r/>
            <w:r>
              <w:rPr>
                <w:sz w:val="18"/>
              </w:rPr>
              <w:t>Technical view (M. Lindholm) on achievable concordance/sensitivity, response times and uptime on Kaelen hardware</w:t>
            </w:r>
          </w:p>
        </w:tc>
        <w:tc>
          <w:tcPr>
            <w:tcW w:type="dxa" w:w="2304"/>
          </w:tcPr>
          <w:p>
            <w:r/>
            <w:r>
              <w:rPr>
                <w:sz w:val="18"/>
              </w:rPr>
              <w:t>Atherton CTO</w:t>
            </w:r>
          </w:p>
        </w:tc>
      </w:tr>
      <w:tr>
        <w:tc>
          <w:tcPr>
            <w:tcW w:type="dxa" w:w="432"/>
          </w:tcPr>
          <w:p>
            <w:r/>
            <w:r>
              <w:rPr>
                <w:sz w:val="18"/>
              </w:rPr>
              <w:t>10</w:t>
            </w:r>
          </w:p>
        </w:tc>
        <w:tc>
          <w:tcPr>
            <w:tcW w:type="dxa" w:w="6624"/>
          </w:tcPr>
          <w:p>
            <w:r/>
            <w:r>
              <w:rPr>
                <w:sz w:val="18"/>
              </w:rPr>
              <w:t>Cost model for 43-site deployment and Year 1 cash-flow; insurance coverage (product, cyber, E&amp;O)</w:t>
            </w:r>
          </w:p>
        </w:tc>
        <w:tc>
          <w:tcPr>
            <w:tcW w:type="dxa" w:w="2304"/>
          </w:tcPr>
          <w:p>
            <w:r/>
            <w:r>
              <w:rPr>
                <w:sz w:val="18"/>
              </w:rPr>
              <w:t>Atherton CFO</w:t>
            </w:r>
          </w:p>
        </w:tc>
      </w:tr>
      <w:tr>
        <w:tc>
          <w:tcPr>
            <w:tcW w:type="dxa" w:w="432"/>
          </w:tcPr>
          <w:p>
            <w:r/>
            <w:r>
              <w:rPr>
                <w:sz w:val="18"/>
              </w:rPr>
              <w:t>11</w:t>
            </w:r>
          </w:p>
        </w:tc>
        <w:tc>
          <w:tcPr>
            <w:tcW w:type="dxa" w:w="6624"/>
          </w:tcPr>
          <w:p>
            <w:r/>
            <w:r>
              <w:rPr>
                <w:sz w:val="18"/>
              </w:rPr>
              <w:t>Inventory of open-source and third-party components in ClearSight AI (for IP reps)</w:t>
            </w:r>
          </w:p>
        </w:tc>
        <w:tc>
          <w:tcPr>
            <w:tcW w:type="dxa" w:w="2304"/>
          </w:tcPr>
          <w:p>
            <w:r/>
            <w:r>
              <w:rPr>
                <w:sz w:val="18"/>
              </w:rPr>
              <w:t>Atherton CTO</w:t>
            </w:r>
          </w:p>
        </w:tc>
      </w:tr>
      <w:tr>
        <w:tc>
          <w:tcPr>
            <w:tcW w:type="dxa" w:w="432"/>
          </w:tcPr>
          <w:p>
            <w:r/>
            <w:r>
              <w:rPr>
                <w:sz w:val="18"/>
              </w:rPr>
              <w:t>12</w:t>
            </w:r>
          </w:p>
        </w:tc>
        <w:tc>
          <w:tcPr>
            <w:tcW w:type="dxa" w:w="6624"/>
          </w:tcPr>
          <w:p>
            <w:r/>
            <w:r>
              <w:rPr>
                <w:sz w:val="18"/>
              </w:rPr>
              <w:t>Correct Voss “exclusive” description in investor/customer deck</w:t>
            </w:r>
          </w:p>
        </w:tc>
        <w:tc>
          <w:tcPr>
            <w:tcW w:type="dxa" w:w="2304"/>
          </w:tcPr>
          <w:p>
            <w:r/>
            <w:r>
              <w:rPr>
                <w:sz w:val="18"/>
              </w:rPr>
              <w:t>Atherton GC / Marketing</w:t>
            </w:r>
          </w:p>
        </w:tc>
      </w:tr>
    </w:tbl>
    <w:p>
      <w:pPr>
        <w:spacing w:after="40"/>
      </w:pPr>
    </w:p>
    <w:p>
      <w:pPr>
        <w:spacing w:after="200"/>
      </w:pPr>
      <w:r>
        <w:t>We would be pleased to discuss this memorandum with you before the April 22 meeting and to prepare Atherton’s mark-up of the Term Sheet and Side Letter, the IRA § 7.4 consent package, and the Voss § 4.3(d) consent request.</w:t>
      </w:r>
    </w:p>
    <w:p>
      <w:pPr>
        <w:spacing w:after="120"/>
      </w:pPr>
      <w:r>
        <w:t>— Catherine Pelletier / David Moncrieff, Hargrove, Pelletier &amp; Singh LLP</w:t>
      </w:r>
    </w:p>
    <w:p>
      <w:pPr>
        <w:spacing w:after="120"/>
      </w:pPr>
      <w:r>
        <w:rPr>
          <w:i/>
          <w:sz w:val="18"/>
        </w:rPr>
        <w:t>This memorandum is based on the documents listed in Part II, several of which are excerpts, and on facts provided by Atherton. It is intended for Atherton’s General Counsel and Board of Directors and should not be shared with Kaelen, Voss, or other third parties without counsel’s review, to preserve privilege.</w:t>
      </w:r>
    </w:p>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Privileged &amp; Confidential — Attorney-Client Communication / Attorney Work Product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