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17"/>
        </w:rPr>
        <w:t>PRIVILEGED AND CONFIDENTIAL — ATTORNEY-CLIENT PRIVILEGED / ATTORNEY WORK PRODUCT — PREPARED AT THE DIRECTION OF COUNSEL</w:t>
      </w:r>
    </w:p>
    <w:p>
      <w:pPr>
        <w:spacing w:after="40"/>
        <w:jc w:val="center"/>
      </w:pPr>
      <w:r>
        <w:rPr>
          <w:b/>
          <w:sz w:val="32"/>
        </w:rPr>
        <w:t>OAKVALE GLOBAL TRADING CORP.</w:t>
      </w:r>
    </w:p>
    <w:p>
      <w:pPr>
        <w:spacing w:after="40"/>
        <w:jc w:val="center"/>
      </w:pPr>
      <w:r>
        <w:rPr>
          <w:b/>
          <w:sz w:val="28"/>
        </w:rPr>
        <w:t>OFAC Sanctions Screening Report</w:t>
      </w:r>
    </w:p>
    <w:p>
      <w:pPr>
        <w:spacing w:after="200"/>
        <w:jc w:val="center"/>
      </w:pPr>
      <w:r>
        <w:rPr>
          <w:i/>
          <w:sz w:val="22"/>
        </w:rPr>
        <w:t>Prospective Middle East, Central Asia &amp; Eastern Europe Trading Desk Counterparties (14 Entities)</w:t>
      </w:r>
    </w:p>
    <w:tbl>
      <w:tblPr>
        <w:tblStyle w:val="TableGrid"/>
        <w:tblW w:type="auto" w:w="0"/>
        <w:tblLook w:firstColumn="1" w:firstRow="1" w:lastColumn="0" w:lastRow="0" w:noHBand="0" w:noVBand="1" w:val="04A0"/>
      </w:tblPr>
      <w:tblGrid>
        <w:gridCol w:w="4824"/>
        <w:gridCol w:w="4824"/>
      </w:tblGrid>
      <w:tr>
        <w:tc>
          <w:tcPr>
            <w:tcW w:type="dxa" w:w="2736"/>
            <w:shd w:val="clear" w:color="auto" w:fill="DCE6F1"/>
          </w:tcPr>
          <w:p>
            <w:r>
              <w:rPr>
                <w:b/>
                <w:sz w:val="18"/>
              </w:rPr>
            </w:r>
            <w:r>
              <w:rPr>
                <w:b/>
                <w:sz w:val="18"/>
              </w:rPr>
              <w:t>To</w:t>
            </w:r>
          </w:p>
        </w:tc>
        <w:tc>
          <w:tcPr>
            <w:tcW w:type="dxa" w:w="6912"/>
          </w:tcPr>
          <w:p>
            <w:r>
              <w:rPr>
                <w:sz w:val="18"/>
              </w:rPr>
            </w:r>
            <w:r>
              <w:rPr>
                <w:sz w:val="18"/>
              </w:rPr>
              <w:t>David Kirchner, General Counsel (escalation recipient — Exact Match and Undisclosed Beneficial Ownership results)</w:t>
            </w:r>
          </w:p>
          <w:p>
            <w:r>
              <w:rPr>
                <w:sz w:val="18"/>
              </w:rPr>
              <w:t>Sandra Yoon, Chief Compliance Officer (escalation recipient — Strong Potential Match results)</w:t>
            </w:r>
          </w:p>
        </w:tc>
      </w:tr>
      <w:tr>
        <w:tc>
          <w:tcPr>
            <w:tcW w:type="dxa" w:w="2736"/>
            <w:shd w:val="clear" w:color="auto" w:fill="DCE6F1"/>
          </w:tcPr>
          <w:p>
            <w:r>
              <w:rPr>
                <w:b/>
                <w:sz w:val="18"/>
              </w:rPr>
            </w:r>
            <w:r>
              <w:rPr>
                <w:b/>
                <w:sz w:val="18"/>
              </w:rPr>
              <w:t>Copy</w:t>
            </w:r>
          </w:p>
        </w:tc>
        <w:tc>
          <w:tcPr>
            <w:tcW w:type="dxa" w:w="6912"/>
          </w:tcPr>
          <w:p>
            <w:r>
              <w:rPr>
                <w:sz w:val="18"/>
              </w:rPr>
            </w:r>
            <w:r>
              <w:rPr>
                <w:sz w:val="18"/>
              </w:rPr>
              <w:t>Margaret Hessler, Chief Executive Officer (notification of Exact Match results — Policy §§ 6.2, 7.1)</w:t>
            </w:r>
          </w:p>
          <w:p>
            <w:r>
              <w:rPr>
                <w:sz w:val="18"/>
              </w:rPr>
              <w:t>Catherine Niles, Partner / Ryan Pressfield, Associate, Halcyon Hart LLP (outside sanctions counsel)</w:t>
            </w:r>
          </w:p>
        </w:tc>
      </w:tr>
      <w:tr>
        <w:tc>
          <w:tcPr>
            <w:tcW w:type="dxa" w:w="2736"/>
            <w:shd w:val="clear" w:color="auto" w:fill="DCE6F1"/>
          </w:tcPr>
          <w:p>
            <w:r>
              <w:rPr>
                <w:b/>
                <w:sz w:val="18"/>
              </w:rPr>
            </w:r>
            <w:r>
              <w:rPr>
                <w:b/>
                <w:sz w:val="18"/>
              </w:rPr>
              <w:t>Prepared by</w:t>
            </w:r>
          </w:p>
        </w:tc>
        <w:tc>
          <w:tcPr>
            <w:tcW w:type="dxa" w:w="6912"/>
          </w:tcPr>
          <w:p>
            <w:r>
              <w:rPr>
                <w:sz w:val="18"/>
              </w:rPr>
            </w:r>
            <w:r>
              <w:rPr>
                <w:sz w:val="18"/>
              </w:rPr>
              <w:t>Compliance Team — Sanctions Screening Analyst, for review and sign-off by the CCO</w:t>
            </w:r>
          </w:p>
        </w:tc>
      </w:tr>
      <w:tr>
        <w:tc>
          <w:tcPr>
            <w:tcW w:type="dxa" w:w="2736"/>
            <w:shd w:val="clear" w:color="auto" w:fill="DCE6F1"/>
          </w:tcPr>
          <w:p>
            <w:r>
              <w:rPr>
                <w:b/>
                <w:sz w:val="18"/>
              </w:rPr>
            </w:r>
            <w:r>
              <w:rPr>
                <w:b/>
                <w:sz w:val="18"/>
              </w:rPr>
              <w:t>Date of screening / report</w:t>
            </w:r>
          </w:p>
        </w:tc>
        <w:tc>
          <w:tcPr>
            <w:tcW w:type="dxa" w:w="6912"/>
          </w:tcPr>
          <w:p>
            <w:r>
              <w:rPr>
                <w:sz w:val="18"/>
              </w:rPr>
            </w:r>
            <w:r>
              <w:rPr>
                <w:sz w:val="18"/>
              </w:rPr>
              <w:t>May 23, 2025 (preliminary-classification date set in the May 21, 2025 Yoon–Kirchner correspondence; within the May 27, 2025 policy deadline)</w:t>
            </w:r>
          </w:p>
        </w:tc>
      </w:tr>
      <w:tr>
        <w:tc>
          <w:tcPr>
            <w:tcW w:type="dxa" w:w="2736"/>
            <w:shd w:val="clear" w:color="auto" w:fill="DCE6F1"/>
          </w:tcPr>
          <w:p>
            <w:r>
              <w:rPr>
                <w:b/>
                <w:sz w:val="18"/>
              </w:rPr>
            </w:r>
            <w:r>
              <w:rPr>
                <w:b/>
                <w:sz w:val="18"/>
              </w:rPr>
              <w:t>Reference Dataset “as of” date</w:t>
            </w:r>
          </w:p>
        </w:tc>
        <w:tc>
          <w:tcPr>
            <w:tcW w:type="dxa" w:w="6912"/>
          </w:tcPr>
          <w:p>
            <w:r>
              <w:rPr>
                <w:sz w:val="18"/>
              </w:rPr>
            </w:r>
            <w:r>
              <w:rPr>
                <w:b/>
                <w:sz w:val="18"/>
              </w:rPr>
              <w:t>May 15, 2025</w:t>
            </w:r>
            <w:r>
              <w:rPr>
                <w:sz w:val="18"/>
              </w:rPr>
              <w:t xml:space="preserve"> — Internal Sanctions Reference Extract (SDN List extract SDN-001 to SDN-085; SSI List extract SSI-001 to SSI-030; Non-SDN CAATSA § 231 extract CAATSA-001 to CAATSA-015). All results in this report are valid only as of that date (Policy § 2.2).</w:t>
            </w:r>
          </w:p>
        </w:tc>
      </w:tr>
      <w:tr>
        <w:tc>
          <w:tcPr>
            <w:tcW w:type="dxa" w:w="2736"/>
            <w:shd w:val="clear" w:color="auto" w:fill="DCE6F1"/>
          </w:tcPr>
          <w:p>
            <w:r>
              <w:rPr>
                <w:b/>
                <w:sz w:val="18"/>
              </w:rPr>
            </w:r>
            <w:r>
              <w:rPr>
                <w:b/>
                <w:sz w:val="18"/>
              </w:rPr>
              <w:t>Onboarding package received</w:t>
            </w:r>
          </w:p>
        </w:tc>
        <w:tc>
          <w:tcPr>
            <w:tcW w:type="dxa" w:w="6912"/>
          </w:tcPr>
          <w:p>
            <w:r>
              <w:rPr>
                <w:sz w:val="18"/>
              </w:rPr>
            </w:r>
            <w:r>
              <w:rPr>
                <w:sz w:val="18"/>
              </w:rPr>
              <w:t>May 20, 2025 (Counterparty Onboarding Summary prepared May 20, 2025, incl. Submission Log)</w:t>
            </w:r>
          </w:p>
        </w:tc>
      </w:tr>
      <w:tr>
        <w:tc>
          <w:tcPr>
            <w:tcW w:type="dxa" w:w="2736"/>
            <w:shd w:val="clear" w:color="auto" w:fill="DCE6F1"/>
          </w:tcPr>
          <w:p>
            <w:r>
              <w:rPr>
                <w:b/>
                <w:sz w:val="18"/>
              </w:rPr>
            </w:r>
            <w:r>
              <w:rPr>
                <w:b/>
                <w:sz w:val="18"/>
              </w:rPr>
              <w:t>Policy applied</w:t>
            </w:r>
          </w:p>
        </w:tc>
        <w:tc>
          <w:tcPr>
            <w:tcW w:type="dxa" w:w="6912"/>
          </w:tcPr>
          <w:p>
            <w:r>
              <w:rPr>
                <w:sz w:val="18"/>
              </w:rPr>
            </w:r>
            <w:r>
              <w:rPr>
                <w:sz w:val="18"/>
              </w:rPr>
              <w:t>Sanctions Compliance Screening Policy and Procedures Manual, Policy No. RGT-COMP-2025-001, v3.1 (effective January 1, 2025; last reviewed May 1, 2025) (the “Policy”)</w:t>
            </w:r>
          </w:p>
        </w:tc>
      </w:tr>
      <w:tr>
        <w:tc>
          <w:tcPr>
            <w:tcW w:type="dxa" w:w="2736"/>
            <w:shd w:val="clear" w:color="auto" w:fill="DCE6F1"/>
          </w:tcPr>
          <w:p>
            <w:r>
              <w:rPr>
                <w:b/>
                <w:sz w:val="18"/>
              </w:rPr>
            </w:r>
            <w:r>
              <w:rPr>
                <w:b/>
                <w:sz w:val="18"/>
              </w:rPr>
              <w:t>Screening deadline / first trade date</w:t>
            </w:r>
          </w:p>
        </w:tc>
        <w:tc>
          <w:tcPr>
            <w:tcW w:type="dxa" w:w="6912"/>
          </w:tcPr>
          <w:p>
            <w:r>
              <w:rPr>
                <w:sz w:val="18"/>
              </w:rPr>
            </w:r>
            <w:r>
              <w:rPr>
                <w:sz w:val="18"/>
              </w:rPr>
              <w:t>May 27, 2025 (Policy § 2.2) / proposed June 15, 2025</w:t>
            </w:r>
          </w:p>
        </w:tc>
      </w:tr>
      <w:tr>
        <w:tc>
          <w:tcPr>
            <w:tcW w:type="dxa" w:w="2736"/>
            <w:shd w:val="clear" w:color="auto" w:fill="DCE6F1"/>
          </w:tcPr>
          <w:p>
            <w:r>
              <w:rPr>
                <w:b/>
                <w:sz w:val="18"/>
              </w:rPr>
            </w:r>
            <w:r>
              <w:rPr>
                <w:b/>
                <w:sz w:val="18"/>
              </w:rPr>
              <w:t>Portfolio</w:t>
            </w:r>
          </w:p>
        </w:tc>
        <w:tc>
          <w:tcPr>
            <w:tcW w:type="dxa" w:w="6912"/>
          </w:tcPr>
          <w:p>
            <w:r>
              <w:rPr>
                <w:sz w:val="18"/>
              </w:rPr>
            </w:r>
            <w:r>
              <w:rPr>
                <w:sz w:val="18"/>
              </w:rPr>
              <w:t>14 counterparties; estimated aggregate annual trading volume $434,000,000</w:t>
            </w:r>
          </w:p>
        </w:tc>
      </w:tr>
    </w:tbl>
    <w:p>
      <w:pPr>
        <w:spacing w:after="40"/>
      </w:pPr>
    </w:p>
    <w:p>
      <w:pPr>
        <w:pStyle w:val="Heading1"/>
      </w:pPr>
      <w:r>
        <w:t>1. Executive Summary</w:t>
      </w:r>
    </w:p>
    <w:p>
      <w:pPr>
        <w:spacing w:after="120"/>
      </w:pPr>
      <w:r>
        <w:t>We screened all 14 prospective counterparties — each entity, its registration identifiers, and every disclosed director, officer and beneficial owner (23 disclosed natural persons; one 49% owner undisclosed) — against all three categories of the May 15, 2025 Reference Dataset (SDN, SSI and Non-SDN CAATSA § 231), applying the six-step methodology in Policy § 4.1, the transliteration rules in §§ 4.2 and 9.1, the registration-number rule in § 4.3, the OFAC 50% Rule framework in Section 5 and Appendix A, and the classification tiers in Section 6. The pre-populated “Notes” in the onboarding summary and the Whitmore Compliance Advisors memorandum of May 22, 2025 were treated as advisory only and independently re-tested (Policy § 8.2). Several of them were found to be incomplete or wrong (see Section 7).</w:t>
      </w:r>
    </w:p>
    <w:p>
      <w:pPr>
        <w:spacing w:after="120"/>
      </w:pPr>
      <w:r>
        <w:rPr>
          <w:b/>
        </w:rPr>
        <w:t>Bottom line: no counterparty may be contracted with at this time.</w:t>
      </w:r>
      <w:r>
        <w:t xml:space="preserve"> Four counterparties are Exact Matches and must be blocked and escalated to the General Counsel today; one is High Risk — Unscreenable; five are Strong Potential Matches that must be blocked pending enhanced due diligence (“EDD”); and four are No Match / Clear at the screening level but remain subject to the General Counsel’s May 21, 2025 instruction that no contract be executed with any of the 14 until screening of the entire portfolio is complete. Oakvale is not in a position to give Pinnacle National Bank the “screened and cleared” certification it requires for this portfolio.</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2016"/>
            <w:shd w:val="clear" w:color="auto" w:fill="1F3A5F"/>
          </w:tcPr>
          <w:p>
            <w:r>
              <w:rPr>
                <w:b/>
                <w:color w:val="FFFFFF"/>
                <w:sz w:val="17"/>
              </w:rPr>
            </w:r>
            <w:r>
              <w:rPr>
                <w:b/>
                <w:color w:val="FFFFFF"/>
                <w:sz w:val="17"/>
              </w:rPr>
              <w:t>Classification</w:t>
            </w:r>
          </w:p>
        </w:tc>
        <w:tc>
          <w:tcPr>
            <w:tcW w:type="dxa" w:w="576"/>
            <w:shd w:val="clear" w:color="auto" w:fill="1F3A5F"/>
          </w:tcPr>
          <w:p>
            <w:r>
              <w:rPr>
                <w:b/>
                <w:color w:val="FFFFFF"/>
                <w:sz w:val="17"/>
              </w:rPr>
            </w:r>
            <w:r>
              <w:rPr>
                <w:b/>
                <w:color w:val="FFFFFF"/>
                <w:sz w:val="17"/>
              </w:rPr>
              <w:t>No.</w:t>
            </w:r>
          </w:p>
        </w:tc>
        <w:tc>
          <w:tcPr>
            <w:tcW w:type="dxa" w:w="4608"/>
            <w:shd w:val="clear" w:color="auto" w:fill="1F3A5F"/>
          </w:tcPr>
          <w:p>
            <w:r>
              <w:rPr>
                <w:b/>
                <w:color w:val="FFFFFF"/>
                <w:sz w:val="17"/>
              </w:rPr>
            </w:r>
            <w:r>
              <w:rPr>
                <w:b/>
                <w:color w:val="FFFFFF"/>
                <w:sz w:val="17"/>
              </w:rPr>
              <w:t>Counterparties</w:t>
            </w:r>
          </w:p>
        </w:tc>
        <w:tc>
          <w:tcPr>
            <w:tcW w:type="dxa" w:w="1440"/>
            <w:shd w:val="clear" w:color="auto" w:fill="1F3A5F"/>
          </w:tcPr>
          <w:p>
            <w:r>
              <w:rPr>
                <w:b/>
                <w:color w:val="FFFFFF"/>
                <w:sz w:val="17"/>
              </w:rPr>
            </w:r>
            <w:r>
              <w:rPr>
                <w:b/>
                <w:color w:val="FFFFFF"/>
                <w:sz w:val="17"/>
              </w:rPr>
              <w:t>Est. annual volume</w:t>
            </w:r>
          </w:p>
        </w:tc>
        <w:tc>
          <w:tcPr>
            <w:tcW w:type="dxa" w:w="1008"/>
            <w:shd w:val="clear" w:color="auto" w:fill="1F3A5F"/>
          </w:tcPr>
          <w:p>
            <w:r>
              <w:rPr>
                <w:b/>
                <w:color w:val="FFFFFF"/>
                <w:sz w:val="17"/>
              </w:rPr>
            </w:r>
            <w:r>
              <w:rPr>
                <w:b/>
                <w:color w:val="FFFFFF"/>
                <w:sz w:val="17"/>
              </w:rPr>
              <w:t>% of portfolio</w:t>
            </w:r>
          </w:p>
        </w:tc>
      </w:tr>
      <w:tr>
        <w:tc>
          <w:tcPr>
            <w:tcW w:type="dxa" w:w="2016"/>
            <w:shd w:val="clear" w:color="auto" w:fill="F4B6B6"/>
          </w:tcPr>
          <w:p>
            <w:r>
              <w:rPr>
                <w:sz w:val="17"/>
              </w:rPr>
            </w:r>
            <w:r>
              <w:rPr>
                <w:sz w:val="17"/>
              </w:rPr>
              <w:t>Exact Match</w:t>
            </w:r>
          </w:p>
        </w:tc>
        <w:tc>
          <w:tcPr>
            <w:tcW w:type="dxa" w:w="576"/>
          </w:tcPr>
          <w:p>
            <w:r>
              <w:rPr>
                <w:sz w:val="17"/>
              </w:rPr>
            </w:r>
            <w:r>
              <w:rPr>
                <w:sz w:val="17"/>
              </w:rPr>
              <w:t>4</w:t>
            </w:r>
          </w:p>
        </w:tc>
        <w:tc>
          <w:tcPr>
            <w:tcW w:type="dxa" w:w="4608"/>
          </w:tcPr>
          <w:p>
            <w:r>
              <w:rPr>
                <w:sz w:val="17"/>
              </w:rPr>
            </w:r>
            <w:r>
              <w:rPr>
                <w:sz w:val="17"/>
              </w:rPr>
              <w:t>Black Sea Logistics OOD; Eurasian Mineral Supply AG; Bosphorus Maritime Enterprises Ltd.; Volkov Brothers Agro-Industrial Group (SSI — sectoral)</w:t>
            </w:r>
          </w:p>
        </w:tc>
        <w:tc>
          <w:tcPr>
            <w:tcW w:type="dxa" w:w="1440"/>
          </w:tcPr>
          <w:p>
            <w:r>
              <w:rPr>
                <w:sz w:val="17"/>
              </w:rPr>
            </w:r>
            <w:r>
              <w:rPr>
                <w:sz w:val="17"/>
              </w:rPr>
              <w:t>$101,000,000</w:t>
            </w:r>
          </w:p>
        </w:tc>
        <w:tc>
          <w:tcPr>
            <w:tcW w:type="dxa" w:w="1008"/>
          </w:tcPr>
          <w:p>
            <w:r>
              <w:rPr>
                <w:sz w:val="17"/>
              </w:rPr>
            </w:r>
            <w:r>
              <w:rPr>
                <w:sz w:val="17"/>
              </w:rPr>
              <w:t>23.3%</w:t>
            </w:r>
          </w:p>
        </w:tc>
      </w:tr>
      <w:tr>
        <w:tc>
          <w:tcPr>
            <w:tcW w:type="dxa" w:w="2016"/>
            <w:shd w:val="clear" w:color="auto" w:fill="F8CBAD"/>
          </w:tcPr>
          <w:p>
            <w:r>
              <w:rPr>
                <w:sz w:val="17"/>
              </w:rPr>
            </w:r>
            <w:r>
              <w:rPr>
                <w:sz w:val="17"/>
              </w:rPr>
              <w:t>High Risk — Unscreenable</w:t>
            </w:r>
          </w:p>
        </w:tc>
        <w:tc>
          <w:tcPr>
            <w:tcW w:type="dxa" w:w="576"/>
          </w:tcPr>
          <w:p>
            <w:r>
              <w:rPr>
                <w:sz w:val="17"/>
              </w:rPr>
            </w:r>
            <w:r>
              <w:rPr>
                <w:sz w:val="17"/>
              </w:rPr>
              <w:t>1</w:t>
            </w:r>
          </w:p>
        </w:tc>
        <w:tc>
          <w:tcPr>
            <w:tcW w:type="dxa" w:w="4608"/>
          </w:tcPr>
          <w:p>
            <w:r>
              <w:rPr>
                <w:sz w:val="17"/>
              </w:rPr>
            </w:r>
            <w:r>
              <w:rPr>
                <w:sz w:val="17"/>
              </w:rPr>
              <w:t>Meridian Strait Shipping Ltd.</w:t>
            </w:r>
          </w:p>
        </w:tc>
        <w:tc>
          <w:tcPr>
            <w:tcW w:type="dxa" w:w="1440"/>
          </w:tcPr>
          <w:p>
            <w:r>
              <w:rPr>
                <w:sz w:val="17"/>
              </w:rPr>
            </w:r>
            <w:r>
              <w:rPr>
                <w:sz w:val="17"/>
              </w:rPr>
              <w:t>$62,000,000</w:t>
            </w:r>
          </w:p>
        </w:tc>
        <w:tc>
          <w:tcPr>
            <w:tcW w:type="dxa" w:w="1008"/>
          </w:tcPr>
          <w:p>
            <w:r>
              <w:rPr>
                <w:sz w:val="17"/>
              </w:rPr>
            </w:r>
            <w:r>
              <w:rPr>
                <w:sz w:val="17"/>
              </w:rPr>
              <w:t>14.3%</w:t>
            </w:r>
          </w:p>
        </w:tc>
      </w:tr>
      <w:tr>
        <w:tc>
          <w:tcPr>
            <w:tcW w:type="dxa" w:w="2016"/>
            <w:shd w:val="clear" w:color="auto" w:fill="FFE699"/>
          </w:tcPr>
          <w:p>
            <w:r>
              <w:rPr>
                <w:sz w:val="17"/>
              </w:rPr>
            </w:r>
            <w:r>
              <w:rPr>
                <w:sz w:val="17"/>
              </w:rPr>
              <w:t>Strong Potential Match</w:t>
            </w:r>
          </w:p>
        </w:tc>
        <w:tc>
          <w:tcPr>
            <w:tcW w:type="dxa" w:w="576"/>
          </w:tcPr>
          <w:p>
            <w:r>
              <w:rPr>
                <w:sz w:val="17"/>
              </w:rPr>
            </w:r>
            <w:r>
              <w:rPr>
                <w:sz w:val="17"/>
              </w:rPr>
              <w:t>5</w:t>
            </w:r>
          </w:p>
        </w:tc>
        <w:tc>
          <w:tcPr>
            <w:tcW w:type="dxa" w:w="4608"/>
          </w:tcPr>
          <w:p>
            <w:r>
              <w:rPr>
                <w:sz w:val="17"/>
              </w:rPr>
            </w:r>
            <w:r>
              <w:rPr>
                <w:sz w:val="17"/>
              </w:rPr>
              <w:t>Silk Road Commodities FZE; Al-Zubaydi Petroleum Services LLC; Petrostar Gulf DMCC; Novaya Energetika OOO; Orient Bridge General Trading LLC</w:t>
            </w:r>
          </w:p>
        </w:tc>
        <w:tc>
          <w:tcPr>
            <w:tcW w:type="dxa" w:w="1440"/>
          </w:tcPr>
          <w:p>
            <w:r>
              <w:rPr>
                <w:sz w:val="17"/>
              </w:rPr>
            </w:r>
            <w:r>
              <w:rPr>
                <w:sz w:val="17"/>
              </w:rPr>
              <w:t>$190,000,000</w:t>
            </w:r>
          </w:p>
        </w:tc>
        <w:tc>
          <w:tcPr>
            <w:tcW w:type="dxa" w:w="1008"/>
          </w:tcPr>
          <w:p>
            <w:r>
              <w:rPr>
                <w:sz w:val="17"/>
              </w:rPr>
            </w:r>
            <w:r>
              <w:rPr>
                <w:sz w:val="17"/>
              </w:rPr>
              <w:t>43.8%</w:t>
            </w:r>
          </w:p>
        </w:tc>
      </w:tr>
      <w:tr>
        <w:tc>
          <w:tcPr>
            <w:tcW w:type="dxa" w:w="2016"/>
            <w:shd w:val="clear" w:color="auto" w:fill="FFF2CC"/>
          </w:tcPr>
          <w:p>
            <w:r>
              <w:rPr>
                <w:sz w:val="17"/>
              </w:rPr>
            </w:r>
            <w:r>
              <w:rPr>
                <w:sz w:val="17"/>
              </w:rPr>
              <w:t>Weak Potential Match</w:t>
            </w:r>
          </w:p>
        </w:tc>
        <w:tc>
          <w:tcPr>
            <w:tcW w:type="dxa" w:w="576"/>
          </w:tcPr>
          <w:p>
            <w:r>
              <w:rPr>
                <w:sz w:val="17"/>
              </w:rPr>
            </w:r>
            <w:r>
              <w:rPr>
                <w:sz w:val="17"/>
              </w:rPr>
              <w:t>0</w:t>
            </w:r>
          </w:p>
        </w:tc>
        <w:tc>
          <w:tcPr>
            <w:tcW w:type="dxa" w:w="4608"/>
          </w:tcPr>
          <w:p>
            <w:r>
              <w:rPr>
                <w:sz w:val="17"/>
              </w:rPr>
            </w:r>
            <w:r>
              <w:rPr>
                <w:sz w:val="17"/>
              </w:rPr>
              <w:t>— (individual-level weak hits noted, but no counterparty’s highest tier is Weak)</w:t>
            </w:r>
          </w:p>
        </w:tc>
        <w:tc>
          <w:tcPr>
            <w:tcW w:type="dxa" w:w="1440"/>
          </w:tcPr>
          <w:p>
            <w:r>
              <w:rPr>
                <w:sz w:val="17"/>
              </w:rPr>
            </w:r>
            <w:r>
              <w:rPr>
                <w:sz w:val="17"/>
              </w:rPr>
              <w:t>$0</w:t>
            </w:r>
          </w:p>
        </w:tc>
        <w:tc>
          <w:tcPr>
            <w:tcW w:type="dxa" w:w="1008"/>
          </w:tcPr>
          <w:p>
            <w:r>
              <w:rPr>
                <w:sz w:val="17"/>
              </w:rPr>
            </w:r>
            <w:r>
              <w:rPr>
                <w:sz w:val="17"/>
              </w:rPr>
              <w:t>0.0%</w:t>
            </w:r>
          </w:p>
        </w:tc>
      </w:tr>
      <w:tr>
        <w:tc>
          <w:tcPr>
            <w:tcW w:type="dxa" w:w="2016"/>
            <w:shd w:val="clear" w:color="auto" w:fill="C6E0B4"/>
          </w:tcPr>
          <w:p>
            <w:r>
              <w:rPr>
                <w:sz w:val="17"/>
              </w:rPr>
            </w:r>
            <w:r>
              <w:rPr>
                <w:sz w:val="17"/>
              </w:rPr>
              <w:t>No Match / Clear</w:t>
            </w:r>
          </w:p>
        </w:tc>
        <w:tc>
          <w:tcPr>
            <w:tcW w:type="dxa" w:w="576"/>
          </w:tcPr>
          <w:p>
            <w:r>
              <w:rPr>
                <w:sz w:val="17"/>
              </w:rPr>
            </w:r>
            <w:r>
              <w:rPr>
                <w:sz w:val="17"/>
              </w:rPr>
              <w:t>4</w:t>
            </w:r>
          </w:p>
        </w:tc>
        <w:tc>
          <w:tcPr>
            <w:tcW w:type="dxa" w:w="4608"/>
          </w:tcPr>
          <w:p>
            <w:r>
              <w:rPr>
                <w:sz w:val="17"/>
              </w:rPr>
            </w:r>
            <w:r>
              <w:rPr>
                <w:sz w:val="17"/>
              </w:rPr>
              <w:t>Caspian Gateway Trading LLP; Ankara Grain &amp; Commodities A.Ş.; Caucasus Energy Partners LLC; TuranTrade International LLP</w:t>
            </w:r>
          </w:p>
        </w:tc>
        <w:tc>
          <w:tcPr>
            <w:tcW w:type="dxa" w:w="1440"/>
          </w:tcPr>
          <w:p>
            <w:r>
              <w:rPr>
                <w:sz w:val="17"/>
              </w:rPr>
            </w:r>
            <w:r>
              <w:rPr>
                <w:sz w:val="17"/>
              </w:rPr>
              <w:t>$81,000,000</w:t>
            </w:r>
          </w:p>
        </w:tc>
        <w:tc>
          <w:tcPr>
            <w:tcW w:type="dxa" w:w="1008"/>
          </w:tcPr>
          <w:p>
            <w:r>
              <w:rPr>
                <w:sz w:val="17"/>
              </w:rPr>
            </w:r>
            <w:r>
              <w:rPr>
                <w:sz w:val="17"/>
              </w:rPr>
              <w:t>18.7%</w:t>
            </w:r>
          </w:p>
        </w:tc>
      </w:tr>
      <w:tr>
        <w:tc>
          <w:tcPr>
            <w:tcW w:type="dxa" w:w="2016"/>
          </w:tcPr>
          <w:p>
            <w:r>
              <w:rPr>
                <w:sz w:val="17"/>
              </w:rPr>
            </w:r>
            <w:r>
              <w:rPr>
                <w:sz w:val="17"/>
              </w:rPr>
              <w:t>Total</w:t>
            </w:r>
          </w:p>
        </w:tc>
        <w:tc>
          <w:tcPr>
            <w:tcW w:type="dxa" w:w="576"/>
          </w:tcPr>
          <w:p>
            <w:r>
              <w:rPr>
                <w:sz w:val="17"/>
              </w:rPr>
            </w:r>
            <w:r>
              <w:rPr>
                <w:sz w:val="17"/>
              </w:rPr>
              <w:t>14</w:t>
            </w:r>
          </w:p>
        </w:tc>
        <w:tc>
          <w:tcPr>
            <w:tcW w:type="dxa" w:w="4608"/>
          </w:tcPr>
          <w:p>
            <w:r>
              <w:rPr>
                <w:sz w:val="17"/>
              </w:rPr>
            </w:r>
          </w:p>
        </w:tc>
        <w:tc>
          <w:tcPr>
            <w:tcW w:type="dxa" w:w="1440"/>
          </w:tcPr>
          <w:p>
            <w:r>
              <w:rPr>
                <w:sz w:val="17"/>
              </w:rPr>
            </w:r>
            <w:r>
              <w:rPr>
                <w:sz w:val="17"/>
              </w:rPr>
              <w:t>$434,000,000</w:t>
            </w:r>
          </w:p>
        </w:tc>
        <w:tc>
          <w:tcPr>
            <w:tcW w:type="dxa" w:w="1008"/>
          </w:tcPr>
          <w:p>
            <w:r>
              <w:rPr>
                <w:sz w:val="17"/>
              </w:rPr>
            </w:r>
            <w:r>
              <w:rPr>
                <w:sz w:val="17"/>
              </w:rPr>
              <w:t>100%</w:t>
            </w:r>
          </w:p>
        </w:tc>
      </w:tr>
    </w:tbl>
    <w:p>
      <w:pPr>
        <w:spacing w:after="40"/>
      </w:pPr>
    </w:p>
    <w:p>
      <w:pPr>
        <w:spacing w:after="60"/>
      </w:pPr>
      <w:r>
        <w:rPr>
          <w:b/>
        </w:rPr>
        <w:t>Key findings requiring immediate attention</w:t>
      </w:r>
    </w:p>
    <w:p>
      <w:pPr>
        <w:pStyle w:val="ListBullet"/>
        <w:spacing w:after="60"/>
      </w:pPr>
      <w:r>
        <w:rPr>
          <w:b/>
        </w:rPr>
        <w:t>Bosphorus Maritime Enterprises Ltd. is an Exact Match that both the onboarding notes (“No open items”) and the Whitmore memo (“Standard Risk”) missed.</w:t>
      </w:r>
      <w:r>
        <w:t xml:space="preserve"> Its Turkish Trade Registry No. 891234 is identical to that of SDN-039 Bosphorus Freight Services AŞ (Istanbul; RUSSIA-EO14024; designated August 20, 2024). Under Policy §§ 4.1(2), 4.3 and 6.2, a matching registration number is a conclusive identifier notwithstanding the different name and suffix; the identity is corroborated by the shared “Bosphorus” name element, the same city (Istanbul) and the same sector (maritime shipping/freight). The entity is itself an SDN and is blocked.</w:t>
      </w:r>
    </w:p>
    <w:p>
      <w:pPr>
        <w:pStyle w:val="ListBullet"/>
        <w:spacing w:after="60"/>
      </w:pPr>
      <w:r>
        <w:rPr>
          <w:b/>
        </w:rPr>
        <w:t>Black Sea Logistics OOD</w:t>
      </w:r>
      <w:r>
        <w:t xml:space="preserve"> — UIC 204851234 is identical to SDN-007 Black Sea Maritime Logistics OOD, and its 100% owner and director Yelena Petrovna Kuznetsova is individually designated (SDN-008; full name and patronymic, Varna). Blocked on three independent grounds. Whitmore did not identify this match.</w:t>
      </w:r>
    </w:p>
    <w:p>
      <w:pPr>
        <w:pStyle w:val="ListBullet"/>
        <w:spacing w:after="60"/>
      </w:pPr>
      <w:r>
        <w:rPr>
          <w:b/>
        </w:rPr>
        <w:t>Eurasian Mineral Supply AG</w:t>
      </w:r>
      <w:r>
        <w:t xml:space="preserve"> — 100% owner and director Viktor Anatolyevich Morozov matches SDN-002 on full name, patronymic and Russian nationality, with sector (minerals/metals) and corporate-structure (Swiss) corroboration in the SDN entry. Under the 50% Rule the entity is blocked property.</w:t>
      </w:r>
    </w:p>
    <w:p>
      <w:pPr>
        <w:pStyle w:val="ListBullet"/>
        <w:spacing w:after="60"/>
      </w:pPr>
      <w:r>
        <w:rPr>
          <w:b/>
        </w:rPr>
        <w:t>Volkov Brothers Agro-Industrial Group</w:t>
      </w:r>
      <w:r>
        <w:t xml:space="preserve"> — OGRN 1147746012345 is identical to SSI-001 Volkov Brothers Industrial Group OOO (Directive 4). This is an Exact Match under Policy § 4.3 regardless of the name and business-line differences, but the listing is </w:t>
      </w:r>
      <w:r>
        <w:rPr>
          <w:b/>
        </w:rPr>
        <w:t>SSI (sectoral), not SDN</w:t>
      </w:r>
      <w:r>
        <w:t>: the entity is not blocked. The onboarding note’s reference to an “SDN” listing of “Dmitri Arkadyevich Volkov” is incorrect — that name appears only as key personnel in the SSI-001 entry, and the individual SSI entry (SSI-010) is “Dmitri Alexandrovich Volkov.” Whitmore’s characterization of this entity as operating in a “generally sanctions-exempt” sector is wrong as a screening matter.</w:t>
      </w:r>
    </w:p>
    <w:p>
      <w:pPr>
        <w:pStyle w:val="ListBullet"/>
        <w:spacing w:after="60"/>
      </w:pPr>
      <w:r>
        <w:rPr>
          <w:b/>
        </w:rPr>
        <w:t>Silk Road Commodities FZE</w:t>
      </w:r>
      <w:r>
        <w:t xml:space="preserve"> is the highest-risk unresolved counterparty: both owners (Abbas Hosseinzadeh, 65%; Nader Khorasani, 35%) are alias/transliteration matches to Iran-program SDNs (SDN-003, IRAN-IRGC; SDN-004, IRAN-NPWMD, Dubai-based and known to use UAE free-zone companies). Either owner alone at 65% would make the entity blocked; aggregate potential blocked ownership is 100%.</w:t>
      </w:r>
    </w:p>
    <w:p>
      <w:pPr>
        <w:pStyle w:val="ListBullet"/>
        <w:spacing w:after="60"/>
      </w:pPr>
      <w:r>
        <w:rPr>
          <w:b/>
        </w:rPr>
        <w:t>Petrostar Gulf DMCC</w:t>
      </w:r>
      <w:r>
        <w:t xml:space="preserve"> — the onboarding note states that Fareed Jalloul’s Lebanese nationality “matches SDN.” It does not: SDN-005 lists Jalloul as </w:t>
      </w:r>
      <w:r>
        <w:rPr>
          <w:b/>
        </w:rPr>
        <w:t>Syrian</w:t>
      </w:r>
      <w:r>
        <w:t xml:space="preserve"> (Syrian Passport No. 008745123). The Beirut address does match and the exact name and alias match remain, so the result is a Strong Potential Match; the nationality conflict must be resolved (possible dual nationality) through DOB and passport-number comparison. At 20%, the 50% Rule is not triggered, but no benefit may flow to Jalloul if confirmed.</w:t>
      </w:r>
    </w:p>
    <w:p>
      <w:pPr>
        <w:pStyle w:val="ListBullet"/>
        <w:spacing w:after="60"/>
      </w:pPr>
      <w:r>
        <w:rPr>
          <w:b/>
        </w:rPr>
        <w:t>Meridian Strait Shipping Ltd.</w:t>
      </w:r>
      <w:r>
        <w:t xml:space="preserve"> ($62M, largest counterparty) — 49% beneficial owner undisclosed; automatically “High Risk — Unscreenable” under Policy § 3.2, escalated to the General Counsel, blocked until the owner is identified and screened. The disclosed IMO vessel documents must also be screened against SDN-associated vessels.</w:t>
      </w:r>
    </w:p>
    <w:p>
      <w:pPr>
        <w:pStyle w:val="ListBullet"/>
        <w:spacing w:after="60"/>
      </w:pPr>
      <w:r>
        <w:rPr>
          <w:b/>
        </w:rPr>
        <w:t>Secondary identifiers already in Oakvale’s file have not been used.</w:t>
      </w:r>
      <w:r>
        <w:t xml:space="preserve"> Passport copies were received for Hasan al-Zubaydi, Fareed Jalloul, both Silk Road owners, Aleksei Drozdov, Viktor Morozov, Yelena Kuznetsova and both Volkov directors. These contain date of birth, nationality, passport number and (for Russian passports) patronymic, and should be compared immediately against the Reference Dataset; for several Strong Potential Matches this may confirm or clear the match without waiting for counterparty responses.</w:t>
      </w:r>
    </w:p>
    <w:p>
      <w:pPr>
        <w:pStyle w:val="Heading1"/>
      </w:pPr>
      <w:r>
        <w:t>2. Screening Results Summary — All 14 Counterparties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360"/>
            <w:shd w:val="clear" w:color="auto" w:fill="1F3A5F"/>
          </w:tcPr>
          <w:p>
            <w:r>
              <w:rPr>
                <w:b/>
                <w:color w:val="FFFFFF"/>
                <w:sz w:val="15"/>
              </w:rPr>
            </w:r>
            <w:r>
              <w:rPr>
                <w:b/>
                <w:color w:val="FFFFFF"/>
                <w:sz w:val="15"/>
              </w:rPr>
              <w:t>#</w:t>
            </w:r>
          </w:p>
        </w:tc>
        <w:tc>
          <w:tcPr>
            <w:tcW w:type="dxa" w:w="1944"/>
            <w:shd w:val="clear" w:color="auto" w:fill="1F3A5F"/>
          </w:tcPr>
          <w:p>
            <w:r>
              <w:rPr>
                <w:b/>
                <w:color w:val="FFFFFF"/>
                <w:sz w:val="15"/>
              </w:rPr>
            </w:r>
            <w:r>
              <w:rPr>
                <w:b/>
                <w:color w:val="FFFFFF"/>
                <w:sz w:val="15"/>
              </w:rPr>
              <w:t>Counterparty (jurisdiction) / volume</w:t>
            </w:r>
          </w:p>
        </w:tc>
        <w:tc>
          <w:tcPr>
            <w:tcW w:type="dxa" w:w="2304"/>
            <w:shd w:val="clear" w:color="auto" w:fill="1F3A5F"/>
          </w:tcPr>
          <w:p>
            <w:r>
              <w:rPr>
                <w:b/>
                <w:color w:val="FFFFFF"/>
                <w:sz w:val="15"/>
              </w:rPr>
            </w:r>
            <w:r>
              <w:rPr>
                <w:b/>
                <w:color w:val="FFFFFF"/>
                <w:sz w:val="15"/>
              </w:rPr>
              <w:t>Closest Reference Dataset entries</w:t>
            </w:r>
          </w:p>
        </w:tc>
        <w:tc>
          <w:tcPr>
            <w:tcW w:type="dxa" w:w="1296"/>
            <w:shd w:val="clear" w:color="auto" w:fill="1F3A5F"/>
          </w:tcPr>
          <w:p>
            <w:r>
              <w:rPr>
                <w:b/>
                <w:color w:val="FFFFFF"/>
                <w:sz w:val="15"/>
              </w:rPr>
            </w:r>
            <w:r>
              <w:rPr>
                <w:b/>
                <w:color w:val="FFFFFF"/>
                <w:sz w:val="15"/>
              </w:rPr>
              <w:t>Classification</w:t>
            </w:r>
          </w:p>
        </w:tc>
        <w:tc>
          <w:tcPr>
            <w:tcW w:type="dxa" w:w="2016"/>
            <w:shd w:val="clear" w:color="auto" w:fill="1F3A5F"/>
          </w:tcPr>
          <w:p>
            <w:r>
              <w:rPr>
                <w:b/>
                <w:color w:val="FFFFFF"/>
                <w:sz w:val="15"/>
              </w:rPr>
            </w:r>
            <w:r>
              <w:rPr>
                <w:b/>
                <w:color w:val="FFFFFF"/>
                <w:sz w:val="15"/>
              </w:rPr>
              <w:t>50% Rule / restriction outcome</w:t>
            </w:r>
          </w:p>
        </w:tc>
        <w:tc>
          <w:tcPr>
            <w:tcW w:type="dxa" w:w="2160"/>
            <w:shd w:val="clear" w:color="auto" w:fill="1F3A5F"/>
          </w:tcPr>
          <w:p>
            <w:r>
              <w:rPr>
                <w:b/>
                <w:color w:val="FFFFFF"/>
                <w:sz w:val="15"/>
              </w:rPr>
            </w:r>
            <w:r>
              <w:rPr>
                <w:b/>
                <w:color w:val="FFFFFF"/>
                <w:sz w:val="15"/>
              </w:rPr>
              <w:t>Required action and escalation (Policy §§ 6–7)</w:t>
            </w:r>
          </w:p>
        </w:tc>
      </w:tr>
      <w:tr>
        <w:tc>
          <w:tcPr>
            <w:tcW w:type="dxa" w:w="360"/>
          </w:tcPr>
          <w:p>
            <w:r>
              <w:rPr>
                <w:sz w:val="15"/>
              </w:rPr>
            </w:r>
            <w:r>
              <w:rPr>
                <w:sz w:val="15"/>
              </w:rPr>
              <w:t>1</w:t>
            </w:r>
          </w:p>
        </w:tc>
        <w:tc>
          <w:tcPr>
            <w:tcW w:type="dxa" w:w="1944"/>
          </w:tcPr>
          <w:p>
            <w:r>
              <w:rPr>
                <w:sz w:val="15"/>
              </w:rPr>
            </w:r>
            <w:r>
              <w:rPr>
                <w:sz w:val="15"/>
              </w:rPr>
              <w:t>Al-Zubaydi Petroleum Services LLC (Dubai, UAE) — $45M</w:t>
            </w:r>
          </w:p>
        </w:tc>
        <w:tc>
          <w:tcPr>
            <w:tcW w:type="dxa" w:w="2304"/>
          </w:tcPr>
          <w:p>
            <w:r>
              <w:rPr>
                <w:sz w:val="15"/>
              </w:rPr>
            </w:r>
            <w:r>
              <w:rPr>
                <w:sz w:val="15"/>
              </w:rPr>
              <w:t>SDN-001 Hasan Abdulrahman al-Zubaydi (SDGT; alias “H. al-Zubaydi”)</w:t>
            </w:r>
          </w:p>
        </w:tc>
        <w:tc>
          <w:tcPr>
            <w:tcW w:type="dxa" w:w="1296"/>
            <w:shd w:val="clear" w:color="auto" w:fill="FFE699"/>
          </w:tcPr>
          <w:p>
            <w:r>
              <w:rPr>
                <w:sz w:val="15"/>
              </w:rPr>
            </w:r>
            <w:r>
              <w:rPr>
                <w:sz w:val="15"/>
              </w:rPr>
              <w:t>Strong Potential Match</w:t>
            </w:r>
          </w:p>
        </w:tc>
        <w:tc>
          <w:tcPr>
            <w:tcW w:type="dxa" w:w="2016"/>
          </w:tcPr>
          <w:p>
            <w:r>
              <w:rPr>
                <w:sz w:val="15"/>
              </w:rPr>
            </w:r>
            <w:r>
              <w:rPr>
                <w:sz w:val="15"/>
              </w:rPr>
              <w:t>Owner holds 100%: if confirmed, entity is blocked (Exact Match)</w:t>
            </w:r>
          </w:p>
        </w:tc>
        <w:tc>
          <w:tcPr>
            <w:tcW w:type="dxa" w:w="2160"/>
          </w:tcPr>
          <w:p>
            <w:r>
              <w:rPr>
                <w:sz w:val="15"/>
              </w:rPr>
            </w:r>
            <w:r>
              <w:rPr>
                <w:sz w:val="15"/>
              </w:rPr>
              <w:t>Block pending EDD; CCO within 24 hrs; resolve within 5 business days or escalate to GC</w:t>
            </w:r>
          </w:p>
        </w:tc>
      </w:tr>
      <w:tr>
        <w:tc>
          <w:tcPr>
            <w:tcW w:type="dxa" w:w="360"/>
          </w:tcPr>
          <w:p>
            <w:r>
              <w:rPr>
                <w:sz w:val="15"/>
              </w:rPr>
            </w:r>
            <w:r>
              <w:rPr>
                <w:sz w:val="15"/>
              </w:rPr>
              <w:t>2</w:t>
            </w:r>
          </w:p>
        </w:tc>
        <w:tc>
          <w:tcPr>
            <w:tcW w:type="dxa" w:w="1944"/>
          </w:tcPr>
          <w:p>
            <w:r>
              <w:rPr>
                <w:sz w:val="15"/>
              </w:rPr>
            </w:r>
            <w:r>
              <w:rPr>
                <w:sz w:val="15"/>
              </w:rPr>
              <w:t>Caspian Gateway Trading LLP (Almaty, KZ) — $28M</w:t>
            </w:r>
          </w:p>
        </w:tc>
        <w:tc>
          <w:tcPr>
            <w:tcW w:type="dxa" w:w="2304"/>
          </w:tcPr>
          <w:p>
            <w:r>
              <w:rPr>
                <w:sz w:val="15"/>
              </w:rPr>
            </w:r>
            <w:r>
              <w:rPr>
                <w:sz w:val="15"/>
              </w:rPr>
              <w:t>None (SDN-017 Caspian Energy Services LLP; SDN-031 Trans-Caspian Logistics FZE reviewed and dismissed)</w:t>
            </w:r>
          </w:p>
        </w:tc>
        <w:tc>
          <w:tcPr>
            <w:tcW w:type="dxa" w:w="1296"/>
            <w:shd w:val="clear" w:color="auto" w:fill="C6E0B4"/>
          </w:tcPr>
          <w:p>
            <w:r>
              <w:rPr>
                <w:sz w:val="15"/>
              </w:rPr>
            </w:r>
            <w:r>
              <w:rPr>
                <w:sz w:val="15"/>
              </w:rPr>
              <w:t>No Match / Clear</w:t>
            </w:r>
          </w:p>
        </w:tc>
        <w:tc>
          <w:tcPr>
            <w:tcW w:type="dxa" w:w="2016"/>
          </w:tcPr>
          <w:p>
            <w:r>
              <w:rPr>
                <w:sz w:val="15"/>
              </w:rPr>
            </w:r>
            <w:r>
              <w:rPr>
                <w:sz w:val="15"/>
              </w:rPr>
              <w:t>N/A</w:t>
            </w:r>
          </w:p>
        </w:tc>
        <w:tc>
          <w:tcPr>
            <w:tcW w:type="dxa" w:w="2160"/>
          </w:tcPr>
          <w:p>
            <w:r>
              <w:rPr>
                <w:sz w:val="15"/>
              </w:rPr>
            </w:r>
            <w:r>
              <w:rPr>
                <w:sz w:val="15"/>
              </w:rPr>
              <w:t>Screening-level clearance; held under GC portfolio hold; obtain 12-digit BIN</w:t>
            </w:r>
          </w:p>
        </w:tc>
      </w:tr>
      <w:tr>
        <w:tc>
          <w:tcPr>
            <w:tcW w:type="dxa" w:w="360"/>
          </w:tcPr>
          <w:p>
            <w:r>
              <w:rPr>
                <w:sz w:val="15"/>
              </w:rPr>
            </w:r>
            <w:r>
              <w:rPr>
                <w:sz w:val="15"/>
              </w:rPr>
              <w:t>3</w:t>
            </w:r>
          </w:p>
        </w:tc>
        <w:tc>
          <w:tcPr>
            <w:tcW w:type="dxa" w:w="1944"/>
          </w:tcPr>
          <w:p>
            <w:r>
              <w:rPr>
                <w:sz w:val="15"/>
              </w:rPr>
            </w:r>
            <w:r>
              <w:rPr>
                <w:sz w:val="15"/>
              </w:rPr>
              <w:t>Meridian Strait Shipping Ltd. (Limassol, CY) — $62M</w:t>
            </w:r>
          </w:p>
        </w:tc>
        <w:tc>
          <w:tcPr>
            <w:tcW w:type="dxa" w:w="2304"/>
          </w:tcPr>
          <w:p>
            <w:r>
              <w:rPr>
                <w:sz w:val="15"/>
              </w:rPr>
            </w:r>
            <w:r>
              <w:rPr>
                <w:sz w:val="15"/>
              </w:rPr>
              <w:t>Disclosed 51% owner: no match. 49% owner: unscreenable</w:t>
            </w:r>
          </w:p>
        </w:tc>
        <w:tc>
          <w:tcPr>
            <w:tcW w:type="dxa" w:w="1296"/>
            <w:shd w:val="clear" w:color="auto" w:fill="F8CBAD"/>
          </w:tcPr>
          <w:p>
            <w:r>
              <w:rPr>
                <w:sz w:val="15"/>
              </w:rPr>
            </w:r>
            <w:r>
              <w:rPr>
                <w:sz w:val="15"/>
              </w:rPr>
              <w:t>High Risk — Unscreenable</w:t>
            </w:r>
          </w:p>
        </w:tc>
        <w:tc>
          <w:tcPr>
            <w:tcW w:type="dxa" w:w="2016"/>
          </w:tcPr>
          <w:p>
            <w:r>
              <w:rPr>
                <w:sz w:val="15"/>
              </w:rPr>
            </w:r>
            <w:r>
              <w:rPr>
                <w:sz w:val="15"/>
              </w:rPr>
              <w:t>Cannot be performed; 49% unknown holder</w:t>
            </w:r>
          </w:p>
        </w:tc>
        <w:tc>
          <w:tcPr>
            <w:tcW w:type="dxa" w:w="2160"/>
          </w:tcPr>
          <w:p>
            <w:r>
              <w:rPr>
                <w:sz w:val="15"/>
              </w:rPr>
            </w:r>
            <w:r>
              <w:rPr>
                <w:sz w:val="15"/>
              </w:rPr>
              <w:t>Block until resolved; GC within 24 hrs (done per Submission Log); § 3.2 procedures</w:t>
            </w:r>
          </w:p>
        </w:tc>
      </w:tr>
      <w:tr>
        <w:tc>
          <w:tcPr>
            <w:tcW w:type="dxa" w:w="360"/>
          </w:tcPr>
          <w:p>
            <w:r>
              <w:rPr>
                <w:sz w:val="15"/>
              </w:rPr>
            </w:r>
            <w:r>
              <w:rPr>
                <w:sz w:val="15"/>
              </w:rPr>
              <w:t>4</w:t>
            </w:r>
          </w:p>
        </w:tc>
        <w:tc>
          <w:tcPr>
            <w:tcW w:type="dxa" w:w="1944"/>
          </w:tcPr>
          <w:p>
            <w:r>
              <w:rPr>
                <w:sz w:val="15"/>
              </w:rPr>
            </w:r>
            <w:r>
              <w:rPr>
                <w:sz w:val="15"/>
              </w:rPr>
              <w:t>Volkov Brothers Agro-Industrial Group (Moscow, RU) — $37M</w:t>
            </w:r>
          </w:p>
        </w:tc>
        <w:tc>
          <w:tcPr>
            <w:tcW w:type="dxa" w:w="2304"/>
          </w:tcPr>
          <w:p>
            <w:r>
              <w:rPr>
                <w:sz w:val="15"/>
              </w:rPr>
            </w:r>
            <w:r>
              <w:rPr>
                <w:sz w:val="15"/>
              </w:rPr>
              <w:t>SSI-001 (OGRN identical); SSI-010 Dmitri Alexandrovich Volkov; SSI-029 Sergei Alexandrovich Volkov (all Directive 4)</w:t>
            </w:r>
          </w:p>
        </w:tc>
        <w:tc>
          <w:tcPr>
            <w:tcW w:type="dxa" w:w="1296"/>
            <w:shd w:val="clear" w:color="auto" w:fill="F4B6B6"/>
          </w:tcPr>
          <w:p>
            <w:r>
              <w:rPr>
                <w:sz w:val="15"/>
              </w:rPr>
            </w:r>
            <w:r>
              <w:rPr>
                <w:sz w:val="15"/>
              </w:rPr>
              <w:t>Exact Match (SSI — sectoral)</w:t>
            </w:r>
          </w:p>
        </w:tc>
        <w:tc>
          <w:tcPr>
            <w:tcW w:type="dxa" w:w="2016"/>
          </w:tcPr>
          <w:p>
            <w:r>
              <w:rPr>
                <w:sz w:val="15"/>
              </w:rPr>
            </w:r>
            <w:r>
              <w:rPr>
                <w:sz w:val="15"/>
              </w:rPr>
              <w:t>Entity itself SSI-listed; owners 50% + 50% potential Directive 4 persons; Directive 4 restrictions apply; not blocked</w:t>
            </w:r>
          </w:p>
        </w:tc>
        <w:tc>
          <w:tcPr>
            <w:tcW w:type="dxa" w:w="2160"/>
          </w:tcPr>
          <w:p>
            <w:r>
              <w:rPr>
                <w:sz w:val="15"/>
              </w:rPr>
            </w:r>
            <w:r>
              <w:rPr>
                <w:sz w:val="15"/>
              </w:rPr>
              <w:t>Automatic block under Policy § 6.2; GC same day; CEO within 24 hrs; Halcyon Hart on scope of Directive 4</w:t>
            </w:r>
          </w:p>
        </w:tc>
      </w:tr>
      <w:tr>
        <w:tc>
          <w:tcPr>
            <w:tcW w:type="dxa" w:w="360"/>
          </w:tcPr>
          <w:p>
            <w:r>
              <w:rPr>
                <w:sz w:val="15"/>
              </w:rPr>
            </w:r>
            <w:r>
              <w:rPr>
                <w:sz w:val="15"/>
              </w:rPr>
              <w:t>5</w:t>
            </w:r>
          </w:p>
        </w:tc>
        <w:tc>
          <w:tcPr>
            <w:tcW w:type="dxa" w:w="1944"/>
          </w:tcPr>
          <w:p>
            <w:r>
              <w:rPr>
                <w:sz w:val="15"/>
              </w:rPr>
            </w:r>
            <w:r>
              <w:rPr>
                <w:sz w:val="15"/>
              </w:rPr>
              <w:t>Ankara Grain &amp; Commodities A.Ş. (Ankara, TR) — $19M</w:t>
            </w:r>
          </w:p>
        </w:tc>
        <w:tc>
          <w:tcPr>
            <w:tcW w:type="dxa" w:w="2304"/>
          </w:tcPr>
          <w:p>
            <w:r>
              <w:rPr>
                <w:sz w:val="15"/>
              </w:rPr>
            </w:r>
            <w:r>
              <w:rPr>
                <w:sz w:val="15"/>
              </w:rPr>
              <w:t>None (no Çelik entry; SDN-019 / SDN-060 dismissed)</w:t>
            </w:r>
          </w:p>
        </w:tc>
        <w:tc>
          <w:tcPr>
            <w:tcW w:type="dxa" w:w="1296"/>
            <w:shd w:val="clear" w:color="auto" w:fill="C6E0B4"/>
          </w:tcPr>
          <w:p>
            <w:r>
              <w:rPr>
                <w:sz w:val="15"/>
              </w:rPr>
            </w:r>
            <w:r>
              <w:rPr>
                <w:sz w:val="15"/>
              </w:rPr>
              <w:t>No Match / Clear</w:t>
            </w:r>
          </w:p>
        </w:tc>
        <w:tc>
          <w:tcPr>
            <w:tcW w:type="dxa" w:w="2016"/>
          </w:tcPr>
          <w:p>
            <w:r>
              <w:rPr>
                <w:sz w:val="15"/>
              </w:rPr>
            </w:r>
            <w:r>
              <w:rPr>
                <w:sz w:val="15"/>
              </w:rPr>
              <w:t>N/A</w:t>
            </w:r>
          </w:p>
        </w:tc>
        <w:tc>
          <w:tcPr>
            <w:tcW w:type="dxa" w:w="2160"/>
          </w:tcPr>
          <w:p>
            <w:r>
              <w:rPr>
                <w:sz w:val="15"/>
              </w:rPr>
            </w:r>
            <w:r>
              <w:rPr>
                <w:sz w:val="15"/>
              </w:rPr>
              <w:t>Screening-level clearance; held under GC portfolio hold</w:t>
            </w:r>
          </w:p>
        </w:tc>
      </w:tr>
      <w:tr>
        <w:tc>
          <w:tcPr>
            <w:tcW w:type="dxa" w:w="360"/>
          </w:tcPr>
          <w:p>
            <w:r>
              <w:rPr>
                <w:sz w:val="15"/>
              </w:rPr>
            </w:r>
            <w:r>
              <w:rPr>
                <w:sz w:val="15"/>
              </w:rPr>
              <w:t>6</w:t>
            </w:r>
          </w:p>
        </w:tc>
        <w:tc>
          <w:tcPr>
            <w:tcW w:type="dxa" w:w="1944"/>
          </w:tcPr>
          <w:p>
            <w:r>
              <w:rPr>
                <w:sz w:val="15"/>
              </w:rPr>
            </w:r>
            <w:r>
              <w:rPr>
                <w:sz w:val="15"/>
              </w:rPr>
              <w:t>Black Sea Logistics OOD (Varna, BG) — $15M</w:t>
            </w:r>
          </w:p>
        </w:tc>
        <w:tc>
          <w:tcPr>
            <w:tcW w:type="dxa" w:w="2304"/>
          </w:tcPr>
          <w:p>
            <w:r>
              <w:rPr>
                <w:sz w:val="15"/>
              </w:rPr>
            </w:r>
            <w:r>
              <w:rPr>
                <w:sz w:val="15"/>
              </w:rPr>
              <w:t>SDN-007 (UIC identical); SDN-008 Yelena Petrovna Kuznetsova</w:t>
            </w:r>
          </w:p>
        </w:tc>
        <w:tc>
          <w:tcPr>
            <w:tcW w:type="dxa" w:w="1296"/>
            <w:shd w:val="clear" w:color="auto" w:fill="F4B6B6"/>
          </w:tcPr>
          <w:p>
            <w:r>
              <w:rPr>
                <w:sz w:val="15"/>
              </w:rPr>
            </w:r>
            <w:r>
              <w:rPr>
                <w:sz w:val="15"/>
              </w:rPr>
              <w:t>Exact Match</w:t>
            </w:r>
          </w:p>
        </w:tc>
        <w:tc>
          <w:tcPr>
            <w:tcW w:type="dxa" w:w="2016"/>
          </w:tcPr>
          <w:p>
            <w:r>
              <w:rPr>
                <w:sz w:val="15"/>
              </w:rPr>
            </w:r>
            <w:r>
              <w:rPr>
                <w:sz w:val="15"/>
              </w:rPr>
              <w:t>Entity is SDN-007; also 100% owned by SDN-008: blocked</w:t>
            </w:r>
          </w:p>
        </w:tc>
        <w:tc>
          <w:tcPr>
            <w:tcW w:type="dxa" w:w="2160"/>
          </w:tcPr>
          <w:p>
            <w:r>
              <w:rPr>
                <w:sz w:val="15"/>
              </w:rPr>
            </w:r>
            <w:r>
              <w:rPr>
                <w:sz w:val="15"/>
              </w:rPr>
              <w:t>Automatic block; GC same day; CEO within 24 hrs; Halcyon Hart; blocking/reject reporting review; bank notification if funds</w:t>
            </w:r>
          </w:p>
        </w:tc>
      </w:tr>
      <w:tr>
        <w:tc>
          <w:tcPr>
            <w:tcW w:type="dxa" w:w="360"/>
          </w:tcPr>
          <w:p>
            <w:r>
              <w:rPr>
                <w:sz w:val="15"/>
              </w:rPr>
            </w:r>
            <w:r>
              <w:rPr>
                <w:sz w:val="15"/>
              </w:rPr>
              <w:t>7</w:t>
            </w:r>
          </w:p>
        </w:tc>
        <w:tc>
          <w:tcPr>
            <w:tcW w:type="dxa" w:w="1944"/>
          </w:tcPr>
          <w:p>
            <w:r>
              <w:rPr>
                <w:sz w:val="15"/>
              </w:rPr>
            </w:r>
            <w:r>
              <w:rPr>
                <w:sz w:val="15"/>
              </w:rPr>
              <w:t>Caucasus Energy Partners LLC (Tbilisi, GE) — $22M</w:t>
            </w:r>
          </w:p>
        </w:tc>
        <w:tc>
          <w:tcPr>
            <w:tcW w:type="dxa" w:w="2304"/>
          </w:tcPr>
          <w:p>
            <w:r>
              <w:rPr>
                <w:sz w:val="15"/>
              </w:rPr>
            </w:r>
            <w:r>
              <w:rPr>
                <w:sz w:val="15"/>
              </w:rPr>
              <w:t>None (SDN-051 Caucasus Mineral Extraction OOO dismissed)</w:t>
            </w:r>
          </w:p>
        </w:tc>
        <w:tc>
          <w:tcPr>
            <w:tcW w:type="dxa" w:w="1296"/>
            <w:shd w:val="clear" w:color="auto" w:fill="C6E0B4"/>
          </w:tcPr>
          <w:p>
            <w:r>
              <w:rPr>
                <w:sz w:val="15"/>
              </w:rPr>
            </w:r>
            <w:r>
              <w:rPr>
                <w:sz w:val="15"/>
              </w:rPr>
              <w:t>No Match / Clear</w:t>
            </w:r>
          </w:p>
        </w:tc>
        <w:tc>
          <w:tcPr>
            <w:tcW w:type="dxa" w:w="2016"/>
          </w:tcPr>
          <w:p>
            <w:r>
              <w:rPr>
                <w:sz w:val="15"/>
              </w:rPr>
            </w:r>
            <w:r>
              <w:rPr>
                <w:sz w:val="15"/>
              </w:rPr>
              <w:t>N/A</w:t>
            </w:r>
          </w:p>
        </w:tc>
        <w:tc>
          <w:tcPr>
            <w:tcW w:type="dxa" w:w="2160"/>
          </w:tcPr>
          <w:p>
            <w:r>
              <w:rPr>
                <w:sz w:val="15"/>
              </w:rPr>
            </w:r>
            <w:r>
              <w:rPr>
                <w:sz w:val="15"/>
              </w:rPr>
              <w:t>Screening-level clearance; held under GC portfolio hold; source-of-gas EDD advisable</w:t>
            </w:r>
          </w:p>
        </w:tc>
      </w:tr>
      <w:tr>
        <w:tc>
          <w:tcPr>
            <w:tcW w:type="dxa" w:w="360"/>
          </w:tcPr>
          <w:p>
            <w:r>
              <w:rPr>
                <w:sz w:val="15"/>
              </w:rPr>
            </w:r>
            <w:r>
              <w:rPr>
                <w:sz w:val="15"/>
              </w:rPr>
              <w:t>8</w:t>
            </w:r>
          </w:p>
        </w:tc>
        <w:tc>
          <w:tcPr>
            <w:tcW w:type="dxa" w:w="1944"/>
          </w:tcPr>
          <w:p>
            <w:r>
              <w:rPr>
                <w:sz w:val="15"/>
              </w:rPr>
            </w:r>
            <w:r>
              <w:rPr>
                <w:sz w:val="15"/>
              </w:rPr>
              <w:t>Petrostar Gulf DMCC (Dubai, UAE) — $53M</w:t>
            </w:r>
          </w:p>
        </w:tc>
        <w:tc>
          <w:tcPr>
            <w:tcW w:type="dxa" w:w="2304"/>
          </w:tcPr>
          <w:p>
            <w:r>
              <w:rPr>
                <w:sz w:val="15"/>
              </w:rPr>
            </w:r>
            <w:r>
              <w:rPr>
                <w:sz w:val="15"/>
              </w:rPr>
              <w:t>SDN-005 Fareed Jalloul (SYRIA) — exact name; SDN-029 Gulf Horizon Petroleum DMCC dismissed</w:t>
            </w:r>
          </w:p>
        </w:tc>
        <w:tc>
          <w:tcPr>
            <w:tcW w:type="dxa" w:w="1296"/>
            <w:shd w:val="clear" w:color="auto" w:fill="FFE699"/>
          </w:tcPr>
          <w:p>
            <w:r>
              <w:rPr>
                <w:sz w:val="15"/>
              </w:rPr>
            </w:r>
            <w:r>
              <w:rPr>
                <w:sz w:val="15"/>
              </w:rPr>
              <w:t>Strong Potential Match</w:t>
            </w:r>
          </w:p>
        </w:tc>
        <w:tc>
          <w:tcPr>
            <w:tcW w:type="dxa" w:w="2016"/>
          </w:tcPr>
          <w:p>
            <w:r>
              <w:rPr>
                <w:sz w:val="15"/>
              </w:rPr>
            </w:r>
            <w:r>
              <w:rPr>
                <w:sz w:val="15"/>
              </w:rPr>
              <w:t>Jalloul 20% (&lt;50%); aggregate potential blocked ownership 20%: entity not blocked; no benefit to Jalloul</w:t>
            </w:r>
          </w:p>
        </w:tc>
        <w:tc>
          <w:tcPr>
            <w:tcW w:type="dxa" w:w="2160"/>
          </w:tcPr>
          <w:p>
            <w:r>
              <w:rPr>
                <w:sz w:val="15"/>
              </w:rPr>
            </w:r>
            <w:r>
              <w:rPr>
                <w:sz w:val="15"/>
              </w:rPr>
              <w:t>Block pending EDD; CCO within 24 hrs; resolve within 5 business days</w:t>
            </w:r>
          </w:p>
        </w:tc>
      </w:tr>
      <w:tr>
        <w:tc>
          <w:tcPr>
            <w:tcW w:type="dxa" w:w="360"/>
          </w:tcPr>
          <w:p>
            <w:r>
              <w:rPr>
                <w:sz w:val="15"/>
              </w:rPr>
            </w:r>
            <w:r>
              <w:rPr>
                <w:sz w:val="15"/>
              </w:rPr>
              <w:t>9</w:t>
            </w:r>
          </w:p>
        </w:tc>
        <w:tc>
          <w:tcPr>
            <w:tcW w:type="dxa" w:w="1944"/>
          </w:tcPr>
          <w:p>
            <w:r>
              <w:rPr>
                <w:sz w:val="15"/>
              </w:rPr>
            </w:r>
            <w:r>
              <w:rPr>
                <w:sz w:val="15"/>
              </w:rPr>
              <w:t>Eurasian Mineral Supply AG (Zug, CH) — $41M</w:t>
            </w:r>
          </w:p>
        </w:tc>
        <w:tc>
          <w:tcPr>
            <w:tcW w:type="dxa" w:w="2304"/>
          </w:tcPr>
          <w:p>
            <w:r>
              <w:rPr>
                <w:sz w:val="15"/>
              </w:rPr>
            </w:r>
            <w:r>
              <w:rPr>
                <w:sz w:val="15"/>
              </w:rPr>
              <w:t>SDN-002 Viktor Anatolyevich Morozov (UKRAINE-EO13662)</w:t>
            </w:r>
          </w:p>
        </w:tc>
        <w:tc>
          <w:tcPr>
            <w:tcW w:type="dxa" w:w="1296"/>
            <w:shd w:val="clear" w:color="auto" w:fill="F4B6B6"/>
          </w:tcPr>
          <w:p>
            <w:r>
              <w:rPr>
                <w:sz w:val="15"/>
              </w:rPr>
            </w:r>
            <w:r>
              <w:rPr>
                <w:sz w:val="15"/>
              </w:rPr>
              <w:t>Exact Match</w:t>
            </w:r>
          </w:p>
        </w:tc>
        <w:tc>
          <w:tcPr>
            <w:tcW w:type="dxa" w:w="2016"/>
          </w:tcPr>
          <w:p>
            <w:r>
              <w:rPr>
                <w:sz w:val="15"/>
              </w:rPr>
            </w:r>
            <w:r>
              <w:rPr>
                <w:sz w:val="15"/>
              </w:rPr>
              <w:t>100% owned by SDN: entity is blocked property</w:t>
            </w:r>
          </w:p>
        </w:tc>
        <w:tc>
          <w:tcPr>
            <w:tcW w:type="dxa" w:w="2160"/>
          </w:tcPr>
          <w:p>
            <w:r>
              <w:rPr>
                <w:sz w:val="15"/>
              </w:rPr>
            </w:r>
            <w:r>
              <w:rPr>
                <w:sz w:val="15"/>
              </w:rPr>
              <w:t>Automatic block; GC same day; CEO within 24 hrs; Halcyon Hart; reporting review</w:t>
            </w:r>
          </w:p>
        </w:tc>
      </w:tr>
      <w:tr>
        <w:tc>
          <w:tcPr>
            <w:tcW w:type="dxa" w:w="360"/>
          </w:tcPr>
          <w:p>
            <w:r>
              <w:rPr>
                <w:sz w:val="15"/>
              </w:rPr>
            </w:r>
            <w:r>
              <w:rPr>
                <w:sz w:val="15"/>
              </w:rPr>
              <w:t>10</w:t>
            </w:r>
          </w:p>
        </w:tc>
        <w:tc>
          <w:tcPr>
            <w:tcW w:type="dxa" w:w="1944"/>
          </w:tcPr>
          <w:p>
            <w:r>
              <w:rPr>
                <w:sz w:val="15"/>
              </w:rPr>
            </w:r>
            <w:r>
              <w:rPr>
                <w:sz w:val="15"/>
              </w:rPr>
              <w:t>Silk Road Commodities FZE (Sharjah, UAE) — $31M</w:t>
            </w:r>
          </w:p>
        </w:tc>
        <w:tc>
          <w:tcPr>
            <w:tcW w:type="dxa" w:w="2304"/>
          </w:tcPr>
          <w:p>
            <w:r>
              <w:rPr>
                <w:sz w:val="15"/>
              </w:rPr>
            </w:r>
            <w:r>
              <w:rPr>
                <w:sz w:val="15"/>
              </w:rPr>
              <w:t>SDN-003 Abbas Hosseini-Zadeh (IRAN-IRGC); SDN-004 Nader Khorasani-Fard (IRAN-NPWMD)</w:t>
            </w:r>
          </w:p>
        </w:tc>
        <w:tc>
          <w:tcPr>
            <w:tcW w:type="dxa" w:w="1296"/>
            <w:shd w:val="clear" w:color="auto" w:fill="FFE699"/>
          </w:tcPr>
          <w:p>
            <w:r>
              <w:rPr>
                <w:sz w:val="15"/>
              </w:rPr>
            </w:r>
            <w:r>
              <w:rPr>
                <w:sz w:val="15"/>
              </w:rPr>
              <w:t>Strong Potential Match</w:t>
            </w:r>
          </w:p>
        </w:tc>
        <w:tc>
          <w:tcPr>
            <w:tcW w:type="dxa" w:w="2016"/>
          </w:tcPr>
          <w:p>
            <w:r>
              <w:rPr>
                <w:sz w:val="15"/>
              </w:rPr>
            </w:r>
            <w:r>
              <w:rPr>
                <w:sz w:val="15"/>
              </w:rPr>
              <w:t>65% + 35% = 100% potential blocked ownership; either 65% holder alone blocks entity</w:t>
            </w:r>
          </w:p>
        </w:tc>
        <w:tc>
          <w:tcPr>
            <w:tcW w:type="dxa" w:w="2160"/>
          </w:tcPr>
          <w:p>
            <w:r>
              <w:rPr>
                <w:sz w:val="15"/>
              </w:rPr>
            </w:r>
            <w:r>
              <w:rPr>
                <w:sz w:val="15"/>
              </w:rPr>
              <w:t>Block pending EDD; CCO within 24 hrs; recommend concurrent GC/Halcyon Hart notice</w:t>
            </w:r>
          </w:p>
        </w:tc>
      </w:tr>
      <w:tr>
        <w:tc>
          <w:tcPr>
            <w:tcW w:type="dxa" w:w="360"/>
          </w:tcPr>
          <w:p>
            <w:r>
              <w:rPr>
                <w:sz w:val="15"/>
              </w:rPr>
            </w:r>
            <w:r>
              <w:rPr>
                <w:sz w:val="15"/>
              </w:rPr>
              <w:t>11</w:t>
            </w:r>
          </w:p>
        </w:tc>
        <w:tc>
          <w:tcPr>
            <w:tcW w:type="dxa" w:w="1944"/>
          </w:tcPr>
          <w:p>
            <w:r>
              <w:rPr>
                <w:sz w:val="15"/>
              </w:rPr>
            </w:r>
            <w:r>
              <w:rPr>
                <w:sz w:val="15"/>
              </w:rPr>
              <w:t>TuranTrade International LLP (Astana, KZ) — $12M</w:t>
            </w:r>
          </w:p>
        </w:tc>
        <w:tc>
          <w:tcPr>
            <w:tcW w:type="dxa" w:w="2304"/>
          </w:tcPr>
          <w:p>
            <w:r>
              <w:rPr>
                <w:sz w:val="15"/>
              </w:rPr>
            </w:r>
            <w:r>
              <w:rPr>
                <w:sz w:val="15"/>
              </w:rPr>
              <w:t>None (CAATSA-005 Turan Military Aviation; SDN-077 Aral Sea Commodities LLP dismissed)</w:t>
            </w:r>
          </w:p>
        </w:tc>
        <w:tc>
          <w:tcPr>
            <w:tcW w:type="dxa" w:w="1296"/>
            <w:shd w:val="clear" w:color="auto" w:fill="C6E0B4"/>
          </w:tcPr>
          <w:p>
            <w:r>
              <w:rPr>
                <w:sz w:val="15"/>
              </w:rPr>
            </w:r>
            <w:r>
              <w:rPr>
                <w:sz w:val="15"/>
              </w:rPr>
              <w:t>No Match / Clear</w:t>
            </w:r>
          </w:p>
        </w:tc>
        <w:tc>
          <w:tcPr>
            <w:tcW w:type="dxa" w:w="2016"/>
          </w:tcPr>
          <w:p>
            <w:r>
              <w:rPr>
                <w:sz w:val="15"/>
              </w:rPr>
            </w:r>
            <w:r>
              <w:rPr>
                <w:sz w:val="15"/>
              </w:rPr>
              <w:t>N/A</w:t>
            </w:r>
          </w:p>
        </w:tc>
        <w:tc>
          <w:tcPr>
            <w:tcW w:type="dxa" w:w="2160"/>
          </w:tcPr>
          <w:p>
            <w:r>
              <w:rPr>
                <w:sz w:val="15"/>
              </w:rPr>
            </w:r>
            <w:r>
              <w:rPr>
                <w:sz w:val="15"/>
              </w:rPr>
              <w:t>Screening-level clearance; held under GC portfolio hold; obtain BIN</w:t>
            </w:r>
          </w:p>
        </w:tc>
      </w:tr>
      <w:tr>
        <w:tc>
          <w:tcPr>
            <w:tcW w:type="dxa" w:w="360"/>
          </w:tcPr>
          <w:p>
            <w:r>
              <w:rPr>
                <w:sz w:val="15"/>
              </w:rPr>
            </w:r>
            <w:r>
              <w:rPr>
                <w:sz w:val="15"/>
              </w:rPr>
              <w:t>12</w:t>
            </w:r>
          </w:p>
        </w:tc>
        <w:tc>
          <w:tcPr>
            <w:tcW w:type="dxa" w:w="1944"/>
          </w:tcPr>
          <w:p>
            <w:r>
              <w:rPr>
                <w:sz w:val="15"/>
              </w:rPr>
            </w:r>
            <w:r>
              <w:rPr>
                <w:sz w:val="15"/>
              </w:rPr>
              <w:t>Bosphorus Maritime Enterprises Ltd. (Istanbul, TR) — $8M</w:t>
            </w:r>
          </w:p>
        </w:tc>
        <w:tc>
          <w:tcPr>
            <w:tcW w:type="dxa" w:w="2304"/>
          </w:tcPr>
          <w:p>
            <w:r>
              <w:rPr>
                <w:sz w:val="15"/>
              </w:rPr>
            </w:r>
            <w:r>
              <w:rPr>
                <w:sz w:val="15"/>
              </w:rPr>
              <w:t>SDN-039 Bosphorus Freight Services AŞ (Trade Registry No. identical; RUSSIA-EO14024)</w:t>
            </w:r>
          </w:p>
        </w:tc>
        <w:tc>
          <w:tcPr>
            <w:tcW w:type="dxa" w:w="1296"/>
            <w:shd w:val="clear" w:color="auto" w:fill="F4B6B6"/>
          </w:tcPr>
          <w:p>
            <w:r>
              <w:rPr>
                <w:sz w:val="15"/>
              </w:rPr>
            </w:r>
            <w:r>
              <w:rPr>
                <w:sz w:val="15"/>
              </w:rPr>
              <w:t>Exact Match</w:t>
            </w:r>
          </w:p>
        </w:tc>
        <w:tc>
          <w:tcPr>
            <w:tcW w:type="dxa" w:w="2016"/>
          </w:tcPr>
          <w:p>
            <w:r>
              <w:rPr>
                <w:sz w:val="15"/>
              </w:rPr>
            </w:r>
            <w:r>
              <w:rPr>
                <w:sz w:val="15"/>
              </w:rPr>
              <w:t>Entity is SDN-039 (conclusive identifier): blocked</w:t>
            </w:r>
          </w:p>
        </w:tc>
        <w:tc>
          <w:tcPr>
            <w:tcW w:type="dxa" w:w="2160"/>
          </w:tcPr>
          <w:p>
            <w:r>
              <w:rPr>
                <w:sz w:val="15"/>
              </w:rPr>
            </w:r>
            <w:r>
              <w:rPr>
                <w:sz w:val="15"/>
              </w:rPr>
              <w:t>Automatic block; GC same day; CEO within 24 hrs; Halcyon Hart; vessel screening</w:t>
            </w:r>
          </w:p>
        </w:tc>
      </w:tr>
      <w:tr>
        <w:tc>
          <w:tcPr>
            <w:tcW w:type="dxa" w:w="360"/>
          </w:tcPr>
          <w:p>
            <w:r>
              <w:rPr>
                <w:sz w:val="15"/>
              </w:rPr>
            </w:r>
            <w:r>
              <w:rPr>
                <w:sz w:val="15"/>
              </w:rPr>
              <w:t>13</w:t>
            </w:r>
          </w:p>
        </w:tc>
        <w:tc>
          <w:tcPr>
            <w:tcW w:type="dxa" w:w="1944"/>
          </w:tcPr>
          <w:p>
            <w:r>
              <w:rPr>
                <w:sz w:val="15"/>
              </w:rPr>
            </w:r>
            <w:r>
              <w:rPr>
                <w:sz w:val="15"/>
              </w:rPr>
              <w:t>Novaya Energetika OOO (St. Petersburg, RU) — $34M</w:t>
            </w:r>
          </w:p>
        </w:tc>
        <w:tc>
          <w:tcPr>
            <w:tcW w:type="dxa" w:w="2304"/>
          </w:tcPr>
          <w:p>
            <w:r>
              <w:rPr>
                <w:sz w:val="15"/>
              </w:rPr>
            </w:r>
            <w:r>
              <w:rPr>
                <w:sz w:val="15"/>
              </w:rPr>
              <w:t>SSI-002 Aleksei Drozdov (Directive 2; alias “Aleksei I. Drozdov”); SSI-003 Novaya Energetika PAO (OGRN differs)</w:t>
            </w:r>
          </w:p>
        </w:tc>
        <w:tc>
          <w:tcPr>
            <w:tcW w:type="dxa" w:w="1296"/>
            <w:shd w:val="clear" w:color="auto" w:fill="FFE699"/>
          </w:tcPr>
          <w:p>
            <w:r>
              <w:rPr>
                <w:sz w:val="15"/>
              </w:rPr>
            </w:r>
            <w:r>
              <w:rPr>
                <w:sz w:val="15"/>
              </w:rPr>
              <w:t>Strong Potential Match</w:t>
            </w:r>
          </w:p>
        </w:tc>
        <w:tc>
          <w:tcPr>
            <w:tcW w:type="dxa" w:w="2016"/>
          </w:tcPr>
          <w:p>
            <w:r>
              <w:rPr>
                <w:sz w:val="15"/>
              </w:rPr>
            </w:r>
            <w:r>
              <w:rPr>
                <w:sz w:val="15"/>
              </w:rPr>
              <w:t>Drozdov 90%: if confirmed, Directive 2 restrictions extend to entity; not blocked</w:t>
            </w:r>
          </w:p>
        </w:tc>
        <w:tc>
          <w:tcPr>
            <w:tcW w:type="dxa" w:w="2160"/>
          </w:tcPr>
          <w:p>
            <w:r>
              <w:rPr>
                <w:sz w:val="15"/>
              </w:rPr>
            </w:r>
            <w:r>
              <w:rPr>
                <w:sz w:val="15"/>
              </w:rPr>
              <w:t>Block pending EDD; CCO within 24 hrs; Halcyon Hart on Directive 2 scope</w:t>
            </w:r>
          </w:p>
        </w:tc>
      </w:tr>
      <w:tr>
        <w:tc>
          <w:tcPr>
            <w:tcW w:type="dxa" w:w="360"/>
          </w:tcPr>
          <w:p>
            <w:r>
              <w:rPr>
                <w:sz w:val="15"/>
              </w:rPr>
            </w:r>
            <w:r>
              <w:rPr>
                <w:sz w:val="15"/>
              </w:rPr>
              <w:t>14</w:t>
            </w:r>
          </w:p>
        </w:tc>
        <w:tc>
          <w:tcPr>
            <w:tcW w:type="dxa" w:w="1944"/>
          </w:tcPr>
          <w:p>
            <w:r>
              <w:rPr>
                <w:sz w:val="15"/>
              </w:rPr>
            </w:r>
            <w:r>
              <w:rPr>
                <w:sz w:val="15"/>
              </w:rPr>
              <w:t>Orient Bridge General Trading LLC (Dubai, UAE) — $27M</w:t>
            </w:r>
          </w:p>
        </w:tc>
        <w:tc>
          <w:tcPr>
            <w:tcW w:type="dxa" w:w="2304"/>
          </w:tcPr>
          <w:p>
            <w:r>
              <w:rPr>
                <w:sz w:val="15"/>
              </w:rPr>
            </w:r>
            <w:r>
              <w:rPr>
                <w:sz w:val="15"/>
              </w:rPr>
              <w:t>SDN-006 Orient Bridge International Trading LLC (SYRIA); its MD Mohammed Tariq al-Qasemi</w:t>
            </w:r>
          </w:p>
        </w:tc>
        <w:tc>
          <w:tcPr>
            <w:tcW w:type="dxa" w:w="1296"/>
            <w:shd w:val="clear" w:color="auto" w:fill="FFE699"/>
          </w:tcPr>
          <w:p>
            <w:r>
              <w:rPr>
                <w:sz w:val="15"/>
              </w:rPr>
            </w:r>
            <w:r>
              <w:rPr>
                <w:sz w:val="15"/>
              </w:rPr>
              <w:t>Strong Potential Match</w:t>
            </w:r>
          </w:p>
        </w:tc>
        <w:tc>
          <w:tcPr>
            <w:tcW w:type="dxa" w:w="2016"/>
          </w:tcPr>
          <w:p>
            <w:r>
              <w:rPr>
                <w:sz w:val="15"/>
              </w:rPr>
            </w:r>
            <w:r>
              <w:rPr>
                <w:sz w:val="15"/>
              </w:rPr>
              <w:t>al-Qasemi not individually listed in dataset; 45% stake &lt;50%; principal risk is that entity is a front/branch of SDN-006</w:t>
            </w:r>
          </w:p>
        </w:tc>
        <w:tc>
          <w:tcPr>
            <w:tcW w:type="dxa" w:w="2160"/>
          </w:tcPr>
          <w:p>
            <w:r>
              <w:rPr>
                <w:sz w:val="15"/>
              </w:rPr>
            </w:r>
            <w:r>
              <w:rPr>
                <w:sz w:val="15"/>
              </w:rPr>
              <w:t>Block pending EDD; CCO within 24 hrs; resolve within 5 business days</w:t>
            </w:r>
          </w:p>
        </w:tc>
      </w:tr>
    </w:tbl>
    <w:p>
      <w:pPr>
        <w:spacing w:after="40"/>
      </w:pPr>
    </w:p>
    <w:p>
      <w:pPr>
        <w:pStyle w:val="Heading1"/>
      </w:pPr>
      <w:r>
        <w:t>3. Escalations and Immediate Actions</w:t>
      </w:r>
    </w:p>
    <w:p>
      <w:pPr>
        <w:spacing w:after="120"/>
      </w:pPr>
      <w:r>
        <w:t>The following escalations are required by Policy § 7.1 on the basis of this report. Escalations already logged in the Submission Log are noted; the remainder are triggered today.</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728"/>
            <w:shd w:val="clear" w:color="auto" w:fill="1F3A5F"/>
          </w:tcPr>
          <w:p>
            <w:r>
              <w:rPr>
                <w:b/>
                <w:color w:val="FFFFFF"/>
                <w:sz w:val="15"/>
              </w:rPr>
            </w:r>
            <w:r>
              <w:rPr>
                <w:b/>
                <w:color w:val="FFFFFF"/>
                <w:sz w:val="15"/>
              </w:rPr>
              <w:t>Item</w:t>
            </w:r>
          </w:p>
        </w:tc>
        <w:tc>
          <w:tcPr>
            <w:tcW w:type="dxa" w:w="2304"/>
            <w:shd w:val="clear" w:color="auto" w:fill="1F3A5F"/>
          </w:tcPr>
          <w:p>
            <w:r>
              <w:rPr>
                <w:b/>
                <w:color w:val="FFFFFF"/>
                <w:sz w:val="15"/>
              </w:rPr>
            </w:r>
            <w:r>
              <w:rPr>
                <w:b/>
                <w:color w:val="FFFFFF"/>
                <w:sz w:val="15"/>
              </w:rPr>
              <w:t>Counterparties</w:t>
            </w:r>
          </w:p>
        </w:tc>
        <w:tc>
          <w:tcPr>
            <w:tcW w:type="dxa" w:w="2160"/>
            <w:shd w:val="clear" w:color="auto" w:fill="1F3A5F"/>
          </w:tcPr>
          <w:p>
            <w:r>
              <w:rPr>
                <w:b/>
                <w:color w:val="FFFFFF"/>
                <w:sz w:val="15"/>
              </w:rPr>
            </w:r>
            <w:r>
              <w:rPr>
                <w:b/>
                <w:color w:val="FFFFFF"/>
                <w:sz w:val="15"/>
              </w:rPr>
              <w:t>Escalate to / notify</w:t>
            </w:r>
          </w:p>
        </w:tc>
        <w:tc>
          <w:tcPr>
            <w:tcW w:type="dxa" w:w="1728"/>
            <w:shd w:val="clear" w:color="auto" w:fill="1F3A5F"/>
          </w:tcPr>
          <w:p>
            <w:r>
              <w:rPr>
                <w:b/>
                <w:color w:val="FFFFFF"/>
                <w:sz w:val="15"/>
              </w:rPr>
            </w:r>
            <w:r>
              <w:rPr>
                <w:b/>
                <w:color w:val="FFFFFF"/>
                <w:sz w:val="15"/>
              </w:rPr>
              <w:t>Timeframe</w:t>
            </w:r>
          </w:p>
        </w:tc>
        <w:tc>
          <w:tcPr>
            <w:tcW w:type="dxa" w:w="2160"/>
            <w:shd w:val="clear" w:color="auto" w:fill="1F3A5F"/>
          </w:tcPr>
          <w:p>
            <w:r>
              <w:rPr>
                <w:b/>
                <w:color w:val="FFFFFF"/>
                <w:sz w:val="15"/>
              </w:rPr>
            </w:r>
            <w:r>
              <w:rPr>
                <w:b/>
                <w:color w:val="FFFFFF"/>
                <w:sz w:val="15"/>
              </w:rPr>
              <w:t>Status pending resolution</w:t>
            </w:r>
          </w:p>
        </w:tc>
      </w:tr>
      <w:tr>
        <w:tc>
          <w:tcPr>
            <w:tcW w:type="dxa" w:w="1728"/>
          </w:tcPr>
          <w:p>
            <w:r>
              <w:rPr>
                <w:sz w:val="15"/>
              </w:rPr>
            </w:r>
            <w:r>
              <w:rPr>
                <w:sz w:val="15"/>
              </w:rPr>
              <w:t>Exact Match (SDN — blocked)</w:t>
            </w:r>
          </w:p>
        </w:tc>
        <w:tc>
          <w:tcPr>
            <w:tcW w:type="dxa" w:w="2304"/>
          </w:tcPr>
          <w:p>
            <w:r>
              <w:rPr>
                <w:sz w:val="15"/>
              </w:rPr>
            </w:r>
            <w:r>
              <w:rPr>
                <w:sz w:val="15"/>
              </w:rPr>
              <w:t>Black Sea Logistics OOD; Eurasian Mineral Supply AG; Bosphorus Maritime Enterprises Ltd.</w:t>
            </w:r>
          </w:p>
        </w:tc>
        <w:tc>
          <w:tcPr>
            <w:tcW w:type="dxa" w:w="2160"/>
          </w:tcPr>
          <w:p>
            <w:r>
              <w:rPr>
                <w:sz w:val="15"/>
              </w:rPr>
            </w:r>
            <w:r>
              <w:rPr>
                <w:sz w:val="15"/>
              </w:rPr>
              <w:t>General Counsel (David Kirchner); CEO (Margaret Hessler); Halcyon Hart LLP (Catherine Niles / Ryan Pressfield)</w:t>
            </w:r>
          </w:p>
        </w:tc>
        <w:tc>
          <w:tcPr>
            <w:tcW w:type="dxa" w:w="1728"/>
          </w:tcPr>
          <w:p>
            <w:r>
              <w:rPr>
                <w:sz w:val="15"/>
              </w:rPr>
            </w:r>
            <w:r>
              <w:rPr>
                <w:sz w:val="15"/>
              </w:rPr>
              <w:t>GC same business day (May 23, 2025); CEO within 24 hours</w:t>
            </w:r>
          </w:p>
        </w:tc>
        <w:tc>
          <w:tcPr>
            <w:tcW w:type="dxa" w:w="2160"/>
          </w:tcPr>
          <w:p>
            <w:r>
              <w:rPr>
                <w:sz w:val="15"/>
              </w:rPr>
            </w:r>
            <w:r>
              <w:rPr>
                <w:sz w:val="15"/>
              </w:rPr>
              <w:t>Automatic block on all trading, LOIs, framework agreements and communications that could constitute dealing; no funds to be sent or received</w:t>
            </w:r>
          </w:p>
        </w:tc>
      </w:tr>
      <w:tr>
        <w:tc>
          <w:tcPr>
            <w:tcW w:type="dxa" w:w="1728"/>
          </w:tcPr>
          <w:p>
            <w:r>
              <w:rPr>
                <w:sz w:val="15"/>
              </w:rPr>
            </w:r>
            <w:r>
              <w:rPr>
                <w:sz w:val="15"/>
              </w:rPr>
              <w:t>Exact Match (SSI — sectoral, by OGRN)</w:t>
            </w:r>
          </w:p>
        </w:tc>
        <w:tc>
          <w:tcPr>
            <w:tcW w:type="dxa" w:w="2304"/>
          </w:tcPr>
          <w:p>
            <w:r>
              <w:rPr>
                <w:sz w:val="15"/>
              </w:rPr>
            </w:r>
            <w:r>
              <w:rPr>
                <w:sz w:val="15"/>
              </w:rPr>
              <w:t>Volkov Brothers Agro-Industrial Group</w:t>
            </w:r>
          </w:p>
        </w:tc>
        <w:tc>
          <w:tcPr>
            <w:tcW w:type="dxa" w:w="2160"/>
          </w:tcPr>
          <w:p>
            <w:r>
              <w:rPr>
                <w:sz w:val="15"/>
              </w:rPr>
            </w:r>
            <w:r>
              <w:rPr>
                <w:sz w:val="15"/>
              </w:rPr>
              <w:t>General Counsel; CEO; Halcyon Hart LLP</w:t>
            </w:r>
          </w:p>
        </w:tc>
        <w:tc>
          <w:tcPr>
            <w:tcW w:type="dxa" w:w="1728"/>
          </w:tcPr>
          <w:p>
            <w:r>
              <w:rPr>
                <w:sz w:val="15"/>
              </w:rPr>
            </w:r>
            <w:r>
              <w:rPr>
                <w:sz w:val="15"/>
              </w:rPr>
              <w:t>GC same business day; CEO within 24 hours</w:t>
            </w:r>
          </w:p>
        </w:tc>
        <w:tc>
          <w:tcPr>
            <w:tcW w:type="dxa" w:w="2160"/>
          </w:tcPr>
          <w:p>
            <w:r>
              <w:rPr>
                <w:sz w:val="15"/>
              </w:rPr>
            </w:r>
            <w:r>
              <w:rPr>
                <w:sz w:val="15"/>
              </w:rPr>
              <w:t>Automatic block required by Policy § 6.2; GC/outside counsel to determine whether any non-Directive 4 activity could ever be approved</w:t>
            </w:r>
          </w:p>
        </w:tc>
      </w:tr>
      <w:tr>
        <w:tc>
          <w:tcPr>
            <w:tcW w:type="dxa" w:w="1728"/>
          </w:tcPr>
          <w:p>
            <w:r>
              <w:rPr>
                <w:sz w:val="15"/>
              </w:rPr>
            </w:r>
            <w:r>
              <w:rPr>
                <w:sz w:val="15"/>
              </w:rPr>
              <w:t>Undisclosed beneficial ownership</w:t>
            </w:r>
          </w:p>
        </w:tc>
        <w:tc>
          <w:tcPr>
            <w:tcW w:type="dxa" w:w="2304"/>
          </w:tcPr>
          <w:p>
            <w:r>
              <w:rPr>
                <w:sz w:val="15"/>
              </w:rPr>
            </w:r>
            <w:r>
              <w:rPr>
                <w:sz w:val="15"/>
              </w:rPr>
              <w:t>Meridian Strait Shipping Ltd.</w:t>
            </w:r>
          </w:p>
        </w:tc>
        <w:tc>
          <w:tcPr>
            <w:tcW w:type="dxa" w:w="2160"/>
          </w:tcPr>
          <w:p>
            <w:r>
              <w:rPr>
                <w:sz w:val="15"/>
              </w:rPr>
            </w:r>
            <w:r>
              <w:rPr>
                <w:sz w:val="15"/>
              </w:rPr>
              <w:t>General Counsel (already notified per Submission Log)</w:t>
            </w:r>
          </w:p>
        </w:tc>
        <w:tc>
          <w:tcPr>
            <w:tcW w:type="dxa" w:w="1728"/>
          </w:tcPr>
          <w:p>
            <w:r>
              <w:rPr>
                <w:sz w:val="15"/>
              </w:rPr>
            </w:r>
            <w:r>
              <w:rPr>
                <w:sz w:val="15"/>
              </w:rPr>
              <w:t>Within 24 hours</w:t>
            </w:r>
          </w:p>
        </w:tc>
        <w:tc>
          <w:tcPr>
            <w:tcW w:type="dxa" w:w="2160"/>
          </w:tcPr>
          <w:p>
            <w:r>
              <w:rPr>
                <w:sz w:val="15"/>
              </w:rPr>
            </w:r>
            <w:r>
              <w:rPr>
                <w:sz w:val="15"/>
              </w:rPr>
              <w:t>Block until 49% owner identified, screened and cleared</w:t>
            </w:r>
          </w:p>
        </w:tc>
      </w:tr>
      <w:tr>
        <w:tc>
          <w:tcPr>
            <w:tcW w:type="dxa" w:w="1728"/>
          </w:tcPr>
          <w:p>
            <w:r>
              <w:rPr>
                <w:sz w:val="15"/>
              </w:rPr>
            </w:r>
            <w:r>
              <w:rPr>
                <w:sz w:val="15"/>
              </w:rPr>
              <w:t>Strong Potential Match</w:t>
            </w:r>
          </w:p>
        </w:tc>
        <w:tc>
          <w:tcPr>
            <w:tcW w:type="dxa" w:w="2304"/>
          </w:tcPr>
          <w:p>
            <w:r>
              <w:rPr>
                <w:sz w:val="15"/>
              </w:rPr>
            </w:r>
            <w:r>
              <w:rPr>
                <w:sz w:val="15"/>
              </w:rPr>
              <w:t>Silk Road Commodities FZE; Al-Zubaydi Petroleum Services LLC; Petrostar Gulf DMCC; Novaya Energetika OOO; Orient Bridge General Trading LLC</w:t>
            </w:r>
          </w:p>
        </w:tc>
        <w:tc>
          <w:tcPr>
            <w:tcW w:type="dxa" w:w="2160"/>
          </w:tcPr>
          <w:p>
            <w:r>
              <w:rPr>
                <w:sz w:val="15"/>
              </w:rPr>
            </w:r>
            <w:r>
              <w:rPr>
                <w:sz w:val="15"/>
              </w:rPr>
              <w:t>CCO (Sandra Yoon); Whitmore for independent verification; Halcyon Hart LLP for Silk Road and Novaya</w:t>
            </w:r>
          </w:p>
        </w:tc>
        <w:tc>
          <w:tcPr>
            <w:tcW w:type="dxa" w:w="1728"/>
          </w:tcPr>
          <w:p>
            <w:r>
              <w:rPr>
                <w:sz w:val="15"/>
              </w:rPr>
            </w:r>
            <w:r>
              <w:rPr>
                <w:sz w:val="15"/>
              </w:rPr>
              <w:t>Within 24 hours; resolve within 5 business days, otherwise escalate to GC</w:t>
            </w:r>
          </w:p>
        </w:tc>
        <w:tc>
          <w:tcPr>
            <w:tcW w:type="dxa" w:w="2160"/>
          </w:tcPr>
          <w:p>
            <w:r>
              <w:rPr>
                <w:sz w:val="15"/>
              </w:rPr>
            </w:r>
            <w:r>
              <w:rPr>
                <w:sz w:val="15"/>
              </w:rPr>
              <w:t>Block pending EDD</w:t>
            </w:r>
          </w:p>
        </w:tc>
      </w:tr>
      <w:tr>
        <w:tc>
          <w:tcPr>
            <w:tcW w:type="dxa" w:w="1728"/>
          </w:tcPr>
          <w:p>
            <w:r>
              <w:rPr>
                <w:sz w:val="15"/>
              </w:rPr>
            </w:r>
            <w:r>
              <w:rPr>
                <w:sz w:val="15"/>
              </w:rPr>
              <w:t>Pinnacle National Bank</w:t>
            </w:r>
          </w:p>
        </w:tc>
        <w:tc>
          <w:tcPr>
            <w:tcW w:type="dxa" w:w="2304"/>
          </w:tcPr>
          <w:p>
            <w:r>
              <w:rPr>
                <w:sz w:val="15"/>
              </w:rPr>
            </w:r>
            <w:r>
              <w:rPr>
                <w:sz w:val="15"/>
              </w:rPr>
              <w:t>Any Exact Match counterparty from/to which funds have been received or remitted</w:t>
            </w:r>
          </w:p>
        </w:tc>
        <w:tc>
          <w:tcPr>
            <w:tcW w:type="dxa" w:w="2160"/>
          </w:tcPr>
          <w:p>
            <w:r>
              <w:rPr>
                <w:sz w:val="15"/>
              </w:rPr>
            </w:r>
            <w:r>
              <w:rPr>
                <w:sz w:val="15"/>
              </w:rPr>
              <w:t>CCO to bank compliance department</w:t>
            </w:r>
          </w:p>
        </w:tc>
        <w:tc>
          <w:tcPr>
            <w:tcW w:type="dxa" w:w="1728"/>
          </w:tcPr>
          <w:p>
            <w:r>
              <w:rPr>
                <w:sz w:val="15"/>
              </w:rPr>
            </w:r>
            <w:r>
              <w:rPr>
                <w:sz w:val="15"/>
              </w:rPr>
              <w:t>Upon confirmation by Treasury</w:t>
            </w:r>
          </w:p>
        </w:tc>
        <w:tc>
          <w:tcPr>
            <w:tcW w:type="dxa" w:w="2160"/>
          </w:tcPr>
          <w:p>
            <w:r>
              <w:rPr>
                <w:sz w:val="15"/>
              </w:rPr>
            </w:r>
            <w:r>
              <w:rPr>
                <w:sz w:val="15"/>
              </w:rPr>
              <w:t>Treasury to confirm in writing that no deposits, prepayments, or fees have moved with any of the 14 counterparties</w:t>
            </w:r>
          </w:p>
        </w:tc>
      </w:tr>
    </w:tbl>
    <w:p>
      <w:pPr>
        <w:spacing w:after="40"/>
      </w:pPr>
    </w:p>
    <w:p>
      <w:pPr>
        <w:spacing w:after="120"/>
      </w:pPr>
      <w:r>
        <w:rPr>
          <w:b/>
        </w:rPr>
        <w:t>Policy note on Silk Road Commodities FZE.</w:t>
      </w:r>
      <w:r>
        <w:t xml:space="preserve"> Although a Strong Potential Match is formally escalated to the CCO, the 50% Rule consequence of a confirmed match (entity blocked, with Iran-program exposure) and the fact that the counterparty is already assigned to Halcyon Hart in the Submission Log warrant concurrent notice to the General Counsel now rather than after the 5-business-day window.</w:t>
      </w:r>
    </w:p>
    <w:p>
      <w:pPr>
        <w:spacing w:after="120"/>
      </w:pPr>
      <w:r>
        <w:rPr>
          <w:b/>
        </w:rPr>
        <w:t>Portfolio hold.</w:t>
      </w:r>
      <w:r>
        <w:t xml:space="preserve"> Consistent with the General Counsel’s written instruction of May 21, 2025 (10:12 AM CDT), no contracts are to be executed with any of the 14 counterparties until screening is complete for the entire portfolio; counterparties that cannot be cleared by May 27, 2025 are to be deferred, not approved with conditions (GC email of May 21, 2025, 4:58 PM CDT). The four Clear results in this report are therefore screening-level clearances only and do not authorize execution.</w:t>
      </w:r>
    </w:p>
    <w:p>
      <w:pPr>
        <w:pStyle w:val="Heading1"/>
      </w:pPr>
      <w:r>
        <w:t>4. Scope, Sources and Methodology</w:t>
      </w:r>
    </w:p>
    <w:p>
      <w:pPr>
        <w:pStyle w:val="Heading2"/>
      </w:pPr>
      <w:r>
        <w:t>4.1 Documents reviewed</w:t>
      </w:r>
    </w:p>
    <w:p>
      <w:pPr>
        <w:pStyle w:val="ListBullet"/>
        <w:spacing w:after="60"/>
      </w:pPr>
      <w:r>
        <w:t>Counterparty Onboarding Summary (Cover Sheet, Counterparty Onboarding sheet — 14 entities, 21 data fields, and Submission Log), prepared May 20, 2025.</w:t>
      </w:r>
    </w:p>
    <w:p>
      <w:pPr>
        <w:pStyle w:val="ListBullet"/>
        <w:spacing w:after="60"/>
      </w:pPr>
      <w:r>
        <w:t>Internal Sanctions Reference Extract, current as of May 15, 2025: SDN List extract (85 entries), SSI List extract (30 entries), Non-SDN CAATSA § 231 extract (15 entries) — 130 entries in total, consistent with Policy § 2.1.</w:t>
      </w:r>
    </w:p>
    <w:p>
      <w:pPr>
        <w:pStyle w:val="ListBullet"/>
        <w:spacing w:after="60"/>
      </w:pPr>
      <w:r>
        <w:t>Sanctions Compliance Screening Policy and Procedures Manual, Policy No. RGT-COMP-2025-001, v3.1.</w:t>
      </w:r>
    </w:p>
    <w:p>
      <w:pPr>
        <w:pStyle w:val="ListBullet"/>
        <w:spacing w:after="60"/>
      </w:pPr>
      <w:r>
        <w:t>Whitmore Compliance Advisors LLC, Preliminary Jurisdictional Risk Assessment and Sanctions Screening Observations, May 22, 2025.</w:t>
      </w:r>
    </w:p>
    <w:p>
      <w:pPr>
        <w:pStyle w:val="ListBullet"/>
        <w:spacing w:after="60"/>
      </w:pPr>
      <w:r>
        <w:t>Email chain between Sandra Yoon and David Kirchner (cc Margaret Hessler), May 21, 2025.</w:t>
      </w:r>
    </w:p>
    <w:p>
      <w:pPr>
        <w:pStyle w:val="Heading2"/>
      </w:pPr>
      <w:r>
        <w:t>4.2 Methodology (Policy § 4.1)</w:t>
      </w:r>
    </w:p>
    <w:p>
      <w:pPr>
        <w:pStyle w:val="ListNumber"/>
        <w:spacing w:after="60"/>
      </w:pPr>
      <w:r>
        <w:rPr>
          <w:b/>
        </w:rPr>
        <w:t>Entity name screening</w:t>
      </w:r>
      <w:r>
        <w:t xml:space="preserve"> of every counterparty name (with and without entity-type suffix) against every entity name and alias in all three lists, including descriptive-word variations (e.g., “General Trading” / “International Trading”; “Agro-Industrial Group” / “Industrial Group”).</w:t>
      </w:r>
    </w:p>
    <w:p>
      <w:pPr>
        <w:pStyle w:val="ListNumber"/>
        <w:spacing w:after="60"/>
      </w:pPr>
      <w:r>
        <w:rPr>
          <w:b/>
        </w:rPr>
        <w:t>Registration-number screening</w:t>
      </w:r>
      <w:r>
        <w:t xml:space="preserve"> of every identifier supplied (OGRN, UIC, Turkish Trade Registry, DMCC / DED / Sharjah FZ licence, CHE, NAPR, Kazakh registry, Cyprus HE) against every registration number in the Reference Dataset, treating a match as conclusive (Policy § 4.3). Gaps are noted where an identifier was not supplied or is not in a matchable format.</w:t>
      </w:r>
    </w:p>
    <w:p>
      <w:pPr>
        <w:pStyle w:val="ListNumber"/>
        <w:spacing w:after="60"/>
      </w:pPr>
      <w:r>
        <w:rPr>
          <w:b/>
        </w:rPr>
        <w:t>Individual name screening</w:t>
      </w:r>
      <w:r>
        <w:t xml:space="preserve"> of all 23 disclosed directors and beneficial owners against every individual entry, alias and named key person (key personnel fields in SDN and SSI entity entries were also screened, since they disclose associated persons even where not separately designated).</w:t>
      </w:r>
    </w:p>
    <w:p>
      <w:pPr>
        <w:pStyle w:val="ListNumber"/>
        <w:spacing w:after="60"/>
      </w:pPr>
      <w:r>
        <w:rPr>
          <w:b/>
        </w:rPr>
        <w:t>Secondary identifier verification</w:t>
      </w:r>
      <w:r>
        <w:t xml:space="preserve"> for every name hit: DOB, nationality, passport number, address, patronymic, aliases, Arabic/Persian name components, sector and associated-entity information.</w:t>
      </w:r>
    </w:p>
    <w:p>
      <w:pPr>
        <w:pStyle w:val="ListNumber"/>
        <w:spacing w:after="60"/>
      </w:pPr>
      <w:r>
        <w:rPr>
          <w:b/>
        </w:rPr>
        <w:t>Beneficial ownership / 50% Rule analysis</w:t>
      </w:r>
      <w:r>
        <w:t xml:space="preserve"> for every counterparty with a matched or potentially matched owner, including aggregation (Policy Section 5; Appendix A), distinguishing SDN blocking from SSI sectoral restrictions (Policy § 5.3; Appendix B).</w:t>
      </w:r>
    </w:p>
    <w:p>
      <w:pPr>
        <w:pStyle w:val="ListNumber"/>
        <w:spacing w:after="60"/>
      </w:pPr>
      <w:r>
        <w:rPr>
          <w:b/>
        </w:rPr>
        <w:t>Jurisdictional risk assessment</w:t>
      </w:r>
      <w:r>
        <w:t>, noted but never used alone to clear a potential match (Policy § 4.1(6); § 6.3).</w:t>
      </w:r>
    </w:p>
    <w:p>
      <w:pPr>
        <w:spacing w:after="120"/>
      </w:pPr>
      <w:r>
        <w:t>The transliteration checklist required by Policy § 9.1 is completed in Appendix A. Near-miss entries considered and dismissed, with the rationale for each, are listed in Appendix B.</w:t>
      </w:r>
    </w:p>
    <w:p>
      <w:pPr>
        <w:pStyle w:val="Heading2"/>
      </w:pPr>
      <w:r>
        <w:t>4.3 Limitations</w:t>
      </w:r>
    </w:p>
    <w:p>
      <w:pPr>
        <w:pStyle w:val="ListBullet"/>
        <w:spacing w:after="60"/>
      </w:pPr>
      <w:r>
        <w:t>Results are valid only as of the May 15, 2025 Reference Dataset. The Reference Dataset is a curated extract; per its own cover note, final determinations must be verified against the full OFAC SDN and Consolidated Sanctions lists. OFAC actions after May 15, 2025 are not reflected and must be checked before any onboarding decision (Policy § 8.1).</w:t>
      </w:r>
    </w:p>
    <w:p>
      <w:pPr>
        <w:pStyle w:val="ListBullet"/>
        <w:spacing w:after="60"/>
      </w:pPr>
      <w:r>
        <w:t>The analysis relies on counterparty-supplied information as summarized in the onboarding package. The underlying passport copies, registry extracts and BO declarations were not available to the analyst beyond the summary; Section 9 identifies where those documents should be examined.</w:t>
      </w:r>
    </w:p>
    <w:p>
      <w:pPr>
        <w:pStyle w:val="ListBullet"/>
        <w:spacing w:after="60"/>
      </w:pPr>
      <w:r>
        <w:t>This report applies Oakvale’s Policy and is not a substitute for legal advice from Halcyon Hart LLP on blocking, licensing or reporting obligations.</w:t>
      </w:r>
    </w:p>
    <w:p>
      <w:pPr>
        <w:pStyle w:val="Heading1"/>
      </w:pPr>
      <w:r>
        <w:t>5. Counterparty-by-Counterparty Analysis</w:t>
      </w:r>
    </w:p>
    <w:p>
      <w:pPr>
        <w:spacing w:after="120"/>
      </w:pPr>
      <w:r>
        <w:t>Counterparties are presented in onboarding-summary order. Each section records the identifiers compared, the rationale for every match or non-match, the 50% Rule analysis where any beneficial owner is a match or potential match, and the information still needed.</w:t>
      </w:r>
    </w:p>
    <w:p>
      <w:pPr>
        <w:pStyle w:val="Heading2"/>
      </w:pPr>
      <w:r>
        <w:t>5.1 Al-Zubaydi Petroleum Services LLC — STRONG POTENTIAL MATCH</w:t>
      </w:r>
    </w:p>
    <w:tbl>
      <w:tblPr>
        <w:tblStyle w:val="TableGrid"/>
        <w:tblW w:type="auto" w:w="0"/>
        <w:tblLook w:firstColumn="1" w:firstRow="1" w:lastColumn="0" w:lastRow="0" w:noHBand="0" w:noVBand="1" w:val="04A0"/>
      </w:tblPr>
      <w:tblGrid>
        <w:gridCol w:w="4824"/>
        <w:gridCol w:w="4824"/>
      </w:tblGrid>
      <w:tr>
        <w:tc>
          <w:tcPr>
            <w:tcW w:type="dxa" w:w="2736"/>
            <w:shd w:val="clear" w:color="auto" w:fill="DCE6F1"/>
          </w:tcPr>
          <w:p>
            <w:r>
              <w:rPr>
                <w:b/>
                <w:sz w:val="17"/>
              </w:rPr>
            </w:r>
            <w:r>
              <w:rPr>
                <w:b/>
                <w:sz w:val="17"/>
              </w:rPr>
              <w:t>Entity / jurisdiction</w:t>
            </w:r>
          </w:p>
        </w:tc>
        <w:tc>
          <w:tcPr>
            <w:tcW w:type="dxa" w:w="6912"/>
          </w:tcPr>
          <w:p>
            <w:r>
              <w:rPr>
                <w:sz w:val="17"/>
              </w:rPr>
            </w:r>
            <w:r>
              <w:rPr>
                <w:sz w:val="17"/>
              </w:rPr>
              <w:t>LLC; Dubai, UAE; registration “DMCC Reg. (number not provided — requested)”</w:t>
            </w:r>
          </w:p>
        </w:tc>
      </w:tr>
      <w:tr>
        <w:tc>
          <w:tcPr>
            <w:tcW w:type="dxa" w:w="2736"/>
            <w:shd w:val="clear" w:color="auto" w:fill="DCE6F1"/>
          </w:tcPr>
          <w:p>
            <w:r>
              <w:rPr>
                <w:b/>
                <w:sz w:val="17"/>
              </w:rPr>
            </w:r>
            <w:r>
              <w:rPr>
                <w:b/>
                <w:sz w:val="17"/>
              </w:rPr>
              <w:t>Ownership / management</w:t>
            </w:r>
          </w:p>
        </w:tc>
        <w:tc>
          <w:tcPr>
            <w:tcW w:type="dxa" w:w="6912"/>
          </w:tcPr>
          <w:p>
            <w:r>
              <w:rPr>
                <w:sz w:val="17"/>
              </w:rPr>
            </w:r>
            <w:r>
              <w:rPr>
                <w:sz w:val="17"/>
              </w:rPr>
              <w:t>Hasan al-Zubaydi — director and 100% beneficial owner</w:t>
            </w:r>
          </w:p>
        </w:tc>
      </w:tr>
      <w:tr>
        <w:tc>
          <w:tcPr>
            <w:tcW w:type="dxa" w:w="2736"/>
            <w:shd w:val="clear" w:color="auto" w:fill="DCE6F1"/>
          </w:tcPr>
          <w:p>
            <w:r>
              <w:rPr>
                <w:b/>
                <w:sz w:val="17"/>
              </w:rPr>
            </w:r>
            <w:r>
              <w:rPr>
                <w:b/>
                <w:sz w:val="17"/>
              </w:rPr>
              <w:t>Business / volume</w:t>
            </w:r>
          </w:p>
        </w:tc>
        <w:tc>
          <w:tcPr>
            <w:tcW w:type="dxa" w:w="6912"/>
          </w:tcPr>
          <w:p>
            <w:r>
              <w:rPr>
                <w:sz w:val="17"/>
              </w:rPr>
            </w:r>
            <w:r>
              <w:rPr>
                <w:sz w:val="17"/>
              </w:rPr>
              <w:t>Petroleum logistics and trading (crude, refined products); $45,000,000</w:t>
            </w:r>
          </w:p>
        </w:tc>
      </w:tr>
      <w:tr>
        <w:tc>
          <w:tcPr>
            <w:tcW w:type="dxa" w:w="2736"/>
            <w:shd w:val="clear" w:color="auto" w:fill="DCE6F1"/>
          </w:tcPr>
          <w:p>
            <w:r>
              <w:rPr>
                <w:b/>
                <w:sz w:val="17"/>
              </w:rPr>
            </w:r>
            <w:r>
              <w:rPr>
                <w:b/>
                <w:sz w:val="17"/>
              </w:rPr>
              <w:t>Bank</w:t>
            </w:r>
          </w:p>
        </w:tc>
        <w:tc>
          <w:tcPr>
            <w:tcW w:type="dxa" w:w="6912"/>
          </w:tcPr>
          <w:p>
            <w:r>
              <w:rPr>
                <w:sz w:val="17"/>
              </w:rPr>
            </w:r>
            <w:r>
              <w:rPr>
                <w:sz w:val="17"/>
              </w:rPr>
              <w:t>Gulf Union Commercial Bank, UAE (GUCBAEADXXX) — same bank as Petrostar Gulf DMCC and Orient Bridge General Trading LLC</w:t>
            </w:r>
          </w:p>
        </w:tc>
      </w:tr>
      <w:tr>
        <w:tc>
          <w:tcPr>
            <w:tcW w:type="dxa" w:w="2736"/>
            <w:shd w:val="clear" w:color="auto" w:fill="DCE6F1"/>
          </w:tcPr>
          <w:p>
            <w:r>
              <w:rPr>
                <w:b/>
                <w:sz w:val="17"/>
              </w:rPr>
            </w:r>
            <w:r>
              <w:rPr>
                <w:b/>
                <w:sz w:val="17"/>
              </w:rPr>
              <w:t>KYC status</w:t>
            </w:r>
          </w:p>
        </w:tc>
        <w:tc>
          <w:tcPr>
            <w:tcW w:type="dxa" w:w="6912"/>
          </w:tcPr>
          <w:p>
            <w:r>
              <w:rPr>
                <w:sz w:val="17"/>
              </w:rPr>
            </w:r>
            <w:r>
              <w:rPr>
                <w:sz w:val="17"/>
              </w:rPr>
              <w:t>Substantially Complete; passport copy (director) received; DOB, nationality and passport number left blank on the BO declaration; follow-up sent May 21, 2025 (pending)</w:t>
            </w:r>
          </w:p>
        </w:tc>
      </w:tr>
    </w:tbl>
    <w:p>
      <w:pPr>
        <w:spacing w:after="40"/>
      </w:pPr>
    </w:p>
    <w:p>
      <w:pPr>
        <w:spacing w:after="40"/>
      </w:pPr>
      <w:r>
        <w:rPr>
          <w:b/>
        </w:rPr>
        <w:t>Entity and registration-number screening</w:t>
      </w:r>
    </w:p>
    <w:p>
      <w:pPr>
        <w:pStyle w:val="ListBullet"/>
        <w:spacing w:after="60"/>
      </w:pPr>
      <w:r>
        <w:t>No entity-name match in any list. The entity name, however, incorporates the surname of SDN-001, whose entry notes he “operate[s] through front companies in the petroleum logistics sector” and is “historically active in Gulf region” — the counterparty’s line of business (petroleum logistics) and region (Dubai) fit that description.</w:t>
      </w:r>
    </w:p>
    <w:p>
      <w:pPr>
        <w:pStyle w:val="ListBullet"/>
        <w:spacing w:after="60"/>
      </w:pPr>
      <w:r>
        <w:t xml:space="preserve">Registration-number screening </w:t>
      </w:r>
      <w:r>
        <w:rPr>
          <w:b/>
        </w:rPr>
        <w:t>could not be performed</w:t>
      </w:r>
      <w:r>
        <w:t>: no DMCC registration number was supplied, although it is a mandatory identifier under Policy § 3.1(3). The description “LLC” with a “DMCC Reg.” is also internally inconsistent (DMCC companies are ordinarily styled “DMCC”) and should be verified against the DMCC certificate of incorporation already received.</w:t>
      </w:r>
    </w:p>
    <w:p>
      <w:pPr>
        <w:spacing w:after="40"/>
      </w:pPr>
      <w:r>
        <w:rPr>
          <w:b/>
        </w:rPr>
        <w:t>Individual screening (directors, officers, beneficial owners)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584"/>
            <w:shd w:val="clear" w:color="auto" w:fill="1F3A5F"/>
          </w:tcPr>
          <w:p>
            <w:r>
              <w:rPr>
                <w:b/>
                <w:color w:val="FFFFFF"/>
                <w:sz w:val="15"/>
              </w:rPr>
            </w:r>
            <w:r>
              <w:rPr>
                <w:b/>
                <w:color w:val="FFFFFF"/>
                <w:sz w:val="15"/>
              </w:rPr>
              <w:t>Person</w:t>
            </w:r>
          </w:p>
        </w:tc>
        <w:tc>
          <w:tcPr>
            <w:tcW w:type="dxa" w:w="1296"/>
            <w:shd w:val="clear" w:color="auto" w:fill="1F3A5F"/>
          </w:tcPr>
          <w:p>
            <w:r>
              <w:rPr>
                <w:b/>
                <w:color w:val="FFFFFF"/>
                <w:sz w:val="15"/>
              </w:rPr>
            </w:r>
            <w:r>
              <w:rPr>
                <w:b/>
                <w:color w:val="FFFFFF"/>
                <w:sz w:val="15"/>
              </w:rPr>
              <w:t>Role / ownership</w:t>
            </w:r>
          </w:p>
        </w:tc>
        <w:tc>
          <w:tcPr>
            <w:tcW w:type="dxa" w:w="2016"/>
            <w:shd w:val="clear" w:color="auto" w:fill="1F3A5F"/>
          </w:tcPr>
          <w:p>
            <w:r>
              <w:rPr>
                <w:b/>
                <w:color w:val="FFFFFF"/>
                <w:sz w:val="15"/>
              </w:rPr>
            </w:r>
            <w:r>
              <w:rPr>
                <w:b/>
                <w:color w:val="FFFFFF"/>
                <w:sz w:val="15"/>
              </w:rPr>
              <w:t>Closest Reference Dataset entry</w:t>
            </w:r>
          </w:p>
        </w:tc>
        <w:tc>
          <w:tcPr>
            <w:tcW w:type="dxa" w:w="3888"/>
            <w:shd w:val="clear" w:color="auto" w:fill="1F3A5F"/>
          </w:tcPr>
          <w:p>
            <w:r>
              <w:rPr>
                <w:b/>
                <w:color w:val="FFFFFF"/>
                <w:sz w:val="15"/>
              </w:rPr>
            </w:r>
            <w:r>
              <w:rPr>
                <w:b/>
                <w:color w:val="FFFFFF"/>
                <w:sz w:val="15"/>
              </w:rPr>
              <w:t>Comparison of identifiers</w:t>
            </w:r>
          </w:p>
        </w:tc>
        <w:tc>
          <w:tcPr>
            <w:tcW w:type="dxa" w:w="1296"/>
            <w:shd w:val="clear" w:color="auto" w:fill="1F3A5F"/>
          </w:tcPr>
          <w:p>
            <w:r>
              <w:rPr>
                <w:b/>
                <w:color w:val="FFFFFF"/>
                <w:sz w:val="15"/>
              </w:rPr>
            </w:r>
            <w:r>
              <w:rPr>
                <w:b/>
                <w:color w:val="FFFFFF"/>
                <w:sz w:val="15"/>
              </w:rPr>
              <w:t>Individual tier</w:t>
            </w:r>
          </w:p>
        </w:tc>
      </w:tr>
      <w:tr>
        <w:tc>
          <w:tcPr>
            <w:tcW w:type="dxa" w:w="1584"/>
          </w:tcPr>
          <w:p>
            <w:r>
              <w:rPr>
                <w:sz w:val="15"/>
              </w:rPr>
            </w:r>
            <w:r>
              <w:rPr>
                <w:sz w:val="15"/>
              </w:rPr>
              <w:t>Hasan al-Zubaydi</w:t>
            </w:r>
          </w:p>
        </w:tc>
        <w:tc>
          <w:tcPr>
            <w:tcW w:type="dxa" w:w="1296"/>
          </w:tcPr>
          <w:p>
            <w:r>
              <w:rPr>
                <w:sz w:val="15"/>
              </w:rPr>
            </w:r>
            <w:r>
              <w:rPr>
                <w:sz w:val="15"/>
              </w:rPr>
              <w:t>Director; 100% BO</w:t>
            </w:r>
          </w:p>
        </w:tc>
        <w:tc>
          <w:tcPr>
            <w:tcW w:type="dxa" w:w="2016"/>
          </w:tcPr>
          <w:p>
            <w:r>
              <w:rPr>
                <w:sz w:val="15"/>
              </w:rPr>
            </w:r>
            <w:r>
              <w:rPr>
                <w:sz w:val="15"/>
              </w:rPr>
              <w:t>SDN-001 Hasan Abdulrahman al-Zubaydi (SDGT; designated Feb. 12, 2024); aliases “Abu Hasan,” “H. al-Zubaydi”</w:t>
            </w:r>
          </w:p>
        </w:tc>
        <w:tc>
          <w:tcPr>
            <w:tcW w:type="dxa" w:w="3888"/>
          </w:tcPr>
          <w:p>
            <w:r>
              <w:rPr>
                <w:sz w:val="15"/>
              </w:rPr>
            </w:r>
            <w:r>
              <w:rPr>
                <w:sz w:val="15"/>
              </w:rPr>
              <w:t>Given name and surname identical; counterparty omits the name component “Abdulrahman” present in the SDN entry; consistent with alias “H. al-Zubaydi.” This is the Policy § 6.3 example verbatim. DOB (SDN: March 8, 1971), nationality (Lebanese) and passport (Lebanese No. RL 3345678) not supplied. Address differs (Dubai vs Beirut) — insufficient to clear (Policy §§ 4.1(6), 6.3). Sector overlap (petroleum) increases concern.</w:t>
            </w:r>
          </w:p>
        </w:tc>
        <w:tc>
          <w:tcPr>
            <w:tcW w:type="dxa" w:w="1296"/>
            <w:shd w:val="clear" w:color="auto" w:fill="FFE699"/>
          </w:tcPr>
          <w:p>
            <w:r>
              <w:rPr>
                <w:sz w:val="15"/>
              </w:rPr>
            </w:r>
            <w:r>
              <w:rPr>
                <w:sz w:val="15"/>
              </w:rPr>
              <w:t>Strong Potential Match</w:t>
            </w:r>
          </w:p>
        </w:tc>
      </w:tr>
    </w:tbl>
    <w:p>
      <w:pPr>
        <w:spacing w:after="40"/>
      </w:pPr>
    </w:p>
    <w:p>
      <w:pPr>
        <w:spacing w:after="40"/>
      </w:pPr>
      <w:r>
        <w:rPr>
          <w:b/>
        </w:rPr>
        <w:t>50% Rule analysis (Policy § 5.4)</w:t>
      </w:r>
    </w:p>
    <w:p>
      <w:pPr>
        <w:pStyle w:val="ListBullet"/>
        <w:spacing w:after="60"/>
      </w:pPr>
      <w:r>
        <w:t>Matched owner: Hasan al-Zubaydi, 100%; potential SDN-001 (SDGT program).</w:t>
      </w:r>
    </w:p>
    <w:p>
      <w:pPr>
        <w:pStyle w:val="ListBullet"/>
        <w:spacing w:after="60"/>
      </w:pPr>
      <w:r>
        <w:t>Single-person stake exceeds 50%: yes (100%). Aggregate of matched owners: 100%.</w:t>
      </w:r>
    </w:p>
    <w:p>
      <w:pPr>
        <w:pStyle w:val="ListBullet"/>
        <w:spacing w:after="60"/>
      </w:pPr>
      <w:r>
        <w:t xml:space="preserve">Result: </w:t>
      </w:r>
      <w:r>
        <w:rPr>
          <w:b/>
        </w:rPr>
        <w:t>if the match is confirmed the entity is blocked property</w:t>
      </w:r>
      <w:r>
        <w:t xml:space="preserve"> and is reclassified as an Exact Match at entity level (Policy § 5.2; Appendix A, Step 1). All transactions would be prohibited.</w:t>
      </w:r>
    </w:p>
    <w:p>
      <w:pPr>
        <w:pStyle w:val="ListBullet"/>
        <w:spacing w:after="60"/>
      </w:pPr>
      <w:r>
        <w:t>Pending resolution: no transaction of any kind is permissible; treat as presumptively blocked.</w:t>
      </w:r>
    </w:p>
    <w:p>
      <w:pPr>
        <w:spacing w:after="40"/>
      </w:pPr>
      <w:r>
        <w:rPr>
          <w:b/>
        </w:rPr>
        <w:t>Classification and required action</w:t>
      </w:r>
    </w:p>
    <w:p>
      <w:pPr>
        <w:pStyle w:val="ListBullet"/>
        <w:spacing w:after="60"/>
      </w:pPr>
      <w:r>
        <w:t xml:space="preserve">Tier: </w:t>
      </w:r>
      <w:r>
        <w:rPr>
          <w:b/>
        </w:rPr>
        <w:t>Strong Potential Match</w:t>
      </w:r>
      <w:r>
        <w:t xml:space="preserve"> (consistent with the Whitmore recommendation). Block pending EDD; escalate to CCO within 24 hours; resolve within 5 business days or escalate to GC (Policy § 6.3).</w:t>
      </w:r>
    </w:p>
    <w:p>
      <w:pPr>
        <w:spacing w:after="40"/>
      </w:pPr>
      <w:r>
        <w:rPr>
          <w:b/>
        </w:rPr>
        <w:t>Missing identifiers / information required to confirm or clear (Policy § 6.3)</w:t>
      </w:r>
    </w:p>
    <w:p>
      <w:pPr>
        <w:pStyle w:val="ListBullet"/>
        <w:spacing w:after="60"/>
      </w:pPr>
      <w:r>
        <w:t>Compare the passport copy already in the file against SDN-001: DOB, nationality, passport number, full name as printed (including any “Abdulrahman” component or Arabic-script name).</w:t>
      </w:r>
    </w:p>
    <w:p>
      <w:pPr>
        <w:pStyle w:val="ListBullet"/>
        <w:spacing w:after="60"/>
      </w:pPr>
      <w:r>
        <w:t>Obtain the DMCC registration number and full registered name; obtain full Arabic-script name and any prior names; obtain residence history (Lebanon) and source of funds.</w:t>
      </w:r>
    </w:p>
    <w:p>
      <w:pPr>
        <w:pStyle w:val="ListBullet"/>
        <w:spacing w:after="60"/>
      </w:pPr>
      <w:r>
        <w:t>Whitmore to conduct independent verification (Policy § 6.3); Gulf Union Commercial Bank account ownership to be confirmed.</w:t>
      </w:r>
    </w:p>
    <w:p>
      <w:pPr>
        <w:pStyle w:val="Heading2"/>
      </w:pPr>
      <w:r>
        <w:t>5.2 Caspian Gateway Trading LLP — NO MATCH / CLEAR</w:t>
      </w:r>
    </w:p>
    <w:tbl>
      <w:tblPr>
        <w:tblStyle w:val="TableGrid"/>
        <w:tblW w:type="auto" w:w="0"/>
        <w:tblLook w:firstColumn="1" w:firstRow="1" w:lastColumn="0" w:lastRow="0" w:noHBand="0" w:noVBand="1" w:val="04A0"/>
      </w:tblPr>
      <w:tblGrid>
        <w:gridCol w:w="4824"/>
        <w:gridCol w:w="4824"/>
      </w:tblGrid>
      <w:tr>
        <w:tc>
          <w:tcPr>
            <w:tcW w:type="dxa" w:w="2736"/>
            <w:shd w:val="clear" w:color="auto" w:fill="DCE6F1"/>
          </w:tcPr>
          <w:p>
            <w:r>
              <w:rPr>
                <w:b/>
                <w:sz w:val="17"/>
              </w:rPr>
            </w:r>
            <w:r>
              <w:rPr>
                <w:b/>
                <w:sz w:val="17"/>
              </w:rPr>
              <w:t>Entity / jurisdiction</w:t>
            </w:r>
          </w:p>
        </w:tc>
        <w:tc>
          <w:tcPr>
            <w:tcW w:type="dxa" w:w="6912"/>
          </w:tcPr>
          <w:p>
            <w:r>
              <w:rPr>
                <w:sz w:val="17"/>
              </w:rPr>
            </w:r>
            <w:r>
              <w:rPr>
                <w:sz w:val="17"/>
              </w:rPr>
              <w:t>LLP; Almaty, Kazakhstan; Almaty Business Registry No. 45-7821</w:t>
            </w:r>
          </w:p>
        </w:tc>
      </w:tr>
      <w:tr>
        <w:tc>
          <w:tcPr>
            <w:tcW w:type="dxa" w:w="2736"/>
            <w:shd w:val="clear" w:color="auto" w:fill="DCE6F1"/>
          </w:tcPr>
          <w:p>
            <w:r>
              <w:rPr>
                <w:b/>
                <w:sz w:val="17"/>
              </w:rPr>
            </w:r>
            <w:r>
              <w:rPr>
                <w:b/>
                <w:sz w:val="17"/>
              </w:rPr>
              <w:t>Ownership / management</w:t>
            </w:r>
          </w:p>
        </w:tc>
        <w:tc>
          <w:tcPr>
            <w:tcW w:type="dxa" w:w="6912"/>
          </w:tcPr>
          <w:p>
            <w:r>
              <w:rPr>
                <w:sz w:val="17"/>
              </w:rPr>
            </w:r>
            <w:r>
              <w:rPr>
                <w:sz w:val="17"/>
              </w:rPr>
              <w:t>Nurlan Tokayev — director, 60%; Aibek Sarsenov — 40%</w:t>
            </w:r>
          </w:p>
        </w:tc>
      </w:tr>
      <w:tr>
        <w:tc>
          <w:tcPr>
            <w:tcW w:type="dxa" w:w="2736"/>
            <w:shd w:val="clear" w:color="auto" w:fill="DCE6F1"/>
          </w:tcPr>
          <w:p>
            <w:r>
              <w:rPr>
                <w:b/>
                <w:sz w:val="17"/>
              </w:rPr>
            </w:r>
            <w:r>
              <w:rPr>
                <w:b/>
                <w:sz w:val="17"/>
              </w:rPr>
              <w:t>Business / volume</w:t>
            </w:r>
          </w:p>
        </w:tc>
        <w:tc>
          <w:tcPr>
            <w:tcW w:type="dxa" w:w="6912"/>
          </w:tcPr>
          <w:p>
            <w:r>
              <w:rPr>
                <w:sz w:val="17"/>
              </w:rPr>
            </w:r>
            <w:r>
              <w:rPr>
                <w:sz w:val="17"/>
              </w:rPr>
              <w:t>Crude oil brokerage; $28,000,000</w:t>
            </w:r>
          </w:p>
        </w:tc>
      </w:tr>
      <w:tr>
        <w:tc>
          <w:tcPr>
            <w:tcW w:type="dxa" w:w="2736"/>
            <w:shd w:val="clear" w:color="auto" w:fill="DCE6F1"/>
          </w:tcPr>
          <w:p>
            <w:r>
              <w:rPr>
                <w:b/>
                <w:sz w:val="17"/>
              </w:rPr>
            </w:r>
            <w:r>
              <w:rPr>
                <w:b/>
                <w:sz w:val="17"/>
              </w:rPr>
              <w:t>KYC status</w:t>
            </w:r>
          </w:p>
        </w:tc>
        <w:tc>
          <w:tcPr>
            <w:tcW w:type="dxa" w:w="6912"/>
          </w:tcPr>
          <w:p>
            <w:r>
              <w:rPr>
                <w:sz w:val="17"/>
              </w:rPr>
            </w:r>
            <w:r>
              <w:rPr>
                <w:sz w:val="17"/>
              </w:rPr>
              <w:t>Complete</w:t>
            </w:r>
          </w:p>
        </w:tc>
      </w:tr>
    </w:tbl>
    <w:p>
      <w:pPr>
        <w:spacing w:after="40"/>
      </w:pPr>
    </w:p>
    <w:p>
      <w:pPr>
        <w:spacing w:after="40"/>
      </w:pPr>
      <w:r>
        <w:rPr>
          <w:b/>
        </w:rPr>
        <w:t>Entity and registration-number screening</w:t>
      </w:r>
    </w:p>
    <w:p>
      <w:pPr>
        <w:pStyle w:val="ListBullet"/>
        <w:spacing w:after="60"/>
      </w:pPr>
      <w:r>
        <w:t>No entity-name match. “Caspian” also appears in SDN-017 Caspian Energy Services LLP (Aktau; Kazakh BIN 230140012345) and SDN-031 Trans-Caspian Logistics FZE (Ras Al Khaimah). The shared word is a geographic descriptor; the distinctive elements (“Gateway Trading” vs “Energy Services”/“Logistics”), cities, registration numbers and key personnel all differ. Dismissed (Policy § 6.4 generic-word overlap with differing remaining components).</w:t>
      </w:r>
    </w:p>
    <w:p>
      <w:pPr>
        <w:pStyle w:val="ListBullet"/>
        <w:spacing w:after="60"/>
      </w:pPr>
      <w:r>
        <w:t>Registration number 45-7821 matches nothing. Note: Kazakh legal entities carry a 12-digit Business Identification Number (BIN), which is the format used in the Reference Dataset (e.g., SDN-017, SDN-077). The BIN should be obtained so that a like-for-like identifier comparison can be documented.</w:t>
      </w:r>
    </w:p>
    <w:p>
      <w:pPr>
        <w:spacing w:after="40"/>
      </w:pPr>
      <w:r>
        <w:rPr>
          <w:b/>
        </w:rPr>
        <w:t>Individual screening (directors, officers, beneficial owners)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584"/>
            <w:shd w:val="clear" w:color="auto" w:fill="1F3A5F"/>
          </w:tcPr>
          <w:p>
            <w:r>
              <w:rPr>
                <w:b/>
                <w:color w:val="FFFFFF"/>
                <w:sz w:val="15"/>
              </w:rPr>
            </w:r>
            <w:r>
              <w:rPr>
                <w:b/>
                <w:color w:val="FFFFFF"/>
                <w:sz w:val="15"/>
              </w:rPr>
              <w:t>Person</w:t>
            </w:r>
          </w:p>
        </w:tc>
        <w:tc>
          <w:tcPr>
            <w:tcW w:type="dxa" w:w="1296"/>
            <w:shd w:val="clear" w:color="auto" w:fill="1F3A5F"/>
          </w:tcPr>
          <w:p>
            <w:r>
              <w:rPr>
                <w:b/>
                <w:color w:val="FFFFFF"/>
                <w:sz w:val="15"/>
              </w:rPr>
            </w:r>
            <w:r>
              <w:rPr>
                <w:b/>
                <w:color w:val="FFFFFF"/>
                <w:sz w:val="15"/>
              </w:rPr>
              <w:t>Role / ownership</w:t>
            </w:r>
          </w:p>
        </w:tc>
        <w:tc>
          <w:tcPr>
            <w:tcW w:type="dxa" w:w="2016"/>
            <w:shd w:val="clear" w:color="auto" w:fill="1F3A5F"/>
          </w:tcPr>
          <w:p>
            <w:r>
              <w:rPr>
                <w:b/>
                <w:color w:val="FFFFFF"/>
                <w:sz w:val="15"/>
              </w:rPr>
            </w:r>
            <w:r>
              <w:rPr>
                <w:b/>
                <w:color w:val="FFFFFF"/>
                <w:sz w:val="15"/>
              </w:rPr>
              <w:t>Closest Reference Dataset entry</w:t>
            </w:r>
          </w:p>
        </w:tc>
        <w:tc>
          <w:tcPr>
            <w:tcW w:type="dxa" w:w="3888"/>
            <w:shd w:val="clear" w:color="auto" w:fill="1F3A5F"/>
          </w:tcPr>
          <w:p>
            <w:r>
              <w:rPr>
                <w:b/>
                <w:color w:val="FFFFFF"/>
                <w:sz w:val="15"/>
              </w:rPr>
            </w:r>
            <w:r>
              <w:rPr>
                <w:b/>
                <w:color w:val="FFFFFF"/>
                <w:sz w:val="15"/>
              </w:rPr>
              <w:t>Comparison of identifiers</w:t>
            </w:r>
          </w:p>
        </w:tc>
        <w:tc>
          <w:tcPr>
            <w:tcW w:type="dxa" w:w="1296"/>
            <w:shd w:val="clear" w:color="auto" w:fill="1F3A5F"/>
          </w:tcPr>
          <w:p>
            <w:r>
              <w:rPr>
                <w:b/>
                <w:color w:val="FFFFFF"/>
                <w:sz w:val="15"/>
              </w:rPr>
            </w:r>
            <w:r>
              <w:rPr>
                <w:b/>
                <w:color w:val="FFFFFF"/>
                <w:sz w:val="15"/>
              </w:rPr>
              <w:t>Individual tier</w:t>
            </w:r>
          </w:p>
        </w:tc>
      </w:tr>
      <w:tr>
        <w:tc>
          <w:tcPr>
            <w:tcW w:type="dxa" w:w="1584"/>
          </w:tcPr>
          <w:p>
            <w:r>
              <w:rPr>
                <w:sz w:val="15"/>
              </w:rPr>
            </w:r>
            <w:r>
              <w:rPr>
                <w:sz w:val="15"/>
              </w:rPr>
              <w:t>Nurlan Tokayev</w:t>
            </w:r>
          </w:p>
        </w:tc>
        <w:tc>
          <w:tcPr>
            <w:tcW w:type="dxa" w:w="1296"/>
          </w:tcPr>
          <w:p>
            <w:r>
              <w:rPr>
                <w:sz w:val="15"/>
              </w:rPr>
            </w:r>
            <w:r>
              <w:rPr>
                <w:sz w:val="15"/>
              </w:rPr>
              <w:t>Director; 60%</w:t>
            </w:r>
          </w:p>
        </w:tc>
        <w:tc>
          <w:tcPr>
            <w:tcW w:type="dxa" w:w="2016"/>
          </w:tcPr>
          <w:p>
            <w:r>
              <w:rPr>
                <w:sz w:val="15"/>
              </w:rPr>
            </w:r>
            <w:r>
              <w:rPr>
                <w:sz w:val="15"/>
              </w:rPr>
              <w:t>No “Tokayev” entry in any list. Nearest: SDN-031 key person Nurlan Sarsenbayev</w:t>
            </w:r>
          </w:p>
        </w:tc>
        <w:tc>
          <w:tcPr>
            <w:tcW w:type="dxa" w:w="3888"/>
          </w:tcPr>
          <w:p>
            <w:r>
              <w:rPr>
                <w:sz w:val="15"/>
              </w:rPr>
            </w:r>
            <w:r>
              <w:rPr>
                <w:sz w:val="15"/>
              </w:rPr>
              <w:t>First name only in common with Sarsenbayev; surnames differ. No Tokayev appears in the Reference Dataset (the Policy uses “Tokayev” only as an illustration of a common surname).</w:t>
            </w:r>
          </w:p>
        </w:tc>
        <w:tc>
          <w:tcPr>
            <w:tcW w:type="dxa" w:w="1296"/>
            <w:shd w:val="clear" w:color="auto" w:fill="C6E0B4"/>
          </w:tcPr>
          <w:p>
            <w:r>
              <w:rPr>
                <w:sz w:val="15"/>
              </w:rPr>
            </w:r>
            <w:r>
              <w:rPr>
                <w:sz w:val="15"/>
              </w:rPr>
              <w:t>No Match</w:t>
            </w:r>
          </w:p>
        </w:tc>
      </w:tr>
      <w:tr>
        <w:tc>
          <w:tcPr>
            <w:tcW w:type="dxa" w:w="1584"/>
          </w:tcPr>
          <w:p>
            <w:r>
              <w:rPr>
                <w:sz w:val="15"/>
              </w:rPr>
            </w:r>
            <w:r>
              <w:rPr>
                <w:sz w:val="15"/>
              </w:rPr>
              <w:t>Aibek Sarsenov</w:t>
            </w:r>
          </w:p>
        </w:tc>
        <w:tc>
          <w:tcPr>
            <w:tcW w:type="dxa" w:w="1296"/>
          </w:tcPr>
          <w:p>
            <w:r>
              <w:rPr>
                <w:sz w:val="15"/>
              </w:rPr>
            </w:r>
            <w:r>
              <w:rPr>
                <w:sz w:val="15"/>
              </w:rPr>
              <w:t>BO; 40%</w:t>
            </w:r>
          </w:p>
        </w:tc>
        <w:tc>
          <w:tcPr>
            <w:tcW w:type="dxa" w:w="2016"/>
          </w:tcPr>
          <w:p>
            <w:r>
              <w:rPr>
                <w:sz w:val="15"/>
              </w:rPr>
            </w:r>
            <w:r>
              <w:rPr>
                <w:sz w:val="15"/>
              </w:rPr>
              <w:t>SDN-031 key person Nurlan Sarsenbayev (not separately designated)</w:t>
            </w:r>
          </w:p>
        </w:tc>
        <w:tc>
          <w:tcPr>
            <w:tcW w:type="dxa" w:w="3888"/>
          </w:tcPr>
          <w:p>
            <w:r>
              <w:rPr>
                <w:sz w:val="15"/>
              </w:rPr>
            </w:r>
            <w:r>
              <w:rPr>
                <w:sz w:val="15"/>
              </w:rPr>
              <w:t>Different given name; “Sarsenov” and “Sarsenbayev” are distinct surnames sharing a common root; no other identifier overlaps. Dismissed.</w:t>
            </w:r>
          </w:p>
        </w:tc>
        <w:tc>
          <w:tcPr>
            <w:tcW w:type="dxa" w:w="1296"/>
            <w:shd w:val="clear" w:color="auto" w:fill="C6E0B4"/>
          </w:tcPr>
          <w:p>
            <w:r>
              <w:rPr>
                <w:sz w:val="15"/>
              </w:rPr>
            </w:r>
            <w:r>
              <w:rPr>
                <w:sz w:val="15"/>
              </w:rPr>
              <w:t>No Match</w:t>
            </w:r>
          </w:p>
        </w:tc>
      </w:tr>
    </w:tbl>
    <w:p>
      <w:pPr>
        <w:spacing w:after="40"/>
      </w:pPr>
    </w:p>
    <w:p>
      <w:pPr>
        <w:spacing w:after="40"/>
      </w:pPr>
      <w:r>
        <w:rPr>
          <w:b/>
        </w:rPr>
        <w:t>Classification and required action</w:t>
      </w:r>
    </w:p>
    <w:p>
      <w:pPr>
        <w:pStyle w:val="ListBullet"/>
        <w:spacing w:after="60"/>
      </w:pPr>
      <w:r>
        <w:t xml:space="preserve">Tier: </w:t>
      </w:r>
      <w:r>
        <w:rPr>
          <w:b/>
        </w:rPr>
        <w:t>No Match / Clear</w:t>
      </w:r>
      <w:r>
        <w:t xml:space="preserve"> at screening level; required information under § 3 provided. Subject to the GC portfolio hold and ongoing monitoring. Recommend standard transshipment due diligence (origin of crude — Russian-origin risk via Kazakhstan).</w:t>
      </w:r>
    </w:p>
    <w:p>
      <w:pPr>
        <w:spacing w:after="40"/>
      </w:pPr>
      <w:r>
        <w:rPr>
          <w:b/>
        </w:rPr>
        <w:t>Missing identifiers / information required to confirm or clear (Policy § 6.3)</w:t>
      </w:r>
    </w:p>
    <w:p>
      <w:pPr>
        <w:pStyle w:val="ListBullet"/>
        <w:spacing w:after="60"/>
      </w:pPr>
      <w:r>
        <w:t>12-digit BIN (housekeeping, not a match condition).</w:t>
      </w:r>
    </w:p>
    <w:p>
      <w:pPr>
        <w:pStyle w:val="ListBullet"/>
        <w:spacing w:after="60"/>
      </w:pPr>
      <w:r>
        <w:t>Crude-oil origin representations and supply-chain information (Whitmore recommendation).</w:t>
      </w:r>
    </w:p>
    <w:p>
      <w:pPr>
        <w:pStyle w:val="Heading2"/>
      </w:pPr>
      <w:r>
        <w:t>5.3 Meridian Strait Shipping Ltd. — HIGH RISK — UNSCREENABLE</w:t>
      </w:r>
    </w:p>
    <w:tbl>
      <w:tblPr>
        <w:tblStyle w:val="TableGrid"/>
        <w:tblW w:type="auto" w:w="0"/>
        <w:tblLook w:firstColumn="1" w:firstRow="1" w:lastColumn="0" w:lastRow="0" w:noHBand="0" w:noVBand="1" w:val="04A0"/>
      </w:tblPr>
      <w:tblGrid>
        <w:gridCol w:w="4824"/>
        <w:gridCol w:w="4824"/>
      </w:tblGrid>
      <w:tr>
        <w:tc>
          <w:tcPr>
            <w:tcW w:type="dxa" w:w="2736"/>
            <w:shd w:val="clear" w:color="auto" w:fill="DCE6F1"/>
          </w:tcPr>
          <w:p>
            <w:r>
              <w:rPr>
                <w:b/>
                <w:sz w:val="17"/>
              </w:rPr>
            </w:r>
            <w:r>
              <w:rPr>
                <w:b/>
                <w:sz w:val="17"/>
              </w:rPr>
              <w:t>Entity / jurisdiction</w:t>
            </w:r>
          </w:p>
        </w:tc>
        <w:tc>
          <w:tcPr>
            <w:tcW w:type="dxa" w:w="6912"/>
          </w:tcPr>
          <w:p>
            <w:r>
              <w:rPr>
                <w:sz w:val="17"/>
              </w:rPr>
            </w:r>
            <w:r>
              <w:rPr>
                <w:sz w:val="17"/>
              </w:rPr>
              <w:t>Ltd.; Limassol, Cyprus; Cyprus Registrar of Companies HE 394821</w:t>
            </w:r>
          </w:p>
        </w:tc>
      </w:tr>
      <w:tr>
        <w:tc>
          <w:tcPr>
            <w:tcW w:type="dxa" w:w="2736"/>
            <w:shd w:val="clear" w:color="auto" w:fill="DCE6F1"/>
          </w:tcPr>
          <w:p>
            <w:r>
              <w:rPr>
                <w:b/>
                <w:sz w:val="17"/>
              </w:rPr>
            </w:r>
            <w:r>
              <w:rPr>
                <w:b/>
                <w:sz w:val="17"/>
              </w:rPr>
              <w:t>Ownership / management</w:t>
            </w:r>
          </w:p>
        </w:tc>
        <w:tc>
          <w:tcPr>
            <w:tcW w:type="dxa" w:w="6912"/>
          </w:tcPr>
          <w:p>
            <w:r>
              <w:rPr>
                <w:sz w:val="17"/>
              </w:rPr>
            </w:r>
            <w:r>
              <w:rPr>
                <w:sz w:val="17"/>
              </w:rPr>
              <w:t xml:space="preserve">Georgios Konstantopoulos — director, 51%; </w:t>
            </w:r>
            <w:r>
              <w:rPr>
                <w:b/>
                <w:sz w:val="17"/>
              </w:rPr>
              <w:t>undisclosed “silent partner” — 49%</w:t>
            </w:r>
            <w:r>
              <w:rPr>
                <w:sz w:val="17"/>
              </w:rPr>
              <w:t xml:space="preserve"> (counterparty cites a confidentiality agreement)</w:t>
            </w:r>
          </w:p>
        </w:tc>
      </w:tr>
      <w:tr>
        <w:tc>
          <w:tcPr>
            <w:tcW w:type="dxa" w:w="2736"/>
            <w:shd w:val="clear" w:color="auto" w:fill="DCE6F1"/>
          </w:tcPr>
          <w:p>
            <w:r>
              <w:rPr>
                <w:b/>
                <w:sz w:val="17"/>
              </w:rPr>
            </w:r>
            <w:r>
              <w:rPr>
                <w:b/>
                <w:sz w:val="17"/>
              </w:rPr>
              <w:t>Business / volume</w:t>
            </w:r>
          </w:p>
        </w:tc>
        <w:tc>
          <w:tcPr>
            <w:tcW w:type="dxa" w:w="6912"/>
          </w:tcPr>
          <w:p>
            <w:r>
              <w:rPr>
                <w:sz w:val="17"/>
              </w:rPr>
            </w:r>
            <w:r>
              <w:rPr>
                <w:sz w:val="17"/>
              </w:rPr>
              <w:t>Tanker shipping and maritime logistics (crude, refined products); $62,000,000 — largest single counterparty</w:t>
            </w:r>
          </w:p>
        </w:tc>
      </w:tr>
      <w:tr>
        <w:tc>
          <w:tcPr>
            <w:tcW w:type="dxa" w:w="2736"/>
            <w:shd w:val="clear" w:color="auto" w:fill="DCE6F1"/>
          </w:tcPr>
          <w:p>
            <w:r>
              <w:rPr>
                <w:b/>
                <w:sz w:val="17"/>
              </w:rPr>
            </w:r>
            <w:r>
              <w:rPr>
                <w:b/>
                <w:sz w:val="17"/>
              </w:rPr>
              <w:t>KYC status</w:t>
            </w:r>
          </w:p>
        </w:tc>
        <w:tc>
          <w:tcPr>
            <w:tcW w:type="dxa" w:w="6912"/>
          </w:tcPr>
          <w:p>
            <w:r>
              <w:rPr>
                <w:sz w:val="17"/>
              </w:rPr>
            </w:r>
            <w:r>
              <w:rPr>
                <w:sz w:val="17"/>
              </w:rPr>
              <w:t>Incomplete — Critical Gap; IMO vessel registration documents received; demand letter sent (May 21 per email / May 22 per Submission Log); GC notified</w:t>
            </w:r>
          </w:p>
        </w:tc>
      </w:tr>
    </w:tbl>
    <w:p>
      <w:pPr>
        <w:spacing w:after="40"/>
      </w:pPr>
    </w:p>
    <w:p>
      <w:pPr>
        <w:spacing w:after="40"/>
      </w:pPr>
      <w:r>
        <w:rPr>
          <w:b/>
        </w:rPr>
        <w:t>Entity and registration-number screening</w:t>
      </w:r>
    </w:p>
    <w:p>
      <w:pPr>
        <w:pStyle w:val="ListBullet"/>
        <w:spacing w:after="60"/>
      </w:pPr>
      <w:r>
        <w:t>No entity-name match; registration number HE 394821 matches nothing in the Reference Dataset.</w:t>
      </w:r>
    </w:p>
    <w:p>
      <w:pPr>
        <w:pStyle w:val="ListBullet"/>
        <w:spacing w:after="60"/>
      </w:pPr>
      <w:r>
        <w:rPr>
          <w:b/>
        </w:rPr>
        <w:t>Vessel screening outstanding.</w:t>
      </w:r>
      <w:r>
        <w:t xml:space="preserve"> IMO vessel registration documents were received but the IMO numbers are not recorded in the onboarding summary. They must be screened against the 20 SDN-associated vessels in the Reference Dataset (e.g., M/V Odessa Star IMO 9345678 and M/V Crimean Dawn IMO 9456789 (SDN-007); M/T Black Pearl IMO 9789012; M/T Balkan Star IMO 9012345; M/T Azov Dawn IMO 9678903) and the full OFAC vessel listings.</w:t>
      </w:r>
    </w:p>
    <w:p>
      <w:pPr>
        <w:spacing w:after="40"/>
      </w:pPr>
      <w:r>
        <w:rPr>
          <w:b/>
        </w:rPr>
        <w:t>Individual screening (directors, officers, beneficial owners)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584"/>
            <w:shd w:val="clear" w:color="auto" w:fill="1F3A5F"/>
          </w:tcPr>
          <w:p>
            <w:r>
              <w:rPr>
                <w:b/>
                <w:color w:val="FFFFFF"/>
                <w:sz w:val="15"/>
              </w:rPr>
            </w:r>
            <w:r>
              <w:rPr>
                <w:b/>
                <w:color w:val="FFFFFF"/>
                <w:sz w:val="15"/>
              </w:rPr>
              <w:t>Person</w:t>
            </w:r>
          </w:p>
        </w:tc>
        <w:tc>
          <w:tcPr>
            <w:tcW w:type="dxa" w:w="1296"/>
            <w:shd w:val="clear" w:color="auto" w:fill="1F3A5F"/>
          </w:tcPr>
          <w:p>
            <w:r>
              <w:rPr>
                <w:b/>
                <w:color w:val="FFFFFF"/>
                <w:sz w:val="15"/>
              </w:rPr>
            </w:r>
            <w:r>
              <w:rPr>
                <w:b/>
                <w:color w:val="FFFFFF"/>
                <w:sz w:val="15"/>
              </w:rPr>
              <w:t>Role / ownership</w:t>
            </w:r>
          </w:p>
        </w:tc>
        <w:tc>
          <w:tcPr>
            <w:tcW w:type="dxa" w:w="2016"/>
            <w:shd w:val="clear" w:color="auto" w:fill="1F3A5F"/>
          </w:tcPr>
          <w:p>
            <w:r>
              <w:rPr>
                <w:b/>
                <w:color w:val="FFFFFF"/>
                <w:sz w:val="15"/>
              </w:rPr>
            </w:r>
            <w:r>
              <w:rPr>
                <w:b/>
                <w:color w:val="FFFFFF"/>
                <w:sz w:val="15"/>
              </w:rPr>
              <w:t>Closest Reference Dataset entry</w:t>
            </w:r>
          </w:p>
        </w:tc>
        <w:tc>
          <w:tcPr>
            <w:tcW w:type="dxa" w:w="3888"/>
            <w:shd w:val="clear" w:color="auto" w:fill="1F3A5F"/>
          </w:tcPr>
          <w:p>
            <w:r>
              <w:rPr>
                <w:b/>
                <w:color w:val="FFFFFF"/>
                <w:sz w:val="15"/>
              </w:rPr>
            </w:r>
            <w:r>
              <w:rPr>
                <w:b/>
                <w:color w:val="FFFFFF"/>
                <w:sz w:val="15"/>
              </w:rPr>
              <w:t>Comparison of identifiers</w:t>
            </w:r>
          </w:p>
        </w:tc>
        <w:tc>
          <w:tcPr>
            <w:tcW w:type="dxa" w:w="1296"/>
            <w:shd w:val="clear" w:color="auto" w:fill="1F3A5F"/>
          </w:tcPr>
          <w:p>
            <w:r>
              <w:rPr>
                <w:b/>
                <w:color w:val="FFFFFF"/>
                <w:sz w:val="15"/>
              </w:rPr>
            </w:r>
            <w:r>
              <w:rPr>
                <w:b/>
                <w:color w:val="FFFFFF"/>
                <w:sz w:val="15"/>
              </w:rPr>
              <w:t>Individual tier</w:t>
            </w:r>
          </w:p>
        </w:tc>
      </w:tr>
      <w:tr>
        <w:tc>
          <w:tcPr>
            <w:tcW w:type="dxa" w:w="1584"/>
          </w:tcPr>
          <w:p>
            <w:r>
              <w:rPr>
                <w:sz w:val="15"/>
              </w:rPr>
            </w:r>
            <w:r>
              <w:rPr>
                <w:sz w:val="15"/>
              </w:rPr>
              <w:t>Georgios Konstantopoulos</w:t>
            </w:r>
          </w:p>
        </w:tc>
        <w:tc>
          <w:tcPr>
            <w:tcW w:type="dxa" w:w="1296"/>
          </w:tcPr>
          <w:p>
            <w:r>
              <w:rPr>
                <w:sz w:val="15"/>
              </w:rPr>
            </w:r>
            <w:r>
              <w:rPr>
                <w:sz w:val="15"/>
              </w:rPr>
              <w:t>Director; 51%</w:t>
            </w:r>
          </w:p>
        </w:tc>
        <w:tc>
          <w:tcPr>
            <w:tcW w:type="dxa" w:w="2016"/>
          </w:tcPr>
          <w:p>
            <w:r>
              <w:rPr>
                <w:sz w:val="15"/>
              </w:rPr>
            </w:r>
            <w:r>
              <w:rPr>
                <w:sz w:val="15"/>
              </w:rPr>
              <w:t>No match</w:t>
            </w:r>
          </w:p>
        </w:tc>
        <w:tc>
          <w:tcPr>
            <w:tcW w:type="dxa" w:w="3888"/>
          </w:tcPr>
          <w:p>
            <w:r>
              <w:rPr>
                <w:sz w:val="15"/>
              </w:rPr>
            </w:r>
            <w:r>
              <w:rPr>
                <w:sz w:val="15"/>
              </w:rPr>
              <w:t>No similar name or alias in any list.</w:t>
            </w:r>
          </w:p>
        </w:tc>
        <w:tc>
          <w:tcPr>
            <w:tcW w:type="dxa" w:w="1296"/>
            <w:shd w:val="clear" w:color="auto" w:fill="C6E0B4"/>
          </w:tcPr>
          <w:p>
            <w:r>
              <w:rPr>
                <w:sz w:val="15"/>
              </w:rPr>
            </w:r>
            <w:r>
              <w:rPr>
                <w:sz w:val="15"/>
              </w:rPr>
              <w:t>No Match</w:t>
            </w:r>
          </w:p>
        </w:tc>
      </w:tr>
      <w:tr>
        <w:tc>
          <w:tcPr>
            <w:tcW w:type="dxa" w:w="1584"/>
          </w:tcPr>
          <w:p>
            <w:r>
              <w:rPr>
                <w:sz w:val="15"/>
              </w:rPr>
            </w:r>
            <w:r>
              <w:rPr>
                <w:sz w:val="15"/>
              </w:rPr>
              <w:t>Undisclosed silent partner</w:t>
            </w:r>
          </w:p>
        </w:tc>
        <w:tc>
          <w:tcPr>
            <w:tcW w:type="dxa" w:w="1296"/>
          </w:tcPr>
          <w:p>
            <w:r>
              <w:rPr>
                <w:sz w:val="15"/>
              </w:rPr>
            </w:r>
            <w:r>
              <w:rPr>
                <w:sz w:val="15"/>
              </w:rPr>
              <w:t>49%</w:t>
            </w:r>
          </w:p>
        </w:tc>
        <w:tc>
          <w:tcPr>
            <w:tcW w:type="dxa" w:w="2016"/>
          </w:tcPr>
          <w:p>
            <w:r>
              <w:rPr>
                <w:sz w:val="15"/>
              </w:rPr>
            </w:r>
            <w:r>
              <w:rPr>
                <w:sz w:val="15"/>
              </w:rPr>
              <w:t>Cannot be screened</w:t>
            </w:r>
          </w:p>
        </w:tc>
        <w:tc>
          <w:tcPr>
            <w:tcW w:type="dxa" w:w="3888"/>
          </w:tcPr>
          <w:p>
            <w:r>
              <w:rPr>
                <w:sz w:val="15"/>
              </w:rPr>
            </w:r>
            <w:r>
              <w:rPr>
                <w:sz w:val="15"/>
              </w:rPr>
              <w:t>Identity, nationality, DOB and passport not disclosed.</w:t>
            </w:r>
          </w:p>
        </w:tc>
        <w:tc>
          <w:tcPr>
            <w:tcW w:type="dxa" w:w="1296"/>
            <w:shd w:val="clear" w:color="auto" w:fill="F8CBAD"/>
          </w:tcPr>
          <w:p>
            <w:r>
              <w:rPr>
                <w:sz w:val="15"/>
              </w:rPr>
            </w:r>
            <w:r>
              <w:rPr>
                <w:sz w:val="15"/>
              </w:rPr>
              <w:t>Unscreenable</w:t>
            </w:r>
          </w:p>
        </w:tc>
      </w:tr>
    </w:tbl>
    <w:p>
      <w:pPr>
        <w:spacing w:after="40"/>
      </w:pPr>
    </w:p>
    <w:p>
      <w:pPr>
        <w:spacing w:after="40"/>
      </w:pPr>
      <w:r>
        <w:rPr>
          <w:b/>
        </w:rPr>
        <w:t>50% Rule analysis (Policy § 5.4)</w:t>
      </w:r>
    </w:p>
    <w:p>
      <w:pPr>
        <w:pStyle w:val="ListBullet"/>
        <w:spacing w:after="60"/>
      </w:pPr>
      <w:r>
        <w:t>The 50% Rule analysis cannot be completed. The disclosed 51% holder is clear; the 49% holder is unknown. A 49% stake held by a single blocked person would not by itself block the entity, but (i) any aggregation with other blocked interests, (ii) any nominee or control arrangement involving the disclosed 51% holder, or (iii) indirect holdings could place the entity at or above 50%. As the General Counsel noted, the stake is close enough to the threshold to be outcome-determinative.</w:t>
      </w:r>
    </w:p>
    <w:p>
      <w:pPr>
        <w:pStyle w:val="ListBullet"/>
        <w:spacing w:after="60"/>
      </w:pPr>
      <w:r>
        <w:t>The confidentiality explanation is itself a red flag; Policy § 3.2(d)–(e) make clear that commercial volume does not justify a waiver.</w:t>
      </w:r>
    </w:p>
    <w:p>
      <w:pPr>
        <w:spacing w:after="40"/>
      </w:pPr>
      <w:r>
        <w:rPr>
          <w:b/>
        </w:rPr>
        <w:t>Classification and required action</w:t>
      </w:r>
    </w:p>
    <w:p>
      <w:pPr>
        <w:pStyle w:val="ListBullet"/>
        <w:spacing w:after="60"/>
      </w:pPr>
      <w:r>
        <w:t xml:space="preserve">Tier: </w:t>
      </w:r>
      <w:r>
        <w:rPr>
          <w:b/>
        </w:rPr>
        <w:t>High Risk — Unscreenable</w:t>
      </w:r>
      <w:r>
        <w:t xml:space="preserve"> (Policy § 3.2, automatic regardless of match results). Block; GC within 24 hours (done); no trading, contracts or LOIs until all ≥10% owners are identified, screened and cleared.</w:t>
      </w:r>
    </w:p>
    <w:p>
      <w:pPr>
        <w:pStyle w:val="ListBullet"/>
        <w:spacing w:after="60"/>
      </w:pPr>
      <w:r>
        <w:t>Procedural note: Policy § 3.2(a) prescribes a 10-business-day response deadline for the written BO request, and § 3.2(b) escalation to the GC on default. The 48-hour deadline set on May 21 (May 23, 5:00 PM) is stricter than the Policy; non-response by May 23 justifies deferral under the GC’s May 27 instruction, but a final rejection decision should record that the § 3.2 process was followed or expressly varied by the GC.</w:t>
      </w:r>
    </w:p>
    <w:p>
      <w:pPr>
        <w:spacing w:after="40"/>
      </w:pPr>
      <w:r>
        <w:rPr>
          <w:b/>
        </w:rPr>
        <w:t>Missing identifiers / information required to confirm or clear (Policy § 6.3)</w:t>
      </w:r>
    </w:p>
    <w:p>
      <w:pPr>
        <w:pStyle w:val="ListBullet"/>
        <w:spacing w:after="60"/>
      </w:pPr>
      <w:r>
        <w:t>Full identity of the 49% holder (name, DOB, nationality, passport/ID, ultimate beneficial owners if a legal person), the confidentiality agreement, source of funds, and confirmation of any nominee arrangements.</w:t>
      </w:r>
    </w:p>
    <w:p>
      <w:pPr>
        <w:pStyle w:val="ListBullet"/>
        <w:spacing w:after="60"/>
      </w:pPr>
      <w:r>
        <w:t>IMO numbers, flag, ownership and management of every vessel to be used; AIS/ship-to-ship transfer history for Russian-origin cargo (price cap exposure).</w:t>
      </w:r>
    </w:p>
    <w:p>
      <w:pPr>
        <w:pStyle w:val="Heading2"/>
      </w:pPr>
      <w:r>
        <w:t>5.4 Volkov Brothers Agro-Industrial Group — EXACT MATCH (SSI — SECTORAL, NOT BLOCKED)</w:t>
      </w:r>
    </w:p>
    <w:tbl>
      <w:tblPr>
        <w:tblStyle w:val="TableGrid"/>
        <w:tblW w:type="auto" w:w="0"/>
        <w:tblLook w:firstColumn="1" w:firstRow="1" w:lastColumn="0" w:lastRow="0" w:noHBand="0" w:noVBand="1" w:val="04A0"/>
      </w:tblPr>
      <w:tblGrid>
        <w:gridCol w:w="4824"/>
        <w:gridCol w:w="4824"/>
      </w:tblGrid>
      <w:tr>
        <w:tc>
          <w:tcPr>
            <w:tcW w:type="dxa" w:w="2736"/>
            <w:shd w:val="clear" w:color="auto" w:fill="DCE6F1"/>
          </w:tcPr>
          <w:p>
            <w:r>
              <w:rPr>
                <w:b/>
                <w:sz w:val="17"/>
              </w:rPr>
            </w:r>
            <w:r>
              <w:rPr>
                <w:b/>
                <w:sz w:val="17"/>
              </w:rPr>
              <w:t>Entity / jurisdiction</w:t>
            </w:r>
          </w:p>
        </w:tc>
        <w:tc>
          <w:tcPr>
            <w:tcW w:type="dxa" w:w="6912"/>
          </w:tcPr>
          <w:p>
            <w:r>
              <w:rPr>
                <w:sz w:val="17"/>
              </w:rPr>
            </w:r>
            <w:r>
              <w:rPr>
                <w:sz w:val="17"/>
              </w:rPr>
              <w:t xml:space="preserve">Entity type “Unspecified (Russian entity)”; Moscow, Russia; </w:t>
            </w:r>
            <w:r>
              <w:rPr>
                <w:b/>
                <w:sz w:val="17"/>
              </w:rPr>
              <w:t>OGRN 1147746012345</w:t>
            </w:r>
          </w:p>
        </w:tc>
      </w:tr>
      <w:tr>
        <w:tc>
          <w:tcPr>
            <w:tcW w:type="dxa" w:w="2736"/>
            <w:shd w:val="clear" w:color="auto" w:fill="DCE6F1"/>
          </w:tcPr>
          <w:p>
            <w:r>
              <w:rPr>
                <w:b/>
                <w:sz w:val="17"/>
              </w:rPr>
            </w:r>
            <w:r>
              <w:rPr>
                <w:b/>
                <w:sz w:val="17"/>
              </w:rPr>
              <w:t>Ownership / management</w:t>
            </w:r>
          </w:p>
        </w:tc>
        <w:tc>
          <w:tcPr>
            <w:tcW w:type="dxa" w:w="6912"/>
          </w:tcPr>
          <w:p>
            <w:r>
              <w:rPr>
                <w:sz w:val="17"/>
              </w:rPr>
            </w:r>
            <w:r>
              <w:rPr>
                <w:sz w:val="17"/>
              </w:rPr>
              <w:t>Dmitri Volkov — director, 50%; Sergei Volkov — director, 50% (patronymics not provided)</w:t>
            </w:r>
          </w:p>
        </w:tc>
      </w:tr>
      <w:tr>
        <w:tc>
          <w:tcPr>
            <w:tcW w:type="dxa" w:w="2736"/>
            <w:shd w:val="clear" w:color="auto" w:fill="DCE6F1"/>
          </w:tcPr>
          <w:p>
            <w:r>
              <w:rPr>
                <w:b/>
                <w:sz w:val="17"/>
              </w:rPr>
            </w:r>
            <w:r>
              <w:rPr>
                <w:b/>
                <w:sz w:val="17"/>
              </w:rPr>
              <w:t>Business / volume</w:t>
            </w:r>
          </w:p>
        </w:tc>
        <w:tc>
          <w:tcPr>
            <w:tcW w:type="dxa" w:w="6912"/>
          </w:tcPr>
          <w:p>
            <w:r>
              <w:rPr>
                <w:sz w:val="17"/>
              </w:rPr>
            </w:r>
            <w:r>
              <w:rPr>
                <w:sz w:val="17"/>
              </w:rPr>
              <w:t>Fertilizer and grain exports; $37,000,000</w:t>
            </w:r>
          </w:p>
        </w:tc>
      </w:tr>
      <w:tr>
        <w:tc>
          <w:tcPr>
            <w:tcW w:type="dxa" w:w="2736"/>
            <w:shd w:val="clear" w:color="auto" w:fill="DCE6F1"/>
          </w:tcPr>
          <w:p>
            <w:r>
              <w:rPr>
                <w:b/>
                <w:sz w:val="17"/>
              </w:rPr>
            </w:r>
            <w:r>
              <w:rPr>
                <w:b/>
                <w:sz w:val="17"/>
              </w:rPr>
              <w:t>Bank</w:t>
            </w:r>
          </w:p>
        </w:tc>
        <w:tc>
          <w:tcPr>
            <w:tcW w:type="dxa" w:w="6912"/>
          </w:tcPr>
          <w:p>
            <w:r>
              <w:rPr>
                <w:sz w:val="17"/>
              </w:rPr>
            </w:r>
            <w:r>
              <w:rPr>
                <w:sz w:val="17"/>
              </w:rPr>
              <w:t>Ural Merchant Bank, Russia (URMBRUMMXXX)</w:t>
            </w:r>
          </w:p>
        </w:tc>
      </w:tr>
      <w:tr>
        <w:tc>
          <w:tcPr>
            <w:tcW w:type="dxa" w:w="2736"/>
            <w:shd w:val="clear" w:color="auto" w:fill="DCE6F1"/>
          </w:tcPr>
          <w:p>
            <w:r>
              <w:rPr>
                <w:b/>
                <w:sz w:val="17"/>
              </w:rPr>
            </w:r>
            <w:r>
              <w:rPr>
                <w:b/>
                <w:sz w:val="17"/>
              </w:rPr>
              <w:t>KYC status</w:t>
            </w:r>
          </w:p>
        </w:tc>
        <w:tc>
          <w:tcPr>
            <w:tcW w:type="dxa" w:w="6912"/>
          </w:tcPr>
          <w:p>
            <w:r>
              <w:rPr>
                <w:sz w:val="17"/>
              </w:rPr>
            </w:r>
            <w:r>
              <w:rPr>
                <w:sz w:val="17"/>
              </w:rPr>
              <w:t>Complete; OGRN extract and passport copies of both directors received; patronymics requested May 21, 2025</w:t>
            </w:r>
          </w:p>
        </w:tc>
      </w:tr>
    </w:tbl>
    <w:p>
      <w:pPr>
        <w:spacing w:after="40"/>
      </w:pPr>
    </w:p>
    <w:p>
      <w:pPr>
        <w:spacing w:after="40"/>
      </w:pPr>
      <w:r>
        <w:rPr>
          <w:b/>
        </w:rPr>
        <w:t>Entity and registration-number screening</w:t>
      </w:r>
    </w:p>
    <w:p>
      <w:pPr>
        <w:pStyle w:val="ListBullet"/>
        <w:spacing w:after="60"/>
      </w:pPr>
      <w:r>
        <w:rPr>
          <w:b/>
        </w:rPr>
        <w:t>OGRN 1147746012345 is identical to SSI-001 Volkov Brothers Industrial Group OOO</w:t>
      </w:r>
      <w:r>
        <w:t xml:space="preserve"> (Moscow; SSI Directive 4, energy; designated Sept. 14, 2023). Under Policy § 4.3 a matching OGRN is conclusive and “shall be classified as an Exact Match regardless of other discrepancies in the entity name, address, or described business activity.” The differences here — “Agro-Industrial Group” vs “Industrial Group,” unspecified vs OOO suffix, and fertilizer/grain vs petroleum focus — are exactly the illustrations given in § 4.3. The SSI-001 entry itself notes the entity “operates across petroleum, agricultural chemicals, and industrial sectors; conglomerate structure.” Moscow address matches.</w:t>
      </w:r>
    </w:p>
    <w:p>
      <w:pPr>
        <w:pStyle w:val="ListBullet"/>
        <w:spacing w:after="60"/>
      </w:pPr>
      <w:r>
        <w:t>SSI-001’s associated entities (Volkov Petro-Extraction ZAO; Volkov Logistics OOO) should be excluded from any supply chain or logistics arrangement.</w:t>
      </w:r>
    </w:p>
    <w:p>
      <w:pPr>
        <w:pStyle w:val="ListBullet"/>
        <w:spacing w:after="60"/>
      </w:pPr>
      <w:r>
        <w:t xml:space="preserve">The entity is </w:t>
      </w:r>
      <w:r>
        <w:rPr>
          <w:b/>
        </w:rPr>
        <w:t>not</w:t>
      </w:r>
      <w:r>
        <w:t xml:space="preserve"> on the SDN extract. The onboarding note’s statement that “SDN lists ‘Dmitri Arkadyevich Volkov’” is inaccurate (see below).</w:t>
      </w:r>
    </w:p>
    <w:p>
      <w:pPr>
        <w:spacing w:after="40"/>
      </w:pPr>
      <w:r>
        <w:rPr>
          <w:b/>
        </w:rPr>
        <w:t>Individual screening (directors, officers, beneficial owners)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584"/>
            <w:shd w:val="clear" w:color="auto" w:fill="1F3A5F"/>
          </w:tcPr>
          <w:p>
            <w:r>
              <w:rPr>
                <w:b/>
                <w:color w:val="FFFFFF"/>
                <w:sz w:val="15"/>
              </w:rPr>
            </w:r>
            <w:r>
              <w:rPr>
                <w:b/>
                <w:color w:val="FFFFFF"/>
                <w:sz w:val="15"/>
              </w:rPr>
              <w:t>Person</w:t>
            </w:r>
          </w:p>
        </w:tc>
        <w:tc>
          <w:tcPr>
            <w:tcW w:type="dxa" w:w="1296"/>
            <w:shd w:val="clear" w:color="auto" w:fill="1F3A5F"/>
          </w:tcPr>
          <w:p>
            <w:r>
              <w:rPr>
                <w:b/>
                <w:color w:val="FFFFFF"/>
                <w:sz w:val="15"/>
              </w:rPr>
            </w:r>
            <w:r>
              <w:rPr>
                <w:b/>
                <w:color w:val="FFFFFF"/>
                <w:sz w:val="15"/>
              </w:rPr>
              <w:t>Role / ownership</w:t>
            </w:r>
          </w:p>
        </w:tc>
        <w:tc>
          <w:tcPr>
            <w:tcW w:type="dxa" w:w="2016"/>
            <w:shd w:val="clear" w:color="auto" w:fill="1F3A5F"/>
          </w:tcPr>
          <w:p>
            <w:r>
              <w:rPr>
                <w:b/>
                <w:color w:val="FFFFFF"/>
                <w:sz w:val="15"/>
              </w:rPr>
            </w:r>
            <w:r>
              <w:rPr>
                <w:b/>
                <w:color w:val="FFFFFF"/>
                <w:sz w:val="15"/>
              </w:rPr>
              <w:t>Closest Reference Dataset entry</w:t>
            </w:r>
          </w:p>
        </w:tc>
        <w:tc>
          <w:tcPr>
            <w:tcW w:type="dxa" w:w="3888"/>
            <w:shd w:val="clear" w:color="auto" w:fill="1F3A5F"/>
          </w:tcPr>
          <w:p>
            <w:r>
              <w:rPr>
                <w:b/>
                <w:color w:val="FFFFFF"/>
                <w:sz w:val="15"/>
              </w:rPr>
            </w:r>
            <w:r>
              <w:rPr>
                <w:b/>
                <w:color w:val="FFFFFF"/>
                <w:sz w:val="15"/>
              </w:rPr>
              <w:t>Comparison of identifiers</w:t>
            </w:r>
          </w:p>
        </w:tc>
        <w:tc>
          <w:tcPr>
            <w:tcW w:type="dxa" w:w="1296"/>
            <w:shd w:val="clear" w:color="auto" w:fill="1F3A5F"/>
          </w:tcPr>
          <w:p>
            <w:r>
              <w:rPr>
                <w:b/>
                <w:color w:val="FFFFFF"/>
                <w:sz w:val="15"/>
              </w:rPr>
            </w:r>
            <w:r>
              <w:rPr>
                <w:b/>
                <w:color w:val="FFFFFF"/>
                <w:sz w:val="15"/>
              </w:rPr>
              <w:t>Individual tier</w:t>
            </w:r>
          </w:p>
        </w:tc>
      </w:tr>
      <w:tr>
        <w:tc>
          <w:tcPr>
            <w:tcW w:type="dxa" w:w="1584"/>
          </w:tcPr>
          <w:p>
            <w:r>
              <w:rPr>
                <w:sz w:val="15"/>
              </w:rPr>
            </w:r>
            <w:r>
              <w:rPr>
                <w:sz w:val="15"/>
              </w:rPr>
              <w:t>Dmitri Volkov</w:t>
            </w:r>
          </w:p>
        </w:tc>
        <w:tc>
          <w:tcPr>
            <w:tcW w:type="dxa" w:w="1296"/>
          </w:tcPr>
          <w:p>
            <w:r>
              <w:rPr>
                <w:sz w:val="15"/>
              </w:rPr>
            </w:r>
            <w:r>
              <w:rPr>
                <w:sz w:val="15"/>
              </w:rPr>
              <w:t>Director; 50%</w:t>
            </w:r>
          </w:p>
        </w:tc>
        <w:tc>
          <w:tcPr>
            <w:tcW w:type="dxa" w:w="2016"/>
          </w:tcPr>
          <w:p>
            <w:r>
              <w:rPr>
                <w:sz w:val="15"/>
              </w:rPr>
            </w:r>
            <w:r>
              <w:rPr>
                <w:sz w:val="15"/>
              </w:rPr>
              <w:t>SSI-010 Dmitri Alexandrovich Volkov (Directive 4; DOB May 23, 1971; Passport 48 9900112; CEO of SSI-001). SSI-001 key personnel lists “Dmitri Arkadyevich Volkov (CEO)”</w:t>
            </w:r>
          </w:p>
        </w:tc>
        <w:tc>
          <w:tcPr>
            <w:tcW w:type="dxa" w:w="3888"/>
          </w:tcPr>
          <w:p>
            <w:r>
              <w:rPr>
                <w:sz w:val="15"/>
              </w:rPr>
            </w:r>
            <w:r>
              <w:rPr>
                <w:sz w:val="15"/>
              </w:rPr>
              <w:t xml:space="preserve">Name matches (patronymic omitted); he is a director of the very entity identified by OGRN, which strongly corroborates; Moscow matches. </w:t>
            </w:r>
            <w:r>
              <w:rPr>
                <w:b/>
                <w:sz w:val="15"/>
              </w:rPr>
              <w:t>Reference Dataset is internally inconsistent</w:t>
            </w:r>
            <w:r>
              <w:rPr>
                <w:sz w:val="15"/>
              </w:rPr>
              <w:t xml:space="preserve"> on the CEO’s patronymic (Arkadyevich in SSI-001 vs Alexandrovich in SSI-010). Patronymic and DOB to be taken from the Russian passport already on file.</w:t>
            </w:r>
          </w:p>
        </w:tc>
        <w:tc>
          <w:tcPr>
            <w:tcW w:type="dxa" w:w="1296"/>
            <w:shd w:val="clear" w:color="auto" w:fill="FFE699"/>
          </w:tcPr>
          <w:p>
            <w:r>
              <w:rPr>
                <w:sz w:val="15"/>
              </w:rPr>
            </w:r>
            <w:r>
              <w:rPr>
                <w:sz w:val="15"/>
              </w:rPr>
              <w:t>Strong Potential Match (presumptively the SSI-010 person)</w:t>
            </w:r>
          </w:p>
        </w:tc>
      </w:tr>
      <w:tr>
        <w:tc>
          <w:tcPr>
            <w:tcW w:type="dxa" w:w="1584"/>
          </w:tcPr>
          <w:p>
            <w:r>
              <w:rPr>
                <w:sz w:val="15"/>
              </w:rPr>
            </w:r>
            <w:r>
              <w:rPr>
                <w:sz w:val="15"/>
              </w:rPr>
              <w:t>Sergei Volkov</w:t>
            </w:r>
          </w:p>
        </w:tc>
        <w:tc>
          <w:tcPr>
            <w:tcW w:type="dxa" w:w="1296"/>
          </w:tcPr>
          <w:p>
            <w:r>
              <w:rPr>
                <w:sz w:val="15"/>
              </w:rPr>
            </w:r>
            <w:r>
              <w:rPr>
                <w:sz w:val="15"/>
              </w:rPr>
              <w:t>Director; 50%</w:t>
            </w:r>
          </w:p>
        </w:tc>
        <w:tc>
          <w:tcPr>
            <w:tcW w:type="dxa" w:w="2016"/>
          </w:tcPr>
          <w:p>
            <w:r>
              <w:rPr>
                <w:sz w:val="15"/>
              </w:rPr>
            </w:r>
            <w:r>
              <w:rPr>
                <w:sz w:val="15"/>
              </w:rPr>
              <w:t>SSI-029 Sergei Alexandrovich Volkov (Directive 4; DOB Aug. 7, 1973; Passport 54 6677889; Deputy Director of SSI-001). SSI-001 key personnel: “Sergei Volkov (Deputy Director)”</w:t>
            </w:r>
          </w:p>
        </w:tc>
        <w:tc>
          <w:tcPr>
            <w:tcW w:type="dxa" w:w="3888"/>
          </w:tcPr>
          <w:p>
            <w:r>
              <w:rPr>
                <w:sz w:val="15"/>
              </w:rPr>
            </w:r>
            <w:r>
              <w:rPr>
                <w:sz w:val="15"/>
              </w:rPr>
              <w:t>Exact match to the name recorded in SSI-001; director of the OGRN-matched entity; Moscow matches. Patronymic and DOB not yet confirmed.</w:t>
            </w:r>
          </w:p>
        </w:tc>
        <w:tc>
          <w:tcPr>
            <w:tcW w:type="dxa" w:w="1296"/>
            <w:shd w:val="clear" w:color="auto" w:fill="FFE699"/>
          </w:tcPr>
          <w:p>
            <w:r>
              <w:rPr>
                <w:sz w:val="15"/>
              </w:rPr>
            </w:r>
            <w:r>
              <w:rPr>
                <w:sz w:val="15"/>
              </w:rPr>
              <w:t>Strong Potential Match (presumptively the SSI-029 person)</w:t>
            </w:r>
          </w:p>
        </w:tc>
      </w:tr>
    </w:tbl>
    <w:p>
      <w:pPr>
        <w:spacing w:after="40"/>
      </w:pPr>
    </w:p>
    <w:p>
      <w:pPr>
        <w:spacing w:after="40"/>
      </w:pPr>
      <w:r>
        <w:rPr>
          <w:b/>
        </w:rPr>
        <w:t>50% Rule analysis (Policy § 5.4)</w:t>
      </w:r>
    </w:p>
    <w:p>
      <w:pPr>
        <w:pStyle w:val="ListBullet"/>
        <w:spacing w:after="60"/>
      </w:pPr>
      <w:r>
        <w:t xml:space="preserve">Matched owners: Dmitri Volkov 50% (potential SSI-010) and Sergei Volkov 50% (potential SSI-029); both SSI Directive 4 (energy) — </w:t>
      </w:r>
      <w:r>
        <w:rPr>
          <w:b/>
        </w:rPr>
        <w:t>not SDN</w:t>
      </w:r>
      <w:r>
        <w:t>.</w:t>
      </w:r>
    </w:p>
    <w:p>
      <w:pPr>
        <w:pStyle w:val="ListBullet"/>
        <w:spacing w:after="60"/>
      </w:pPr>
      <w:r>
        <w:t>Each holder individually meets the 50% threshold (50% or more); aggregate 100%. Independently of the ownership analysis, the entity itself is the listed SSI-001 entity by OGRN.</w:t>
      </w:r>
    </w:p>
    <w:p>
      <w:pPr>
        <w:pStyle w:val="ListBullet"/>
        <w:spacing w:after="60"/>
      </w:pPr>
      <w:r>
        <w:t xml:space="preserve">Result: the entity is subject to </w:t>
      </w:r>
      <w:r>
        <w:rPr>
          <w:b/>
        </w:rPr>
        <w:t>Directive 4 sectoral restrictions only; it is not blocked</w:t>
      </w:r>
      <w:r>
        <w:t xml:space="preserve"> (Policy § 5.3; Appendix B). Prohibited: providing goods, services or technology in support of deepwater, Arctic offshore or shale oil exploration/production projects involving the entity (or entities it owns 50% or more). Not prohibited by Directive 4 on its face: purchases of fertilizer, wheat or grain. No SSI Directive 1–3 restrictions apply (none of these persons is listed under them), so debt/equity restrictions do not arise from this listing.</w:t>
      </w:r>
    </w:p>
    <w:p>
      <w:pPr>
        <w:pStyle w:val="ListBullet"/>
        <w:spacing w:after="60"/>
      </w:pPr>
      <w:r>
        <w:t>Policy overlay: notwithstanding the narrower legal effect, Policy § 6.2 mandates an automatic block for every Exact Match. Any decision to trade in non-Directive 4 commodities would require a GC determination with Halcyon Hart LLP and CEO notification; we do not recommend it on the present record.</w:t>
      </w:r>
    </w:p>
    <w:p>
      <w:pPr>
        <w:spacing w:after="40"/>
      </w:pPr>
      <w:r>
        <w:rPr>
          <w:b/>
        </w:rPr>
        <w:t>Classification and required action</w:t>
      </w:r>
    </w:p>
    <w:p>
      <w:pPr>
        <w:pStyle w:val="ListBullet"/>
        <w:spacing w:after="60"/>
      </w:pPr>
      <w:r>
        <w:t xml:space="preserve">Tier: </w:t>
      </w:r>
      <w:r>
        <w:rPr>
          <w:b/>
        </w:rPr>
        <w:t>Exact Match</w:t>
      </w:r>
      <w:r>
        <w:t xml:space="preserve"> (conclusive OGRN identifier). Automatic block; GC same business day; CEO within 24 hours; Halcyon Hart LLP consultation (already assigned per Submission Log).</w:t>
      </w:r>
    </w:p>
    <w:p>
      <w:pPr>
        <w:pStyle w:val="ListBullet"/>
        <w:spacing w:after="60"/>
      </w:pPr>
      <w:r>
        <w:t>Whitmore’s statements that this entity operates in a “generally sanctions-exempt” sector and that “Russian agricultural and fertilizer exports are generally exempt” must not be relied upon; agricultural carve-outs in OFAC general licences do not override list-based restrictions identified by a conclusive identifier.</w:t>
      </w:r>
    </w:p>
    <w:p>
      <w:pPr>
        <w:spacing w:after="40"/>
      </w:pPr>
      <w:r>
        <w:rPr>
          <w:b/>
        </w:rPr>
        <w:t>Missing identifiers / information required to confirm or clear (Policy § 6.3)</w:t>
      </w:r>
    </w:p>
    <w:p>
      <w:pPr>
        <w:pStyle w:val="ListBullet"/>
        <w:spacing w:after="60"/>
      </w:pPr>
      <w:r>
        <w:t>Patronymics, DOBs and passport numbers of both directors (from the passport copies already received) to confirm SSI-010 and SSI-029 and to resolve the dataset’s Arkadyevich/Alexandrovich inconsistency (CCO to correct the Reference Dataset).</w:t>
      </w:r>
    </w:p>
    <w:p>
      <w:pPr>
        <w:pStyle w:val="ListBullet"/>
        <w:spacing w:after="60"/>
      </w:pPr>
      <w:r>
        <w:t>Legal form (OOO or otherwise) and name history from the OGRN (EGRUL) extract; corporate group chart; confirmation that no Directive 4 project is connected to any proposed trade.</w:t>
      </w:r>
    </w:p>
    <w:p>
      <w:pPr>
        <w:pStyle w:val="ListBullet"/>
        <w:spacing w:after="60"/>
      </w:pPr>
      <w:r>
        <w:t>Screen Ural Merchant Bank against the full SDN list (Russian banks are frequently designated under EO 14024; not in this extract).</w:t>
      </w:r>
    </w:p>
    <w:p>
      <w:pPr>
        <w:pStyle w:val="Heading2"/>
      </w:pPr>
      <w:r>
        <w:t>5.5 Ankara Grain &amp; Commodities A.Ş. — NO MATCH / CLEAR</w:t>
      </w:r>
    </w:p>
    <w:tbl>
      <w:tblPr>
        <w:tblStyle w:val="TableGrid"/>
        <w:tblW w:type="auto" w:w="0"/>
        <w:tblLook w:firstColumn="1" w:firstRow="1" w:lastColumn="0" w:lastRow="0" w:noHBand="0" w:noVBand="1" w:val="04A0"/>
      </w:tblPr>
      <w:tblGrid>
        <w:gridCol w:w="4824"/>
        <w:gridCol w:w="4824"/>
      </w:tblGrid>
      <w:tr>
        <w:tc>
          <w:tcPr>
            <w:tcW w:type="dxa" w:w="2736"/>
            <w:shd w:val="clear" w:color="auto" w:fill="DCE6F1"/>
          </w:tcPr>
          <w:p>
            <w:r>
              <w:rPr>
                <w:b/>
                <w:sz w:val="17"/>
              </w:rPr>
            </w:r>
            <w:r>
              <w:rPr>
                <w:b/>
                <w:sz w:val="17"/>
              </w:rPr>
              <w:t>Entity / jurisdiction</w:t>
            </w:r>
          </w:p>
        </w:tc>
        <w:tc>
          <w:tcPr>
            <w:tcW w:type="dxa" w:w="6912"/>
          </w:tcPr>
          <w:p>
            <w:r>
              <w:rPr>
                <w:sz w:val="17"/>
              </w:rPr>
            </w:r>
            <w:r>
              <w:rPr>
                <w:sz w:val="17"/>
              </w:rPr>
              <w:t>A.Ş.; Ankara, Turkey; Turkish Trade Registry No. 234567</w:t>
            </w:r>
          </w:p>
        </w:tc>
      </w:tr>
      <w:tr>
        <w:tc>
          <w:tcPr>
            <w:tcW w:type="dxa" w:w="2736"/>
            <w:shd w:val="clear" w:color="auto" w:fill="DCE6F1"/>
          </w:tcPr>
          <w:p>
            <w:r>
              <w:rPr>
                <w:b/>
                <w:sz w:val="17"/>
              </w:rPr>
            </w:r>
            <w:r>
              <w:rPr>
                <w:b/>
                <w:sz w:val="17"/>
              </w:rPr>
              <w:t>Ownership / management</w:t>
            </w:r>
          </w:p>
        </w:tc>
        <w:tc>
          <w:tcPr>
            <w:tcW w:type="dxa" w:w="6912"/>
          </w:tcPr>
          <w:p>
            <w:r>
              <w:rPr>
                <w:sz w:val="17"/>
              </w:rPr>
            </w:r>
            <w:r>
              <w:rPr>
                <w:sz w:val="17"/>
              </w:rPr>
              <w:t>Mehmet Çelik — director, 75%; Fatma Çelik — 25%</w:t>
            </w:r>
          </w:p>
        </w:tc>
      </w:tr>
      <w:tr>
        <w:tc>
          <w:tcPr>
            <w:tcW w:type="dxa" w:w="2736"/>
            <w:shd w:val="clear" w:color="auto" w:fill="DCE6F1"/>
          </w:tcPr>
          <w:p>
            <w:r>
              <w:rPr>
                <w:b/>
                <w:sz w:val="17"/>
              </w:rPr>
            </w:r>
            <w:r>
              <w:rPr>
                <w:b/>
                <w:sz w:val="17"/>
              </w:rPr>
              <w:t>Business / volume</w:t>
            </w:r>
          </w:p>
        </w:tc>
        <w:tc>
          <w:tcPr>
            <w:tcW w:type="dxa" w:w="6912"/>
          </w:tcPr>
          <w:p>
            <w:r>
              <w:rPr>
                <w:sz w:val="17"/>
              </w:rPr>
            </w:r>
            <w:r>
              <w:rPr>
                <w:sz w:val="17"/>
              </w:rPr>
              <w:t>Wheat and barley trading; $19,000,000</w:t>
            </w:r>
          </w:p>
        </w:tc>
      </w:tr>
      <w:tr>
        <w:tc>
          <w:tcPr>
            <w:tcW w:type="dxa" w:w="2736"/>
            <w:shd w:val="clear" w:color="auto" w:fill="DCE6F1"/>
          </w:tcPr>
          <w:p>
            <w:r>
              <w:rPr>
                <w:b/>
                <w:sz w:val="17"/>
              </w:rPr>
            </w:r>
            <w:r>
              <w:rPr>
                <w:b/>
                <w:sz w:val="17"/>
              </w:rPr>
              <w:t>KYC status</w:t>
            </w:r>
          </w:p>
        </w:tc>
        <w:tc>
          <w:tcPr>
            <w:tcW w:type="dxa" w:w="6912"/>
          </w:tcPr>
          <w:p>
            <w:r>
              <w:rPr>
                <w:sz w:val="17"/>
              </w:rPr>
            </w:r>
            <w:r>
              <w:rPr>
                <w:sz w:val="17"/>
              </w:rPr>
              <w:t>Complete</w:t>
            </w:r>
          </w:p>
        </w:tc>
      </w:tr>
    </w:tbl>
    <w:p>
      <w:pPr>
        <w:spacing w:after="40"/>
      </w:pPr>
    </w:p>
    <w:p>
      <w:pPr>
        <w:spacing w:after="40"/>
      </w:pPr>
      <w:r>
        <w:rPr>
          <w:b/>
        </w:rPr>
        <w:t>Entity and registration-number screening</w:t>
      </w:r>
    </w:p>
    <w:p>
      <w:pPr>
        <w:pStyle w:val="ListBullet"/>
        <w:spacing w:after="60"/>
      </w:pPr>
      <w:r>
        <w:t>No entity-name match. SDN-019 Anatolian Metals Trading AŞ (Istanbul; Trade Registry No. 784512) shares only the generic word “Trading”/A.Ş. form; dismissed.</w:t>
      </w:r>
    </w:p>
    <w:p>
      <w:pPr>
        <w:pStyle w:val="ListBullet"/>
        <w:spacing w:after="60"/>
      </w:pPr>
      <w:r>
        <w:t>Trade Registry No. 234567 matches nothing (compared with 784512 (SDN-019) and 891234 (SDN-039)).</w:t>
      </w:r>
    </w:p>
    <w:p>
      <w:pPr>
        <w:spacing w:after="40"/>
      </w:pPr>
      <w:r>
        <w:rPr>
          <w:b/>
        </w:rPr>
        <w:t>Individual screening (directors, officers, beneficial owners)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584"/>
            <w:shd w:val="clear" w:color="auto" w:fill="1F3A5F"/>
          </w:tcPr>
          <w:p>
            <w:r>
              <w:rPr>
                <w:b/>
                <w:color w:val="FFFFFF"/>
                <w:sz w:val="15"/>
              </w:rPr>
            </w:r>
            <w:r>
              <w:rPr>
                <w:b/>
                <w:color w:val="FFFFFF"/>
                <w:sz w:val="15"/>
              </w:rPr>
              <w:t>Person</w:t>
            </w:r>
          </w:p>
        </w:tc>
        <w:tc>
          <w:tcPr>
            <w:tcW w:type="dxa" w:w="1296"/>
            <w:shd w:val="clear" w:color="auto" w:fill="1F3A5F"/>
          </w:tcPr>
          <w:p>
            <w:r>
              <w:rPr>
                <w:b/>
                <w:color w:val="FFFFFF"/>
                <w:sz w:val="15"/>
              </w:rPr>
            </w:r>
            <w:r>
              <w:rPr>
                <w:b/>
                <w:color w:val="FFFFFF"/>
                <w:sz w:val="15"/>
              </w:rPr>
              <w:t>Role / ownership</w:t>
            </w:r>
          </w:p>
        </w:tc>
        <w:tc>
          <w:tcPr>
            <w:tcW w:type="dxa" w:w="2016"/>
            <w:shd w:val="clear" w:color="auto" w:fill="1F3A5F"/>
          </w:tcPr>
          <w:p>
            <w:r>
              <w:rPr>
                <w:b/>
                <w:color w:val="FFFFFF"/>
                <w:sz w:val="15"/>
              </w:rPr>
            </w:r>
            <w:r>
              <w:rPr>
                <w:b/>
                <w:color w:val="FFFFFF"/>
                <w:sz w:val="15"/>
              </w:rPr>
              <w:t>Closest Reference Dataset entry</w:t>
            </w:r>
          </w:p>
        </w:tc>
        <w:tc>
          <w:tcPr>
            <w:tcW w:type="dxa" w:w="3888"/>
            <w:shd w:val="clear" w:color="auto" w:fill="1F3A5F"/>
          </w:tcPr>
          <w:p>
            <w:r>
              <w:rPr>
                <w:b/>
                <w:color w:val="FFFFFF"/>
                <w:sz w:val="15"/>
              </w:rPr>
            </w:r>
            <w:r>
              <w:rPr>
                <w:b/>
                <w:color w:val="FFFFFF"/>
                <w:sz w:val="15"/>
              </w:rPr>
              <w:t>Comparison of identifiers</w:t>
            </w:r>
          </w:p>
        </w:tc>
        <w:tc>
          <w:tcPr>
            <w:tcW w:type="dxa" w:w="1296"/>
            <w:shd w:val="clear" w:color="auto" w:fill="1F3A5F"/>
          </w:tcPr>
          <w:p>
            <w:r>
              <w:rPr>
                <w:b/>
                <w:color w:val="FFFFFF"/>
                <w:sz w:val="15"/>
              </w:rPr>
            </w:r>
            <w:r>
              <w:rPr>
                <w:b/>
                <w:color w:val="FFFFFF"/>
                <w:sz w:val="15"/>
              </w:rPr>
              <w:t>Individual tier</w:t>
            </w:r>
          </w:p>
        </w:tc>
      </w:tr>
      <w:tr>
        <w:tc>
          <w:tcPr>
            <w:tcW w:type="dxa" w:w="1584"/>
          </w:tcPr>
          <w:p>
            <w:r>
              <w:rPr>
                <w:sz w:val="15"/>
              </w:rPr>
            </w:r>
            <w:r>
              <w:rPr>
                <w:sz w:val="15"/>
              </w:rPr>
              <w:t>Mehmet Çelik</w:t>
            </w:r>
          </w:p>
        </w:tc>
        <w:tc>
          <w:tcPr>
            <w:tcW w:type="dxa" w:w="1296"/>
          </w:tcPr>
          <w:p>
            <w:r>
              <w:rPr>
                <w:sz w:val="15"/>
              </w:rPr>
            </w:r>
            <w:r>
              <w:rPr>
                <w:sz w:val="15"/>
              </w:rPr>
              <w:t>Director; 75%</w:t>
            </w:r>
          </w:p>
        </w:tc>
        <w:tc>
          <w:tcPr>
            <w:tcW w:type="dxa" w:w="2016"/>
          </w:tcPr>
          <w:p>
            <w:r>
              <w:rPr>
                <w:sz w:val="15"/>
              </w:rPr>
            </w:r>
            <w:r>
              <w:rPr>
                <w:sz w:val="15"/>
              </w:rPr>
              <w:t>No “Çelik” entry in any list (also checked “Celik”)</w:t>
            </w:r>
          </w:p>
        </w:tc>
        <w:tc>
          <w:tcPr>
            <w:tcW w:type="dxa" w:w="3888"/>
          </w:tcPr>
          <w:p>
            <w:r>
              <w:rPr>
                <w:sz w:val="15"/>
              </w:rPr>
            </w:r>
            <w:r>
              <w:rPr>
                <w:sz w:val="15"/>
              </w:rPr>
              <w:t>No similar name. Turkish nationals in dataset: Ismail Demir (SDN-060), Kemal Yıldırım, Hakan Özdemir (key persons) — no overlap.</w:t>
            </w:r>
          </w:p>
        </w:tc>
        <w:tc>
          <w:tcPr>
            <w:tcW w:type="dxa" w:w="1296"/>
            <w:shd w:val="clear" w:color="auto" w:fill="C6E0B4"/>
          </w:tcPr>
          <w:p>
            <w:r>
              <w:rPr>
                <w:sz w:val="15"/>
              </w:rPr>
            </w:r>
            <w:r>
              <w:rPr>
                <w:sz w:val="15"/>
              </w:rPr>
              <w:t>No Match</w:t>
            </w:r>
          </w:p>
        </w:tc>
      </w:tr>
      <w:tr>
        <w:tc>
          <w:tcPr>
            <w:tcW w:type="dxa" w:w="1584"/>
          </w:tcPr>
          <w:p>
            <w:r>
              <w:rPr>
                <w:sz w:val="15"/>
              </w:rPr>
            </w:r>
            <w:r>
              <w:rPr>
                <w:sz w:val="15"/>
              </w:rPr>
              <w:t>Fatma Çelik</w:t>
            </w:r>
          </w:p>
        </w:tc>
        <w:tc>
          <w:tcPr>
            <w:tcW w:type="dxa" w:w="1296"/>
          </w:tcPr>
          <w:p>
            <w:r>
              <w:rPr>
                <w:sz w:val="15"/>
              </w:rPr>
            </w:r>
            <w:r>
              <w:rPr>
                <w:sz w:val="15"/>
              </w:rPr>
              <w:t>BO; 25%</w:t>
            </w:r>
          </w:p>
        </w:tc>
        <w:tc>
          <w:tcPr>
            <w:tcW w:type="dxa" w:w="2016"/>
          </w:tcPr>
          <w:p>
            <w:r>
              <w:rPr>
                <w:sz w:val="15"/>
              </w:rPr>
            </w:r>
            <w:r>
              <w:rPr>
                <w:sz w:val="15"/>
              </w:rPr>
              <w:t>No entry (also checked “Celik”)</w:t>
            </w:r>
          </w:p>
        </w:tc>
        <w:tc>
          <w:tcPr>
            <w:tcW w:type="dxa" w:w="3888"/>
          </w:tcPr>
          <w:p>
            <w:r>
              <w:rPr>
                <w:sz w:val="15"/>
              </w:rPr>
            </w:r>
            <w:r>
              <w:rPr>
                <w:sz w:val="15"/>
              </w:rPr>
              <w:t>No similar name.</w:t>
            </w:r>
          </w:p>
        </w:tc>
        <w:tc>
          <w:tcPr>
            <w:tcW w:type="dxa" w:w="1296"/>
            <w:shd w:val="clear" w:color="auto" w:fill="C6E0B4"/>
          </w:tcPr>
          <w:p>
            <w:r>
              <w:rPr>
                <w:sz w:val="15"/>
              </w:rPr>
            </w:r>
            <w:r>
              <w:rPr>
                <w:sz w:val="15"/>
              </w:rPr>
              <w:t>No Match</w:t>
            </w:r>
          </w:p>
        </w:tc>
      </w:tr>
    </w:tbl>
    <w:p>
      <w:pPr>
        <w:spacing w:after="40"/>
      </w:pPr>
    </w:p>
    <w:p>
      <w:pPr>
        <w:spacing w:after="40"/>
      </w:pPr>
      <w:r>
        <w:rPr>
          <w:b/>
        </w:rPr>
        <w:t>Classification and required action</w:t>
      </w:r>
    </w:p>
    <w:p>
      <w:pPr>
        <w:pStyle w:val="ListBullet"/>
        <w:spacing w:after="60"/>
      </w:pPr>
      <w:r>
        <w:t xml:space="preserve">Tier: </w:t>
      </w:r>
      <w:r>
        <w:rPr>
          <w:b/>
        </w:rPr>
        <w:t>No Match / Clear</w:t>
      </w:r>
      <w:r>
        <w:t>. Subject to the GC portfolio hold and ongoing monitoring.</w:t>
      </w:r>
    </w:p>
    <w:p>
      <w:pPr>
        <w:spacing w:after="40"/>
      </w:pPr>
      <w:r>
        <w:rPr>
          <w:b/>
        </w:rPr>
        <w:t>Missing identifiers / information required to confirm or clear (Policy § 6.3)</w:t>
      </w:r>
    </w:p>
    <w:p>
      <w:pPr>
        <w:pStyle w:val="ListBullet"/>
        <w:spacing w:after="60"/>
      </w:pPr>
      <w:r>
        <w:t>None for screening purposes.</w:t>
      </w:r>
    </w:p>
    <w:p>
      <w:pPr>
        <w:pStyle w:val="Heading2"/>
      </w:pPr>
      <w:r>
        <w:t>5.6 Black Sea Logistics OOD — EXACT MATCH (BLOCKED)</w:t>
      </w:r>
    </w:p>
    <w:tbl>
      <w:tblPr>
        <w:tblStyle w:val="TableGrid"/>
        <w:tblW w:type="auto" w:w="0"/>
        <w:tblLook w:firstColumn="1" w:firstRow="1" w:lastColumn="0" w:lastRow="0" w:noHBand="0" w:noVBand="1" w:val="04A0"/>
      </w:tblPr>
      <w:tblGrid>
        <w:gridCol w:w="4824"/>
        <w:gridCol w:w="4824"/>
      </w:tblGrid>
      <w:tr>
        <w:tc>
          <w:tcPr>
            <w:tcW w:type="dxa" w:w="2736"/>
            <w:shd w:val="clear" w:color="auto" w:fill="DCE6F1"/>
          </w:tcPr>
          <w:p>
            <w:r>
              <w:rPr>
                <w:b/>
                <w:sz w:val="17"/>
              </w:rPr>
            </w:r>
            <w:r>
              <w:rPr>
                <w:b/>
                <w:sz w:val="17"/>
              </w:rPr>
              <w:t>Entity / jurisdiction</w:t>
            </w:r>
          </w:p>
        </w:tc>
        <w:tc>
          <w:tcPr>
            <w:tcW w:type="dxa" w:w="6912"/>
          </w:tcPr>
          <w:p>
            <w:r>
              <w:rPr>
                <w:sz w:val="17"/>
              </w:rPr>
            </w:r>
            <w:r>
              <w:rPr>
                <w:sz w:val="17"/>
              </w:rPr>
              <w:t xml:space="preserve">OOD; Varna, Bulgaria; </w:t>
            </w:r>
            <w:r>
              <w:rPr>
                <w:b/>
                <w:sz w:val="17"/>
              </w:rPr>
              <w:t>Bulgarian Commercial Register UIC 204851234</w:t>
            </w:r>
          </w:p>
        </w:tc>
      </w:tr>
      <w:tr>
        <w:tc>
          <w:tcPr>
            <w:tcW w:type="dxa" w:w="2736"/>
            <w:shd w:val="clear" w:color="auto" w:fill="DCE6F1"/>
          </w:tcPr>
          <w:p>
            <w:r>
              <w:rPr>
                <w:b/>
                <w:sz w:val="17"/>
              </w:rPr>
            </w:r>
            <w:r>
              <w:rPr>
                <w:b/>
                <w:sz w:val="17"/>
              </w:rPr>
              <w:t>Ownership / management</w:t>
            </w:r>
          </w:p>
        </w:tc>
        <w:tc>
          <w:tcPr>
            <w:tcW w:type="dxa" w:w="6912"/>
          </w:tcPr>
          <w:p>
            <w:r>
              <w:rPr>
                <w:sz w:val="17"/>
              </w:rPr>
            </w:r>
            <w:r>
              <w:rPr>
                <w:sz w:val="17"/>
              </w:rPr>
              <w:t>Yelena Petrovna Kuznetsova — director and 100% beneficial owner</w:t>
            </w:r>
          </w:p>
        </w:tc>
      </w:tr>
      <w:tr>
        <w:tc>
          <w:tcPr>
            <w:tcW w:type="dxa" w:w="2736"/>
            <w:shd w:val="clear" w:color="auto" w:fill="DCE6F1"/>
          </w:tcPr>
          <w:p>
            <w:r>
              <w:rPr>
                <w:b/>
                <w:sz w:val="17"/>
              </w:rPr>
            </w:r>
            <w:r>
              <w:rPr>
                <w:b/>
                <w:sz w:val="17"/>
              </w:rPr>
              <w:t>Business / volume</w:t>
            </w:r>
          </w:p>
        </w:tc>
        <w:tc>
          <w:tcPr>
            <w:tcW w:type="dxa" w:w="6912"/>
          </w:tcPr>
          <w:p>
            <w:r>
              <w:rPr>
                <w:sz w:val="17"/>
              </w:rPr>
            </w:r>
            <w:r>
              <w:rPr>
                <w:sz w:val="17"/>
              </w:rPr>
              <w:t>Freight forwarding and maritime logistics (general cargo, petroleum products); $15,000,000</w:t>
            </w:r>
          </w:p>
        </w:tc>
      </w:tr>
      <w:tr>
        <w:tc>
          <w:tcPr>
            <w:tcW w:type="dxa" w:w="2736"/>
            <w:shd w:val="clear" w:color="auto" w:fill="DCE6F1"/>
          </w:tcPr>
          <w:p>
            <w:r>
              <w:rPr>
                <w:b/>
                <w:sz w:val="17"/>
              </w:rPr>
            </w:r>
            <w:r>
              <w:rPr>
                <w:b/>
                <w:sz w:val="17"/>
              </w:rPr>
              <w:t>Bank</w:t>
            </w:r>
          </w:p>
        </w:tc>
        <w:tc>
          <w:tcPr>
            <w:tcW w:type="dxa" w:w="6912"/>
          </w:tcPr>
          <w:p>
            <w:r>
              <w:rPr>
                <w:sz w:val="17"/>
              </w:rPr>
            </w:r>
            <w:r>
              <w:rPr>
                <w:sz w:val="17"/>
              </w:rPr>
              <w:t xml:space="preserve">Balkan Commerce Bank, Bulgaria — IBAN BG80…; </w:t>
            </w:r>
            <w:r>
              <w:rPr>
                <w:b/>
                <w:sz w:val="17"/>
              </w:rPr>
              <w:t>SWIFT/BIC BCOMGBSFXXX carries country code “GB” (United Kingdom), inconsistent with a Bulgarian bank</w:t>
            </w:r>
          </w:p>
        </w:tc>
      </w:tr>
      <w:tr>
        <w:tc>
          <w:tcPr>
            <w:tcW w:type="dxa" w:w="2736"/>
            <w:shd w:val="clear" w:color="auto" w:fill="DCE6F1"/>
          </w:tcPr>
          <w:p>
            <w:r>
              <w:rPr>
                <w:b/>
                <w:sz w:val="17"/>
              </w:rPr>
            </w:r>
            <w:r>
              <w:rPr>
                <w:b/>
                <w:sz w:val="17"/>
              </w:rPr>
              <w:t>KYC status</w:t>
            </w:r>
          </w:p>
        </w:tc>
        <w:tc>
          <w:tcPr>
            <w:tcW w:type="dxa" w:w="6912"/>
          </w:tcPr>
          <w:p>
            <w:r>
              <w:rPr>
                <w:sz w:val="17"/>
              </w:rPr>
            </w:r>
            <w:r>
              <w:rPr>
                <w:sz w:val="17"/>
              </w:rPr>
              <w:t>Substantially Complete; passport copy received; UIC confirmation requested May 21, 2025</w:t>
            </w:r>
          </w:p>
        </w:tc>
      </w:tr>
    </w:tbl>
    <w:p>
      <w:pPr>
        <w:spacing w:after="40"/>
      </w:pPr>
    </w:p>
    <w:p>
      <w:pPr>
        <w:spacing w:after="40"/>
      </w:pPr>
      <w:r>
        <w:rPr>
          <w:b/>
        </w:rPr>
        <w:t>Entity and registration-number screening</w:t>
      </w:r>
    </w:p>
    <w:p>
      <w:pPr>
        <w:pStyle w:val="ListBullet"/>
        <w:spacing w:after="60"/>
      </w:pPr>
      <w:r>
        <w:rPr>
          <w:b/>
        </w:rPr>
        <w:t>UIC 204851234 is identical to SDN-007 Black Sea Maritime Logistics OOD</w:t>
      </w:r>
      <w:r>
        <w:t xml:space="preserve"> (Varna; RUSSIA-EO14024; designated Oct. 1, 2024 for operating a sanctions-evasion shipping network carrying Russian petroleum above the price cap). Conclusive identifier (Policy §§ 4.3, 6.2) despite omission of “Maritime” from the name. City matches.</w:t>
      </w:r>
    </w:p>
    <w:p>
      <w:pPr>
        <w:pStyle w:val="ListBullet"/>
        <w:spacing w:after="60"/>
      </w:pPr>
      <w:r>
        <w:t>SDN-007 vessels M/V Odessa Star (IMO 9345678) and M/V Crimean Dawn (IMO 9456789) must be treated as blocked property and excluded from any Oakvale fixture through any counterparty.</w:t>
      </w:r>
    </w:p>
    <w:p>
      <w:pPr>
        <w:spacing w:after="40"/>
      </w:pPr>
      <w:r>
        <w:rPr>
          <w:b/>
        </w:rPr>
        <w:t>Individual screening (directors, officers, beneficial owners)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584"/>
            <w:shd w:val="clear" w:color="auto" w:fill="1F3A5F"/>
          </w:tcPr>
          <w:p>
            <w:r>
              <w:rPr>
                <w:b/>
                <w:color w:val="FFFFFF"/>
                <w:sz w:val="15"/>
              </w:rPr>
            </w:r>
            <w:r>
              <w:rPr>
                <w:b/>
                <w:color w:val="FFFFFF"/>
                <w:sz w:val="15"/>
              </w:rPr>
              <w:t>Person</w:t>
            </w:r>
          </w:p>
        </w:tc>
        <w:tc>
          <w:tcPr>
            <w:tcW w:type="dxa" w:w="1296"/>
            <w:shd w:val="clear" w:color="auto" w:fill="1F3A5F"/>
          </w:tcPr>
          <w:p>
            <w:r>
              <w:rPr>
                <w:b/>
                <w:color w:val="FFFFFF"/>
                <w:sz w:val="15"/>
              </w:rPr>
            </w:r>
            <w:r>
              <w:rPr>
                <w:b/>
                <w:color w:val="FFFFFF"/>
                <w:sz w:val="15"/>
              </w:rPr>
              <w:t>Role / ownership</w:t>
            </w:r>
          </w:p>
        </w:tc>
        <w:tc>
          <w:tcPr>
            <w:tcW w:type="dxa" w:w="2016"/>
            <w:shd w:val="clear" w:color="auto" w:fill="1F3A5F"/>
          </w:tcPr>
          <w:p>
            <w:r>
              <w:rPr>
                <w:b/>
                <w:color w:val="FFFFFF"/>
                <w:sz w:val="15"/>
              </w:rPr>
            </w:r>
            <w:r>
              <w:rPr>
                <w:b/>
                <w:color w:val="FFFFFF"/>
                <w:sz w:val="15"/>
              </w:rPr>
              <w:t>Closest Reference Dataset entry</w:t>
            </w:r>
          </w:p>
        </w:tc>
        <w:tc>
          <w:tcPr>
            <w:tcW w:type="dxa" w:w="3888"/>
            <w:shd w:val="clear" w:color="auto" w:fill="1F3A5F"/>
          </w:tcPr>
          <w:p>
            <w:r>
              <w:rPr>
                <w:b/>
                <w:color w:val="FFFFFF"/>
                <w:sz w:val="15"/>
              </w:rPr>
            </w:r>
            <w:r>
              <w:rPr>
                <w:b/>
                <w:color w:val="FFFFFF"/>
                <w:sz w:val="15"/>
              </w:rPr>
              <w:t>Comparison of identifiers</w:t>
            </w:r>
          </w:p>
        </w:tc>
        <w:tc>
          <w:tcPr>
            <w:tcW w:type="dxa" w:w="1296"/>
            <w:shd w:val="clear" w:color="auto" w:fill="1F3A5F"/>
          </w:tcPr>
          <w:p>
            <w:r>
              <w:rPr>
                <w:b/>
                <w:color w:val="FFFFFF"/>
                <w:sz w:val="15"/>
              </w:rPr>
            </w:r>
            <w:r>
              <w:rPr>
                <w:b/>
                <w:color w:val="FFFFFF"/>
                <w:sz w:val="15"/>
              </w:rPr>
              <w:t>Individual tier</w:t>
            </w:r>
          </w:p>
        </w:tc>
      </w:tr>
      <w:tr>
        <w:tc>
          <w:tcPr>
            <w:tcW w:type="dxa" w:w="1584"/>
          </w:tcPr>
          <w:p>
            <w:r>
              <w:rPr>
                <w:sz w:val="15"/>
              </w:rPr>
            </w:r>
            <w:r>
              <w:rPr>
                <w:sz w:val="15"/>
              </w:rPr>
              <w:t>Yelena Petrovna Kuznetsova</w:t>
            </w:r>
          </w:p>
        </w:tc>
        <w:tc>
          <w:tcPr>
            <w:tcW w:type="dxa" w:w="1296"/>
          </w:tcPr>
          <w:p>
            <w:r>
              <w:rPr>
                <w:sz w:val="15"/>
              </w:rPr>
            </w:r>
            <w:r>
              <w:rPr>
                <w:sz w:val="15"/>
              </w:rPr>
              <w:t>Director; 100% BO</w:t>
            </w:r>
          </w:p>
        </w:tc>
        <w:tc>
          <w:tcPr>
            <w:tcW w:type="dxa" w:w="2016"/>
          </w:tcPr>
          <w:p>
            <w:r>
              <w:rPr>
                <w:sz w:val="15"/>
              </w:rPr>
            </w:r>
            <w:r>
              <w:rPr>
                <w:sz w:val="15"/>
              </w:rPr>
              <w:t>SDN-008 Yelena Petrovna Kuznetsova (RUSSIA-EO14024; DOB June 15, 1977; Bulgarian/Russian dual national; Bulgarian Passport 384756912; Russian Passport 65 1234567; Varna); aliases “Y. Kuznetsova,” “Elena Kuznetsova.” Named in SDN-007 as Director and BO</w:t>
            </w:r>
          </w:p>
        </w:tc>
        <w:tc>
          <w:tcPr>
            <w:tcW w:type="dxa" w:w="3888"/>
          </w:tcPr>
          <w:p>
            <w:r>
              <w:rPr>
                <w:sz w:val="15"/>
              </w:rPr>
            </w:r>
            <w:r>
              <w:rPr>
                <w:sz w:val="15"/>
              </w:rPr>
              <w:t>Full name including patronymic identical; Varna matches; role (director and BO of the UIC-matched entity) matches the SDN-007 and SDN-008 entries. Passport number/DOB to be recorded from the passport copy for the file, but confirmation is already established.</w:t>
            </w:r>
          </w:p>
        </w:tc>
        <w:tc>
          <w:tcPr>
            <w:tcW w:type="dxa" w:w="1296"/>
            <w:shd w:val="clear" w:color="auto" w:fill="F4B6B6"/>
          </w:tcPr>
          <w:p>
            <w:r>
              <w:rPr>
                <w:sz w:val="15"/>
              </w:rPr>
            </w:r>
            <w:r>
              <w:rPr>
                <w:sz w:val="15"/>
              </w:rPr>
              <w:t>Exact Match</w:t>
            </w:r>
          </w:p>
        </w:tc>
      </w:tr>
    </w:tbl>
    <w:p>
      <w:pPr>
        <w:spacing w:after="40"/>
      </w:pPr>
    </w:p>
    <w:p>
      <w:pPr>
        <w:spacing w:after="40"/>
      </w:pPr>
      <w:r>
        <w:rPr>
          <w:b/>
        </w:rPr>
        <w:t>50% Rule analysis (Policy § 5.4)</w:t>
      </w:r>
    </w:p>
    <w:p>
      <w:pPr>
        <w:pStyle w:val="ListBullet"/>
        <w:spacing w:after="60"/>
      </w:pPr>
      <w:r>
        <w:t>Matched owner: Yelena Petrovna Kuznetsova, 100%; SDN (RUSSIA-EO14024).</w:t>
      </w:r>
    </w:p>
    <w:p>
      <w:pPr>
        <w:pStyle w:val="ListBullet"/>
        <w:spacing w:after="60"/>
      </w:pPr>
      <w:r>
        <w:t>Single-person stake exceeds 50%: yes. Aggregate: 100%.</w:t>
      </w:r>
    </w:p>
    <w:p>
      <w:pPr>
        <w:pStyle w:val="ListBullet"/>
        <w:spacing w:after="60"/>
      </w:pPr>
      <w:r>
        <w:t xml:space="preserve">Result: </w:t>
      </w:r>
      <w:r>
        <w:rPr>
          <w:b/>
        </w:rPr>
        <w:t>blocked</w:t>
      </w:r>
      <w:r>
        <w:t xml:space="preserve"> on three independent grounds — (i) the entity is SDN-007 (UIC); (ii) it is 100% owned by SDN-008 (50% Rule); (iii) its director is an SDN. All transactions are prohibited, including freight forwarding, payments and any dealing in its property or interests in property.</w:t>
      </w:r>
    </w:p>
    <w:p>
      <w:pPr>
        <w:spacing w:after="40"/>
      </w:pPr>
      <w:r>
        <w:rPr>
          <w:b/>
        </w:rPr>
        <w:t>Classification and required action</w:t>
      </w:r>
    </w:p>
    <w:p>
      <w:pPr>
        <w:pStyle w:val="ListBullet"/>
        <w:spacing w:after="60"/>
      </w:pPr>
      <w:r>
        <w:t xml:space="preserve">Tier: </w:t>
      </w:r>
      <w:r>
        <w:rPr>
          <w:b/>
        </w:rPr>
        <w:t>Exact Match</w:t>
      </w:r>
      <w:r>
        <w:t>. Automatic block; GC same business day; CEO within 24 hours; Halcyon Hart LLP to assess blocking report (if Oakvale holds any property in which the entity has an interest), reject reporting and voluntary self-disclosure (Policy §§ 6.2, 7.3). Whitmore’s memo did not identify this match and should be corrected.</w:t>
      </w:r>
    </w:p>
    <w:p>
      <w:pPr>
        <w:spacing w:after="40"/>
      </w:pPr>
      <w:r>
        <w:rPr>
          <w:b/>
        </w:rPr>
        <w:t>Missing identifiers / information required to confirm or clear (Policy § 6.3)</w:t>
      </w:r>
    </w:p>
    <w:p>
      <w:pPr>
        <w:pStyle w:val="ListBullet"/>
        <w:spacing w:after="60"/>
      </w:pPr>
      <w:r>
        <w:t>Explanation of the GB-coded BIC (possible correspondent/routing or data-entry error, or a misdescribed foreign account) — to be raised with Pinnacle National Bank only through counsel; no payment instructions to be tested.</w:t>
      </w:r>
    </w:p>
    <w:p>
      <w:pPr>
        <w:pStyle w:val="ListBullet"/>
        <w:spacing w:after="60"/>
      </w:pPr>
      <w:r>
        <w:t>Confirm whether any funds, documents of title or cargo have passed between Oakvale and the entity.</w:t>
      </w:r>
    </w:p>
    <w:p>
      <w:pPr>
        <w:pStyle w:val="Heading2"/>
      </w:pPr>
      <w:r>
        <w:t>5.7 Caucasus Energy Partners LLC — NO MATCH / CLEAR</w:t>
      </w:r>
    </w:p>
    <w:tbl>
      <w:tblPr>
        <w:tblStyle w:val="TableGrid"/>
        <w:tblW w:type="auto" w:w="0"/>
        <w:tblLook w:firstColumn="1" w:firstRow="1" w:lastColumn="0" w:lastRow="0" w:noHBand="0" w:noVBand="1" w:val="04A0"/>
      </w:tblPr>
      <w:tblGrid>
        <w:gridCol w:w="4824"/>
        <w:gridCol w:w="4824"/>
      </w:tblGrid>
      <w:tr>
        <w:tc>
          <w:tcPr>
            <w:tcW w:type="dxa" w:w="2736"/>
            <w:shd w:val="clear" w:color="auto" w:fill="DCE6F1"/>
          </w:tcPr>
          <w:p>
            <w:r>
              <w:rPr>
                <w:b/>
                <w:sz w:val="17"/>
              </w:rPr>
            </w:r>
            <w:r>
              <w:rPr>
                <w:b/>
                <w:sz w:val="17"/>
              </w:rPr>
              <w:t>Entity / jurisdiction</w:t>
            </w:r>
          </w:p>
        </w:tc>
        <w:tc>
          <w:tcPr>
            <w:tcW w:type="dxa" w:w="6912"/>
          </w:tcPr>
          <w:p>
            <w:r>
              <w:rPr>
                <w:sz w:val="17"/>
              </w:rPr>
            </w:r>
            <w:r>
              <w:rPr>
                <w:sz w:val="17"/>
              </w:rPr>
              <w:t>LLC; Tbilisi, Georgia; Georgian NAPR Registry No. GE-221-8834</w:t>
            </w:r>
          </w:p>
        </w:tc>
      </w:tr>
      <w:tr>
        <w:tc>
          <w:tcPr>
            <w:tcW w:type="dxa" w:w="2736"/>
            <w:shd w:val="clear" w:color="auto" w:fill="DCE6F1"/>
          </w:tcPr>
          <w:p>
            <w:r>
              <w:rPr>
                <w:b/>
                <w:sz w:val="17"/>
              </w:rPr>
            </w:r>
            <w:r>
              <w:rPr>
                <w:b/>
                <w:sz w:val="17"/>
              </w:rPr>
              <w:t>Ownership / management</w:t>
            </w:r>
          </w:p>
        </w:tc>
        <w:tc>
          <w:tcPr>
            <w:tcW w:type="dxa" w:w="6912"/>
          </w:tcPr>
          <w:p>
            <w:r>
              <w:rPr>
                <w:sz w:val="17"/>
              </w:rPr>
            </w:r>
            <w:r>
              <w:rPr>
                <w:sz w:val="17"/>
              </w:rPr>
              <w:t>Giorgi Mamadashvili — director, 70%; Vakhtang Beridze — 30%</w:t>
            </w:r>
          </w:p>
        </w:tc>
      </w:tr>
      <w:tr>
        <w:tc>
          <w:tcPr>
            <w:tcW w:type="dxa" w:w="2736"/>
            <w:shd w:val="clear" w:color="auto" w:fill="DCE6F1"/>
          </w:tcPr>
          <w:p>
            <w:r>
              <w:rPr>
                <w:b/>
                <w:sz w:val="17"/>
              </w:rPr>
            </w:r>
            <w:r>
              <w:rPr>
                <w:b/>
                <w:sz w:val="17"/>
              </w:rPr>
              <w:t>Business / volume</w:t>
            </w:r>
          </w:p>
        </w:tc>
        <w:tc>
          <w:tcPr>
            <w:tcW w:type="dxa" w:w="6912"/>
          </w:tcPr>
          <w:p>
            <w:r>
              <w:rPr>
                <w:sz w:val="17"/>
              </w:rPr>
            </w:r>
            <w:r>
              <w:rPr>
                <w:sz w:val="17"/>
              </w:rPr>
              <w:t>Natural gas brokerage; $22,000,000</w:t>
            </w:r>
          </w:p>
        </w:tc>
      </w:tr>
      <w:tr>
        <w:tc>
          <w:tcPr>
            <w:tcW w:type="dxa" w:w="2736"/>
            <w:shd w:val="clear" w:color="auto" w:fill="DCE6F1"/>
          </w:tcPr>
          <w:p>
            <w:r>
              <w:rPr>
                <w:b/>
                <w:sz w:val="17"/>
              </w:rPr>
            </w:r>
            <w:r>
              <w:rPr>
                <w:b/>
                <w:sz w:val="17"/>
              </w:rPr>
              <w:t>KYC status</w:t>
            </w:r>
          </w:p>
        </w:tc>
        <w:tc>
          <w:tcPr>
            <w:tcW w:type="dxa" w:w="6912"/>
          </w:tcPr>
          <w:p>
            <w:r>
              <w:rPr>
                <w:sz w:val="17"/>
              </w:rPr>
            </w:r>
            <w:r>
              <w:rPr>
                <w:sz w:val="17"/>
              </w:rPr>
              <w:t>Complete</w:t>
            </w:r>
          </w:p>
        </w:tc>
      </w:tr>
    </w:tbl>
    <w:p>
      <w:pPr>
        <w:spacing w:after="40"/>
      </w:pPr>
    </w:p>
    <w:p>
      <w:pPr>
        <w:spacing w:after="40"/>
      </w:pPr>
      <w:r>
        <w:rPr>
          <w:b/>
        </w:rPr>
        <w:t>Entity and registration-number screening</w:t>
      </w:r>
    </w:p>
    <w:p>
      <w:pPr>
        <w:pStyle w:val="ListBullet"/>
        <w:spacing w:after="60"/>
      </w:pPr>
      <w:r>
        <w:t>No entity-name match. SDN-051 Caucasus Mineral Extraction OOO (Vladikavkaz, Russia; OGRN 1151500123456) shares only the regional descriptor “Caucasus”; remaining components, jurisdiction, identifiers and personnel differ. Dismissed.</w:t>
      </w:r>
    </w:p>
    <w:p>
      <w:pPr>
        <w:pStyle w:val="ListBullet"/>
        <w:spacing w:after="60"/>
      </w:pPr>
      <w:r>
        <w:t>NAPR No. GE-221-8834 matches nothing.</w:t>
      </w:r>
    </w:p>
    <w:p>
      <w:pPr>
        <w:spacing w:after="40"/>
      </w:pPr>
      <w:r>
        <w:rPr>
          <w:b/>
        </w:rPr>
        <w:t>Individual screening (directors, officers, beneficial owners)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584"/>
            <w:shd w:val="clear" w:color="auto" w:fill="1F3A5F"/>
          </w:tcPr>
          <w:p>
            <w:r>
              <w:rPr>
                <w:b/>
                <w:color w:val="FFFFFF"/>
                <w:sz w:val="15"/>
              </w:rPr>
            </w:r>
            <w:r>
              <w:rPr>
                <w:b/>
                <w:color w:val="FFFFFF"/>
                <w:sz w:val="15"/>
              </w:rPr>
              <w:t>Person</w:t>
            </w:r>
          </w:p>
        </w:tc>
        <w:tc>
          <w:tcPr>
            <w:tcW w:type="dxa" w:w="1296"/>
            <w:shd w:val="clear" w:color="auto" w:fill="1F3A5F"/>
          </w:tcPr>
          <w:p>
            <w:r>
              <w:rPr>
                <w:b/>
                <w:color w:val="FFFFFF"/>
                <w:sz w:val="15"/>
              </w:rPr>
            </w:r>
            <w:r>
              <w:rPr>
                <w:b/>
                <w:color w:val="FFFFFF"/>
                <w:sz w:val="15"/>
              </w:rPr>
              <w:t>Role / ownership</w:t>
            </w:r>
          </w:p>
        </w:tc>
        <w:tc>
          <w:tcPr>
            <w:tcW w:type="dxa" w:w="2016"/>
            <w:shd w:val="clear" w:color="auto" w:fill="1F3A5F"/>
          </w:tcPr>
          <w:p>
            <w:r>
              <w:rPr>
                <w:b/>
                <w:color w:val="FFFFFF"/>
                <w:sz w:val="15"/>
              </w:rPr>
            </w:r>
            <w:r>
              <w:rPr>
                <w:b/>
                <w:color w:val="FFFFFF"/>
                <w:sz w:val="15"/>
              </w:rPr>
              <w:t>Closest Reference Dataset entry</w:t>
            </w:r>
          </w:p>
        </w:tc>
        <w:tc>
          <w:tcPr>
            <w:tcW w:type="dxa" w:w="3888"/>
            <w:shd w:val="clear" w:color="auto" w:fill="1F3A5F"/>
          </w:tcPr>
          <w:p>
            <w:r>
              <w:rPr>
                <w:b/>
                <w:color w:val="FFFFFF"/>
                <w:sz w:val="15"/>
              </w:rPr>
            </w:r>
            <w:r>
              <w:rPr>
                <w:b/>
                <w:color w:val="FFFFFF"/>
                <w:sz w:val="15"/>
              </w:rPr>
              <w:t>Comparison of identifiers</w:t>
            </w:r>
          </w:p>
        </w:tc>
        <w:tc>
          <w:tcPr>
            <w:tcW w:type="dxa" w:w="1296"/>
            <w:shd w:val="clear" w:color="auto" w:fill="1F3A5F"/>
          </w:tcPr>
          <w:p>
            <w:r>
              <w:rPr>
                <w:b/>
                <w:color w:val="FFFFFF"/>
                <w:sz w:val="15"/>
              </w:rPr>
            </w:r>
            <w:r>
              <w:rPr>
                <w:b/>
                <w:color w:val="FFFFFF"/>
                <w:sz w:val="15"/>
              </w:rPr>
              <w:t>Individual tier</w:t>
            </w:r>
          </w:p>
        </w:tc>
      </w:tr>
      <w:tr>
        <w:tc>
          <w:tcPr>
            <w:tcW w:type="dxa" w:w="1584"/>
          </w:tcPr>
          <w:p>
            <w:r>
              <w:rPr>
                <w:sz w:val="15"/>
              </w:rPr>
            </w:r>
            <w:r>
              <w:rPr>
                <w:sz w:val="15"/>
              </w:rPr>
              <w:t>Giorgi Mamadashvili</w:t>
            </w:r>
          </w:p>
        </w:tc>
        <w:tc>
          <w:tcPr>
            <w:tcW w:type="dxa" w:w="1296"/>
          </w:tcPr>
          <w:p>
            <w:r>
              <w:rPr>
                <w:sz w:val="15"/>
              </w:rPr>
            </w:r>
            <w:r>
              <w:rPr>
                <w:sz w:val="15"/>
              </w:rPr>
              <w:t>Director; 70%</w:t>
            </w:r>
          </w:p>
        </w:tc>
        <w:tc>
          <w:tcPr>
            <w:tcW w:type="dxa" w:w="2016"/>
          </w:tcPr>
          <w:p>
            <w:r>
              <w:rPr>
                <w:sz w:val="15"/>
              </w:rPr>
            </w:r>
            <w:r>
              <w:rPr>
                <w:sz w:val="15"/>
              </w:rPr>
              <w:t>No match (nearest: SDN-061 key person Georgi Petrov Dimitrov — first name variant only)</w:t>
            </w:r>
          </w:p>
        </w:tc>
        <w:tc>
          <w:tcPr>
            <w:tcW w:type="dxa" w:w="3888"/>
          </w:tcPr>
          <w:p>
            <w:r>
              <w:rPr>
                <w:sz w:val="15"/>
              </w:rPr>
            </w:r>
            <w:r>
              <w:rPr>
                <w:sz w:val="15"/>
              </w:rPr>
              <w:t>Surname not present in any list.</w:t>
            </w:r>
          </w:p>
        </w:tc>
        <w:tc>
          <w:tcPr>
            <w:tcW w:type="dxa" w:w="1296"/>
            <w:shd w:val="clear" w:color="auto" w:fill="C6E0B4"/>
          </w:tcPr>
          <w:p>
            <w:r>
              <w:rPr>
                <w:sz w:val="15"/>
              </w:rPr>
            </w:r>
            <w:r>
              <w:rPr>
                <w:sz w:val="15"/>
              </w:rPr>
              <w:t>No Match</w:t>
            </w:r>
          </w:p>
        </w:tc>
      </w:tr>
      <w:tr>
        <w:tc>
          <w:tcPr>
            <w:tcW w:type="dxa" w:w="1584"/>
          </w:tcPr>
          <w:p>
            <w:r>
              <w:rPr>
                <w:sz w:val="15"/>
              </w:rPr>
            </w:r>
            <w:r>
              <w:rPr>
                <w:sz w:val="15"/>
              </w:rPr>
              <w:t>Vakhtang Beridze</w:t>
            </w:r>
          </w:p>
        </w:tc>
        <w:tc>
          <w:tcPr>
            <w:tcW w:type="dxa" w:w="1296"/>
          </w:tcPr>
          <w:p>
            <w:r>
              <w:rPr>
                <w:sz w:val="15"/>
              </w:rPr>
            </w:r>
            <w:r>
              <w:rPr>
                <w:sz w:val="15"/>
              </w:rPr>
              <w:t>BO; 30%</w:t>
            </w:r>
          </w:p>
        </w:tc>
        <w:tc>
          <w:tcPr>
            <w:tcW w:type="dxa" w:w="2016"/>
          </w:tcPr>
          <w:p>
            <w:r>
              <w:rPr>
                <w:sz w:val="15"/>
              </w:rPr>
            </w:r>
            <w:r>
              <w:rPr>
                <w:sz w:val="15"/>
              </w:rPr>
              <w:t>No match</w:t>
            </w:r>
          </w:p>
        </w:tc>
        <w:tc>
          <w:tcPr>
            <w:tcW w:type="dxa" w:w="3888"/>
          </w:tcPr>
          <w:p>
            <w:r>
              <w:rPr>
                <w:sz w:val="15"/>
              </w:rPr>
            </w:r>
            <w:r>
              <w:rPr>
                <w:sz w:val="15"/>
              </w:rPr>
              <w:t>No similar name.</w:t>
            </w:r>
          </w:p>
        </w:tc>
        <w:tc>
          <w:tcPr>
            <w:tcW w:type="dxa" w:w="1296"/>
            <w:shd w:val="clear" w:color="auto" w:fill="C6E0B4"/>
          </w:tcPr>
          <w:p>
            <w:r>
              <w:rPr>
                <w:sz w:val="15"/>
              </w:rPr>
            </w:r>
            <w:r>
              <w:rPr>
                <w:sz w:val="15"/>
              </w:rPr>
              <w:t>No Match</w:t>
            </w:r>
          </w:p>
        </w:tc>
      </w:tr>
    </w:tbl>
    <w:p>
      <w:pPr>
        <w:spacing w:after="40"/>
      </w:pPr>
    </w:p>
    <w:p>
      <w:pPr>
        <w:spacing w:after="40"/>
      </w:pPr>
      <w:r>
        <w:rPr>
          <w:b/>
        </w:rPr>
        <w:t>Classification and required action</w:t>
      </w:r>
    </w:p>
    <w:p>
      <w:pPr>
        <w:pStyle w:val="ListBullet"/>
        <w:spacing w:after="60"/>
      </w:pPr>
      <w:r>
        <w:t xml:space="preserve">Tier: </w:t>
      </w:r>
      <w:r>
        <w:rPr>
          <w:b/>
        </w:rPr>
        <w:t>No Match / Clear</w:t>
      </w:r>
      <w:r>
        <w:t>; subject to the GC portfolio hold. Georgia is a Policy § 1.2 transshipment jurisdiction: before trading, obtain representations and documentation on the origin of the gas (Russian-origin supply and Russian counterparties).</w:t>
      </w:r>
    </w:p>
    <w:p>
      <w:pPr>
        <w:spacing w:after="40"/>
      </w:pPr>
      <w:r>
        <w:rPr>
          <w:b/>
        </w:rPr>
        <w:t>Missing identifiers / information required to confirm or clear (Policy § 6.3)</w:t>
      </w:r>
    </w:p>
    <w:p>
      <w:pPr>
        <w:pStyle w:val="ListBullet"/>
        <w:spacing w:after="60"/>
      </w:pPr>
      <w:r>
        <w:t>None for screening purposes; origin-of-gas EDD recommended.</w:t>
      </w:r>
    </w:p>
    <w:p>
      <w:pPr>
        <w:pStyle w:val="Heading2"/>
      </w:pPr>
      <w:r>
        <w:t>5.8 Petrostar Gulf DMCC — STRONG POTENTIAL MATCH</w:t>
      </w:r>
    </w:p>
    <w:tbl>
      <w:tblPr>
        <w:tblStyle w:val="TableGrid"/>
        <w:tblW w:type="auto" w:w="0"/>
        <w:tblLook w:firstColumn="1" w:firstRow="1" w:lastColumn="0" w:lastRow="0" w:noHBand="0" w:noVBand="1" w:val="04A0"/>
      </w:tblPr>
      <w:tblGrid>
        <w:gridCol w:w="4824"/>
        <w:gridCol w:w="4824"/>
      </w:tblGrid>
      <w:tr>
        <w:tc>
          <w:tcPr>
            <w:tcW w:type="dxa" w:w="2736"/>
            <w:shd w:val="clear" w:color="auto" w:fill="DCE6F1"/>
          </w:tcPr>
          <w:p>
            <w:r>
              <w:rPr>
                <w:b/>
                <w:sz w:val="17"/>
              </w:rPr>
            </w:r>
            <w:r>
              <w:rPr>
                <w:b/>
                <w:sz w:val="17"/>
              </w:rPr>
              <w:t>Entity / jurisdiction</w:t>
            </w:r>
          </w:p>
        </w:tc>
        <w:tc>
          <w:tcPr>
            <w:tcW w:type="dxa" w:w="6912"/>
          </w:tcPr>
          <w:p>
            <w:r>
              <w:rPr>
                <w:sz w:val="17"/>
              </w:rPr>
            </w:r>
            <w:r>
              <w:rPr>
                <w:sz w:val="17"/>
              </w:rPr>
              <w:t>DMCC; Dubai, UAE; DMCC License No. DMCC-72945</w:t>
            </w:r>
          </w:p>
        </w:tc>
      </w:tr>
      <w:tr>
        <w:tc>
          <w:tcPr>
            <w:tcW w:type="dxa" w:w="2736"/>
            <w:shd w:val="clear" w:color="auto" w:fill="DCE6F1"/>
          </w:tcPr>
          <w:p>
            <w:r>
              <w:rPr>
                <w:b/>
                <w:sz w:val="17"/>
              </w:rPr>
            </w:r>
            <w:r>
              <w:rPr>
                <w:b/>
                <w:sz w:val="17"/>
              </w:rPr>
              <w:t>Ownership / management</w:t>
            </w:r>
          </w:p>
        </w:tc>
        <w:tc>
          <w:tcPr>
            <w:tcW w:type="dxa" w:w="6912"/>
          </w:tcPr>
          <w:p>
            <w:r>
              <w:rPr>
                <w:sz w:val="17"/>
              </w:rPr>
            </w:r>
            <w:r>
              <w:rPr>
                <w:sz w:val="17"/>
              </w:rPr>
              <w:t>Rashid Bin Khalaf al-Mansouri — director, 80%; Fareed Jalloul — 20%</w:t>
            </w:r>
          </w:p>
        </w:tc>
      </w:tr>
      <w:tr>
        <w:tc>
          <w:tcPr>
            <w:tcW w:type="dxa" w:w="2736"/>
            <w:shd w:val="clear" w:color="auto" w:fill="DCE6F1"/>
          </w:tcPr>
          <w:p>
            <w:r>
              <w:rPr>
                <w:b/>
                <w:sz w:val="17"/>
              </w:rPr>
            </w:r>
            <w:r>
              <w:rPr>
                <w:b/>
                <w:sz w:val="17"/>
              </w:rPr>
              <w:t>Business / volume</w:t>
            </w:r>
          </w:p>
        </w:tc>
        <w:tc>
          <w:tcPr>
            <w:tcW w:type="dxa" w:w="6912"/>
          </w:tcPr>
          <w:p>
            <w:r>
              <w:rPr>
                <w:sz w:val="17"/>
              </w:rPr>
            </w:r>
            <w:r>
              <w:rPr>
                <w:sz w:val="17"/>
              </w:rPr>
              <w:t>Refined petroleum products and LPG trading; $53,000,000 (second-largest counterparty)</w:t>
            </w:r>
          </w:p>
        </w:tc>
      </w:tr>
      <w:tr>
        <w:tc>
          <w:tcPr>
            <w:tcW w:type="dxa" w:w="2736"/>
            <w:shd w:val="clear" w:color="auto" w:fill="DCE6F1"/>
          </w:tcPr>
          <w:p>
            <w:r>
              <w:rPr>
                <w:b/>
                <w:sz w:val="17"/>
              </w:rPr>
            </w:r>
            <w:r>
              <w:rPr>
                <w:b/>
                <w:sz w:val="17"/>
              </w:rPr>
              <w:t>KYC status</w:t>
            </w:r>
          </w:p>
        </w:tc>
        <w:tc>
          <w:tcPr>
            <w:tcW w:type="dxa" w:w="6912"/>
          </w:tcPr>
          <w:p>
            <w:r>
              <w:rPr>
                <w:sz w:val="17"/>
              </w:rPr>
            </w:r>
            <w:r>
              <w:rPr>
                <w:sz w:val="17"/>
              </w:rPr>
              <w:t>Substantially Complete; passport copies of both owners received; additional Jalloul identification requested May 22, 2025</w:t>
            </w:r>
          </w:p>
        </w:tc>
      </w:tr>
    </w:tbl>
    <w:p>
      <w:pPr>
        <w:spacing w:after="40"/>
      </w:pPr>
    </w:p>
    <w:p>
      <w:pPr>
        <w:spacing w:after="40"/>
      </w:pPr>
      <w:r>
        <w:rPr>
          <w:b/>
        </w:rPr>
        <w:t>Entity and registration-number screening</w:t>
      </w:r>
    </w:p>
    <w:p>
      <w:pPr>
        <w:pStyle w:val="ListBullet"/>
        <w:spacing w:after="60"/>
      </w:pPr>
      <w:r>
        <w:t>No entity-name match. SDN-029 Gulf Horizon Petroleum DMCC (alias “Gulf Horizon Petro”; DMCC-56789) and SDN-067 Atlas Commodities DMCC (DMCC-99012) share only generic elements (“Gulf,” “Petro,” “DMCC”); licence numbers differ; dismissed under Policy § 6.4.</w:t>
      </w:r>
    </w:p>
    <w:p>
      <w:pPr>
        <w:pStyle w:val="ListBullet"/>
        <w:spacing w:after="60"/>
      </w:pPr>
      <w:r>
        <w:t>DMCC-72945 matches no licence in the Reference Dataset.</w:t>
      </w:r>
    </w:p>
    <w:p>
      <w:pPr>
        <w:spacing w:after="40"/>
      </w:pPr>
      <w:r>
        <w:rPr>
          <w:b/>
        </w:rPr>
        <w:t>Individual screening (directors, officers, beneficial owners)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584"/>
            <w:shd w:val="clear" w:color="auto" w:fill="1F3A5F"/>
          </w:tcPr>
          <w:p>
            <w:r>
              <w:rPr>
                <w:b/>
                <w:color w:val="FFFFFF"/>
                <w:sz w:val="15"/>
              </w:rPr>
            </w:r>
            <w:r>
              <w:rPr>
                <w:b/>
                <w:color w:val="FFFFFF"/>
                <w:sz w:val="15"/>
              </w:rPr>
              <w:t>Person</w:t>
            </w:r>
          </w:p>
        </w:tc>
        <w:tc>
          <w:tcPr>
            <w:tcW w:type="dxa" w:w="1296"/>
            <w:shd w:val="clear" w:color="auto" w:fill="1F3A5F"/>
          </w:tcPr>
          <w:p>
            <w:r>
              <w:rPr>
                <w:b/>
                <w:color w:val="FFFFFF"/>
                <w:sz w:val="15"/>
              </w:rPr>
            </w:r>
            <w:r>
              <w:rPr>
                <w:b/>
                <w:color w:val="FFFFFF"/>
                <w:sz w:val="15"/>
              </w:rPr>
              <w:t>Role / ownership</w:t>
            </w:r>
          </w:p>
        </w:tc>
        <w:tc>
          <w:tcPr>
            <w:tcW w:type="dxa" w:w="2016"/>
            <w:shd w:val="clear" w:color="auto" w:fill="1F3A5F"/>
          </w:tcPr>
          <w:p>
            <w:r>
              <w:rPr>
                <w:b/>
                <w:color w:val="FFFFFF"/>
                <w:sz w:val="15"/>
              </w:rPr>
            </w:r>
            <w:r>
              <w:rPr>
                <w:b/>
                <w:color w:val="FFFFFF"/>
                <w:sz w:val="15"/>
              </w:rPr>
              <w:t>Closest Reference Dataset entry</w:t>
            </w:r>
          </w:p>
        </w:tc>
        <w:tc>
          <w:tcPr>
            <w:tcW w:type="dxa" w:w="3888"/>
            <w:shd w:val="clear" w:color="auto" w:fill="1F3A5F"/>
          </w:tcPr>
          <w:p>
            <w:r>
              <w:rPr>
                <w:b/>
                <w:color w:val="FFFFFF"/>
                <w:sz w:val="15"/>
              </w:rPr>
            </w:r>
            <w:r>
              <w:rPr>
                <w:b/>
                <w:color w:val="FFFFFF"/>
                <w:sz w:val="15"/>
              </w:rPr>
              <w:t>Comparison of identifiers</w:t>
            </w:r>
          </w:p>
        </w:tc>
        <w:tc>
          <w:tcPr>
            <w:tcW w:type="dxa" w:w="1296"/>
            <w:shd w:val="clear" w:color="auto" w:fill="1F3A5F"/>
          </w:tcPr>
          <w:p>
            <w:r>
              <w:rPr>
                <w:b/>
                <w:color w:val="FFFFFF"/>
                <w:sz w:val="15"/>
              </w:rPr>
            </w:r>
            <w:r>
              <w:rPr>
                <w:b/>
                <w:color w:val="FFFFFF"/>
                <w:sz w:val="15"/>
              </w:rPr>
              <w:t>Individual tier</w:t>
            </w:r>
          </w:p>
        </w:tc>
      </w:tr>
      <w:tr>
        <w:tc>
          <w:tcPr>
            <w:tcW w:type="dxa" w:w="1584"/>
          </w:tcPr>
          <w:p>
            <w:r>
              <w:rPr>
                <w:sz w:val="15"/>
              </w:rPr>
            </w:r>
            <w:r>
              <w:rPr>
                <w:sz w:val="15"/>
              </w:rPr>
              <w:t>Rashid Bin Khalaf al-Mansouri</w:t>
            </w:r>
          </w:p>
        </w:tc>
        <w:tc>
          <w:tcPr>
            <w:tcW w:type="dxa" w:w="1296"/>
          </w:tcPr>
          <w:p>
            <w:r>
              <w:rPr>
                <w:sz w:val="15"/>
              </w:rPr>
            </w:r>
            <w:r>
              <w:rPr>
                <w:sz w:val="15"/>
              </w:rPr>
              <w:t>Director; 80%</w:t>
            </w:r>
          </w:p>
        </w:tc>
        <w:tc>
          <w:tcPr>
            <w:tcW w:type="dxa" w:w="2016"/>
          </w:tcPr>
          <w:p>
            <w:r>
              <w:rPr>
                <w:sz w:val="15"/>
              </w:rPr>
            </w:r>
            <w:r>
              <w:rPr>
                <w:sz w:val="15"/>
              </w:rPr>
              <w:t>Nearest: SDN-072 Hatem Adel Mansour (Egyptian; Port Said)</w:t>
            </w:r>
          </w:p>
        </w:tc>
        <w:tc>
          <w:tcPr>
            <w:tcW w:type="dxa" w:w="3888"/>
          </w:tcPr>
          <w:p>
            <w:r>
              <w:rPr>
                <w:sz w:val="15"/>
              </w:rPr>
            </w:r>
            <w:r>
              <w:rPr>
                <w:sz w:val="15"/>
              </w:rPr>
              <w:t>Checked with/without “al-” and “Bin Khalaf.” Given names, father’s name and nationality differ; “Mansour/al-Mansouri” overlap is a common Arabic name root. Dismissed.</w:t>
            </w:r>
          </w:p>
        </w:tc>
        <w:tc>
          <w:tcPr>
            <w:tcW w:type="dxa" w:w="1296"/>
            <w:shd w:val="clear" w:color="auto" w:fill="C6E0B4"/>
          </w:tcPr>
          <w:p>
            <w:r>
              <w:rPr>
                <w:sz w:val="15"/>
              </w:rPr>
            </w:r>
            <w:r>
              <w:rPr>
                <w:sz w:val="15"/>
              </w:rPr>
              <w:t>No Match</w:t>
            </w:r>
          </w:p>
        </w:tc>
      </w:tr>
      <w:tr>
        <w:tc>
          <w:tcPr>
            <w:tcW w:type="dxa" w:w="1584"/>
          </w:tcPr>
          <w:p>
            <w:r>
              <w:rPr>
                <w:sz w:val="15"/>
              </w:rPr>
            </w:r>
            <w:r>
              <w:rPr>
                <w:sz w:val="15"/>
              </w:rPr>
              <w:t>Fareed Jalloul</w:t>
            </w:r>
          </w:p>
        </w:tc>
        <w:tc>
          <w:tcPr>
            <w:tcW w:type="dxa" w:w="1296"/>
          </w:tcPr>
          <w:p>
            <w:r>
              <w:rPr>
                <w:sz w:val="15"/>
              </w:rPr>
            </w:r>
            <w:r>
              <w:rPr>
                <w:sz w:val="15"/>
              </w:rPr>
              <w:t>BO; 20%</w:t>
            </w:r>
          </w:p>
        </w:tc>
        <w:tc>
          <w:tcPr>
            <w:tcW w:type="dxa" w:w="2016"/>
          </w:tcPr>
          <w:p>
            <w:r>
              <w:rPr>
                <w:sz w:val="15"/>
              </w:rPr>
            </w:r>
            <w:r>
              <w:rPr>
                <w:sz w:val="15"/>
              </w:rPr>
              <w:t xml:space="preserve">SDN-005 Fareed Jalloul (SYRIA; designated May 30, 2024; DOB April 19, 1983; </w:t>
            </w:r>
            <w:r>
              <w:rPr>
                <w:b/>
                <w:sz w:val="15"/>
              </w:rPr>
              <w:t>Syrian</w:t>
            </w:r>
            <w:r>
              <w:rPr>
                <w:sz w:val="15"/>
              </w:rPr>
              <w:t xml:space="preserve"> national; Syrian Passport 008745123; Beirut); aliases “F. Jaloul,” “Farid Jalloul”</w:t>
            </w:r>
          </w:p>
        </w:tc>
        <w:tc>
          <w:tcPr>
            <w:tcW w:type="dxa" w:w="3888"/>
          </w:tcPr>
          <w:p>
            <w:r>
              <w:rPr>
                <w:sz w:val="15"/>
              </w:rPr>
            </w:r>
            <w:r>
              <w:rPr>
                <w:sz w:val="15"/>
              </w:rPr>
              <w:t xml:space="preserve">Exact name match. Address on file (Beirut) matches, and SDN entry notes business interests in Dubai. </w:t>
            </w:r>
            <w:r>
              <w:rPr>
                <w:b/>
                <w:sz w:val="15"/>
              </w:rPr>
              <w:t>But nationality conflicts:</w:t>
            </w:r>
            <w:r>
              <w:rPr>
                <w:sz w:val="15"/>
              </w:rPr>
              <w:t xml:space="preserve"> counterparty’s passport is Lebanese; SDN entry is Syrian (the onboarding note wrongly says the nationality “matches SDN”). Possible dual nationality cannot be assumed. DOB and passport number not yet compared.</w:t>
            </w:r>
          </w:p>
        </w:tc>
        <w:tc>
          <w:tcPr>
            <w:tcW w:type="dxa" w:w="1296"/>
            <w:shd w:val="clear" w:color="auto" w:fill="FFE699"/>
          </w:tcPr>
          <w:p>
            <w:r>
              <w:rPr>
                <w:sz w:val="15"/>
              </w:rPr>
            </w:r>
            <w:r>
              <w:rPr>
                <w:sz w:val="15"/>
              </w:rPr>
              <w:t>Strong Potential Match</w:t>
            </w:r>
          </w:p>
        </w:tc>
      </w:tr>
    </w:tbl>
    <w:p>
      <w:pPr>
        <w:spacing w:after="40"/>
      </w:pPr>
    </w:p>
    <w:p>
      <w:pPr>
        <w:spacing w:after="40"/>
      </w:pPr>
      <w:r>
        <w:rPr>
          <w:b/>
        </w:rPr>
        <w:t>50% Rule analysis (Policy § 5.4)</w:t>
      </w:r>
    </w:p>
    <w:p>
      <w:pPr>
        <w:pStyle w:val="ListBullet"/>
        <w:spacing w:after="60"/>
      </w:pPr>
      <w:r>
        <w:t>Matched owner: Fareed Jalloul, 20%; potential SDN (SYRIA program). Other owner (al-Mansouri, 80%): no match.</w:t>
      </w:r>
    </w:p>
    <w:p>
      <w:pPr>
        <w:pStyle w:val="ListBullet"/>
        <w:spacing w:after="60"/>
      </w:pPr>
      <w:r>
        <w:t>Single-person stake exceeds 50%: no (20%). Aggregate of all potentially blocked owners: 20% — below 50%.</w:t>
      </w:r>
    </w:p>
    <w:p>
      <w:pPr>
        <w:pStyle w:val="ListBullet"/>
        <w:spacing w:after="60"/>
      </w:pPr>
      <w:r>
        <w:t xml:space="preserve">Result: entity </w:t>
      </w:r>
      <w:r>
        <w:rPr>
          <w:b/>
        </w:rPr>
        <w:t>not blocked</w:t>
      </w:r>
      <w:r>
        <w:t xml:space="preserve"> under the 50% Rule (Policy § 5.2, Example 4). If Jalloul is confirmed: no dividends, profit distributions, management fees or other benefit may flow to him; EDD must establish that he exercises no control (directorship, signatory authority, veto rights) and that the entity is not acting on his behalf; aggregate analysis to be re-run if any further owner is identified.</w:t>
      </w:r>
    </w:p>
    <w:p>
      <w:pPr>
        <w:spacing w:after="40"/>
      </w:pPr>
      <w:r>
        <w:rPr>
          <w:b/>
        </w:rPr>
        <w:t>Classification and required action</w:t>
      </w:r>
    </w:p>
    <w:p>
      <w:pPr>
        <w:pStyle w:val="ListBullet"/>
        <w:spacing w:after="60"/>
      </w:pPr>
      <w:r>
        <w:t xml:space="preserve">Tier: </w:t>
      </w:r>
      <w:r>
        <w:rPr>
          <w:b/>
        </w:rPr>
        <w:t>Strong Potential Match</w:t>
      </w:r>
      <w:r>
        <w:t xml:space="preserve"> (overall counterparty tier driven by the individual result). Block pending EDD; CCO within 24 hours; resolve within 5 business days or escalate to GC. If DOB/passport confirm SDN-005, reclassify Jalloul as Exact Match at individual level; the entity would remain sub-50% but subject to benefit restrictions and GC review before any trading.</w:t>
      </w:r>
    </w:p>
    <w:p>
      <w:pPr>
        <w:spacing w:after="40"/>
      </w:pPr>
      <w:r>
        <w:rPr>
          <w:b/>
        </w:rPr>
        <w:t>Missing identifiers / information required to confirm or clear (Policy § 6.3)</w:t>
      </w:r>
    </w:p>
    <w:p>
      <w:pPr>
        <w:pStyle w:val="ListBullet"/>
        <w:spacing w:after="60"/>
      </w:pPr>
      <w:r>
        <w:t>Compare the Lebanese passport copy on file (DOB, place of birth, number) with SDN-005; request any Syrian passport/second nationality; obtain Jalloul’s role, voting rights and dividend entitlements in the DMCC articles.</w:t>
      </w:r>
    </w:p>
    <w:p>
      <w:pPr>
        <w:pStyle w:val="ListBullet"/>
        <w:spacing w:after="60"/>
      </w:pPr>
      <w:r>
        <w:t>Note: Syria-related sanctions policy was the subject of U.S. Government announcements in May 2025. Any OFAC general licence or delisting affecting SYRIA-program designees must be confirmed by Halcyon Hart LLP before it is relied upon; as of the May 15, 2025 Reference Dataset, SDN-005 remains a blocked person.</w:t>
      </w:r>
    </w:p>
    <w:p>
      <w:pPr>
        <w:pStyle w:val="Heading2"/>
      </w:pPr>
      <w:r>
        <w:t>5.9 Eurasian Mineral Supply AG — EXACT MATCH (BLOCKED)</w:t>
      </w:r>
    </w:p>
    <w:tbl>
      <w:tblPr>
        <w:tblStyle w:val="TableGrid"/>
        <w:tblW w:type="auto" w:w="0"/>
        <w:tblLook w:firstColumn="1" w:firstRow="1" w:lastColumn="0" w:lastRow="0" w:noHBand="0" w:noVBand="1" w:val="04A0"/>
      </w:tblPr>
      <w:tblGrid>
        <w:gridCol w:w="4824"/>
        <w:gridCol w:w="4824"/>
      </w:tblGrid>
      <w:tr>
        <w:tc>
          <w:tcPr>
            <w:tcW w:type="dxa" w:w="2736"/>
            <w:shd w:val="clear" w:color="auto" w:fill="DCE6F1"/>
          </w:tcPr>
          <w:p>
            <w:r>
              <w:rPr>
                <w:b/>
                <w:sz w:val="17"/>
              </w:rPr>
            </w:r>
            <w:r>
              <w:rPr>
                <w:b/>
                <w:sz w:val="17"/>
              </w:rPr>
              <w:t>Entity / jurisdiction</w:t>
            </w:r>
          </w:p>
        </w:tc>
        <w:tc>
          <w:tcPr>
            <w:tcW w:type="dxa" w:w="6912"/>
          </w:tcPr>
          <w:p>
            <w:r>
              <w:rPr>
                <w:sz w:val="17"/>
              </w:rPr>
            </w:r>
            <w:r>
              <w:rPr>
                <w:sz w:val="17"/>
              </w:rPr>
              <w:t>AG; Zug, Switzerland; Swiss Commercial Register CHE-123.456.789</w:t>
            </w:r>
          </w:p>
        </w:tc>
      </w:tr>
      <w:tr>
        <w:tc>
          <w:tcPr>
            <w:tcW w:type="dxa" w:w="2736"/>
            <w:shd w:val="clear" w:color="auto" w:fill="DCE6F1"/>
          </w:tcPr>
          <w:p>
            <w:r>
              <w:rPr>
                <w:b/>
                <w:sz w:val="17"/>
              </w:rPr>
            </w:r>
            <w:r>
              <w:rPr>
                <w:b/>
                <w:sz w:val="17"/>
              </w:rPr>
              <w:t>Ownership / management</w:t>
            </w:r>
          </w:p>
        </w:tc>
        <w:tc>
          <w:tcPr>
            <w:tcW w:type="dxa" w:w="6912"/>
          </w:tcPr>
          <w:p>
            <w:r>
              <w:rPr>
                <w:sz w:val="17"/>
              </w:rPr>
            </w:r>
            <w:r>
              <w:rPr>
                <w:sz w:val="17"/>
              </w:rPr>
              <w:t>Viktor Anatolyevich Morozov — director and 100% beneficial owner; nationality Russian per BO declaration</w:t>
            </w:r>
          </w:p>
        </w:tc>
      </w:tr>
      <w:tr>
        <w:tc>
          <w:tcPr>
            <w:tcW w:type="dxa" w:w="2736"/>
            <w:shd w:val="clear" w:color="auto" w:fill="DCE6F1"/>
          </w:tcPr>
          <w:p>
            <w:r>
              <w:rPr>
                <w:b/>
                <w:sz w:val="17"/>
              </w:rPr>
            </w:r>
            <w:r>
              <w:rPr>
                <w:b/>
                <w:sz w:val="17"/>
              </w:rPr>
              <w:t>Business / volume</w:t>
            </w:r>
          </w:p>
        </w:tc>
        <w:tc>
          <w:tcPr>
            <w:tcW w:type="dxa" w:w="6912"/>
          </w:tcPr>
          <w:p>
            <w:r>
              <w:rPr>
                <w:sz w:val="17"/>
              </w:rPr>
            </w:r>
            <w:r>
              <w:rPr>
                <w:sz w:val="17"/>
              </w:rPr>
              <w:t>Mineral and metals trading (iron ore, copper, nickel); $41,000,000</w:t>
            </w:r>
          </w:p>
        </w:tc>
      </w:tr>
      <w:tr>
        <w:tc>
          <w:tcPr>
            <w:tcW w:type="dxa" w:w="2736"/>
            <w:shd w:val="clear" w:color="auto" w:fill="DCE6F1"/>
          </w:tcPr>
          <w:p>
            <w:r>
              <w:rPr>
                <w:b/>
                <w:sz w:val="17"/>
              </w:rPr>
            </w:r>
            <w:r>
              <w:rPr>
                <w:b/>
                <w:sz w:val="17"/>
              </w:rPr>
              <w:t>KYC status</w:t>
            </w:r>
          </w:p>
        </w:tc>
        <w:tc>
          <w:tcPr>
            <w:tcW w:type="dxa" w:w="6912"/>
          </w:tcPr>
          <w:p>
            <w:r>
              <w:rPr>
                <w:sz w:val="17"/>
              </w:rPr>
            </w:r>
            <w:r>
              <w:rPr>
                <w:sz w:val="17"/>
              </w:rPr>
              <w:t>Complete; passport copy received; Halcyon Hart LLP escalation initiated</w:t>
            </w:r>
          </w:p>
        </w:tc>
      </w:tr>
    </w:tbl>
    <w:p>
      <w:pPr>
        <w:spacing w:after="40"/>
      </w:pPr>
    </w:p>
    <w:p>
      <w:pPr>
        <w:spacing w:after="40"/>
      </w:pPr>
      <w:r>
        <w:rPr>
          <w:b/>
        </w:rPr>
        <w:t>Entity and registration-number screening</w:t>
      </w:r>
    </w:p>
    <w:p>
      <w:pPr>
        <w:pStyle w:val="ListBullet"/>
        <w:spacing w:after="60"/>
      </w:pPr>
      <w:r>
        <w:t>No entity-name match; CHE-123.456.789 matches nothing in the Reference Dataset. The entity is not itself listed; its status derives from its owner.</w:t>
      </w:r>
    </w:p>
    <w:p>
      <w:pPr>
        <w:spacing w:after="40"/>
      </w:pPr>
      <w:r>
        <w:rPr>
          <w:b/>
        </w:rPr>
        <w:t>Individual screening (directors, officers, beneficial owners)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584"/>
            <w:shd w:val="clear" w:color="auto" w:fill="1F3A5F"/>
          </w:tcPr>
          <w:p>
            <w:r>
              <w:rPr>
                <w:b/>
                <w:color w:val="FFFFFF"/>
                <w:sz w:val="15"/>
              </w:rPr>
            </w:r>
            <w:r>
              <w:rPr>
                <w:b/>
                <w:color w:val="FFFFFF"/>
                <w:sz w:val="15"/>
              </w:rPr>
              <w:t>Person</w:t>
            </w:r>
          </w:p>
        </w:tc>
        <w:tc>
          <w:tcPr>
            <w:tcW w:type="dxa" w:w="1296"/>
            <w:shd w:val="clear" w:color="auto" w:fill="1F3A5F"/>
          </w:tcPr>
          <w:p>
            <w:r>
              <w:rPr>
                <w:b/>
                <w:color w:val="FFFFFF"/>
                <w:sz w:val="15"/>
              </w:rPr>
            </w:r>
            <w:r>
              <w:rPr>
                <w:b/>
                <w:color w:val="FFFFFF"/>
                <w:sz w:val="15"/>
              </w:rPr>
              <w:t>Role / ownership</w:t>
            </w:r>
          </w:p>
        </w:tc>
        <w:tc>
          <w:tcPr>
            <w:tcW w:type="dxa" w:w="2016"/>
            <w:shd w:val="clear" w:color="auto" w:fill="1F3A5F"/>
          </w:tcPr>
          <w:p>
            <w:r>
              <w:rPr>
                <w:b/>
                <w:color w:val="FFFFFF"/>
                <w:sz w:val="15"/>
              </w:rPr>
            </w:r>
            <w:r>
              <w:rPr>
                <w:b/>
                <w:color w:val="FFFFFF"/>
                <w:sz w:val="15"/>
              </w:rPr>
              <w:t>Closest Reference Dataset entry</w:t>
            </w:r>
          </w:p>
        </w:tc>
        <w:tc>
          <w:tcPr>
            <w:tcW w:type="dxa" w:w="3888"/>
            <w:shd w:val="clear" w:color="auto" w:fill="1F3A5F"/>
          </w:tcPr>
          <w:p>
            <w:r>
              <w:rPr>
                <w:b/>
                <w:color w:val="FFFFFF"/>
                <w:sz w:val="15"/>
              </w:rPr>
            </w:r>
            <w:r>
              <w:rPr>
                <w:b/>
                <w:color w:val="FFFFFF"/>
                <w:sz w:val="15"/>
              </w:rPr>
              <w:t>Comparison of identifiers</w:t>
            </w:r>
          </w:p>
        </w:tc>
        <w:tc>
          <w:tcPr>
            <w:tcW w:type="dxa" w:w="1296"/>
            <w:shd w:val="clear" w:color="auto" w:fill="1F3A5F"/>
          </w:tcPr>
          <w:p>
            <w:r>
              <w:rPr>
                <w:b/>
                <w:color w:val="FFFFFF"/>
                <w:sz w:val="15"/>
              </w:rPr>
            </w:r>
            <w:r>
              <w:rPr>
                <w:b/>
                <w:color w:val="FFFFFF"/>
                <w:sz w:val="15"/>
              </w:rPr>
              <w:t>Individual tier</w:t>
            </w:r>
          </w:p>
        </w:tc>
      </w:tr>
      <w:tr>
        <w:tc>
          <w:tcPr>
            <w:tcW w:type="dxa" w:w="1584"/>
          </w:tcPr>
          <w:p>
            <w:r>
              <w:rPr>
                <w:sz w:val="15"/>
              </w:rPr>
            </w:r>
            <w:r>
              <w:rPr>
                <w:sz w:val="15"/>
              </w:rPr>
              <w:t>Viktor Anatolyevich Morozov</w:t>
            </w:r>
          </w:p>
        </w:tc>
        <w:tc>
          <w:tcPr>
            <w:tcW w:type="dxa" w:w="1296"/>
          </w:tcPr>
          <w:p>
            <w:r>
              <w:rPr>
                <w:sz w:val="15"/>
              </w:rPr>
            </w:r>
            <w:r>
              <w:rPr>
                <w:sz w:val="15"/>
              </w:rPr>
              <w:t>Director; 100% BO</w:t>
            </w:r>
          </w:p>
        </w:tc>
        <w:tc>
          <w:tcPr>
            <w:tcW w:type="dxa" w:w="2016"/>
          </w:tcPr>
          <w:p>
            <w:r>
              <w:rPr>
                <w:sz w:val="15"/>
              </w:rPr>
            </w:r>
            <w:r>
              <w:rPr>
                <w:sz w:val="15"/>
              </w:rPr>
              <w:t>SDN-002 Viktor Anatolyevich Morozov (UKRAINE-EO13662; designated June 3, 2024; DOB Nov. 22, 1968; Russian; Passport 72 4456789; Moscow); aliases “V. Morozoff,” “Viktor Morozow”</w:t>
            </w:r>
          </w:p>
        </w:tc>
        <w:tc>
          <w:tcPr>
            <w:tcW w:type="dxa" w:w="3888"/>
          </w:tcPr>
          <w:p>
            <w:r>
              <w:rPr>
                <w:sz w:val="15"/>
              </w:rPr>
            </w:r>
            <w:r>
              <w:rPr>
                <w:sz w:val="15"/>
              </w:rPr>
              <w:t xml:space="preserve">Full name </w:t>
            </w:r>
            <w:r>
              <w:rPr>
                <w:b/>
                <w:sz w:val="15"/>
              </w:rPr>
              <w:t>including patronymic</w:t>
            </w:r>
            <w:r>
              <w:rPr>
                <w:sz w:val="15"/>
              </w:rPr>
              <w:t xml:space="preserve"> identical; nationality (Russian) matches — two secondary identifiers under Policy § 6.2. Corroborated by the SDN entry’s notes (mineral and metal commodities networks; “known to use Swiss and Central Asian corporate structures”), which match the counterparty’s business and Zug domicile. Swiss domicile does not distinguish. DOB/passport to be read from the passport copy and recorded.</w:t>
            </w:r>
          </w:p>
        </w:tc>
        <w:tc>
          <w:tcPr>
            <w:tcW w:type="dxa" w:w="1296"/>
            <w:shd w:val="clear" w:color="auto" w:fill="F4B6B6"/>
          </w:tcPr>
          <w:p>
            <w:r>
              <w:rPr>
                <w:sz w:val="15"/>
              </w:rPr>
            </w:r>
            <w:r>
              <w:rPr>
                <w:sz w:val="15"/>
              </w:rPr>
              <w:t>Exact Match</w:t>
            </w:r>
          </w:p>
        </w:tc>
      </w:tr>
    </w:tbl>
    <w:p>
      <w:pPr>
        <w:spacing w:after="40"/>
      </w:pPr>
    </w:p>
    <w:p>
      <w:pPr>
        <w:spacing w:after="40"/>
      </w:pPr>
      <w:r>
        <w:rPr>
          <w:b/>
        </w:rPr>
        <w:t>50% Rule analysis (Policy § 5.4)</w:t>
      </w:r>
    </w:p>
    <w:p>
      <w:pPr>
        <w:pStyle w:val="ListBullet"/>
        <w:spacing w:after="60"/>
      </w:pPr>
      <w:r>
        <w:t>Matched owner: Viktor Anatolyevich Morozov, 100%; SDN (UKRAINE-EO13662).</w:t>
      </w:r>
    </w:p>
    <w:p>
      <w:pPr>
        <w:pStyle w:val="ListBullet"/>
        <w:spacing w:after="60"/>
      </w:pPr>
      <w:r>
        <w:t>Single-person stake exceeds 50%: yes (100%). Aggregate: 100%.</w:t>
      </w:r>
    </w:p>
    <w:p>
      <w:pPr>
        <w:pStyle w:val="ListBullet"/>
        <w:spacing w:after="60"/>
      </w:pPr>
      <w:r>
        <w:t xml:space="preserve">Result: </w:t>
      </w:r>
      <w:r>
        <w:rPr>
          <w:b/>
        </w:rPr>
        <w:t>entity is blocked property</w:t>
      </w:r>
      <w:r>
        <w:t xml:space="preserve"> under the 50% Rule even though it is not itself listed (Policy § 5.1; Appendix A, Step 1). Exact Match at entity level. All transactions prohibited.</w:t>
      </w:r>
    </w:p>
    <w:p>
      <w:pPr>
        <w:spacing w:after="40"/>
      </w:pPr>
      <w:r>
        <w:rPr>
          <w:b/>
        </w:rPr>
        <w:t>Classification and required action</w:t>
      </w:r>
    </w:p>
    <w:p>
      <w:pPr>
        <w:pStyle w:val="ListBullet"/>
        <w:spacing w:after="60"/>
      </w:pPr>
      <w:r>
        <w:t xml:space="preserve">Tier: </w:t>
      </w:r>
      <w:r>
        <w:rPr>
          <w:b/>
        </w:rPr>
        <w:t>Exact Match</w:t>
      </w:r>
      <w:r>
        <w:t>. Automatic block; GC same business day; CEO within 24 hours; Halcyon Hart LLP (already engaged). If the passport copy shows a DOB and passport number different from SDN-002, that is a matter for a documented false-positive determination by the GC and outside counsel — the block remains in place until then.</w:t>
      </w:r>
    </w:p>
    <w:p>
      <w:pPr>
        <w:spacing w:after="40"/>
      </w:pPr>
      <w:r>
        <w:rPr>
          <w:b/>
        </w:rPr>
        <w:t>Missing identifiers / information required to confirm or clear (Policy § 6.3)</w:t>
      </w:r>
    </w:p>
    <w:p>
      <w:pPr>
        <w:pStyle w:val="ListBullet"/>
        <w:spacing w:after="60"/>
      </w:pPr>
      <w:r>
        <w:t>Record DOB, passport number and place of birth from the passport copy; obtain residence history and any prior Russian addresses.</w:t>
      </w:r>
    </w:p>
    <w:p>
      <w:pPr>
        <w:pStyle w:val="Heading2"/>
      </w:pPr>
      <w:r>
        <w:t>5.10 Silk Road Commodities FZE — STRONG POTENTIAL MATCH (HIGHEST UNRESOLVED RISK)</w:t>
      </w:r>
    </w:p>
    <w:tbl>
      <w:tblPr>
        <w:tblStyle w:val="TableGrid"/>
        <w:tblW w:type="auto" w:w="0"/>
        <w:tblLook w:firstColumn="1" w:firstRow="1" w:lastColumn="0" w:lastRow="0" w:noHBand="0" w:noVBand="1" w:val="04A0"/>
      </w:tblPr>
      <w:tblGrid>
        <w:gridCol w:w="4824"/>
        <w:gridCol w:w="4824"/>
      </w:tblGrid>
      <w:tr>
        <w:tc>
          <w:tcPr>
            <w:tcW w:type="dxa" w:w="2736"/>
            <w:shd w:val="clear" w:color="auto" w:fill="DCE6F1"/>
          </w:tcPr>
          <w:p>
            <w:r>
              <w:rPr>
                <w:b/>
                <w:sz w:val="17"/>
              </w:rPr>
            </w:r>
            <w:r>
              <w:rPr>
                <w:b/>
                <w:sz w:val="17"/>
              </w:rPr>
              <w:t>Entity / jurisdiction</w:t>
            </w:r>
          </w:p>
        </w:tc>
        <w:tc>
          <w:tcPr>
            <w:tcW w:type="dxa" w:w="6912"/>
          </w:tcPr>
          <w:p>
            <w:r>
              <w:rPr>
                <w:sz w:val="17"/>
              </w:rPr>
            </w:r>
            <w:r>
              <w:rPr>
                <w:sz w:val="17"/>
              </w:rPr>
              <w:t>FZE; Sharjah, UAE; Sharjah Free Zone License No. SFZ-19283</w:t>
            </w:r>
          </w:p>
        </w:tc>
      </w:tr>
      <w:tr>
        <w:tc>
          <w:tcPr>
            <w:tcW w:type="dxa" w:w="2736"/>
            <w:shd w:val="clear" w:color="auto" w:fill="DCE6F1"/>
          </w:tcPr>
          <w:p>
            <w:r>
              <w:rPr>
                <w:b/>
                <w:sz w:val="17"/>
              </w:rPr>
            </w:r>
            <w:r>
              <w:rPr>
                <w:b/>
                <w:sz w:val="17"/>
              </w:rPr>
              <w:t>Ownership / management</w:t>
            </w:r>
          </w:p>
        </w:tc>
        <w:tc>
          <w:tcPr>
            <w:tcW w:type="dxa" w:w="6912"/>
          </w:tcPr>
          <w:p>
            <w:r>
              <w:rPr>
                <w:sz w:val="17"/>
              </w:rPr>
            </w:r>
            <w:r>
              <w:rPr>
                <w:sz w:val="17"/>
              </w:rPr>
              <w:t>Abbas Hosseinzadeh — director, 65%; Nader Khorasani — 35%</w:t>
            </w:r>
          </w:p>
        </w:tc>
      </w:tr>
      <w:tr>
        <w:tc>
          <w:tcPr>
            <w:tcW w:type="dxa" w:w="2736"/>
            <w:shd w:val="clear" w:color="auto" w:fill="DCE6F1"/>
          </w:tcPr>
          <w:p>
            <w:r>
              <w:rPr>
                <w:b/>
                <w:sz w:val="17"/>
              </w:rPr>
            </w:r>
            <w:r>
              <w:rPr>
                <w:b/>
                <w:sz w:val="17"/>
              </w:rPr>
              <w:t>Business / volume</w:t>
            </w:r>
          </w:p>
        </w:tc>
        <w:tc>
          <w:tcPr>
            <w:tcW w:type="dxa" w:w="6912"/>
          </w:tcPr>
          <w:p>
            <w:r>
              <w:rPr>
                <w:sz w:val="17"/>
              </w:rPr>
            </w:r>
            <w:r>
              <w:rPr>
                <w:sz w:val="17"/>
              </w:rPr>
              <w:t>General commodities trading (petroleum products, petrochemicals); $31,000,000</w:t>
            </w:r>
          </w:p>
        </w:tc>
      </w:tr>
      <w:tr>
        <w:tc>
          <w:tcPr>
            <w:tcW w:type="dxa" w:w="2736"/>
            <w:shd w:val="clear" w:color="auto" w:fill="DCE6F1"/>
          </w:tcPr>
          <w:p>
            <w:r>
              <w:rPr>
                <w:b/>
                <w:sz w:val="17"/>
              </w:rPr>
            </w:r>
            <w:r>
              <w:rPr>
                <w:b/>
                <w:sz w:val="17"/>
              </w:rPr>
              <w:t>KYC status</w:t>
            </w:r>
          </w:p>
        </w:tc>
        <w:tc>
          <w:tcPr>
            <w:tcW w:type="dxa" w:w="6912"/>
          </w:tcPr>
          <w:p>
            <w:r>
              <w:rPr>
                <w:sz w:val="17"/>
              </w:rPr>
            </w:r>
            <w:r>
              <w:rPr>
                <w:sz w:val="17"/>
              </w:rPr>
              <w:t>Substantially Complete; passport copies of both owners received; DOB/passport details requested May 21, 2025</w:t>
            </w:r>
          </w:p>
        </w:tc>
      </w:tr>
    </w:tbl>
    <w:p>
      <w:pPr>
        <w:spacing w:after="40"/>
      </w:pPr>
    </w:p>
    <w:p>
      <w:pPr>
        <w:spacing w:after="40"/>
      </w:pPr>
      <w:r>
        <w:rPr>
          <w:b/>
        </w:rPr>
        <w:t>Entity and registration-number screening</w:t>
      </w:r>
    </w:p>
    <w:p>
      <w:pPr>
        <w:pStyle w:val="ListBullet"/>
        <w:spacing w:after="60"/>
      </w:pPr>
      <w:r>
        <w:t>No entity-name match. SDN-069 Silk Route Minerals OOO (Norilsk; OGRN 1202400078901) — “Silk Road/Route” overlap is generic and geographic; jurisdiction, sector, identifiers and personnel differ; dismissed. SDN-021 Azad Petrochemicals FZE (Sharjah; SH-98761) and SDN-055 Sunrise Commodities FZE (Hamriyah, Sharjah; HFZ-23456) are Sharjah free-zone Iran-program fronts in the same sector but with different names, licences and personnel — noted as typology, not as a match.</w:t>
      </w:r>
    </w:p>
    <w:p>
      <w:pPr>
        <w:pStyle w:val="ListBullet"/>
        <w:spacing w:after="60"/>
      </w:pPr>
      <w:r>
        <w:t>Licence SFZ-19283 matches nothing.</w:t>
      </w:r>
    </w:p>
    <w:p>
      <w:pPr>
        <w:spacing w:after="40"/>
      </w:pPr>
      <w:r>
        <w:rPr>
          <w:b/>
        </w:rPr>
        <w:t>Individual screening (directors, officers, beneficial owners)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584"/>
            <w:shd w:val="clear" w:color="auto" w:fill="1F3A5F"/>
          </w:tcPr>
          <w:p>
            <w:r>
              <w:rPr>
                <w:b/>
                <w:color w:val="FFFFFF"/>
                <w:sz w:val="15"/>
              </w:rPr>
            </w:r>
            <w:r>
              <w:rPr>
                <w:b/>
                <w:color w:val="FFFFFF"/>
                <w:sz w:val="15"/>
              </w:rPr>
              <w:t>Person</w:t>
            </w:r>
          </w:p>
        </w:tc>
        <w:tc>
          <w:tcPr>
            <w:tcW w:type="dxa" w:w="1296"/>
            <w:shd w:val="clear" w:color="auto" w:fill="1F3A5F"/>
          </w:tcPr>
          <w:p>
            <w:r>
              <w:rPr>
                <w:b/>
                <w:color w:val="FFFFFF"/>
                <w:sz w:val="15"/>
              </w:rPr>
            </w:r>
            <w:r>
              <w:rPr>
                <w:b/>
                <w:color w:val="FFFFFF"/>
                <w:sz w:val="15"/>
              </w:rPr>
              <w:t>Role / ownership</w:t>
            </w:r>
          </w:p>
        </w:tc>
        <w:tc>
          <w:tcPr>
            <w:tcW w:type="dxa" w:w="2016"/>
            <w:shd w:val="clear" w:color="auto" w:fill="1F3A5F"/>
          </w:tcPr>
          <w:p>
            <w:r>
              <w:rPr>
                <w:b/>
                <w:color w:val="FFFFFF"/>
                <w:sz w:val="15"/>
              </w:rPr>
            </w:r>
            <w:r>
              <w:rPr>
                <w:b/>
                <w:color w:val="FFFFFF"/>
                <w:sz w:val="15"/>
              </w:rPr>
              <w:t>Closest Reference Dataset entry</w:t>
            </w:r>
          </w:p>
        </w:tc>
        <w:tc>
          <w:tcPr>
            <w:tcW w:type="dxa" w:w="3888"/>
            <w:shd w:val="clear" w:color="auto" w:fill="1F3A5F"/>
          </w:tcPr>
          <w:p>
            <w:r>
              <w:rPr>
                <w:b/>
                <w:color w:val="FFFFFF"/>
                <w:sz w:val="15"/>
              </w:rPr>
            </w:r>
            <w:r>
              <w:rPr>
                <w:b/>
                <w:color w:val="FFFFFF"/>
                <w:sz w:val="15"/>
              </w:rPr>
              <w:t>Comparison of identifiers</w:t>
            </w:r>
          </w:p>
        </w:tc>
        <w:tc>
          <w:tcPr>
            <w:tcW w:type="dxa" w:w="1296"/>
            <w:shd w:val="clear" w:color="auto" w:fill="1F3A5F"/>
          </w:tcPr>
          <w:p>
            <w:r>
              <w:rPr>
                <w:b/>
                <w:color w:val="FFFFFF"/>
                <w:sz w:val="15"/>
              </w:rPr>
            </w:r>
            <w:r>
              <w:rPr>
                <w:b/>
                <w:color w:val="FFFFFF"/>
                <w:sz w:val="15"/>
              </w:rPr>
              <w:t>Individual tier</w:t>
            </w:r>
          </w:p>
        </w:tc>
      </w:tr>
      <w:tr>
        <w:tc>
          <w:tcPr>
            <w:tcW w:type="dxa" w:w="1584"/>
          </w:tcPr>
          <w:p>
            <w:r>
              <w:rPr>
                <w:sz w:val="15"/>
              </w:rPr>
            </w:r>
            <w:r>
              <w:rPr>
                <w:sz w:val="15"/>
              </w:rPr>
              <w:t>Abbas Hosseinzadeh</w:t>
            </w:r>
          </w:p>
        </w:tc>
        <w:tc>
          <w:tcPr>
            <w:tcW w:type="dxa" w:w="1296"/>
          </w:tcPr>
          <w:p>
            <w:r>
              <w:rPr>
                <w:sz w:val="15"/>
              </w:rPr>
            </w:r>
            <w:r>
              <w:rPr>
                <w:sz w:val="15"/>
              </w:rPr>
              <w:t>Director; 65%</w:t>
            </w:r>
          </w:p>
        </w:tc>
        <w:tc>
          <w:tcPr>
            <w:tcW w:type="dxa" w:w="2016"/>
          </w:tcPr>
          <w:p>
            <w:r>
              <w:rPr>
                <w:sz w:val="15"/>
              </w:rPr>
            </w:r>
            <w:r>
              <w:rPr>
                <w:sz w:val="15"/>
              </w:rPr>
              <w:t>SDN-003 Abbas Hosseini-Zadeh (IRAN-IRGC; designated Apr. 17, 2023; DOB Sept. 14, 1975; Iranian; Passport K29874561; Tehran); aliases “A. Hosseinzadeh,” “Abbas H. Zadeh”</w:t>
            </w:r>
          </w:p>
        </w:tc>
        <w:tc>
          <w:tcPr>
            <w:tcW w:type="dxa" w:w="3888"/>
          </w:tcPr>
          <w:p>
            <w:r>
              <w:rPr>
                <w:sz w:val="15"/>
              </w:rPr>
            </w:r>
            <w:r>
              <w:rPr>
                <w:sz w:val="15"/>
              </w:rPr>
              <w:t>Merged vs hyphenated Persian compound surname is the same name (Policy § 4.2); counterparty name is also consistent with alias “A. Hosseinzadeh.” Given name identical. SDN entry notes commodities procurement and use of transliteration variants. DOB, nationality and passport not yet compared.</w:t>
            </w:r>
          </w:p>
        </w:tc>
        <w:tc>
          <w:tcPr>
            <w:tcW w:type="dxa" w:w="1296"/>
            <w:shd w:val="clear" w:color="auto" w:fill="FFE699"/>
          </w:tcPr>
          <w:p>
            <w:r>
              <w:rPr>
                <w:sz w:val="15"/>
              </w:rPr>
            </w:r>
            <w:r>
              <w:rPr>
                <w:sz w:val="15"/>
              </w:rPr>
              <w:t>Strong Potential Match</w:t>
            </w:r>
          </w:p>
        </w:tc>
      </w:tr>
      <w:tr>
        <w:tc>
          <w:tcPr>
            <w:tcW w:type="dxa" w:w="1584"/>
          </w:tcPr>
          <w:p>
            <w:r>
              <w:rPr>
                <w:sz w:val="15"/>
              </w:rPr>
            </w:r>
            <w:r>
              <w:rPr>
                <w:sz w:val="15"/>
              </w:rPr>
              <w:t>Nader Khorasani</w:t>
            </w:r>
          </w:p>
        </w:tc>
        <w:tc>
          <w:tcPr>
            <w:tcW w:type="dxa" w:w="1296"/>
          </w:tcPr>
          <w:p>
            <w:r>
              <w:rPr>
                <w:sz w:val="15"/>
              </w:rPr>
            </w:r>
            <w:r>
              <w:rPr>
                <w:sz w:val="15"/>
              </w:rPr>
              <w:t>BO; 35%</w:t>
            </w:r>
          </w:p>
        </w:tc>
        <w:tc>
          <w:tcPr>
            <w:tcW w:type="dxa" w:w="2016"/>
          </w:tcPr>
          <w:p>
            <w:r>
              <w:rPr>
                <w:sz w:val="15"/>
              </w:rPr>
            </w:r>
            <w:r>
              <w:rPr>
                <w:sz w:val="15"/>
              </w:rPr>
              <w:t xml:space="preserve">SDN-004 Nader Khorasani-Fard (IRAN-NPWMD; designated Jan. 9, 2025; DOB Dec. 1, 1982; Iranian; Passport M44782310; </w:t>
            </w:r>
            <w:r>
              <w:rPr>
                <w:b/>
                <w:sz w:val="15"/>
              </w:rPr>
              <w:t>Dubai, UAE</w:t>
            </w:r>
            <w:r>
              <w:rPr>
                <w:sz w:val="15"/>
              </w:rPr>
              <w:t>); aliases “N. Khorasani,” “Nader K. Fard”</w:t>
            </w:r>
          </w:p>
        </w:tc>
        <w:tc>
          <w:tcPr>
            <w:tcW w:type="dxa" w:w="3888"/>
          </w:tcPr>
          <w:p>
            <w:r>
              <w:rPr>
                <w:sz w:val="15"/>
              </w:rPr>
            </w:r>
            <w:r>
              <w:rPr>
                <w:sz w:val="15"/>
              </w:rPr>
              <w:t>Given name identical; surname omits “-Fard” and matches alias “N. Khorasani.” SDN is Dubai-based and “known to operate through UAE-registered free zone companies” — the counterparty is a UAE free-zone company trading petrochemicals, the sector of his designation. Secondary identifiers not yet compared.</w:t>
            </w:r>
          </w:p>
        </w:tc>
        <w:tc>
          <w:tcPr>
            <w:tcW w:type="dxa" w:w="1296"/>
            <w:shd w:val="clear" w:color="auto" w:fill="FFE699"/>
          </w:tcPr>
          <w:p>
            <w:r>
              <w:rPr>
                <w:sz w:val="15"/>
              </w:rPr>
            </w:r>
            <w:r>
              <w:rPr>
                <w:sz w:val="15"/>
              </w:rPr>
              <w:t>Strong Potential Match</w:t>
            </w:r>
          </w:p>
        </w:tc>
      </w:tr>
    </w:tbl>
    <w:p>
      <w:pPr>
        <w:spacing w:after="40"/>
      </w:pPr>
    </w:p>
    <w:p>
      <w:pPr>
        <w:spacing w:after="40"/>
      </w:pPr>
      <w:r>
        <w:rPr>
          <w:b/>
        </w:rPr>
        <w:t>50% Rule analysis (Policy § 5.4)</w:t>
      </w:r>
    </w:p>
    <w:p>
      <w:pPr>
        <w:pStyle w:val="ListBullet"/>
        <w:spacing w:after="60"/>
      </w:pPr>
      <w:r>
        <w:t>Matched owners: Hosseinzadeh 65% (potential SDN, IRAN-IRGC) and Khorasani 35% (potential SDN, IRAN-NPWMD).</w:t>
      </w:r>
    </w:p>
    <w:p>
      <w:pPr>
        <w:pStyle w:val="ListBullet"/>
        <w:spacing w:after="60"/>
      </w:pPr>
      <w:r>
        <w:t xml:space="preserve">Single-person stake exceeds 50%: yes — Hosseinzadeh alone (65%). Khorasani alone (35%) does not. Aggregate of potentially blocked owners: </w:t>
      </w:r>
      <w:r>
        <w:rPr>
          <w:b/>
        </w:rPr>
        <w:t>100%</w:t>
      </w:r>
      <w:r>
        <w:t>.</w:t>
      </w:r>
    </w:p>
    <w:p>
      <w:pPr>
        <w:pStyle w:val="ListBullet"/>
        <w:spacing w:after="60"/>
      </w:pPr>
      <w:r>
        <w:t>Result: if Hosseinzadeh is confirmed the entity is blocked (Exact Match); if only Khorasani is confirmed the entity is not blocked under the 50% Rule but benefit restrictions and EDD apply (§ 5.2, Example 5); if both are confirmed blocked ownership is 100%. Either way the entity is presumptively blocked pending resolution.</w:t>
      </w:r>
    </w:p>
    <w:p>
      <w:pPr>
        <w:pStyle w:val="ListBullet"/>
        <w:spacing w:after="60"/>
      </w:pPr>
      <w:r>
        <w:t>Additional Iran exposure: even apart from the SDN analysis, the Iranian Transactions and Sanctions Regulations (31 C.F.R. Part 560) prohibit U.S. persons from dealing in Iranian-origin goods (including petroleum and petrochemicals) wherever located; origin documentation would be required for any trade.</w:t>
      </w:r>
    </w:p>
    <w:p>
      <w:pPr>
        <w:spacing w:after="40"/>
      </w:pPr>
      <w:r>
        <w:rPr>
          <w:b/>
        </w:rPr>
        <w:t>Classification and required action</w:t>
      </w:r>
    </w:p>
    <w:p>
      <w:pPr>
        <w:pStyle w:val="ListBullet"/>
        <w:spacing w:after="60"/>
      </w:pPr>
      <w:r>
        <w:t xml:space="preserve">Tier: </w:t>
      </w:r>
      <w:r>
        <w:rPr>
          <w:b/>
        </w:rPr>
        <w:t>Strong Potential Match</w:t>
      </w:r>
      <w:r>
        <w:t xml:space="preserve"> for each owner and for the counterparty. Block pending EDD; CCO within 24 hours, with concurrent GC and Halcyon Hart notice recommended. Whitmore listed this entity only as “elevated jurisdictional risk — no matches,” which is incorrect.</w:t>
      </w:r>
    </w:p>
    <w:p>
      <w:pPr>
        <w:spacing w:after="40"/>
      </w:pPr>
      <w:r>
        <w:rPr>
          <w:b/>
        </w:rPr>
        <w:t>Missing identifiers / information required to confirm or clear (Policy § 6.3)</w:t>
      </w:r>
    </w:p>
    <w:p>
      <w:pPr>
        <w:pStyle w:val="ListBullet"/>
        <w:spacing w:after="60"/>
      </w:pPr>
      <w:r>
        <w:t>Compare both passport copies on file with SDN-003/SDN-004 (DOB, nationality, passport number, Persian-script name, place of birth); obtain residence/visa history (Iran/UAE) and source of funds.</w:t>
      </w:r>
    </w:p>
    <w:p>
      <w:pPr>
        <w:pStyle w:val="ListBullet"/>
        <w:spacing w:after="60"/>
      </w:pPr>
      <w:r>
        <w:t>Obtain the free-zone licence, shareholder register and any nominee/management agreements.</w:t>
      </w:r>
    </w:p>
    <w:p>
      <w:pPr>
        <w:pStyle w:val="Heading2"/>
      </w:pPr>
      <w:r>
        <w:t>5.11 TuranTrade International LLP — NO MATCH / CLEAR</w:t>
      </w:r>
    </w:p>
    <w:tbl>
      <w:tblPr>
        <w:tblStyle w:val="TableGrid"/>
        <w:tblW w:type="auto" w:w="0"/>
        <w:tblLook w:firstColumn="1" w:firstRow="1" w:lastColumn="0" w:lastRow="0" w:noHBand="0" w:noVBand="1" w:val="04A0"/>
      </w:tblPr>
      <w:tblGrid>
        <w:gridCol w:w="4824"/>
        <w:gridCol w:w="4824"/>
      </w:tblGrid>
      <w:tr>
        <w:tc>
          <w:tcPr>
            <w:tcW w:type="dxa" w:w="2736"/>
            <w:shd w:val="clear" w:color="auto" w:fill="DCE6F1"/>
          </w:tcPr>
          <w:p>
            <w:r>
              <w:rPr>
                <w:b/>
                <w:sz w:val="17"/>
              </w:rPr>
            </w:r>
            <w:r>
              <w:rPr>
                <w:b/>
                <w:sz w:val="17"/>
              </w:rPr>
              <w:t>Entity / jurisdiction</w:t>
            </w:r>
          </w:p>
        </w:tc>
        <w:tc>
          <w:tcPr>
            <w:tcW w:type="dxa" w:w="6912"/>
          </w:tcPr>
          <w:p>
            <w:r>
              <w:rPr>
                <w:sz w:val="17"/>
              </w:rPr>
            </w:r>
            <w:r>
              <w:rPr>
                <w:sz w:val="17"/>
              </w:rPr>
              <w:t>LLP; Astana, Kazakhstan; Astana Business Registry No. 89-3321</w:t>
            </w:r>
          </w:p>
        </w:tc>
      </w:tr>
      <w:tr>
        <w:tc>
          <w:tcPr>
            <w:tcW w:type="dxa" w:w="2736"/>
            <w:shd w:val="clear" w:color="auto" w:fill="DCE6F1"/>
          </w:tcPr>
          <w:p>
            <w:r>
              <w:rPr>
                <w:b/>
                <w:sz w:val="17"/>
              </w:rPr>
            </w:r>
            <w:r>
              <w:rPr>
                <w:b/>
                <w:sz w:val="17"/>
              </w:rPr>
              <w:t>Ownership / management</w:t>
            </w:r>
          </w:p>
        </w:tc>
        <w:tc>
          <w:tcPr>
            <w:tcW w:type="dxa" w:w="6912"/>
          </w:tcPr>
          <w:p>
            <w:r>
              <w:rPr>
                <w:sz w:val="17"/>
              </w:rPr>
            </w:r>
            <w:r>
              <w:rPr>
                <w:sz w:val="17"/>
              </w:rPr>
              <w:t>Baurzhan Yessenov — director and 100% BO</w:t>
            </w:r>
          </w:p>
        </w:tc>
      </w:tr>
      <w:tr>
        <w:tc>
          <w:tcPr>
            <w:tcW w:type="dxa" w:w="2736"/>
            <w:shd w:val="clear" w:color="auto" w:fill="DCE6F1"/>
          </w:tcPr>
          <w:p>
            <w:r>
              <w:rPr>
                <w:b/>
                <w:sz w:val="17"/>
              </w:rPr>
            </w:r>
            <w:r>
              <w:rPr>
                <w:b/>
                <w:sz w:val="17"/>
              </w:rPr>
              <w:t>Business / volume</w:t>
            </w:r>
          </w:p>
        </w:tc>
        <w:tc>
          <w:tcPr>
            <w:tcW w:type="dxa" w:w="6912"/>
          </w:tcPr>
          <w:p>
            <w:r>
              <w:rPr>
                <w:sz w:val="17"/>
              </w:rPr>
            </w:r>
            <w:r>
              <w:rPr>
                <w:sz w:val="17"/>
              </w:rPr>
              <w:t>Agricultural commodities (wheat, cotton, sunflower oil); $12,000,000</w:t>
            </w:r>
          </w:p>
        </w:tc>
      </w:tr>
      <w:tr>
        <w:tc>
          <w:tcPr>
            <w:tcW w:type="dxa" w:w="2736"/>
            <w:shd w:val="clear" w:color="auto" w:fill="DCE6F1"/>
          </w:tcPr>
          <w:p>
            <w:r>
              <w:rPr>
                <w:b/>
                <w:sz w:val="17"/>
              </w:rPr>
            </w:r>
            <w:r>
              <w:rPr>
                <w:b/>
                <w:sz w:val="17"/>
              </w:rPr>
              <w:t>KYC status</w:t>
            </w:r>
          </w:p>
        </w:tc>
        <w:tc>
          <w:tcPr>
            <w:tcW w:type="dxa" w:w="6912"/>
          </w:tcPr>
          <w:p>
            <w:r>
              <w:rPr>
                <w:sz w:val="17"/>
              </w:rPr>
            </w:r>
            <w:r>
              <w:rPr>
                <w:sz w:val="17"/>
              </w:rPr>
              <w:t>Complete</w:t>
            </w:r>
          </w:p>
        </w:tc>
      </w:tr>
    </w:tbl>
    <w:p>
      <w:pPr>
        <w:spacing w:after="40"/>
      </w:pPr>
    </w:p>
    <w:p>
      <w:pPr>
        <w:spacing w:after="40"/>
      </w:pPr>
      <w:r>
        <w:rPr>
          <w:b/>
        </w:rPr>
        <w:t>Entity and registration-number screening</w:t>
      </w:r>
    </w:p>
    <w:p>
      <w:pPr>
        <w:pStyle w:val="ListBullet"/>
        <w:spacing w:after="60"/>
      </w:pPr>
      <w:r>
        <w:t>No entity-name match. CAATSA-005 Turan Military Aviation Holding AO (Kazan, Russia; defense) shares only the word “Turan”; unrelated sector, jurisdiction and identifiers (the dataset itself notes it is unrelated). SDN-077 Aral Sea Commodities LLP (Astana; Kazakh BIN 240540012345) shares only generic “Commodities”/LLP/Astana; dismissed.</w:t>
      </w:r>
    </w:p>
    <w:p>
      <w:pPr>
        <w:pStyle w:val="ListBullet"/>
        <w:spacing w:after="60"/>
      </w:pPr>
      <w:r>
        <w:t>Registry No. 89-3321 matches nothing; 12-digit BIN to be obtained for like-for-like comparison.</w:t>
      </w:r>
    </w:p>
    <w:p>
      <w:pPr>
        <w:spacing w:after="40"/>
      </w:pPr>
      <w:r>
        <w:rPr>
          <w:b/>
        </w:rPr>
        <w:t>Individual screening (directors, officers, beneficial owners)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584"/>
            <w:shd w:val="clear" w:color="auto" w:fill="1F3A5F"/>
          </w:tcPr>
          <w:p>
            <w:r>
              <w:rPr>
                <w:b/>
                <w:color w:val="FFFFFF"/>
                <w:sz w:val="15"/>
              </w:rPr>
            </w:r>
            <w:r>
              <w:rPr>
                <w:b/>
                <w:color w:val="FFFFFF"/>
                <w:sz w:val="15"/>
              </w:rPr>
              <w:t>Person</w:t>
            </w:r>
          </w:p>
        </w:tc>
        <w:tc>
          <w:tcPr>
            <w:tcW w:type="dxa" w:w="1296"/>
            <w:shd w:val="clear" w:color="auto" w:fill="1F3A5F"/>
          </w:tcPr>
          <w:p>
            <w:r>
              <w:rPr>
                <w:b/>
                <w:color w:val="FFFFFF"/>
                <w:sz w:val="15"/>
              </w:rPr>
            </w:r>
            <w:r>
              <w:rPr>
                <w:b/>
                <w:color w:val="FFFFFF"/>
                <w:sz w:val="15"/>
              </w:rPr>
              <w:t>Role / ownership</w:t>
            </w:r>
          </w:p>
        </w:tc>
        <w:tc>
          <w:tcPr>
            <w:tcW w:type="dxa" w:w="2016"/>
            <w:shd w:val="clear" w:color="auto" w:fill="1F3A5F"/>
          </w:tcPr>
          <w:p>
            <w:r>
              <w:rPr>
                <w:b/>
                <w:color w:val="FFFFFF"/>
                <w:sz w:val="15"/>
              </w:rPr>
            </w:r>
            <w:r>
              <w:rPr>
                <w:b/>
                <w:color w:val="FFFFFF"/>
                <w:sz w:val="15"/>
              </w:rPr>
              <w:t>Closest Reference Dataset entry</w:t>
            </w:r>
          </w:p>
        </w:tc>
        <w:tc>
          <w:tcPr>
            <w:tcW w:type="dxa" w:w="3888"/>
            <w:shd w:val="clear" w:color="auto" w:fill="1F3A5F"/>
          </w:tcPr>
          <w:p>
            <w:r>
              <w:rPr>
                <w:b/>
                <w:color w:val="FFFFFF"/>
                <w:sz w:val="15"/>
              </w:rPr>
            </w:r>
            <w:r>
              <w:rPr>
                <w:b/>
                <w:color w:val="FFFFFF"/>
                <w:sz w:val="15"/>
              </w:rPr>
              <w:t>Comparison of identifiers</w:t>
            </w:r>
          </w:p>
        </w:tc>
        <w:tc>
          <w:tcPr>
            <w:tcW w:type="dxa" w:w="1296"/>
            <w:shd w:val="clear" w:color="auto" w:fill="1F3A5F"/>
          </w:tcPr>
          <w:p>
            <w:r>
              <w:rPr>
                <w:b/>
                <w:color w:val="FFFFFF"/>
                <w:sz w:val="15"/>
              </w:rPr>
            </w:r>
            <w:r>
              <w:rPr>
                <w:b/>
                <w:color w:val="FFFFFF"/>
                <w:sz w:val="15"/>
              </w:rPr>
              <w:t>Individual tier</w:t>
            </w:r>
          </w:p>
        </w:tc>
      </w:tr>
      <w:tr>
        <w:tc>
          <w:tcPr>
            <w:tcW w:type="dxa" w:w="1584"/>
          </w:tcPr>
          <w:p>
            <w:r>
              <w:rPr>
                <w:sz w:val="15"/>
              </w:rPr>
            </w:r>
            <w:r>
              <w:rPr>
                <w:sz w:val="15"/>
              </w:rPr>
              <w:t>Baurzhan Yessenov</w:t>
            </w:r>
          </w:p>
        </w:tc>
        <w:tc>
          <w:tcPr>
            <w:tcW w:type="dxa" w:w="1296"/>
          </w:tcPr>
          <w:p>
            <w:r>
              <w:rPr>
                <w:sz w:val="15"/>
              </w:rPr>
            </w:r>
            <w:r>
              <w:rPr>
                <w:sz w:val="15"/>
              </w:rPr>
              <w:t>Director; 100% BO</w:t>
            </w:r>
          </w:p>
        </w:tc>
        <w:tc>
          <w:tcPr>
            <w:tcW w:type="dxa" w:w="2016"/>
          </w:tcPr>
          <w:p>
            <w:r>
              <w:rPr>
                <w:sz w:val="15"/>
              </w:rPr>
            </w:r>
            <w:r>
              <w:rPr>
                <w:sz w:val="15"/>
              </w:rPr>
              <w:t>No match (Kazakh individuals in dataset: Zhalgas Omarov; key persons Ruslan Temirgaliyev, Nurlan Sarsenbayev, Dauren Suleimenov)</w:t>
            </w:r>
          </w:p>
        </w:tc>
        <w:tc>
          <w:tcPr>
            <w:tcW w:type="dxa" w:w="3888"/>
          </w:tcPr>
          <w:p>
            <w:r>
              <w:rPr>
                <w:sz w:val="15"/>
              </w:rPr>
            </w:r>
            <w:r>
              <w:rPr>
                <w:sz w:val="15"/>
              </w:rPr>
              <w:t>No similar name.</w:t>
            </w:r>
          </w:p>
        </w:tc>
        <w:tc>
          <w:tcPr>
            <w:tcW w:type="dxa" w:w="1296"/>
            <w:shd w:val="clear" w:color="auto" w:fill="C6E0B4"/>
          </w:tcPr>
          <w:p>
            <w:r>
              <w:rPr>
                <w:sz w:val="15"/>
              </w:rPr>
            </w:r>
            <w:r>
              <w:rPr>
                <w:sz w:val="15"/>
              </w:rPr>
              <w:t>No Match</w:t>
            </w:r>
          </w:p>
        </w:tc>
      </w:tr>
    </w:tbl>
    <w:p>
      <w:pPr>
        <w:spacing w:after="40"/>
      </w:pPr>
    </w:p>
    <w:p>
      <w:pPr>
        <w:spacing w:after="40"/>
      </w:pPr>
      <w:r>
        <w:rPr>
          <w:b/>
        </w:rPr>
        <w:t>Classification and required action</w:t>
      </w:r>
    </w:p>
    <w:p>
      <w:pPr>
        <w:pStyle w:val="ListBullet"/>
        <w:spacing w:after="60"/>
      </w:pPr>
      <w:r>
        <w:t xml:space="preserve">Tier: </w:t>
      </w:r>
      <w:r>
        <w:rPr>
          <w:b/>
        </w:rPr>
        <w:t>No Match / Clear</w:t>
      </w:r>
      <w:r>
        <w:t>; subject to the GC portfolio hold. Recommend origin due diligence (Russian-origin agricultural goods transshipped via Kazakhstan — the typology of SDN-077).</w:t>
      </w:r>
    </w:p>
    <w:p>
      <w:pPr>
        <w:spacing w:after="40"/>
      </w:pPr>
      <w:r>
        <w:rPr>
          <w:b/>
        </w:rPr>
        <w:t>Missing identifiers / information required to confirm or clear (Policy § 6.3)</w:t>
      </w:r>
    </w:p>
    <w:p>
      <w:pPr>
        <w:pStyle w:val="ListBullet"/>
        <w:spacing w:after="60"/>
      </w:pPr>
      <w:r>
        <w:t>BIN (housekeeping).</w:t>
      </w:r>
    </w:p>
    <w:p>
      <w:pPr>
        <w:pStyle w:val="Heading2"/>
      </w:pPr>
      <w:r>
        <w:t>5.12 Bosphorus Maritime Enterprises Ltd. — EXACT MATCH (BLOCKED) — NOT IDENTIFIED IN ONBOARDING NOTES OR WHITMORE MEMO</w:t>
      </w:r>
    </w:p>
    <w:tbl>
      <w:tblPr>
        <w:tblStyle w:val="TableGrid"/>
        <w:tblW w:type="auto" w:w="0"/>
        <w:tblLook w:firstColumn="1" w:firstRow="1" w:lastColumn="0" w:lastRow="0" w:noHBand="0" w:noVBand="1" w:val="04A0"/>
      </w:tblPr>
      <w:tblGrid>
        <w:gridCol w:w="4824"/>
        <w:gridCol w:w="4824"/>
      </w:tblGrid>
      <w:tr>
        <w:tc>
          <w:tcPr>
            <w:tcW w:type="dxa" w:w="2736"/>
            <w:shd w:val="clear" w:color="auto" w:fill="DCE6F1"/>
          </w:tcPr>
          <w:p>
            <w:r>
              <w:rPr>
                <w:b/>
                <w:sz w:val="17"/>
              </w:rPr>
            </w:r>
            <w:r>
              <w:rPr>
                <w:b/>
                <w:sz w:val="17"/>
              </w:rPr>
              <w:t>Entity / jurisdiction</w:t>
            </w:r>
          </w:p>
        </w:tc>
        <w:tc>
          <w:tcPr>
            <w:tcW w:type="dxa" w:w="6912"/>
          </w:tcPr>
          <w:p>
            <w:r>
              <w:rPr>
                <w:sz w:val="17"/>
              </w:rPr>
            </w:r>
            <w:r>
              <w:rPr>
                <w:sz w:val="17"/>
              </w:rPr>
              <w:t xml:space="preserve">“Ltd. (Turkish)”; Istanbul, Turkey; </w:t>
            </w:r>
            <w:r>
              <w:rPr>
                <w:b/>
                <w:sz w:val="17"/>
              </w:rPr>
              <w:t>Turkish Trade Registry No. 891234</w:t>
            </w:r>
          </w:p>
        </w:tc>
      </w:tr>
      <w:tr>
        <w:tc>
          <w:tcPr>
            <w:tcW w:type="dxa" w:w="2736"/>
            <w:shd w:val="clear" w:color="auto" w:fill="DCE6F1"/>
          </w:tcPr>
          <w:p>
            <w:r>
              <w:rPr>
                <w:b/>
                <w:sz w:val="17"/>
              </w:rPr>
            </w:r>
            <w:r>
              <w:rPr>
                <w:b/>
                <w:sz w:val="17"/>
              </w:rPr>
              <w:t>Ownership / management</w:t>
            </w:r>
          </w:p>
        </w:tc>
        <w:tc>
          <w:tcPr>
            <w:tcW w:type="dxa" w:w="6912"/>
          </w:tcPr>
          <w:p>
            <w:r>
              <w:rPr>
                <w:sz w:val="17"/>
              </w:rPr>
            </w:r>
            <w:r>
              <w:rPr>
                <w:sz w:val="17"/>
              </w:rPr>
              <w:t>Kemal Arslanoğlu — director, 60%; Osman Demir — 40%</w:t>
            </w:r>
          </w:p>
        </w:tc>
      </w:tr>
      <w:tr>
        <w:tc>
          <w:tcPr>
            <w:tcW w:type="dxa" w:w="2736"/>
            <w:shd w:val="clear" w:color="auto" w:fill="DCE6F1"/>
          </w:tcPr>
          <w:p>
            <w:r>
              <w:rPr>
                <w:b/>
                <w:sz w:val="17"/>
              </w:rPr>
            </w:r>
            <w:r>
              <w:rPr>
                <w:b/>
                <w:sz w:val="17"/>
              </w:rPr>
              <w:t>Business / volume</w:t>
            </w:r>
          </w:p>
        </w:tc>
        <w:tc>
          <w:tcPr>
            <w:tcW w:type="dxa" w:w="6912"/>
          </w:tcPr>
          <w:p>
            <w:r>
              <w:rPr>
                <w:sz w:val="17"/>
              </w:rPr>
            </w:r>
            <w:r>
              <w:rPr>
                <w:sz w:val="17"/>
              </w:rPr>
              <w:t>Maritime shipping brokerage (petroleum, dry bulk); $8,000,000 (smallest counterparty)</w:t>
            </w:r>
          </w:p>
        </w:tc>
      </w:tr>
      <w:tr>
        <w:tc>
          <w:tcPr>
            <w:tcW w:type="dxa" w:w="2736"/>
            <w:shd w:val="clear" w:color="auto" w:fill="DCE6F1"/>
          </w:tcPr>
          <w:p>
            <w:r>
              <w:rPr>
                <w:b/>
                <w:sz w:val="17"/>
              </w:rPr>
            </w:r>
            <w:r>
              <w:rPr>
                <w:b/>
                <w:sz w:val="17"/>
              </w:rPr>
              <w:t>KYC status</w:t>
            </w:r>
          </w:p>
        </w:tc>
        <w:tc>
          <w:tcPr>
            <w:tcW w:type="dxa" w:w="6912"/>
          </w:tcPr>
          <w:p>
            <w:r>
              <w:rPr>
                <w:sz w:val="17"/>
              </w:rPr>
            </w:r>
            <w:r>
              <w:rPr>
                <w:sz w:val="17"/>
              </w:rPr>
              <w:t>Complete; maritime authority registration received; onboarding note: “No open items … no specific name/identifier match”</w:t>
            </w:r>
          </w:p>
        </w:tc>
      </w:tr>
    </w:tbl>
    <w:p>
      <w:pPr>
        <w:spacing w:after="40"/>
      </w:pPr>
    </w:p>
    <w:p>
      <w:pPr>
        <w:spacing w:after="40"/>
      </w:pPr>
      <w:r>
        <w:rPr>
          <w:b/>
        </w:rPr>
        <w:t>Entity and registration-number screening</w:t>
      </w:r>
    </w:p>
    <w:p>
      <w:pPr>
        <w:pStyle w:val="ListBullet"/>
        <w:spacing w:after="60"/>
      </w:pPr>
      <w:r>
        <w:rPr>
          <w:b/>
        </w:rPr>
        <w:t>Turkish Trade Registry No. 891234 is identical to SDN-039 Bosphorus Freight Services AŞ</w:t>
      </w:r>
      <w:r>
        <w:t xml:space="preserve"> (alias “Bosphorus Freight”; Istanbul; RUSSIA-EO14024; designated Aug. 20, 2024 for freight and shipping services facilitating Russian sanctions evasion through Turkish ports; CEO Hakan Özdemir; vessel M/V Bosphorus Carrier, IMO 9456790).</w:t>
      </w:r>
    </w:p>
    <w:p>
      <w:pPr>
        <w:pStyle w:val="ListBullet"/>
        <w:spacing w:after="60"/>
      </w:pPr>
      <w:r>
        <w:t>Under Policy § 4.1(2) and § 4.3 (which expressly lists Turkish Trade Registry numbers), a matching registration number is a conclusive identifier “even where entity names differ,” including name changes, trade names or different suffixes; § 6.2 classifies a matching unique registration number as an Exact Match. Corroboration: shared distinctive name element “Bosphorus,” same city (Istanbul), same sector (maritime freight/shipping brokerage, including petroleum). A change of name, legal form (A.Ş. vs “Ltd.”) and management after designation is a recognized evasion pattern.</w:t>
      </w:r>
    </w:p>
    <w:p>
      <w:pPr>
        <w:pStyle w:val="ListBullet"/>
        <w:spacing w:after="60"/>
      </w:pPr>
      <w:r>
        <w:t>Caveat for the file: Turkish trade registry numbers are issued by local registry offices; both records here are Istanbul, which strengthens rather than weakens the identification. The 16-digit MERSİS number and trade registry gazette history should be obtained to document the identity, but they cannot clear the match under the Policy.</w:t>
      </w:r>
    </w:p>
    <w:p>
      <w:pPr>
        <w:spacing w:after="40"/>
      </w:pPr>
      <w:r>
        <w:rPr>
          <w:b/>
        </w:rPr>
        <w:t>Individual screening (directors, officers, beneficial owners)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584"/>
            <w:shd w:val="clear" w:color="auto" w:fill="1F3A5F"/>
          </w:tcPr>
          <w:p>
            <w:r>
              <w:rPr>
                <w:b/>
                <w:color w:val="FFFFFF"/>
                <w:sz w:val="15"/>
              </w:rPr>
            </w:r>
            <w:r>
              <w:rPr>
                <w:b/>
                <w:color w:val="FFFFFF"/>
                <w:sz w:val="15"/>
              </w:rPr>
              <w:t>Person</w:t>
            </w:r>
          </w:p>
        </w:tc>
        <w:tc>
          <w:tcPr>
            <w:tcW w:type="dxa" w:w="1296"/>
            <w:shd w:val="clear" w:color="auto" w:fill="1F3A5F"/>
          </w:tcPr>
          <w:p>
            <w:r>
              <w:rPr>
                <w:b/>
                <w:color w:val="FFFFFF"/>
                <w:sz w:val="15"/>
              </w:rPr>
            </w:r>
            <w:r>
              <w:rPr>
                <w:b/>
                <w:color w:val="FFFFFF"/>
                <w:sz w:val="15"/>
              </w:rPr>
              <w:t>Role / ownership</w:t>
            </w:r>
          </w:p>
        </w:tc>
        <w:tc>
          <w:tcPr>
            <w:tcW w:type="dxa" w:w="2016"/>
            <w:shd w:val="clear" w:color="auto" w:fill="1F3A5F"/>
          </w:tcPr>
          <w:p>
            <w:r>
              <w:rPr>
                <w:b/>
                <w:color w:val="FFFFFF"/>
                <w:sz w:val="15"/>
              </w:rPr>
            </w:r>
            <w:r>
              <w:rPr>
                <w:b/>
                <w:color w:val="FFFFFF"/>
                <w:sz w:val="15"/>
              </w:rPr>
              <w:t>Closest Reference Dataset entry</w:t>
            </w:r>
          </w:p>
        </w:tc>
        <w:tc>
          <w:tcPr>
            <w:tcW w:type="dxa" w:w="3888"/>
            <w:shd w:val="clear" w:color="auto" w:fill="1F3A5F"/>
          </w:tcPr>
          <w:p>
            <w:r>
              <w:rPr>
                <w:b/>
                <w:color w:val="FFFFFF"/>
                <w:sz w:val="15"/>
              </w:rPr>
            </w:r>
            <w:r>
              <w:rPr>
                <w:b/>
                <w:color w:val="FFFFFF"/>
                <w:sz w:val="15"/>
              </w:rPr>
              <w:t>Comparison of identifiers</w:t>
            </w:r>
          </w:p>
        </w:tc>
        <w:tc>
          <w:tcPr>
            <w:tcW w:type="dxa" w:w="1296"/>
            <w:shd w:val="clear" w:color="auto" w:fill="1F3A5F"/>
          </w:tcPr>
          <w:p>
            <w:r>
              <w:rPr>
                <w:b/>
                <w:color w:val="FFFFFF"/>
                <w:sz w:val="15"/>
              </w:rPr>
            </w:r>
            <w:r>
              <w:rPr>
                <w:b/>
                <w:color w:val="FFFFFF"/>
                <w:sz w:val="15"/>
              </w:rPr>
              <w:t>Individual tier</w:t>
            </w:r>
          </w:p>
        </w:tc>
      </w:tr>
      <w:tr>
        <w:tc>
          <w:tcPr>
            <w:tcW w:type="dxa" w:w="1584"/>
          </w:tcPr>
          <w:p>
            <w:r>
              <w:rPr>
                <w:sz w:val="15"/>
              </w:rPr>
            </w:r>
            <w:r>
              <w:rPr>
                <w:sz w:val="15"/>
              </w:rPr>
              <w:t>Kemal Arslanoğlu</w:t>
            </w:r>
          </w:p>
        </w:tc>
        <w:tc>
          <w:tcPr>
            <w:tcW w:type="dxa" w:w="1296"/>
          </w:tcPr>
          <w:p>
            <w:r>
              <w:rPr>
                <w:sz w:val="15"/>
              </w:rPr>
            </w:r>
            <w:r>
              <w:rPr>
                <w:sz w:val="15"/>
              </w:rPr>
              <w:t>Director; 60%</w:t>
            </w:r>
          </w:p>
        </w:tc>
        <w:tc>
          <w:tcPr>
            <w:tcW w:type="dxa" w:w="2016"/>
          </w:tcPr>
          <w:p>
            <w:r>
              <w:rPr>
                <w:sz w:val="15"/>
              </w:rPr>
            </w:r>
            <w:r>
              <w:rPr>
                <w:sz w:val="15"/>
              </w:rPr>
              <w:t>Nearest: SDN-019 key person Kemal Yıldırım</w:t>
            </w:r>
          </w:p>
        </w:tc>
        <w:tc>
          <w:tcPr>
            <w:tcW w:type="dxa" w:w="3888"/>
          </w:tcPr>
          <w:p>
            <w:r>
              <w:rPr>
                <w:sz w:val="15"/>
              </w:rPr>
            </w:r>
            <w:r>
              <w:rPr>
                <w:sz w:val="15"/>
              </w:rPr>
              <w:t>Given name only; surname differs (checked with/without Turkish characters: Arslanoglu). Not an individual match.</w:t>
            </w:r>
          </w:p>
        </w:tc>
        <w:tc>
          <w:tcPr>
            <w:tcW w:type="dxa" w:w="1296"/>
            <w:shd w:val="clear" w:color="auto" w:fill="C6E0B4"/>
          </w:tcPr>
          <w:p>
            <w:r>
              <w:rPr>
                <w:sz w:val="15"/>
              </w:rPr>
            </w:r>
            <w:r>
              <w:rPr>
                <w:sz w:val="15"/>
              </w:rPr>
              <w:t>No Match</w:t>
            </w:r>
          </w:p>
        </w:tc>
      </w:tr>
      <w:tr>
        <w:tc>
          <w:tcPr>
            <w:tcW w:type="dxa" w:w="1584"/>
          </w:tcPr>
          <w:p>
            <w:r>
              <w:rPr>
                <w:sz w:val="15"/>
              </w:rPr>
            </w:r>
            <w:r>
              <w:rPr>
                <w:sz w:val="15"/>
              </w:rPr>
              <w:t>Osman Demir</w:t>
            </w:r>
          </w:p>
        </w:tc>
        <w:tc>
          <w:tcPr>
            <w:tcW w:type="dxa" w:w="1296"/>
          </w:tcPr>
          <w:p>
            <w:r>
              <w:rPr>
                <w:sz w:val="15"/>
              </w:rPr>
            </w:r>
            <w:r>
              <w:rPr>
                <w:sz w:val="15"/>
              </w:rPr>
              <w:t>BO; 40%</w:t>
            </w:r>
          </w:p>
        </w:tc>
        <w:tc>
          <w:tcPr>
            <w:tcW w:type="dxa" w:w="2016"/>
          </w:tcPr>
          <w:p>
            <w:r>
              <w:rPr>
                <w:sz w:val="15"/>
              </w:rPr>
            </w:r>
            <w:r>
              <w:rPr>
                <w:sz w:val="15"/>
              </w:rPr>
              <w:t>SDN-060 Ismail Demir (CAATSA-EO; Turkish; DOB Apr. 12, 1982; Ankara)</w:t>
            </w:r>
          </w:p>
        </w:tc>
        <w:tc>
          <w:tcPr>
            <w:tcW w:type="dxa" w:w="3888"/>
          </w:tcPr>
          <w:p>
            <w:r>
              <w:rPr>
                <w:sz w:val="15"/>
              </w:rPr>
            </w:r>
            <w:r>
              <w:rPr>
                <w:sz w:val="15"/>
              </w:rPr>
              <w:t>Surname only; “Demir” is among the most common Turkish surnames; given name differs; no corroborating identifier.</w:t>
            </w:r>
          </w:p>
        </w:tc>
        <w:tc>
          <w:tcPr>
            <w:tcW w:type="dxa" w:w="1296"/>
            <w:shd w:val="clear" w:color="auto" w:fill="FFF2CC"/>
          </w:tcPr>
          <w:p>
            <w:r>
              <w:rPr>
                <w:sz w:val="15"/>
              </w:rPr>
            </w:r>
            <w:r>
              <w:rPr>
                <w:sz w:val="15"/>
              </w:rPr>
              <w:t>Weak Potential Match (individual)</w:t>
            </w:r>
          </w:p>
        </w:tc>
      </w:tr>
    </w:tbl>
    <w:p>
      <w:pPr>
        <w:spacing w:after="40"/>
      </w:pPr>
    </w:p>
    <w:p>
      <w:pPr>
        <w:spacing w:after="40"/>
      </w:pPr>
      <w:r>
        <w:rPr>
          <w:b/>
        </w:rPr>
        <w:t>50% Rule analysis (Policy § 5.4)</w:t>
      </w:r>
    </w:p>
    <w:p>
      <w:pPr>
        <w:pStyle w:val="ListBullet"/>
        <w:spacing w:after="60"/>
      </w:pPr>
      <w:r>
        <w:t>No beneficial owner is an individual match (Osman Demir is a weak surname hit only), so the ownership-based 50% Rule is not the operative ground.</w:t>
      </w:r>
    </w:p>
    <w:p>
      <w:pPr>
        <w:pStyle w:val="ListBullet"/>
        <w:spacing w:after="60"/>
      </w:pPr>
      <w:r>
        <w:t xml:space="preserve">The entity is blocked because it </w:t>
      </w:r>
      <w:r>
        <w:rPr>
          <w:b/>
        </w:rPr>
        <w:t>is</w:t>
      </w:r>
      <w:r>
        <w:t xml:space="preserve"> SDN-039 as established by the registration number. Neither disclosed owner appears in the SDN-039 entry; the current ownership disclosure should be treated with scepticism (possible post-designation restructuring or nominee holders).</w:t>
      </w:r>
    </w:p>
    <w:p>
      <w:pPr>
        <w:spacing w:after="40"/>
      </w:pPr>
      <w:r>
        <w:rPr>
          <w:b/>
        </w:rPr>
        <w:t>Classification and required action</w:t>
      </w:r>
    </w:p>
    <w:p>
      <w:pPr>
        <w:pStyle w:val="ListBullet"/>
        <w:spacing w:after="60"/>
      </w:pPr>
      <w:r>
        <w:t xml:space="preserve">Tier: </w:t>
      </w:r>
      <w:r>
        <w:rPr>
          <w:b/>
        </w:rPr>
        <w:t>Exact Match</w:t>
      </w:r>
      <w:r>
        <w:t>. Automatic block; GC same business day; CEO within 24 hours; Halcyon Hart LLP; reporting review (Policy § 7.3). The Whitmore memo’s “Standard Risk (No Preliminary Flags)” grouping and the onboarding note must be corrected; this demonstrates why Policy § 8.2 forbids reliance on external clearances.</w:t>
      </w:r>
    </w:p>
    <w:p>
      <w:pPr>
        <w:spacing w:after="40"/>
      </w:pPr>
      <w:r>
        <w:rPr>
          <w:b/>
        </w:rPr>
        <w:t>Missing identifiers / information required to confirm or clear (Policy § 6.3)</w:t>
      </w:r>
    </w:p>
    <w:p>
      <w:pPr>
        <w:pStyle w:val="ListBullet"/>
        <w:spacing w:after="60"/>
      </w:pPr>
      <w:r>
        <w:t>MERSİS number, trade registry gazette history (name changes, mergers, prior names), shareholder history since 2024; list of vessels brokered/operated, to be screened against M/V Bosphorus Carrier (IMO 9456790) and all SDN vessels.</w:t>
      </w:r>
    </w:p>
    <w:p>
      <w:pPr>
        <w:pStyle w:val="ListBullet"/>
        <w:spacing w:after="60"/>
      </w:pPr>
      <w:r>
        <w:t>Osman Demir DOB and passport (to close the weak individual hit for the record).</w:t>
      </w:r>
    </w:p>
    <w:p>
      <w:pPr>
        <w:pStyle w:val="Heading2"/>
      </w:pPr>
      <w:r>
        <w:t>5.13 Novaya Energetika OOO — STRONG POTENTIAL MATCH (SSI DIRECTIVE 2)</w:t>
      </w:r>
    </w:p>
    <w:tbl>
      <w:tblPr>
        <w:tblStyle w:val="TableGrid"/>
        <w:tblW w:type="auto" w:w="0"/>
        <w:tblLook w:firstColumn="1" w:firstRow="1" w:lastColumn="0" w:lastRow="0" w:noHBand="0" w:noVBand="1" w:val="04A0"/>
      </w:tblPr>
      <w:tblGrid>
        <w:gridCol w:w="4824"/>
        <w:gridCol w:w="4824"/>
      </w:tblGrid>
      <w:tr>
        <w:tc>
          <w:tcPr>
            <w:tcW w:type="dxa" w:w="2736"/>
            <w:shd w:val="clear" w:color="auto" w:fill="DCE6F1"/>
          </w:tcPr>
          <w:p>
            <w:r>
              <w:rPr>
                <w:b/>
                <w:sz w:val="17"/>
              </w:rPr>
            </w:r>
            <w:r>
              <w:rPr>
                <w:b/>
                <w:sz w:val="17"/>
              </w:rPr>
              <w:t>Entity / jurisdiction</w:t>
            </w:r>
          </w:p>
        </w:tc>
        <w:tc>
          <w:tcPr>
            <w:tcW w:type="dxa" w:w="6912"/>
          </w:tcPr>
          <w:p>
            <w:r>
              <w:rPr>
                <w:sz w:val="17"/>
              </w:rPr>
            </w:r>
            <w:r>
              <w:rPr>
                <w:sz w:val="17"/>
              </w:rPr>
              <w:t>OOO; St. Petersburg, Russia; OGRN 1197847098765</w:t>
            </w:r>
          </w:p>
        </w:tc>
      </w:tr>
      <w:tr>
        <w:tc>
          <w:tcPr>
            <w:tcW w:type="dxa" w:w="2736"/>
            <w:shd w:val="clear" w:color="auto" w:fill="DCE6F1"/>
          </w:tcPr>
          <w:p>
            <w:r>
              <w:rPr>
                <w:b/>
                <w:sz w:val="17"/>
              </w:rPr>
            </w:r>
            <w:r>
              <w:rPr>
                <w:b/>
                <w:sz w:val="17"/>
              </w:rPr>
              <w:t>Ownership / management</w:t>
            </w:r>
          </w:p>
        </w:tc>
        <w:tc>
          <w:tcPr>
            <w:tcW w:type="dxa" w:w="6912"/>
          </w:tcPr>
          <w:p>
            <w:r>
              <w:rPr>
                <w:sz w:val="17"/>
              </w:rPr>
            </w:r>
            <w:r>
              <w:rPr>
                <w:sz w:val="17"/>
              </w:rPr>
              <w:t>Aleksei Igorevich Drozdov — director, 90%; Irina Drozdova — 10%</w:t>
            </w:r>
          </w:p>
        </w:tc>
      </w:tr>
      <w:tr>
        <w:tc>
          <w:tcPr>
            <w:tcW w:type="dxa" w:w="2736"/>
            <w:shd w:val="clear" w:color="auto" w:fill="DCE6F1"/>
          </w:tcPr>
          <w:p>
            <w:r>
              <w:rPr>
                <w:b/>
                <w:sz w:val="17"/>
              </w:rPr>
            </w:r>
            <w:r>
              <w:rPr>
                <w:b/>
                <w:sz w:val="17"/>
              </w:rPr>
              <w:t>Business / volume</w:t>
            </w:r>
          </w:p>
        </w:tc>
        <w:tc>
          <w:tcPr>
            <w:tcW w:type="dxa" w:w="6912"/>
          </w:tcPr>
          <w:p>
            <w:r>
              <w:rPr>
                <w:sz w:val="17"/>
              </w:rPr>
            </w:r>
            <w:r>
              <w:rPr>
                <w:sz w:val="17"/>
              </w:rPr>
              <w:t>Petroleum refining and export (refined products); $34,000,000</w:t>
            </w:r>
          </w:p>
        </w:tc>
      </w:tr>
      <w:tr>
        <w:tc>
          <w:tcPr>
            <w:tcW w:type="dxa" w:w="2736"/>
            <w:shd w:val="clear" w:color="auto" w:fill="DCE6F1"/>
          </w:tcPr>
          <w:p>
            <w:r>
              <w:rPr>
                <w:b/>
                <w:sz w:val="17"/>
              </w:rPr>
            </w:r>
            <w:r>
              <w:rPr>
                <w:b/>
                <w:sz w:val="17"/>
              </w:rPr>
              <w:t>Bank</w:t>
            </w:r>
          </w:p>
        </w:tc>
        <w:tc>
          <w:tcPr>
            <w:tcW w:type="dxa" w:w="6912"/>
          </w:tcPr>
          <w:p>
            <w:r>
              <w:rPr>
                <w:sz w:val="17"/>
              </w:rPr>
            </w:r>
            <w:r>
              <w:rPr>
                <w:sz w:val="17"/>
              </w:rPr>
              <w:t>Neva Industrial Bank, Russia (NEVARUMMXXX)</w:t>
            </w:r>
          </w:p>
        </w:tc>
      </w:tr>
      <w:tr>
        <w:tc>
          <w:tcPr>
            <w:tcW w:type="dxa" w:w="2736"/>
            <w:shd w:val="clear" w:color="auto" w:fill="DCE6F1"/>
          </w:tcPr>
          <w:p>
            <w:r>
              <w:rPr>
                <w:b/>
                <w:sz w:val="17"/>
              </w:rPr>
            </w:r>
            <w:r>
              <w:rPr>
                <w:b/>
                <w:sz w:val="17"/>
              </w:rPr>
              <w:t>KYC status</w:t>
            </w:r>
          </w:p>
        </w:tc>
        <w:tc>
          <w:tcPr>
            <w:tcW w:type="dxa" w:w="6912"/>
          </w:tcPr>
          <w:p>
            <w:r>
              <w:rPr>
                <w:sz w:val="17"/>
              </w:rPr>
            </w:r>
            <w:r>
              <w:rPr>
                <w:sz w:val="17"/>
              </w:rPr>
              <w:t>Substantially Complete; Drozdov passport copy received (DOB “not separately confirmed”); DOB requested May 22, 2025</w:t>
            </w:r>
          </w:p>
        </w:tc>
      </w:tr>
    </w:tbl>
    <w:p>
      <w:pPr>
        <w:spacing w:after="40"/>
      </w:pPr>
    </w:p>
    <w:p>
      <w:pPr>
        <w:spacing w:after="40"/>
      </w:pPr>
      <w:r>
        <w:rPr>
          <w:b/>
        </w:rPr>
        <w:t>Entity and registration-number screening</w:t>
      </w:r>
    </w:p>
    <w:p>
      <w:pPr>
        <w:pStyle w:val="ListBullet"/>
        <w:spacing w:after="60"/>
      </w:pPr>
      <w:r>
        <w:t xml:space="preserve">Entity name resembles </w:t>
      </w:r>
      <w:r>
        <w:rPr>
          <w:b/>
        </w:rPr>
        <w:t>SSI-003 Novaya Energetika PAO</w:t>
      </w:r>
      <w:r>
        <w:t xml:space="preserve"> (aliases “New Energy PAO”; Directive 4; Moscow; </w:t>
      </w:r>
      <w:r>
        <w:rPr>
          <w:b/>
        </w:rPr>
        <w:t>OGRN 1037700098765</w:t>
      </w:r>
      <w:r>
        <w:t xml:space="preserve">). The counterparty’s </w:t>
      </w:r>
      <w:r>
        <w:rPr>
          <w:b/>
        </w:rPr>
        <w:t>OGRN 1197847098765 is different</w:t>
      </w:r>
      <w:r>
        <w:t>. The two numbers share only their final six digits (098765); the OGRN structure indicates different registration years and regions (the “78” region code denotes St. Petersburg, “77” Moscow). The counterparty is therefore a different legal entity from SSI-003; the different suffix (OOO vs PAO) and city alone would not have sufficed to distinguish it (Policy §§ 4.2, 9.1), but the non-matching OGRN does.</w:t>
      </w:r>
    </w:p>
    <w:p>
      <w:pPr>
        <w:pStyle w:val="ListBullet"/>
        <w:spacing w:after="60"/>
      </w:pPr>
      <w:r>
        <w:t>Residual affiliate risk: SSI-003’s subsidiaries are listed as Novaya Energetika Exploration OOO and Arktik Shelf Drilling ZAO, and the SSI-003 entry flags that similarly named OOO entities “may be related subsidiaries.” If SSI-003 owned 50% or more of the counterparty, Directive 4 restrictions would extend to it. The disclosed ownership (Drozdov 90%, Drozdova 10%) shows no PAO interest; that disclosure must be verified against the EGRUL extract.</w:t>
      </w:r>
    </w:p>
    <w:p>
      <w:pPr>
        <w:pStyle w:val="ListBullet"/>
        <w:spacing w:after="60"/>
      </w:pPr>
      <w:r>
        <w:t xml:space="preserve">Per Policy § 5.3, the counterparty is </w:t>
      </w:r>
      <w:r>
        <w:rPr>
          <w:b/>
        </w:rPr>
        <w:t>not</w:t>
      </w:r>
      <w:r>
        <w:t xml:space="preserve"> subject to SSI-003’s Directive 4 restrictions merely because of the similar name.</w:t>
      </w:r>
    </w:p>
    <w:p>
      <w:pPr>
        <w:spacing w:after="40"/>
      </w:pPr>
      <w:r>
        <w:rPr>
          <w:b/>
        </w:rPr>
        <w:t>Individual screening (directors, officers, beneficial owners)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584"/>
            <w:shd w:val="clear" w:color="auto" w:fill="1F3A5F"/>
          </w:tcPr>
          <w:p>
            <w:r>
              <w:rPr>
                <w:b/>
                <w:color w:val="FFFFFF"/>
                <w:sz w:val="15"/>
              </w:rPr>
            </w:r>
            <w:r>
              <w:rPr>
                <w:b/>
                <w:color w:val="FFFFFF"/>
                <w:sz w:val="15"/>
              </w:rPr>
              <w:t>Person</w:t>
            </w:r>
          </w:p>
        </w:tc>
        <w:tc>
          <w:tcPr>
            <w:tcW w:type="dxa" w:w="1296"/>
            <w:shd w:val="clear" w:color="auto" w:fill="1F3A5F"/>
          </w:tcPr>
          <w:p>
            <w:r>
              <w:rPr>
                <w:b/>
                <w:color w:val="FFFFFF"/>
                <w:sz w:val="15"/>
              </w:rPr>
            </w:r>
            <w:r>
              <w:rPr>
                <w:b/>
                <w:color w:val="FFFFFF"/>
                <w:sz w:val="15"/>
              </w:rPr>
              <w:t>Role / ownership</w:t>
            </w:r>
          </w:p>
        </w:tc>
        <w:tc>
          <w:tcPr>
            <w:tcW w:type="dxa" w:w="2016"/>
            <w:shd w:val="clear" w:color="auto" w:fill="1F3A5F"/>
          </w:tcPr>
          <w:p>
            <w:r>
              <w:rPr>
                <w:b/>
                <w:color w:val="FFFFFF"/>
                <w:sz w:val="15"/>
              </w:rPr>
            </w:r>
            <w:r>
              <w:rPr>
                <w:b/>
                <w:color w:val="FFFFFF"/>
                <w:sz w:val="15"/>
              </w:rPr>
              <w:t>Closest Reference Dataset entry</w:t>
            </w:r>
          </w:p>
        </w:tc>
        <w:tc>
          <w:tcPr>
            <w:tcW w:type="dxa" w:w="3888"/>
            <w:shd w:val="clear" w:color="auto" w:fill="1F3A5F"/>
          </w:tcPr>
          <w:p>
            <w:r>
              <w:rPr>
                <w:b/>
                <w:color w:val="FFFFFF"/>
                <w:sz w:val="15"/>
              </w:rPr>
            </w:r>
            <w:r>
              <w:rPr>
                <w:b/>
                <w:color w:val="FFFFFF"/>
                <w:sz w:val="15"/>
              </w:rPr>
              <w:t>Comparison of identifiers</w:t>
            </w:r>
          </w:p>
        </w:tc>
        <w:tc>
          <w:tcPr>
            <w:tcW w:type="dxa" w:w="1296"/>
            <w:shd w:val="clear" w:color="auto" w:fill="1F3A5F"/>
          </w:tcPr>
          <w:p>
            <w:r>
              <w:rPr>
                <w:b/>
                <w:color w:val="FFFFFF"/>
                <w:sz w:val="15"/>
              </w:rPr>
            </w:r>
            <w:r>
              <w:rPr>
                <w:b/>
                <w:color w:val="FFFFFF"/>
                <w:sz w:val="15"/>
              </w:rPr>
              <w:t>Individual tier</w:t>
            </w:r>
          </w:p>
        </w:tc>
      </w:tr>
      <w:tr>
        <w:tc>
          <w:tcPr>
            <w:tcW w:type="dxa" w:w="1584"/>
          </w:tcPr>
          <w:p>
            <w:r>
              <w:rPr>
                <w:sz w:val="15"/>
              </w:rPr>
            </w:r>
            <w:r>
              <w:rPr>
                <w:sz w:val="15"/>
              </w:rPr>
              <w:t>Aleksei Igorevich Drozdov</w:t>
            </w:r>
          </w:p>
        </w:tc>
        <w:tc>
          <w:tcPr>
            <w:tcW w:type="dxa" w:w="1296"/>
          </w:tcPr>
          <w:p>
            <w:r>
              <w:rPr>
                <w:sz w:val="15"/>
              </w:rPr>
            </w:r>
            <w:r>
              <w:rPr>
                <w:sz w:val="15"/>
              </w:rPr>
              <w:t>Director; 90%</w:t>
            </w:r>
          </w:p>
        </w:tc>
        <w:tc>
          <w:tcPr>
            <w:tcW w:type="dxa" w:w="2016"/>
          </w:tcPr>
          <w:p>
            <w:r>
              <w:rPr>
                <w:sz w:val="15"/>
              </w:rPr>
            </w:r>
            <w:r>
              <w:rPr>
                <w:sz w:val="15"/>
              </w:rPr>
              <w:t xml:space="preserve">SSI-002 Aleksei Drozdov (Directive 2; designated Nov. 28, 2023; DOB July 4, 1980; Russian; Passport 45 7891234; </w:t>
            </w:r>
            <w:r>
              <w:rPr>
                <w:b/>
                <w:sz w:val="15"/>
              </w:rPr>
              <w:t>St. Petersburg</w:t>
            </w:r>
            <w:r>
              <w:rPr>
                <w:sz w:val="15"/>
              </w:rPr>
              <w:t>); aliases “A. Drozdov,” “</w:t>
            </w:r>
            <w:r>
              <w:rPr>
                <w:b/>
                <w:sz w:val="15"/>
              </w:rPr>
              <w:t>Aleksei I. Drozdov</w:t>
            </w:r>
            <w:r>
              <w:rPr>
                <w:sz w:val="15"/>
              </w:rPr>
              <w:t>”</w:t>
            </w:r>
          </w:p>
        </w:tc>
        <w:tc>
          <w:tcPr>
            <w:tcW w:type="dxa" w:w="3888"/>
          </w:tcPr>
          <w:p>
            <w:r>
              <w:rPr>
                <w:sz w:val="15"/>
              </w:rPr>
            </w:r>
            <w:r>
              <w:rPr>
                <w:sz w:val="15"/>
              </w:rPr>
              <w:t>Given name and surname identical; patronymic “Igorevich” is consistent with the listed alias initial “I.”; nationality matches; city matches (the onboarding note’s “cities differ” point concerns SSI-003, not SSI-002). SSI-002 is associated with Gazexport Financial Holdings PAO (SSI-012) and Neva Capital Management OOO. DOB and passport number unconfirmed.</w:t>
            </w:r>
          </w:p>
        </w:tc>
        <w:tc>
          <w:tcPr>
            <w:tcW w:type="dxa" w:w="1296"/>
            <w:shd w:val="clear" w:color="auto" w:fill="FFE699"/>
          </w:tcPr>
          <w:p>
            <w:r>
              <w:rPr>
                <w:sz w:val="15"/>
              </w:rPr>
            </w:r>
            <w:r>
              <w:rPr>
                <w:sz w:val="15"/>
              </w:rPr>
              <w:t>Strong Potential Match</w:t>
            </w:r>
          </w:p>
        </w:tc>
      </w:tr>
      <w:tr>
        <w:tc>
          <w:tcPr>
            <w:tcW w:type="dxa" w:w="1584"/>
          </w:tcPr>
          <w:p>
            <w:r>
              <w:rPr>
                <w:sz w:val="15"/>
              </w:rPr>
            </w:r>
            <w:r>
              <w:rPr>
                <w:sz w:val="15"/>
              </w:rPr>
              <w:t>Irina Drozdova</w:t>
            </w:r>
          </w:p>
        </w:tc>
        <w:tc>
          <w:tcPr>
            <w:tcW w:type="dxa" w:w="1296"/>
          </w:tcPr>
          <w:p>
            <w:r>
              <w:rPr>
                <w:sz w:val="15"/>
              </w:rPr>
            </w:r>
            <w:r>
              <w:rPr>
                <w:sz w:val="15"/>
              </w:rPr>
              <w:t>BO; 10%</w:t>
            </w:r>
          </w:p>
        </w:tc>
        <w:tc>
          <w:tcPr>
            <w:tcW w:type="dxa" w:w="2016"/>
          </w:tcPr>
          <w:p>
            <w:r>
              <w:rPr>
                <w:sz w:val="15"/>
              </w:rPr>
            </w:r>
            <w:r>
              <w:rPr>
                <w:sz w:val="15"/>
              </w:rPr>
              <w:t>No entry</w:t>
            </w:r>
          </w:p>
        </w:tc>
        <w:tc>
          <w:tcPr>
            <w:tcW w:type="dxa" w:w="3888"/>
          </w:tcPr>
          <w:p>
            <w:r>
              <w:rPr>
                <w:sz w:val="15"/>
              </w:rPr>
            </w:r>
            <w:r>
              <w:rPr>
                <w:sz w:val="15"/>
              </w:rPr>
              <w:t>Shares surname with SSI-002; possible family member — relationship and source of funds to be confirmed (nominee risk).</w:t>
            </w:r>
          </w:p>
        </w:tc>
        <w:tc>
          <w:tcPr>
            <w:tcW w:type="dxa" w:w="1296"/>
            <w:shd w:val="clear" w:color="auto" w:fill="C6E0B4"/>
          </w:tcPr>
          <w:p>
            <w:r>
              <w:rPr>
                <w:sz w:val="15"/>
              </w:rPr>
            </w:r>
            <w:r>
              <w:rPr>
                <w:sz w:val="15"/>
              </w:rPr>
              <w:t>No Match (relationship flag)</w:t>
            </w:r>
          </w:p>
        </w:tc>
      </w:tr>
    </w:tbl>
    <w:p>
      <w:pPr>
        <w:spacing w:after="40"/>
      </w:pPr>
    </w:p>
    <w:p>
      <w:pPr>
        <w:spacing w:after="40"/>
      </w:pPr>
      <w:r>
        <w:rPr>
          <w:b/>
        </w:rPr>
        <w:t>50% Rule analysis (Policy § 5.4)</w:t>
      </w:r>
    </w:p>
    <w:p>
      <w:pPr>
        <w:pStyle w:val="ListBullet"/>
        <w:spacing w:after="60"/>
      </w:pPr>
      <w:r>
        <w:t xml:space="preserve">Matched owner: Aleksei Igorevich Drozdov, 90%; potential </w:t>
      </w:r>
      <w:r>
        <w:rPr>
          <w:b/>
        </w:rPr>
        <w:t>SSI Directive 2</w:t>
      </w:r>
      <w:r>
        <w:t xml:space="preserve"> person — not SDN, not blocked.</w:t>
      </w:r>
    </w:p>
    <w:p>
      <w:pPr>
        <w:pStyle w:val="ListBullet"/>
        <w:spacing w:after="60"/>
      </w:pPr>
      <w:r>
        <w:t>Single-person stake exceeds 50%: yes (90%). Aggregate of matched owners: 90% (Drozdova not listed).</w:t>
      </w:r>
    </w:p>
    <w:p>
      <w:pPr>
        <w:pStyle w:val="ListBullet"/>
        <w:spacing w:after="60"/>
      </w:pPr>
      <w:r>
        <w:t xml:space="preserve">Result if confirmed: the entity is </w:t>
      </w:r>
      <w:r>
        <w:rPr>
          <w:b/>
        </w:rPr>
        <w:t>sectorally restricted, not blocked</w:t>
      </w:r>
      <w:r>
        <w:t xml:space="preserve"> (Policy § 5.3; Appendix A, Step 2). Prohibited (as stated in the Policy and Reference Dataset): dealing in new debt of longer than 14 days’ maturity or new equity of the entity. In a trading context this captures deferred-payment or open-account terms, prepayment financing and similar credit extended to the entity beyond the maturity window. Spot purchases settled within the window may be permissible, subject to GC and outside-counsel review (Policy § 5.3).</w:t>
      </w:r>
    </w:p>
    <w:p>
      <w:pPr>
        <w:pStyle w:val="ListBullet"/>
        <w:spacing w:after="60"/>
      </w:pPr>
      <w:r>
        <w:t>Directive 4 restrictions do not apply on the present record (no SSI-003 ownership; Drozdov is not a Directive 4 person).</w:t>
      </w:r>
    </w:p>
    <w:p>
      <w:pPr>
        <w:pStyle w:val="ListBullet"/>
        <w:spacing w:after="60"/>
      </w:pPr>
      <w:r>
        <w:t>Counsel point: the Policy and Reference Dataset describe Directive 2 as a “financial sector” directive with a 14-day maturity and an equity prohibition. Halcyon Hart LLP should confirm the operative text of Directive 2 under EO 13662 before any trade terms are structured (see Section 7).</w:t>
      </w:r>
    </w:p>
    <w:p>
      <w:pPr>
        <w:spacing w:after="40"/>
      </w:pPr>
      <w:r>
        <w:rPr>
          <w:b/>
        </w:rPr>
        <w:t>Classification and required action</w:t>
      </w:r>
    </w:p>
    <w:p>
      <w:pPr>
        <w:pStyle w:val="ListBullet"/>
        <w:spacing w:after="60"/>
      </w:pPr>
      <w:r>
        <w:t xml:space="preserve">Tier: </w:t>
      </w:r>
      <w:r>
        <w:rPr>
          <w:b/>
        </w:rPr>
        <w:t>Strong Potential Match</w:t>
      </w:r>
      <w:r>
        <w:t>. Block pending EDD; CCO within 24 hours; resolve within 5 business days or escalate to GC. Whitmore’s conclusion that the entity is “likely distinct” addressed only the PAO entity and did not screen the 90% owner.</w:t>
      </w:r>
    </w:p>
    <w:p>
      <w:pPr>
        <w:spacing w:after="40"/>
      </w:pPr>
      <w:r>
        <w:rPr>
          <w:b/>
        </w:rPr>
        <w:t>Missing identifiers / information required to confirm or clear (Policy § 6.3)</w:t>
      </w:r>
    </w:p>
    <w:p>
      <w:pPr>
        <w:pStyle w:val="ListBullet"/>
        <w:spacing w:after="60"/>
      </w:pPr>
      <w:r>
        <w:t>DOB and passport number from the Drozdov passport copy on file vs SSI-002 (July 4, 1980; 45 7891234).</w:t>
      </w:r>
    </w:p>
    <w:p>
      <w:pPr>
        <w:pStyle w:val="ListBullet"/>
        <w:spacing w:after="60"/>
      </w:pPr>
      <w:r>
        <w:t>EGRUL extract with full ownership chain; confirmation of no relationship with SSI-003, SSI-012 or Neva Capital Management OOO; Irina Drozdova’s relationship and DOB.</w:t>
      </w:r>
    </w:p>
    <w:p>
      <w:pPr>
        <w:pStyle w:val="ListBullet"/>
        <w:spacing w:after="60"/>
      </w:pPr>
      <w:r>
        <w:t>Screen Neva Industrial Bank against the full SDN list; Russian-origin refined product trades also raise price cap and EO 14066 import-ban issues (Section 8).</w:t>
      </w:r>
    </w:p>
    <w:p>
      <w:pPr>
        <w:pStyle w:val="Heading2"/>
      </w:pPr>
      <w:r>
        <w:t>5.14 Orient Bridge General Trading LLC — STRONG POTENTIAL MATCH</w:t>
      </w:r>
    </w:p>
    <w:tbl>
      <w:tblPr>
        <w:tblStyle w:val="TableGrid"/>
        <w:tblW w:type="auto" w:w="0"/>
        <w:tblLook w:firstColumn="1" w:firstRow="1" w:lastColumn="0" w:lastRow="0" w:noHBand="0" w:noVBand="1" w:val="04A0"/>
      </w:tblPr>
      <w:tblGrid>
        <w:gridCol w:w="4824"/>
        <w:gridCol w:w="4824"/>
      </w:tblGrid>
      <w:tr>
        <w:tc>
          <w:tcPr>
            <w:tcW w:type="dxa" w:w="2736"/>
            <w:shd w:val="clear" w:color="auto" w:fill="DCE6F1"/>
          </w:tcPr>
          <w:p>
            <w:r>
              <w:rPr>
                <w:b/>
                <w:sz w:val="17"/>
              </w:rPr>
            </w:r>
            <w:r>
              <w:rPr>
                <w:b/>
                <w:sz w:val="17"/>
              </w:rPr>
              <w:t>Entity / jurisdiction</w:t>
            </w:r>
          </w:p>
        </w:tc>
        <w:tc>
          <w:tcPr>
            <w:tcW w:type="dxa" w:w="6912"/>
          </w:tcPr>
          <w:p>
            <w:r>
              <w:rPr>
                <w:sz w:val="17"/>
              </w:rPr>
            </w:r>
            <w:r>
              <w:rPr>
                <w:sz w:val="17"/>
              </w:rPr>
              <w:t>LLC; Dubai, UAE; DED License No. 789456</w:t>
            </w:r>
          </w:p>
        </w:tc>
      </w:tr>
      <w:tr>
        <w:tc>
          <w:tcPr>
            <w:tcW w:type="dxa" w:w="2736"/>
            <w:shd w:val="clear" w:color="auto" w:fill="DCE6F1"/>
          </w:tcPr>
          <w:p>
            <w:r>
              <w:rPr>
                <w:b/>
                <w:sz w:val="17"/>
              </w:rPr>
            </w:r>
            <w:r>
              <w:rPr>
                <w:b/>
                <w:sz w:val="17"/>
              </w:rPr>
              <w:t>Ownership / management</w:t>
            </w:r>
          </w:p>
        </w:tc>
        <w:tc>
          <w:tcPr>
            <w:tcW w:type="dxa" w:w="6912"/>
          </w:tcPr>
          <w:p>
            <w:r>
              <w:rPr>
                <w:sz w:val="17"/>
              </w:rPr>
            </w:r>
            <w:r>
              <w:rPr>
                <w:sz w:val="17"/>
              </w:rPr>
              <w:t>Faisal Mahdi al-Rashed — director, 55%; Mohammed Tariq Qasemi — 45%</w:t>
            </w:r>
          </w:p>
        </w:tc>
      </w:tr>
      <w:tr>
        <w:tc>
          <w:tcPr>
            <w:tcW w:type="dxa" w:w="2736"/>
            <w:shd w:val="clear" w:color="auto" w:fill="DCE6F1"/>
          </w:tcPr>
          <w:p>
            <w:r>
              <w:rPr>
                <w:b/>
                <w:sz w:val="17"/>
              </w:rPr>
            </w:r>
            <w:r>
              <w:rPr>
                <w:b/>
                <w:sz w:val="17"/>
              </w:rPr>
              <w:t>Business / volume</w:t>
            </w:r>
          </w:p>
        </w:tc>
        <w:tc>
          <w:tcPr>
            <w:tcW w:type="dxa" w:w="6912"/>
          </w:tcPr>
          <w:p>
            <w:r>
              <w:rPr>
                <w:sz w:val="17"/>
              </w:rPr>
            </w:r>
            <w:r>
              <w:rPr>
                <w:sz w:val="17"/>
              </w:rPr>
              <w:t>General commodities (petroleum, foodstuffs, consumer goods); $27,000,000</w:t>
            </w:r>
          </w:p>
        </w:tc>
      </w:tr>
      <w:tr>
        <w:tc>
          <w:tcPr>
            <w:tcW w:type="dxa" w:w="2736"/>
            <w:shd w:val="clear" w:color="auto" w:fill="DCE6F1"/>
          </w:tcPr>
          <w:p>
            <w:r>
              <w:rPr>
                <w:b/>
                <w:sz w:val="17"/>
              </w:rPr>
            </w:r>
            <w:r>
              <w:rPr>
                <w:b/>
                <w:sz w:val="17"/>
              </w:rPr>
              <w:t>KYC status</w:t>
            </w:r>
          </w:p>
        </w:tc>
        <w:tc>
          <w:tcPr>
            <w:tcW w:type="dxa" w:w="6912"/>
          </w:tcPr>
          <w:p>
            <w:r>
              <w:rPr>
                <w:sz w:val="17"/>
              </w:rPr>
            </w:r>
            <w:r>
              <w:rPr>
                <w:sz w:val="17"/>
              </w:rPr>
              <w:t>Complete; background documentation on Qasemi requested May 22, 2025</w:t>
            </w:r>
          </w:p>
        </w:tc>
      </w:tr>
    </w:tbl>
    <w:p>
      <w:pPr>
        <w:spacing w:after="40"/>
      </w:pPr>
    </w:p>
    <w:p>
      <w:pPr>
        <w:spacing w:after="40"/>
      </w:pPr>
      <w:r>
        <w:rPr>
          <w:b/>
        </w:rPr>
        <w:t>Entity and registration-number screening</w:t>
      </w:r>
    </w:p>
    <w:p>
      <w:pPr>
        <w:pStyle w:val="ListBullet"/>
        <w:spacing w:after="60"/>
      </w:pPr>
      <w:r>
        <w:t xml:space="preserve">Entity name closely resembles </w:t>
      </w:r>
      <w:r>
        <w:rPr>
          <w:b/>
        </w:rPr>
        <w:t>SDN-006 Orient Bridge International Trading LLC</w:t>
      </w:r>
      <w:r>
        <w:t xml:space="preserve"> (Damascus; SYRIA; designated Mar. 22, 2024; Syrian Commercial Registry No. 54321; general commodities trading). Distinctive elements “Orient Bridge … Trading LLC” are identical; only the descriptive word differs (“General” vs “International”). Same business line.</w:t>
      </w:r>
    </w:p>
    <w:p>
      <w:pPr>
        <w:pStyle w:val="ListBullet"/>
        <w:spacing w:after="60"/>
      </w:pPr>
      <w:r>
        <w:t>Registration numbers differ (DED 789456 vs Syrian CR 54321), as would be expected for a separately incorporated Dubai vehicle; a different registration therefore does not clear the risk that the counterparty is a front, branch or successor of SDN-006. Jurisdictional difference (Dubai vs Damascus) cannot clear the match (Policy § 6.3).</w:t>
      </w:r>
    </w:p>
    <w:p>
      <w:pPr>
        <w:spacing w:after="40"/>
      </w:pPr>
      <w:r>
        <w:rPr>
          <w:b/>
        </w:rPr>
        <w:t>Individual screening (directors, officers, beneficial owners)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584"/>
            <w:shd w:val="clear" w:color="auto" w:fill="1F3A5F"/>
          </w:tcPr>
          <w:p>
            <w:r>
              <w:rPr>
                <w:b/>
                <w:color w:val="FFFFFF"/>
                <w:sz w:val="15"/>
              </w:rPr>
            </w:r>
            <w:r>
              <w:rPr>
                <w:b/>
                <w:color w:val="FFFFFF"/>
                <w:sz w:val="15"/>
              </w:rPr>
              <w:t>Person</w:t>
            </w:r>
          </w:p>
        </w:tc>
        <w:tc>
          <w:tcPr>
            <w:tcW w:type="dxa" w:w="1296"/>
            <w:shd w:val="clear" w:color="auto" w:fill="1F3A5F"/>
          </w:tcPr>
          <w:p>
            <w:r>
              <w:rPr>
                <w:b/>
                <w:color w:val="FFFFFF"/>
                <w:sz w:val="15"/>
              </w:rPr>
            </w:r>
            <w:r>
              <w:rPr>
                <w:b/>
                <w:color w:val="FFFFFF"/>
                <w:sz w:val="15"/>
              </w:rPr>
              <w:t>Role / ownership</w:t>
            </w:r>
          </w:p>
        </w:tc>
        <w:tc>
          <w:tcPr>
            <w:tcW w:type="dxa" w:w="2016"/>
            <w:shd w:val="clear" w:color="auto" w:fill="1F3A5F"/>
          </w:tcPr>
          <w:p>
            <w:r>
              <w:rPr>
                <w:b/>
                <w:color w:val="FFFFFF"/>
                <w:sz w:val="15"/>
              </w:rPr>
            </w:r>
            <w:r>
              <w:rPr>
                <w:b/>
                <w:color w:val="FFFFFF"/>
                <w:sz w:val="15"/>
              </w:rPr>
              <w:t>Closest Reference Dataset entry</w:t>
            </w:r>
          </w:p>
        </w:tc>
        <w:tc>
          <w:tcPr>
            <w:tcW w:type="dxa" w:w="3888"/>
            <w:shd w:val="clear" w:color="auto" w:fill="1F3A5F"/>
          </w:tcPr>
          <w:p>
            <w:r>
              <w:rPr>
                <w:b/>
                <w:color w:val="FFFFFF"/>
                <w:sz w:val="15"/>
              </w:rPr>
            </w:r>
            <w:r>
              <w:rPr>
                <w:b/>
                <w:color w:val="FFFFFF"/>
                <w:sz w:val="15"/>
              </w:rPr>
              <w:t>Comparison of identifiers</w:t>
            </w:r>
          </w:p>
        </w:tc>
        <w:tc>
          <w:tcPr>
            <w:tcW w:type="dxa" w:w="1296"/>
            <w:shd w:val="clear" w:color="auto" w:fill="1F3A5F"/>
          </w:tcPr>
          <w:p>
            <w:r>
              <w:rPr>
                <w:b/>
                <w:color w:val="FFFFFF"/>
                <w:sz w:val="15"/>
              </w:rPr>
            </w:r>
            <w:r>
              <w:rPr>
                <w:b/>
                <w:color w:val="FFFFFF"/>
                <w:sz w:val="15"/>
              </w:rPr>
              <w:t>Individual tier</w:t>
            </w:r>
          </w:p>
        </w:tc>
      </w:tr>
      <w:tr>
        <w:tc>
          <w:tcPr>
            <w:tcW w:type="dxa" w:w="1584"/>
          </w:tcPr>
          <w:p>
            <w:r>
              <w:rPr>
                <w:sz w:val="15"/>
              </w:rPr>
            </w:r>
            <w:r>
              <w:rPr>
                <w:sz w:val="15"/>
              </w:rPr>
              <w:t>Faisal Mahdi al-Rashed</w:t>
            </w:r>
          </w:p>
        </w:tc>
        <w:tc>
          <w:tcPr>
            <w:tcW w:type="dxa" w:w="1296"/>
          </w:tcPr>
          <w:p>
            <w:r>
              <w:rPr>
                <w:sz w:val="15"/>
              </w:rPr>
            </w:r>
            <w:r>
              <w:rPr>
                <w:sz w:val="15"/>
              </w:rPr>
              <w:t>Director; 55%</w:t>
            </w:r>
          </w:p>
        </w:tc>
        <w:tc>
          <w:tcPr>
            <w:tcW w:type="dxa" w:w="2016"/>
          </w:tcPr>
          <w:p>
            <w:r>
              <w:rPr>
                <w:sz w:val="15"/>
              </w:rPr>
            </w:r>
            <w:r>
              <w:rPr>
                <w:sz w:val="15"/>
              </w:rPr>
              <w:t>Nearest: SDN-042 Faisal Hajj-Ibrahim (alias “F. Ibrahim”)</w:t>
            </w:r>
          </w:p>
        </w:tc>
        <w:tc>
          <w:tcPr>
            <w:tcW w:type="dxa" w:w="3888"/>
          </w:tcPr>
          <w:p>
            <w:r>
              <w:rPr>
                <w:sz w:val="15"/>
              </w:rPr>
            </w:r>
            <w:r>
              <w:rPr>
                <w:sz w:val="15"/>
              </w:rPr>
              <w:t>Given name only; surname and father’s name differ (checked with/without “al-”). Dismissed.</w:t>
            </w:r>
          </w:p>
        </w:tc>
        <w:tc>
          <w:tcPr>
            <w:tcW w:type="dxa" w:w="1296"/>
            <w:shd w:val="clear" w:color="auto" w:fill="C6E0B4"/>
          </w:tcPr>
          <w:p>
            <w:r>
              <w:rPr>
                <w:sz w:val="15"/>
              </w:rPr>
            </w:r>
            <w:r>
              <w:rPr>
                <w:sz w:val="15"/>
              </w:rPr>
              <w:t>No Match</w:t>
            </w:r>
          </w:p>
        </w:tc>
      </w:tr>
      <w:tr>
        <w:tc>
          <w:tcPr>
            <w:tcW w:type="dxa" w:w="1584"/>
          </w:tcPr>
          <w:p>
            <w:r>
              <w:rPr>
                <w:sz w:val="15"/>
              </w:rPr>
            </w:r>
            <w:r>
              <w:rPr>
                <w:sz w:val="15"/>
              </w:rPr>
              <w:t>Mohammed Tariq Qasemi</w:t>
            </w:r>
          </w:p>
        </w:tc>
        <w:tc>
          <w:tcPr>
            <w:tcW w:type="dxa" w:w="1296"/>
          </w:tcPr>
          <w:p>
            <w:r>
              <w:rPr>
                <w:sz w:val="15"/>
              </w:rPr>
            </w:r>
            <w:r>
              <w:rPr>
                <w:sz w:val="15"/>
              </w:rPr>
              <w:t>BO; 45%</w:t>
            </w:r>
          </w:p>
        </w:tc>
        <w:tc>
          <w:tcPr>
            <w:tcW w:type="dxa" w:w="2016"/>
          </w:tcPr>
          <w:p>
            <w:r>
              <w:rPr>
                <w:sz w:val="15"/>
              </w:rPr>
            </w:r>
            <w:r>
              <w:rPr>
                <w:sz w:val="15"/>
              </w:rPr>
              <w:t xml:space="preserve">SDN-006 key person Mohammed Tariq al-Qasemi (Managing Director) — </w:t>
            </w:r>
            <w:r>
              <w:rPr>
                <w:b/>
                <w:sz w:val="15"/>
              </w:rPr>
              <w:t>not separately designated in the Reference Dataset</w:t>
            </w:r>
          </w:p>
        </w:tc>
        <w:tc>
          <w:tcPr>
            <w:tcW w:type="dxa" w:w="3888"/>
          </w:tcPr>
          <w:p>
            <w:r>
              <w:rPr>
                <w:sz w:val="15"/>
              </w:rPr>
            </w:r>
            <w:r>
              <w:rPr>
                <w:sz w:val="15"/>
              </w:rPr>
              <w:t>Name identical apart from the “al-” article, which is not a distinguishing factor (Policy § 4.2 uses this very example). No DOB/passport in the SDN-006 entry to compare.</w:t>
            </w:r>
          </w:p>
        </w:tc>
        <w:tc>
          <w:tcPr>
            <w:tcW w:type="dxa" w:w="1296"/>
            <w:shd w:val="clear" w:color="auto" w:fill="FFE699"/>
          </w:tcPr>
          <w:p>
            <w:r>
              <w:rPr>
                <w:sz w:val="15"/>
              </w:rPr>
            </w:r>
            <w:r>
              <w:rPr>
                <w:sz w:val="15"/>
              </w:rPr>
              <w:t>Strong Potential Match (as key person of SDN entity)</w:t>
            </w:r>
          </w:p>
        </w:tc>
      </w:tr>
    </w:tbl>
    <w:p>
      <w:pPr>
        <w:spacing w:after="40"/>
      </w:pPr>
    </w:p>
    <w:p>
      <w:pPr>
        <w:spacing w:after="40"/>
      </w:pPr>
      <w:r>
        <w:rPr>
          <w:b/>
        </w:rPr>
        <w:t>50% Rule analysis (Policy § 5.4)</w:t>
      </w:r>
    </w:p>
    <w:p>
      <w:pPr>
        <w:pStyle w:val="ListBullet"/>
        <w:spacing w:after="60"/>
      </w:pPr>
      <w:r>
        <w:t>Matched owner: Mohammed Tariq Qasemi, 45% — associated with SDN-006 but not himself listed in the Reference Dataset, so he is not a “blocked person” for 50% Rule purposes on the present record.</w:t>
      </w:r>
    </w:p>
    <w:p>
      <w:pPr>
        <w:pStyle w:val="ListBullet"/>
        <w:spacing w:after="60"/>
      </w:pPr>
      <w:r>
        <w:t>Single-person stake exceeds 50%: no (45%). Aggregate of matched owners: 45% (al-Rashed clear).</w:t>
      </w:r>
    </w:p>
    <w:p>
      <w:pPr>
        <w:pStyle w:val="ListBullet"/>
        <w:spacing w:after="60"/>
      </w:pPr>
      <w:r>
        <w:t>Result: entity not blocked under the 50% Rule on present facts. Two scenarios would change this: (i) if Qasemi is individually designated on the full SDN list (to be checked), 45% would remain below 50% but benefit restrictions and EDD would apply (§ 5.2, Example 5); (ii) if the counterparty is in substance SDN-006 operating through Dubai, or is owned 50% or more by SDN-006 or its principals, it is blocked. Combined with the SDN-006 managing director holding 45% and the near-identical name, the second scenario is the principal risk.</w:t>
      </w:r>
    </w:p>
    <w:p>
      <w:pPr>
        <w:spacing w:after="40"/>
      </w:pPr>
      <w:r>
        <w:rPr>
          <w:b/>
        </w:rPr>
        <w:t>Classification and required action</w:t>
      </w:r>
    </w:p>
    <w:p>
      <w:pPr>
        <w:pStyle w:val="ListBullet"/>
        <w:spacing w:after="60"/>
      </w:pPr>
      <w:r>
        <w:t xml:space="preserve">Tier: </w:t>
      </w:r>
      <w:r>
        <w:rPr>
          <w:b/>
        </w:rPr>
        <w:t>Strong Potential Match</w:t>
      </w:r>
      <w:r>
        <w:t xml:space="preserve"> (Policy § 6.3 third example — descriptive-word variation plus key-person similarity). Block pending EDD; CCO within 24 hours; resolve within 5 business days. The same Syria-program caveat noted at 5.8 applies: no reliance on any post-May 15, 2025 Syria relief without Halcyon Hart confirmation.</w:t>
      </w:r>
    </w:p>
    <w:p>
      <w:pPr>
        <w:spacing w:after="40"/>
      </w:pPr>
      <w:r>
        <w:rPr>
          <w:b/>
        </w:rPr>
        <w:t>Missing identifiers / information required to confirm or clear (Policy § 6.3)</w:t>
      </w:r>
    </w:p>
    <w:p>
      <w:pPr>
        <w:pStyle w:val="ListBullet"/>
        <w:spacing w:after="60"/>
      </w:pPr>
      <w:r>
        <w:t>Qasemi DOB, nationality, passport, CV and any Syrian business history; corporate history of the Dubai entity (formation date relative to the March 22, 2024 designation), DED licence activities, trade name registrations and any links to Syrian Commercial Registry No. 54321.</w:t>
      </w:r>
    </w:p>
    <w:p>
      <w:pPr>
        <w:pStyle w:val="ListBullet"/>
        <w:spacing w:after="60"/>
      </w:pPr>
      <w:r>
        <w:t>Full SDN check of Mohammed Tariq al-Qasemi and al-Rashed beyond the extract.</w:t>
      </w:r>
    </w:p>
    <w:p>
      <w:pPr>
        <w:pStyle w:val="Heading1"/>
      </w:pPr>
      <w:r>
        <w:t>6. Consolidated OFAC 50% Rule Analysis</w:t>
      </w:r>
    </w:p>
    <w:p>
      <w:pPr>
        <w:spacing w:after="120"/>
      </w:pPr>
      <w:r>
        <w:t>Prepared for every counterparty in which any beneficial owner is a match or potential match to a blocked or restricted person (Policy § 5.4).</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1728"/>
            <w:shd w:val="clear" w:color="auto" w:fill="1F3A5F"/>
          </w:tcPr>
          <w:p>
            <w:r>
              <w:rPr>
                <w:b/>
                <w:color w:val="FFFFFF"/>
                <w:sz w:val="15"/>
              </w:rPr>
            </w:r>
            <w:r>
              <w:rPr>
                <w:b/>
                <w:color w:val="FFFFFF"/>
                <w:sz w:val="15"/>
              </w:rPr>
              <w:t>Counterparty</w:t>
            </w:r>
          </w:p>
        </w:tc>
        <w:tc>
          <w:tcPr>
            <w:tcW w:type="dxa" w:w="2304"/>
            <w:shd w:val="clear" w:color="auto" w:fill="1F3A5F"/>
          </w:tcPr>
          <w:p>
            <w:r>
              <w:rPr>
                <w:b/>
                <w:color w:val="FFFFFF"/>
                <w:sz w:val="15"/>
              </w:rPr>
            </w:r>
            <w:r>
              <w:rPr>
                <w:b/>
                <w:color w:val="FFFFFF"/>
                <w:sz w:val="15"/>
              </w:rPr>
              <w:t>Matched owner(s), % and list/program</w:t>
            </w:r>
          </w:p>
        </w:tc>
        <w:tc>
          <w:tcPr>
            <w:tcW w:type="dxa" w:w="864"/>
            <w:shd w:val="clear" w:color="auto" w:fill="1F3A5F"/>
          </w:tcPr>
          <w:p>
            <w:r>
              <w:rPr>
                <w:b/>
                <w:color w:val="FFFFFF"/>
                <w:sz w:val="15"/>
              </w:rPr>
            </w:r>
            <w:r>
              <w:rPr>
                <w:b/>
                <w:color w:val="FFFFFF"/>
                <w:sz w:val="15"/>
              </w:rPr>
              <w:t>Single owner ≥50%?</w:t>
            </w:r>
          </w:p>
        </w:tc>
        <w:tc>
          <w:tcPr>
            <w:tcW w:type="dxa" w:w="864"/>
            <w:shd w:val="clear" w:color="auto" w:fill="1F3A5F"/>
          </w:tcPr>
          <w:p>
            <w:r>
              <w:rPr>
                <w:b/>
                <w:color w:val="FFFFFF"/>
                <w:sz w:val="15"/>
              </w:rPr>
            </w:r>
            <w:r>
              <w:rPr>
                <w:b/>
                <w:color w:val="FFFFFF"/>
                <w:sz w:val="15"/>
              </w:rPr>
              <w:t>Aggregate matched</w:t>
            </w:r>
          </w:p>
        </w:tc>
        <w:tc>
          <w:tcPr>
            <w:tcW w:type="dxa" w:w="1728"/>
            <w:shd w:val="clear" w:color="auto" w:fill="1F3A5F"/>
          </w:tcPr>
          <w:p>
            <w:r>
              <w:rPr>
                <w:b/>
                <w:color w:val="FFFFFF"/>
                <w:sz w:val="15"/>
              </w:rPr>
            </w:r>
            <w:r>
              <w:rPr>
                <w:b/>
                <w:color w:val="FFFFFF"/>
                <w:sz w:val="15"/>
              </w:rPr>
              <w:t>Entity result</w:t>
            </w:r>
          </w:p>
        </w:tc>
        <w:tc>
          <w:tcPr>
            <w:tcW w:type="dxa" w:w="2592"/>
            <w:shd w:val="clear" w:color="auto" w:fill="1F3A5F"/>
          </w:tcPr>
          <w:p>
            <w:r>
              <w:rPr>
                <w:b/>
                <w:color w:val="FFFFFF"/>
                <w:sz w:val="15"/>
              </w:rPr>
            </w:r>
            <w:r>
              <w:rPr>
                <w:b/>
                <w:color w:val="FFFFFF"/>
                <w:sz w:val="15"/>
              </w:rPr>
              <w:t>Prohibited / potentially permissible</w:t>
            </w:r>
          </w:p>
        </w:tc>
      </w:tr>
      <w:tr>
        <w:tc>
          <w:tcPr>
            <w:tcW w:type="dxa" w:w="1728"/>
          </w:tcPr>
          <w:p>
            <w:r>
              <w:rPr>
                <w:sz w:val="15"/>
              </w:rPr>
            </w:r>
            <w:r>
              <w:rPr>
                <w:sz w:val="15"/>
              </w:rPr>
              <w:t>Black Sea Logistics OOD</w:t>
            </w:r>
          </w:p>
        </w:tc>
        <w:tc>
          <w:tcPr>
            <w:tcW w:type="dxa" w:w="2304"/>
          </w:tcPr>
          <w:p>
            <w:r>
              <w:rPr>
                <w:sz w:val="15"/>
              </w:rPr>
            </w:r>
            <w:r>
              <w:rPr>
                <w:sz w:val="15"/>
              </w:rPr>
              <w:t>Y. P. Kuznetsova 100% — SDN, RUSSIA-EO14024 (confirmed)</w:t>
            </w:r>
          </w:p>
        </w:tc>
        <w:tc>
          <w:tcPr>
            <w:tcW w:type="dxa" w:w="864"/>
          </w:tcPr>
          <w:p>
            <w:r>
              <w:rPr>
                <w:sz w:val="15"/>
              </w:rPr>
            </w:r>
            <w:r>
              <w:rPr>
                <w:sz w:val="15"/>
              </w:rPr>
              <w:t>Yes</w:t>
            </w:r>
          </w:p>
        </w:tc>
        <w:tc>
          <w:tcPr>
            <w:tcW w:type="dxa" w:w="864"/>
          </w:tcPr>
          <w:p>
            <w:r>
              <w:rPr>
                <w:sz w:val="15"/>
              </w:rPr>
            </w:r>
            <w:r>
              <w:rPr>
                <w:sz w:val="15"/>
              </w:rPr>
              <w:t>100%</w:t>
            </w:r>
          </w:p>
        </w:tc>
        <w:tc>
          <w:tcPr>
            <w:tcW w:type="dxa" w:w="1728"/>
          </w:tcPr>
          <w:p>
            <w:r>
              <w:rPr>
                <w:sz w:val="15"/>
              </w:rPr>
            </w:r>
            <w:r>
              <w:rPr>
                <w:sz w:val="15"/>
              </w:rPr>
              <w:t>Blocked (also itself SDN-007 by UIC)</w:t>
            </w:r>
          </w:p>
        </w:tc>
        <w:tc>
          <w:tcPr>
            <w:tcW w:type="dxa" w:w="2592"/>
          </w:tcPr>
          <w:p>
            <w:r>
              <w:rPr>
                <w:sz w:val="15"/>
              </w:rPr>
            </w:r>
            <w:r>
              <w:rPr>
                <w:sz w:val="15"/>
              </w:rPr>
              <w:t>All transactions prohibited</w:t>
            </w:r>
          </w:p>
        </w:tc>
      </w:tr>
      <w:tr>
        <w:tc>
          <w:tcPr>
            <w:tcW w:type="dxa" w:w="1728"/>
          </w:tcPr>
          <w:p>
            <w:r>
              <w:rPr>
                <w:sz w:val="15"/>
              </w:rPr>
            </w:r>
            <w:r>
              <w:rPr>
                <w:sz w:val="15"/>
              </w:rPr>
              <w:t>Eurasian Mineral Supply AG</w:t>
            </w:r>
          </w:p>
        </w:tc>
        <w:tc>
          <w:tcPr>
            <w:tcW w:type="dxa" w:w="2304"/>
          </w:tcPr>
          <w:p>
            <w:r>
              <w:rPr>
                <w:sz w:val="15"/>
              </w:rPr>
            </w:r>
            <w:r>
              <w:rPr>
                <w:sz w:val="15"/>
              </w:rPr>
              <w:t>V. A. Morozov 100% — SDN, UKRAINE-EO13662 (confirmed per Policy § 6.2)</w:t>
            </w:r>
          </w:p>
        </w:tc>
        <w:tc>
          <w:tcPr>
            <w:tcW w:type="dxa" w:w="864"/>
          </w:tcPr>
          <w:p>
            <w:r>
              <w:rPr>
                <w:sz w:val="15"/>
              </w:rPr>
            </w:r>
            <w:r>
              <w:rPr>
                <w:sz w:val="15"/>
              </w:rPr>
              <w:t>Yes</w:t>
            </w:r>
          </w:p>
        </w:tc>
        <w:tc>
          <w:tcPr>
            <w:tcW w:type="dxa" w:w="864"/>
          </w:tcPr>
          <w:p>
            <w:r>
              <w:rPr>
                <w:sz w:val="15"/>
              </w:rPr>
            </w:r>
            <w:r>
              <w:rPr>
                <w:sz w:val="15"/>
              </w:rPr>
              <w:t>100%</w:t>
            </w:r>
          </w:p>
        </w:tc>
        <w:tc>
          <w:tcPr>
            <w:tcW w:type="dxa" w:w="1728"/>
          </w:tcPr>
          <w:p>
            <w:r>
              <w:rPr>
                <w:sz w:val="15"/>
              </w:rPr>
            </w:r>
            <w:r>
              <w:rPr>
                <w:sz w:val="15"/>
              </w:rPr>
              <w:t>Blocked property</w:t>
            </w:r>
          </w:p>
        </w:tc>
        <w:tc>
          <w:tcPr>
            <w:tcW w:type="dxa" w:w="2592"/>
          </w:tcPr>
          <w:p>
            <w:r>
              <w:rPr>
                <w:sz w:val="15"/>
              </w:rPr>
            </w:r>
            <w:r>
              <w:rPr>
                <w:sz w:val="15"/>
              </w:rPr>
              <w:t>All transactions prohibited</w:t>
            </w:r>
          </w:p>
        </w:tc>
      </w:tr>
      <w:tr>
        <w:tc>
          <w:tcPr>
            <w:tcW w:type="dxa" w:w="1728"/>
          </w:tcPr>
          <w:p>
            <w:r>
              <w:rPr>
                <w:sz w:val="15"/>
              </w:rPr>
            </w:r>
            <w:r>
              <w:rPr>
                <w:sz w:val="15"/>
              </w:rPr>
              <w:t>Al-Zubaydi Petroleum Services LLC</w:t>
            </w:r>
          </w:p>
        </w:tc>
        <w:tc>
          <w:tcPr>
            <w:tcW w:type="dxa" w:w="2304"/>
          </w:tcPr>
          <w:p>
            <w:r>
              <w:rPr>
                <w:sz w:val="15"/>
              </w:rPr>
            </w:r>
            <w:r>
              <w:rPr>
                <w:sz w:val="15"/>
              </w:rPr>
              <w:t>H. al-Zubaydi 100% — potential SDN, SDGT</w:t>
            </w:r>
          </w:p>
        </w:tc>
        <w:tc>
          <w:tcPr>
            <w:tcW w:type="dxa" w:w="864"/>
          </w:tcPr>
          <w:p>
            <w:r>
              <w:rPr>
                <w:sz w:val="15"/>
              </w:rPr>
            </w:r>
            <w:r>
              <w:rPr>
                <w:sz w:val="15"/>
              </w:rPr>
              <w:t>Yes</w:t>
            </w:r>
          </w:p>
        </w:tc>
        <w:tc>
          <w:tcPr>
            <w:tcW w:type="dxa" w:w="864"/>
          </w:tcPr>
          <w:p>
            <w:r>
              <w:rPr>
                <w:sz w:val="15"/>
              </w:rPr>
            </w:r>
            <w:r>
              <w:rPr>
                <w:sz w:val="15"/>
              </w:rPr>
              <w:t>100%</w:t>
            </w:r>
          </w:p>
        </w:tc>
        <w:tc>
          <w:tcPr>
            <w:tcW w:type="dxa" w:w="1728"/>
          </w:tcPr>
          <w:p>
            <w:r>
              <w:rPr>
                <w:sz w:val="15"/>
              </w:rPr>
            </w:r>
            <w:r>
              <w:rPr>
                <w:sz w:val="15"/>
              </w:rPr>
              <w:t>Blocked if confirmed</w:t>
            </w:r>
          </w:p>
        </w:tc>
        <w:tc>
          <w:tcPr>
            <w:tcW w:type="dxa" w:w="2592"/>
          </w:tcPr>
          <w:p>
            <w:r>
              <w:rPr>
                <w:sz w:val="15"/>
              </w:rPr>
            </w:r>
            <w:r>
              <w:rPr>
                <w:sz w:val="15"/>
              </w:rPr>
              <w:t>All transactions prohibited pending resolution</w:t>
            </w:r>
          </w:p>
        </w:tc>
      </w:tr>
      <w:tr>
        <w:tc>
          <w:tcPr>
            <w:tcW w:type="dxa" w:w="1728"/>
          </w:tcPr>
          <w:p>
            <w:r>
              <w:rPr>
                <w:sz w:val="15"/>
              </w:rPr>
            </w:r>
            <w:r>
              <w:rPr>
                <w:sz w:val="15"/>
              </w:rPr>
              <w:t>Silk Road Commodities FZE</w:t>
            </w:r>
          </w:p>
        </w:tc>
        <w:tc>
          <w:tcPr>
            <w:tcW w:type="dxa" w:w="2304"/>
          </w:tcPr>
          <w:p>
            <w:r>
              <w:rPr>
                <w:sz w:val="15"/>
              </w:rPr>
            </w:r>
            <w:r>
              <w:rPr>
                <w:sz w:val="15"/>
              </w:rPr>
              <w:t>A. Hosseinzadeh 65% — potential SDN, IRAN-IRGC; N. Khorasani 35% — potential SDN, IRAN-NPWMD</w:t>
            </w:r>
          </w:p>
        </w:tc>
        <w:tc>
          <w:tcPr>
            <w:tcW w:type="dxa" w:w="864"/>
          </w:tcPr>
          <w:p>
            <w:r>
              <w:rPr>
                <w:sz w:val="15"/>
              </w:rPr>
            </w:r>
            <w:r>
              <w:rPr>
                <w:sz w:val="15"/>
              </w:rPr>
              <w:t>Yes (Hosseinzadeh)</w:t>
            </w:r>
          </w:p>
        </w:tc>
        <w:tc>
          <w:tcPr>
            <w:tcW w:type="dxa" w:w="864"/>
          </w:tcPr>
          <w:p>
            <w:r>
              <w:rPr>
                <w:sz w:val="15"/>
              </w:rPr>
            </w:r>
            <w:r>
              <w:rPr>
                <w:sz w:val="15"/>
              </w:rPr>
              <w:t>100%</w:t>
            </w:r>
          </w:p>
        </w:tc>
        <w:tc>
          <w:tcPr>
            <w:tcW w:type="dxa" w:w="1728"/>
          </w:tcPr>
          <w:p>
            <w:r>
              <w:rPr>
                <w:sz w:val="15"/>
              </w:rPr>
            </w:r>
            <w:r>
              <w:rPr>
                <w:sz w:val="15"/>
              </w:rPr>
              <w:t>Blocked if Hosseinzadeh confirmed; 35% only if Khorasani alone confirmed</w:t>
            </w:r>
          </w:p>
        </w:tc>
        <w:tc>
          <w:tcPr>
            <w:tcW w:type="dxa" w:w="2592"/>
          </w:tcPr>
          <w:p>
            <w:r>
              <w:rPr>
                <w:sz w:val="15"/>
              </w:rPr>
            </w:r>
            <w:r>
              <w:rPr>
                <w:sz w:val="15"/>
              </w:rPr>
              <w:t>All transactions prohibited pending resolution; ITSR origin issues</w:t>
            </w:r>
          </w:p>
        </w:tc>
      </w:tr>
      <w:tr>
        <w:tc>
          <w:tcPr>
            <w:tcW w:type="dxa" w:w="1728"/>
          </w:tcPr>
          <w:p>
            <w:r>
              <w:rPr>
                <w:sz w:val="15"/>
              </w:rPr>
            </w:r>
            <w:r>
              <w:rPr>
                <w:sz w:val="15"/>
              </w:rPr>
              <w:t>Petrostar Gulf DMCC</w:t>
            </w:r>
          </w:p>
        </w:tc>
        <w:tc>
          <w:tcPr>
            <w:tcW w:type="dxa" w:w="2304"/>
          </w:tcPr>
          <w:p>
            <w:r>
              <w:rPr>
                <w:sz w:val="15"/>
              </w:rPr>
            </w:r>
            <w:r>
              <w:rPr>
                <w:sz w:val="15"/>
              </w:rPr>
              <w:t>F. Jalloul 20% — potential SDN, SYRIA</w:t>
            </w:r>
          </w:p>
        </w:tc>
        <w:tc>
          <w:tcPr>
            <w:tcW w:type="dxa" w:w="864"/>
          </w:tcPr>
          <w:p>
            <w:r>
              <w:rPr>
                <w:sz w:val="15"/>
              </w:rPr>
            </w:r>
            <w:r>
              <w:rPr>
                <w:sz w:val="15"/>
              </w:rPr>
              <w:t>No</w:t>
            </w:r>
          </w:p>
        </w:tc>
        <w:tc>
          <w:tcPr>
            <w:tcW w:type="dxa" w:w="864"/>
          </w:tcPr>
          <w:p>
            <w:r>
              <w:rPr>
                <w:sz w:val="15"/>
              </w:rPr>
            </w:r>
            <w:r>
              <w:rPr>
                <w:sz w:val="15"/>
              </w:rPr>
              <w:t>20%</w:t>
            </w:r>
          </w:p>
        </w:tc>
        <w:tc>
          <w:tcPr>
            <w:tcW w:type="dxa" w:w="1728"/>
          </w:tcPr>
          <w:p>
            <w:r>
              <w:rPr>
                <w:sz w:val="15"/>
              </w:rPr>
            </w:r>
            <w:r>
              <w:rPr>
                <w:sz w:val="15"/>
              </w:rPr>
              <w:t>Not blocked; EDD</w:t>
            </w:r>
          </w:p>
        </w:tc>
        <w:tc>
          <w:tcPr>
            <w:tcW w:type="dxa" w:w="2592"/>
          </w:tcPr>
          <w:p>
            <w:r>
              <w:rPr>
                <w:sz w:val="15"/>
              </w:rPr>
            </w:r>
            <w:r>
              <w:rPr>
                <w:sz w:val="15"/>
              </w:rPr>
              <w:t>No benefit (dividends, distributions, fees) to Jalloul; control review; otherwise only after GC review</w:t>
            </w:r>
          </w:p>
        </w:tc>
      </w:tr>
      <w:tr>
        <w:tc>
          <w:tcPr>
            <w:tcW w:type="dxa" w:w="1728"/>
          </w:tcPr>
          <w:p>
            <w:r>
              <w:rPr>
                <w:sz w:val="15"/>
              </w:rPr>
            </w:r>
            <w:r>
              <w:rPr>
                <w:sz w:val="15"/>
              </w:rPr>
              <w:t>Orient Bridge General Trading LLC</w:t>
            </w:r>
          </w:p>
        </w:tc>
        <w:tc>
          <w:tcPr>
            <w:tcW w:type="dxa" w:w="2304"/>
          </w:tcPr>
          <w:p>
            <w:r>
              <w:rPr>
                <w:sz w:val="15"/>
              </w:rPr>
            </w:r>
            <w:r>
              <w:rPr>
                <w:sz w:val="15"/>
              </w:rPr>
              <w:t>M. T. Qasemi 45% — key person of SDN-006; not listed individually in dataset</w:t>
            </w:r>
          </w:p>
        </w:tc>
        <w:tc>
          <w:tcPr>
            <w:tcW w:type="dxa" w:w="864"/>
          </w:tcPr>
          <w:p>
            <w:r>
              <w:rPr>
                <w:sz w:val="15"/>
              </w:rPr>
            </w:r>
            <w:r>
              <w:rPr>
                <w:sz w:val="15"/>
              </w:rPr>
              <w:t>No</w:t>
            </w:r>
          </w:p>
        </w:tc>
        <w:tc>
          <w:tcPr>
            <w:tcW w:type="dxa" w:w="864"/>
          </w:tcPr>
          <w:p>
            <w:r>
              <w:rPr>
                <w:sz w:val="15"/>
              </w:rPr>
            </w:r>
            <w:r>
              <w:rPr>
                <w:sz w:val="15"/>
              </w:rPr>
              <w:t>45% (if designated)</w:t>
            </w:r>
          </w:p>
        </w:tc>
        <w:tc>
          <w:tcPr>
            <w:tcW w:type="dxa" w:w="1728"/>
          </w:tcPr>
          <w:p>
            <w:r>
              <w:rPr>
                <w:sz w:val="15"/>
              </w:rPr>
            </w:r>
            <w:r>
              <w:rPr>
                <w:sz w:val="15"/>
              </w:rPr>
              <w:t>Not blocked on 50% Rule; front/successor risk could make it blocked</w:t>
            </w:r>
          </w:p>
        </w:tc>
        <w:tc>
          <w:tcPr>
            <w:tcW w:type="dxa" w:w="2592"/>
          </w:tcPr>
          <w:p>
            <w:r>
              <w:rPr>
                <w:sz w:val="15"/>
              </w:rPr>
            </w:r>
            <w:r>
              <w:rPr>
                <w:sz w:val="15"/>
              </w:rPr>
              <w:t>Pending EDD, treat as blocked; if cleared of front risk, no benefit to Qasemi if designated</w:t>
            </w:r>
          </w:p>
        </w:tc>
      </w:tr>
      <w:tr>
        <w:tc>
          <w:tcPr>
            <w:tcW w:type="dxa" w:w="1728"/>
          </w:tcPr>
          <w:p>
            <w:r>
              <w:rPr>
                <w:sz w:val="15"/>
              </w:rPr>
            </w:r>
            <w:r>
              <w:rPr>
                <w:sz w:val="15"/>
              </w:rPr>
              <w:t>Volkov Brothers Agro-Industrial Group</w:t>
            </w:r>
          </w:p>
        </w:tc>
        <w:tc>
          <w:tcPr>
            <w:tcW w:type="dxa" w:w="2304"/>
          </w:tcPr>
          <w:p>
            <w:r>
              <w:rPr>
                <w:sz w:val="15"/>
              </w:rPr>
            </w:r>
            <w:r>
              <w:rPr>
                <w:sz w:val="15"/>
              </w:rPr>
              <w:t>D. Volkov 50% and S. Volkov 50% — potential SSI Directive 4</w:t>
            </w:r>
          </w:p>
        </w:tc>
        <w:tc>
          <w:tcPr>
            <w:tcW w:type="dxa" w:w="864"/>
          </w:tcPr>
          <w:p>
            <w:r>
              <w:rPr>
                <w:sz w:val="15"/>
              </w:rPr>
            </w:r>
            <w:r>
              <w:rPr>
                <w:sz w:val="15"/>
              </w:rPr>
              <w:t>Yes (each at 50%)</w:t>
            </w:r>
          </w:p>
        </w:tc>
        <w:tc>
          <w:tcPr>
            <w:tcW w:type="dxa" w:w="864"/>
          </w:tcPr>
          <w:p>
            <w:r>
              <w:rPr>
                <w:sz w:val="15"/>
              </w:rPr>
            </w:r>
            <w:r>
              <w:rPr>
                <w:sz w:val="15"/>
              </w:rPr>
              <w:t>100%</w:t>
            </w:r>
          </w:p>
        </w:tc>
        <w:tc>
          <w:tcPr>
            <w:tcW w:type="dxa" w:w="1728"/>
          </w:tcPr>
          <w:p>
            <w:r>
              <w:rPr>
                <w:sz w:val="15"/>
              </w:rPr>
            </w:r>
            <w:r>
              <w:rPr>
                <w:sz w:val="15"/>
              </w:rPr>
              <w:t>SSI-listed itself (OGRN); Directive 4 restrictions; not blocked</w:t>
            </w:r>
          </w:p>
        </w:tc>
        <w:tc>
          <w:tcPr>
            <w:tcW w:type="dxa" w:w="2592"/>
          </w:tcPr>
          <w:p>
            <w:r>
              <w:rPr>
                <w:sz w:val="15"/>
              </w:rPr>
            </w:r>
            <w:r>
              <w:rPr>
                <w:sz w:val="15"/>
              </w:rPr>
              <w:t>Prohibited: goods/services/technology for deepwater, Arctic offshore, shale projects. Directive 4 does not itself bar grain/fertilizer purchases, but Policy § 6.2 block applies</w:t>
            </w:r>
          </w:p>
        </w:tc>
      </w:tr>
      <w:tr>
        <w:tc>
          <w:tcPr>
            <w:tcW w:type="dxa" w:w="1728"/>
          </w:tcPr>
          <w:p>
            <w:r>
              <w:rPr>
                <w:sz w:val="15"/>
              </w:rPr>
            </w:r>
            <w:r>
              <w:rPr>
                <w:sz w:val="15"/>
              </w:rPr>
              <w:t>Novaya Energetika OOO</w:t>
            </w:r>
          </w:p>
        </w:tc>
        <w:tc>
          <w:tcPr>
            <w:tcW w:type="dxa" w:w="2304"/>
          </w:tcPr>
          <w:p>
            <w:r>
              <w:rPr>
                <w:sz w:val="15"/>
              </w:rPr>
            </w:r>
            <w:r>
              <w:rPr>
                <w:sz w:val="15"/>
              </w:rPr>
              <w:t>A. I. Drozdov 90% — potential SSI Directive 2</w:t>
            </w:r>
          </w:p>
        </w:tc>
        <w:tc>
          <w:tcPr>
            <w:tcW w:type="dxa" w:w="864"/>
          </w:tcPr>
          <w:p>
            <w:r>
              <w:rPr>
                <w:sz w:val="15"/>
              </w:rPr>
            </w:r>
            <w:r>
              <w:rPr>
                <w:sz w:val="15"/>
              </w:rPr>
              <w:t>Yes</w:t>
            </w:r>
          </w:p>
        </w:tc>
        <w:tc>
          <w:tcPr>
            <w:tcW w:type="dxa" w:w="864"/>
          </w:tcPr>
          <w:p>
            <w:r>
              <w:rPr>
                <w:sz w:val="15"/>
              </w:rPr>
            </w:r>
            <w:r>
              <w:rPr>
                <w:sz w:val="15"/>
              </w:rPr>
              <w:t>90%</w:t>
            </w:r>
          </w:p>
        </w:tc>
        <w:tc>
          <w:tcPr>
            <w:tcW w:type="dxa" w:w="1728"/>
          </w:tcPr>
          <w:p>
            <w:r>
              <w:rPr>
                <w:sz w:val="15"/>
              </w:rPr>
            </w:r>
            <w:r>
              <w:rPr>
                <w:sz w:val="15"/>
              </w:rPr>
              <w:t>Directive 2 restrictions if confirmed; not blocked</w:t>
            </w:r>
          </w:p>
        </w:tc>
        <w:tc>
          <w:tcPr>
            <w:tcW w:type="dxa" w:w="2592"/>
          </w:tcPr>
          <w:p>
            <w:r>
              <w:rPr>
                <w:sz w:val="15"/>
              </w:rPr>
            </w:r>
            <w:r>
              <w:rPr>
                <w:sz w:val="15"/>
              </w:rPr>
              <w:t>Prohibited: new debt &gt;14 days, new equity (per Policy); spot trades within window potentially permissible subject to GC/outside counsel</w:t>
            </w:r>
          </w:p>
        </w:tc>
      </w:tr>
      <w:tr>
        <w:tc>
          <w:tcPr>
            <w:tcW w:type="dxa" w:w="1728"/>
          </w:tcPr>
          <w:p>
            <w:r>
              <w:rPr>
                <w:sz w:val="15"/>
              </w:rPr>
            </w:r>
            <w:r>
              <w:rPr>
                <w:sz w:val="15"/>
              </w:rPr>
              <w:t>Meridian Strait Shipping Ltd.</w:t>
            </w:r>
          </w:p>
        </w:tc>
        <w:tc>
          <w:tcPr>
            <w:tcW w:type="dxa" w:w="2304"/>
          </w:tcPr>
          <w:p>
            <w:r>
              <w:rPr>
                <w:sz w:val="15"/>
              </w:rPr>
            </w:r>
            <w:r>
              <w:rPr>
                <w:sz w:val="15"/>
              </w:rPr>
              <w:t>49% holder unknown</w:t>
            </w:r>
          </w:p>
        </w:tc>
        <w:tc>
          <w:tcPr>
            <w:tcW w:type="dxa" w:w="864"/>
          </w:tcPr>
          <w:p>
            <w:r>
              <w:rPr>
                <w:sz w:val="15"/>
              </w:rPr>
            </w:r>
            <w:r>
              <w:rPr>
                <w:sz w:val="15"/>
              </w:rPr>
              <w:t>Unknown</w:t>
            </w:r>
          </w:p>
        </w:tc>
        <w:tc>
          <w:tcPr>
            <w:tcW w:type="dxa" w:w="864"/>
          </w:tcPr>
          <w:p>
            <w:r>
              <w:rPr>
                <w:sz w:val="15"/>
              </w:rPr>
            </w:r>
            <w:r>
              <w:rPr>
                <w:sz w:val="15"/>
              </w:rPr>
              <w:t>Unknown</w:t>
            </w:r>
          </w:p>
        </w:tc>
        <w:tc>
          <w:tcPr>
            <w:tcW w:type="dxa" w:w="1728"/>
          </w:tcPr>
          <w:p>
            <w:r>
              <w:rPr>
                <w:sz w:val="15"/>
              </w:rPr>
            </w:r>
            <w:r>
              <w:rPr>
                <w:sz w:val="15"/>
              </w:rPr>
              <w:t>Cannot be determined</w:t>
            </w:r>
          </w:p>
        </w:tc>
        <w:tc>
          <w:tcPr>
            <w:tcW w:type="dxa" w:w="2592"/>
          </w:tcPr>
          <w:p>
            <w:r>
              <w:rPr>
                <w:sz w:val="15"/>
              </w:rPr>
            </w:r>
            <w:r>
              <w:rPr>
                <w:sz w:val="15"/>
              </w:rPr>
              <w:t>Blocked under Policy § 3.2 until disclosed</w:t>
            </w:r>
          </w:p>
        </w:tc>
      </w:tr>
    </w:tbl>
    <w:p>
      <w:pPr>
        <w:spacing w:after="40"/>
      </w:pPr>
    </w:p>
    <w:p>
      <w:pPr>
        <w:pStyle w:val="Heading1"/>
      </w:pPr>
      <w:r>
        <w:t>7. Discrepancies, Errors and Data-Quality Issues Identified</w:t>
      </w:r>
    </w:p>
    <w:p>
      <w:pPr>
        <w:spacing w:after="120"/>
      </w:pPr>
      <w:r>
        <w:t>The following issues were identified in the source materials. Several affect classification and must be corrected in Oakvale’s records before the screening file is closed.</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360"/>
            <w:shd w:val="clear" w:color="auto" w:fill="1F3A5F"/>
          </w:tcPr>
          <w:p>
            <w:r>
              <w:rPr>
                <w:b/>
                <w:color w:val="FFFFFF"/>
                <w:sz w:val="15"/>
              </w:rPr>
            </w:r>
            <w:r>
              <w:rPr>
                <w:b/>
                <w:color w:val="FFFFFF"/>
                <w:sz w:val="15"/>
              </w:rPr>
              <w:t>#</w:t>
            </w:r>
          </w:p>
        </w:tc>
        <w:tc>
          <w:tcPr>
            <w:tcW w:type="dxa" w:w="1872"/>
            <w:shd w:val="clear" w:color="auto" w:fill="1F3A5F"/>
          </w:tcPr>
          <w:p>
            <w:r>
              <w:rPr>
                <w:b/>
                <w:color w:val="FFFFFF"/>
                <w:sz w:val="15"/>
              </w:rPr>
            </w:r>
            <w:r>
              <w:rPr>
                <w:b/>
                <w:color w:val="FFFFFF"/>
                <w:sz w:val="15"/>
              </w:rPr>
              <w:t>Source</w:t>
            </w:r>
          </w:p>
        </w:tc>
        <w:tc>
          <w:tcPr>
            <w:tcW w:type="dxa" w:w="3744"/>
            <w:shd w:val="clear" w:color="auto" w:fill="1F3A5F"/>
          </w:tcPr>
          <w:p>
            <w:r>
              <w:rPr>
                <w:b/>
                <w:color w:val="FFFFFF"/>
                <w:sz w:val="15"/>
              </w:rPr>
            </w:r>
            <w:r>
              <w:rPr>
                <w:b/>
                <w:color w:val="FFFFFF"/>
                <w:sz w:val="15"/>
              </w:rPr>
              <w:t>Issue</w:t>
            </w:r>
          </w:p>
        </w:tc>
        <w:tc>
          <w:tcPr>
            <w:tcW w:type="dxa" w:w="3744"/>
            <w:shd w:val="clear" w:color="auto" w:fill="1F3A5F"/>
          </w:tcPr>
          <w:p>
            <w:r>
              <w:rPr>
                <w:b/>
                <w:color w:val="FFFFFF"/>
                <w:sz w:val="15"/>
              </w:rPr>
            </w:r>
            <w:r>
              <w:rPr>
                <w:b/>
                <w:color w:val="FFFFFF"/>
                <w:sz w:val="15"/>
              </w:rPr>
              <w:t>Effect / recommended correction</w:t>
            </w:r>
          </w:p>
        </w:tc>
      </w:tr>
      <w:tr>
        <w:tc>
          <w:tcPr>
            <w:tcW w:type="dxa" w:w="360"/>
          </w:tcPr>
          <w:p>
            <w:r>
              <w:rPr>
                <w:sz w:val="15"/>
              </w:rPr>
            </w:r>
            <w:r>
              <w:rPr>
                <w:sz w:val="15"/>
              </w:rPr>
              <w:t>1</w:t>
            </w:r>
          </w:p>
        </w:tc>
        <w:tc>
          <w:tcPr>
            <w:tcW w:type="dxa" w:w="1872"/>
          </w:tcPr>
          <w:p>
            <w:r>
              <w:rPr>
                <w:sz w:val="15"/>
              </w:rPr>
            </w:r>
            <w:r>
              <w:rPr>
                <w:sz w:val="15"/>
              </w:rPr>
              <w:t>Onboarding summary — Bosphorus Maritime</w:t>
            </w:r>
          </w:p>
        </w:tc>
        <w:tc>
          <w:tcPr>
            <w:tcW w:type="dxa" w:w="3744"/>
          </w:tcPr>
          <w:p>
            <w:r>
              <w:rPr>
                <w:sz w:val="15"/>
              </w:rPr>
            </w:r>
            <w:r>
              <w:rPr>
                <w:sz w:val="15"/>
              </w:rPr>
              <w:t>Note states “no specific name/identifier match”; Trade Registry No. 891234 matches SDN-039.</w:t>
            </w:r>
          </w:p>
        </w:tc>
        <w:tc>
          <w:tcPr>
            <w:tcW w:type="dxa" w:w="3744"/>
          </w:tcPr>
          <w:p>
            <w:r>
              <w:rPr>
                <w:sz w:val="15"/>
              </w:rPr>
            </w:r>
            <w:r>
              <w:rPr>
                <w:sz w:val="15"/>
              </w:rPr>
              <w:t>Classification changes from Clear to Exact Match. Correct the note.</w:t>
            </w:r>
          </w:p>
        </w:tc>
      </w:tr>
      <w:tr>
        <w:tc>
          <w:tcPr>
            <w:tcW w:type="dxa" w:w="360"/>
          </w:tcPr>
          <w:p>
            <w:r>
              <w:rPr>
                <w:sz w:val="15"/>
              </w:rPr>
            </w:r>
            <w:r>
              <w:rPr>
                <w:sz w:val="15"/>
              </w:rPr>
              <w:t>2</w:t>
            </w:r>
          </w:p>
        </w:tc>
        <w:tc>
          <w:tcPr>
            <w:tcW w:type="dxa" w:w="1872"/>
          </w:tcPr>
          <w:p>
            <w:r>
              <w:rPr>
                <w:sz w:val="15"/>
              </w:rPr>
            </w:r>
            <w:r>
              <w:rPr>
                <w:sz w:val="15"/>
              </w:rPr>
              <w:t>Onboarding summary — Petrostar</w:t>
            </w:r>
          </w:p>
        </w:tc>
        <w:tc>
          <w:tcPr>
            <w:tcW w:type="dxa" w:w="3744"/>
          </w:tcPr>
          <w:p>
            <w:r>
              <w:rPr>
                <w:sz w:val="15"/>
              </w:rPr>
            </w:r>
            <w:r>
              <w:rPr>
                <w:sz w:val="15"/>
              </w:rPr>
              <w:t>States Jalloul’s Lebanese nationality “matches SDN.” SDN-005 lists Syrian nationality and a Syrian passport.</w:t>
            </w:r>
          </w:p>
        </w:tc>
        <w:tc>
          <w:tcPr>
            <w:tcW w:type="dxa" w:w="3744"/>
          </w:tcPr>
          <w:p>
            <w:r>
              <w:rPr>
                <w:sz w:val="15"/>
              </w:rPr>
            </w:r>
            <w:r>
              <w:rPr>
                <w:sz w:val="15"/>
              </w:rPr>
              <w:t>Nationality is a conflicting, not confirming, identifier; match remains Strong Potential pending DOB/passport.</w:t>
            </w:r>
          </w:p>
        </w:tc>
      </w:tr>
      <w:tr>
        <w:tc>
          <w:tcPr>
            <w:tcW w:type="dxa" w:w="360"/>
          </w:tcPr>
          <w:p>
            <w:r>
              <w:rPr>
                <w:sz w:val="15"/>
              </w:rPr>
            </w:r>
            <w:r>
              <w:rPr>
                <w:sz w:val="15"/>
              </w:rPr>
              <w:t>3</w:t>
            </w:r>
          </w:p>
        </w:tc>
        <w:tc>
          <w:tcPr>
            <w:tcW w:type="dxa" w:w="1872"/>
          </w:tcPr>
          <w:p>
            <w:r>
              <w:rPr>
                <w:sz w:val="15"/>
              </w:rPr>
            </w:r>
            <w:r>
              <w:rPr>
                <w:sz w:val="15"/>
              </w:rPr>
              <w:t>Onboarding summary — Volkov Brothers</w:t>
            </w:r>
          </w:p>
        </w:tc>
        <w:tc>
          <w:tcPr>
            <w:tcW w:type="dxa" w:w="3744"/>
          </w:tcPr>
          <w:p>
            <w:r>
              <w:rPr>
                <w:sz w:val="15"/>
              </w:rPr>
            </w:r>
            <w:r>
              <w:rPr>
                <w:sz w:val="15"/>
              </w:rPr>
              <w:t>States “SDN lists ‘Dmitri Arkadyevich Volkov’.” No SDN entry exists; the name appears as key personnel in SSI-001; the individual SSI entry SSI-010 is “Dmitri Alexandrovich Volkov.”</w:t>
            </w:r>
          </w:p>
        </w:tc>
        <w:tc>
          <w:tcPr>
            <w:tcW w:type="dxa" w:w="3744"/>
          </w:tcPr>
          <w:p>
            <w:r>
              <w:rPr>
                <w:sz w:val="15"/>
              </w:rPr>
            </w:r>
            <w:r>
              <w:rPr>
                <w:sz w:val="15"/>
              </w:rPr>
              <w:t>Listing is SSI (sectoral), not SDN. CCO to correct the Reference Dataset’s patronymic inconsistency and the note.</w:t>
            </w:r>
          </w:p>
        </w:tc>
      </w:tr>
      <w:tr>
        <w:tc>
          <w:tcPr>
            <w:tcW w:type="dxa" w:w="360"/>
          </w:tcPr>
          <w:p>
            <w:r>
              <w:rPr>
                <w:sz w:val="15"/>
              </w:rPr>
            </w:r>
            <w:r>
              <w:rPr>
                <w:sz w:val="15"/>
              </w:rPr>
              <w:t>4</w:t>
            </w:r>
          </w:p>
        </w:tc>
        <w:tc>
          <w:tcPr>
            <w:tcW w:type="dxa" w:w="1872"/>
          </w:tcPr>
          <w:p>
            <w:r>
              <w:rPr>
                <w:sz w:val="15"/>
              </w:rPr>
            </w:r>
            <w:r>
              <w:rPr>
                <w:sz w:val="15"/>
              </w:rPr>
              <w:t>Onboarding summary — Novaya Energetika</w:t>
            </w:r>
          </w:p>
        </w:tc>
        <w:tc>
          <w:tcPr>
            <w:tcW w:type="dxa" w:w="3744"/>
          </w:tcPr>
          <w:p>
            <w:r>
              <w:rPr>
                <w:sz w:val="15"/>
              </w:rPr>
            </w:r>
            <w:r>
              <w:rPr>
                <w:sz w:val="15"/>
              </w:rPr>
              <w:t>Treats “cities differ” as relevant to the Drozdov match; SSI-002’s address is St. Petersburg (same as counterparty).</w:t>
            </w:r>
          </w:p>
        </w:tc>
        <w:tc>
          <w:tcPr>
            <w:tcW w:type="dxa" w:w="3744"/>
          </w:tcPr>
          <w:p>
            <w:r>
              <w:rPr>
                <w:sz w:val="15"/>
              </w:rPr>
            </w:r>
            <w:r>
              <w:rPr>
                <w:sz w:val="15"/>
              </w:rPr>
              <w:t>The address corroborates rather than distinguishes the individual match.</w:t>
            </w:r>
          </w:p>
        </w:tc>
      </w:tr>
      <w:tr>
        <w:tc>
          <w:tcPr>
            <w:tcW w:type="dxa" w:w="360"/>
          </w:tcPr>
          <w:p>
            <w:r>
              <w:rPr>
                <w:sz w:val="15"/>
              </w:rPr>
            </w:r>
            <w:r>
              <w:rPr>
                <w:sz w:val="15"/>
              </w:rPr>
              <w:t>5</w:t>
            </w:r>
          </w:p>
        </w:tc>
        <w:tc>
          <w:tcPr>
            <w:tcW w:type="dxa" w:w="1872"/>
          </w:tcPr>
          <w:p>
            <w:r>
              <w:rPr>
                <w:sz w:val="15"/>
              </w:rPr>
            </w:r>
            <w:r>
              <w:rPr>
                <w:sz w:val="15"/>
              </w:rPr>
              <w:t>Onboarding summary — Volkov Brothers</w:t>
            </w:r>
          </w:p>
        </w:tc>
        <w:tc>
          <w:tcPr>
            <w:tcW w:type="dxa" w:w="3744"/>
          </w:tcPr>
          <w:p>
            <w:r>
              <w:rPr>
                <w:sz w:val="15"/>
              </w:rPr>
            </w:r>
            <w:r>
              <w:rPr>
                <w:sz w:val="15"/>
              </w:rPr>
              <w:t>Patronymics described as “not provided,” although passport copies of both directors were received.</w:t>
            </w:r>
          </w:p>
        </w:tc>
        <w:tc>
          <w:tcPr>
            <w:tcW w:type="dxa" w:w="3744"/>
          </w:tcPr>
          <w:p>
            <w:r>
              <w:rPr>
                <w:sz w:val="15"/>
              </w:rPr>
            </w:r>
            <w:r>
              <w:rPr>
                <w:sz w:val="15"/>
              </w:rPr>
              <w:t>Russian passports record patronymics; compare immediately. Same applies to DOB/passport data for Al-Zubaydi, Jalloul, Silk Road owners, Drozdov and Morozov.</w:t>
            </w:r>
          </w:p>
        </w:tc>
      </w:tr>
      <w:tr>
        <w:tc>
          <w:tcPr>
            <w:tcW w:type="dxa" w:w="360"/>
          </w:tcPr>
          <w:p>
            <w:r>
              <w:rPr>
                <w:sz w:val="15"/>
              </w:rPr>
            </w:r>
            <w:r>
              <w:rPr>
                <w:sz w:val="15"/>
              </w:rPr>
              <w:t>6</w:t>
            </w:r>
          </w:p>
        </w:tc>
        <w:tc>
          <w:tcPr>
            <w:tcW w:type="dxa" w:w="1872"/>
          </w:tcPr>
          <w:p>
            <w:r>
              <w:rPr>
                <w:sz w:val="15"/>
              </w:rPr>
            </w:r>
            <w:r>
              <w:rPr>
                <w:sz w:val="15"/>
              </w:rPr>
              <w:t>Onboarding summary — Al-Zubaydi</w:t>
            </w:r>
          </w:p>
        </w:tc>
        <w:tc>
          <w:tcPr>
            <w:tcW w:type="dxa" w:w="3744"/>
          </w:tcPr>
          <w:p>
            <w:r>
              <w:rPr>
                <w:sz w:val="15"/>
              </w:rPr>
            </w:r>
            <w:r>
              <w:rPr>
                <w:sz w:val="15"/>
              </w:rPr>
              <w:t>DMCC registration number not provided; entity typed “LLC” with a DMCC registration.</w:t>
            </w:r>
          </w:p>
        </w:tc>
        <w:tc>
          <w:tcPr>
            <w:tcW w:type="dxa" w:w="3744"/>
          </w:tcPr>
          <w:p>
            <w:r>
              <w:rPr>
                <w:sz w:val="15"/>
              </w:rPr>
            </w:r>
            <w:r>
              <w:rPr>
                <w:sz w:val="15"/>
              </w:rPr>
              <w:t>Registration screening incomplete (Policy § 3.1(3)); obtain and verify.</w:t>
            </w:r>
          </w:p>
        </w:tc>
      </w:tr>
      <w:tr>
        <w:tc>
          <w:tcPr>
            <w:tcW w:type="dxa" w:w="360"/>
          </w:tcPr>
          <w:p>
            <w:r>
              <w:rPr>
                <w:sz w:val="15"/>
              </w:rPr>
            </w:r>
            <w:r>
              <w:rPr>
                <w:sz w:val="15"/>
              </w:rPr>
              <w:t>7</w:t>
            </w:r>
          </w:p>
        </w:tc>
        <w:tc>
          <w:tcPr>
            <w:tcW w:type="dxa" w:w="1872"/>
          </w:tcPr>
          <w:p>
            <w:r>
              <w:rPr>
                <w:sz w:val="15"/>
              </w:rPr>
            </w:r>
            <w:r>
              <w:rPr>
                <w:sz w:val="15"/>
              </w:rPr>
              <w:t>Onboarding summary — Meridian Strait</w:t>
            </w:r>
          </w:p>
        </w:tc>
        <w:tc>
          <w:tcPr>
            <w:tcW w:type="dxa" w:w="3744"/>
          </w:tcPr>
          <w:p>
            <w:r>
              <w:rPr>
                <w:sz w:val="15"/>
              </w:rPr>
            </w:r>
            <w:r>
              <w:rPr>
                <w:sz w:val="15"/>
              </w:rPr>
              <w:t>IMO numbers received but not recorded.</w:t>
            </w:r>
          </w:p>
        </w:tc>
        <w:tc>
          <w:tcPr>
            <w:tcW w:type="dxa" w:w="3744"/>
          </w:tcPr>
          <w:p>
            <w:r>
              <w:rPr>
                <w:sz w:val="15"/>
              </w:rPr>
            </w:r>
            <w:r>
              <w:rPr>
                <w:sz w:val="15"/>
              </w:rPr>
              <w:t>Vessel screening outstanding.</w:t>
            </w:r>
          </w:p>
        </w:tc>
      </w:tr>
      <w:tr>
        <w:tc>
          <w:tcPr>
            <w:tcW w:type="dxa" w:w="360"/>
          </w:tcPr>
          <w:p>
            <w:r>
              <w:rPr>
                <w:sz w:val="15"/>
              </w:rPr>
            </w:r>
            <w:r>
              <w:rPr>
                <w:sz w:val="15"/>
              </w:rPr>
              <w:t>8</w:t>
            </w:r>
          </w:p>
        </w:tc>
        <w:tc>
          <w:tcPr>
            <w:tcW w:type="dxa" w:w="1872"/>
          </w:tcPr>
          <w:p>
            <w:r>
              <w:rPr>
                <w:sz w:val="15"/>
              </w:rPr>
            </w:r>
            <w:r>
              <w:rPr>
                <w:sz w:val="15"/>
              </w:rPr>
              <w:t>Onboarding summary — Black Sea Logistics</w:t>
            </w:r>
          </w:p>
        </w:tc>
        <w:tc>
          <w:tcPr>
            <w:tcW w:type="dxa" w:w="3744"/>
          </w:tcPr>
          <w:p>
            <w:r>
              <w:rPr>
                <w:sz w:val="15"/>
              </w:rPr>
            </w:r>
            <w:r>
              <w:rPr>
                <w:sz w:val="15"/>
              </w:rPr>
              <w:t>BIC BCOMGBSFXXX bears “GB” country code for a Bulgarian bank/IBAN.</w:t>
            </w:r>
          </w:p>
        </w:tc>
        <w:tc>
          <w:tcPr>
            <w:tcW w:type="dxa" w:w="3744"/>
          </w:tcPr>
          <w:p>
            <w:r>
              <w:rPr>
                <w:sz w:val="15"/>
              </w:rPr>
            </w:r>
            <w:r>
              <w:rPr>
                <w:sz w:val="15"/>
              </w:rPr>
              <w:t>Bank-detail anomaly to be explained (Policy § 3.1(9)).</w:t>
            </w:r>
          </w:p>
        </w:tc>
      </w:tr>
      <w:tr>
        <w:tc>
          <w:tcPr>
            <w:tcW w:type="dxa" w:w="360"/>
          </w:tcPr>
          <w:p>
            <w:r>
              <w:rPr>
                <w:sz w:val="15"/>
              </w:rPr>
            </w:r>
            <w:r>
              <w:rPr>
                <w:sz w:val="15"/>
              </w:rPr>
              <w:t>9</w:t>
            </w:r>
          </w:p>
        </w:tc>
        <w:tc>
          <w:tcPr>
            <w:tcW w:type="dxa" w:w="1872"/>
          </w:tcPr>
          <w:p>
            <w:r>
              <w:rPr>
                <w:sz w:val="15"/>
              </w:rPr>
            </w:r>
            <w:r>
              <w:rPr>
                <w:sz w:val="15"/>
              </w:rPr>
              <w:t>Onboarding summary — bank details</w:t>
            </w:r>
          </w:p>
        </w:tc>
        <w:tc>
          <w:tcPr>
            <w:tcW w:type="dxa" w:w="3744"/>
          </w:tcPr>
          <w:p>
            <w:r>
              <w:rPr>
                <w:sz w:val="15"/>
              </w:rPr>
            </w:r>
            <w:r>
              <w:rPr>
                <w:sz w:val="15"/>
              </w:rPr>
              <w:t>Several IBANs as transcribed (e.g., Al-Zubaydi, Black Sea, Caucasus, Petrostar, Silk Road, TuranTrade, Bosphorus, Novaya, Orient Bridge) do not pass ISO 13616 check-digit validation, and the TuranTrade IBAN is 22 characters (Kazakh IBANs are 20).</w:t>
            </w:r>
          </w:p>
        </w:tc>
        <w:tc>
          <w:tcPr>
            <w:tcW w:type="dxa" w:w="3744"/>
          </w:tcPr>
          <w:p>
            <w:r>
              <w:rPr>
                <w:sz w:val="15"/>
              </w:rPr>
            </w:r>
            <w:r>
              <w:rPr>
                <w:sz w:val="15"/>
              </w:rPr>
              <w:t>Likely transcription issues; verify against bank reference letters before any payment set-up.</w:t>
            </w:r>
          </w:p>
        </w:tc>
      </w:tr>
      <w:tr>
        <w:tc>
          <w:tcPr>
            <w:tcW w:type="dxa" w:w="360"/>
          </w:tcPr>
          <w:p>
            <w:r>
              <w:rPr>
                <w:sz w:val="15"/>
              </w:rPr>
            </w:r>
            <w:r>
              <w:rPr>
                <w:sz w:val="15"/>
              </w:rPr>
              <w:t>10</w:t>
            </w:r>
          </w:p>
        </w:tc>
        <w:tc>
          <w:tcPr>
            <w:tcW w:type="dxa" w:w="1872"/>
          </w:tcPr>
          <w:p>
            <w:r>
              <w:rPr>
                <w:sz w:val="15"/>
              </w:rPr>
            </w:r>
            <w:r>
              <w:rPr>
                <w:sz w:val="15"/>
              </w:rPr>
              <w:t>Onboarding summary — Kazakh entities</w:t>
            </w:r>
          </w:p>
        </w:tc>
        <w:tc>
          <w:tcPr>
            <w:tcW w:type="dxa" w:w="3744"/>
          </w:tcPr>
          <w:p>
            <w:r>
              <w:rPr>
                <w:sz w:val="15"/>
              </w:rPr>
            </w:r>
            <w:r>
              <w:rPr>
                <w:sz w:val="15"/>
              </w:rPr>
              <w:t>Registry numbers (45-7821; 89-3321) are not in the 12-digit BIN format used in the Reference Dataset.</w:t>
            </w:r>
          </w:p>
        </w:tc>
        <w:tc>
          <w:tcPr>
            <w:tcW w:type="dxa" w:w="3744"/>
          </w:tcPr>
          <w:p>
            <w:r>
              <w:rPr>
                <w:sz w:val="15"/>
              </w:rPr>
            </w:r>
            <w:r>
              <w:rPr>
                <w:sz w:val="15"/>
              </w:rPr>
              <w:t>Obtain BINs to document like-for-like comparison.</w:t>
            </w:r>
          </w:p>
        </w:tc>
      </w:tr>
      <w:tr>
        <w:tc>
          <w:tcPr>
            <w:tcW w:type="dxa" w:w="360"/>
          </w:tcPr>
          <w:p>
            <w:r>
              <w:rPr>
                <w:sz w:val="15"/>
              </w:rPr>
            </w:r>
            <w:r>
              <w:rPr>
                <w:sz w:val="15"/>
              </w:rPr>
              <w:t>11</w:t>
            </w:r>
          </w:p>
        </w:tc>
        <w:tc>
          <w:tcPr>
            <w:tcW w:type="dxa" w:w="1872"/>
          </w:tcPr>
          <w:p>
            <w:r>
              <w:rPr>
                <w:sz w:val="15"/>
              </w:rPr>
            </w:r>
            <w:r>
              <w:rPr>
                <w:sz w:val="15"/>
              </w:rPr>
              <w:t>Corporate name</w:t>
            </w:r>
          </w:p>
        </w:tc>
        <w:tc>
          <w:tcPr>
            <w:tcW w:type="dxa" w:w="3744"/>
          </w:tcPr>
          <w:p>
            <w:r>
              <w:rPr>
                <w:sz w:val="15"/>
              </w:rPr>
            </w:r>
            <w:r>
              <w:rPr>
                <w:sz w:val="15"/>
              </w:rPr>
              <w:t>The Policy’s title page and the onboarding package identify the company as “Ridgemont Global Trading Corp.” (and emails use ridgemontglobal.com), while the Policy text, Reference Dataset and Whitmore memo use “Oakvale Global Trading Corp.” at the same address.</w:t>
            </w:r>
          </w:p>
        </w:tc>
        <w:tc>
          <w:tcPr>
            <w:tcW w:type="dxa" w:w="3744"/>
          </w:tcPr>
          <w:p>
            <w:r>
              <w:rPr>
                <w:sz w:val="15"/>
              </w:rPr>
            </w:r>
            <w:r>
              <w:rPr>
                <w:sz w:val="15"/>
              </w:rPr>
              <w:t>Confirm the correct legal name of the screening entity for the record, the Pinnacle certification and any OFAC filings.</w:t>
            </w:r>
          </w:p>
        </w:tc>
      </w:tr>
      <w:tr>
        <w:tc>
          <w:tcPr>
            <w:tcW w:type="dxa" w:w="360"/>
          </w:tcPr>
          <w:p>
            <w:r>
              <w:rPr>
                <w:sz w:val="15"/>
              </w:rPr>
            </w:r>
            <w:r>
              <w:rPr>
                <w:sz w:val="15"/>
              </w:rPr>
              <w:t>12</w:t>
            </w:r>
          </w:p>
        </w:tc>
        <w:tc>
          <w:tcPr>
            <w:tcW w:type="dxa" w:w="1872"/>
          </w:tcPr>
          <w:p>
            <w:r>
              <w:rPr>
                <w:sz w:val="15"/>
              </w:rPr>
            </w:r>
            <w:r>
              <w:rPr>
                <w:sz w:val="15"/>
              </w:rPr>
              <w:t>Reference Dataset — SSI footnote</w:t>
            </w:r>
          </w:p>
        </w:tc>
        <w:tc>
          <w:tcPr>
            <w:tcW w:type="dxa" w:w="3744"/>
          </w:tcPr>
          <w:p>
            <w:r>
              <w:rPr>
                <w:sz w:val="15"/>
              </w:rPr>
            </w:r>
            <w:r>
              <w:rPr>
                <w:sz w:val="15"/>
              </w:rPr>
              <w:t>Footnote says Directive 1 prohibits new debt “&gt;30 days”; the SSI entries and Policy Appendix B say 14 days.</w:t>
            </w:r>
          </w:p>
        </w:tc>
        <w:tc>
          <w:tcPr>
            <w:tcW w:type="dxa" w:w="3744"/>
          </w:tcPr>
          <w:p>
            <w:r>
              <w:rPr>
                <w:sz w:val="15"/>
              </w:rPr>
            </w:r>
            <w:r>
              <w:rPr>
                <w:sz w:val="15"/>
              </w:rPr>
              <w:t>Internal inconsistency; CCO and Halcyon Hart to confirm and correct.</w:t>
            </w:r>
          </w:p>
        </w:tc>
      </w:tr>
      <w:tr>
        <w:tc>
          <w:tcPr>
            <w:tcW w:type="dxa" w:w="360"/>
          </w:tcPr>
          <w:p>
            <w:r>
              <w:rPr>
                <w:sz w:val="15"/>
              </w:rPr>
            </w:r>
            <w:r>
              <w:rPr>
                <w:sz w:val="15"/>
              </w:rPr>
              <w:t>13</w:t>
            </w:r>
          </w:p>
        </w:tc>
        <w:tc>
          <w:tcPr>
            <w:tcW w:type="dxa" w:w="1872"/>
          </w:tcPr>
          <w:p>
            <w:r>
              <w:rPr>
                <w:sz w:val="15"/>
              </w:rPr>
            </w:r>
            <w:r>
              <w:rPr>
                <w:sz w:val="15"/>
              </w:rPr>
              <w:t>Policy / Dataset — Directive 2</w:t>
            </w:r>
          </w:p>
        </w:tc>
        <w:tc>
          <w:tcPr>
            <w:tcW w:type="dxa" w:w="3744"/>
          </w:tcPr>
          <w:p>
            <w:r>
              <w:rPr>
                <w:sz w:val="15"/>
              </w:rPr>
            </w:r>
            <w:r>
              <w:rPr>
                <w:sz w:val="15"/>
              </w:rPr>
              <w:t>Directive 2 is described as a “financial sector” directive prohibiting debt &gt;14 days and new equity. As we understand OFAC’s Directive 2 under EO 13662, it is directed at the energy sector and limits new debt (currently 60 days) without an equity prohibition.</w:t>
            </w:r>
          </w:p>
        </w:tc>
        <w:tc>
          <w:tcPr>
            <w:tcW w:type="dxa" w:w="3744"/>
          </w:tcPr>
          <w:p>
            <w:r>
              <w:rPr>
                <w:sz w:val="15"/>
              </w:rPr>
            </w:r>
            <w:r>
              <w:rPr>
                <w:sz w:val="15"/>
              </w:rPr>
              <w:t>For conservatism this report applies the Policy’s stricter description; Halcyon Hart to confirm the operative text and the Policy to be corrected at the next review.</w:t>
            </w:r>
          </w:p>
        </w:tc>
      </w:tr>
      <w:tr>
        <w:tc>
          <w:tcPr>
            <w:tcW w:type="dxa" w:w="360"/>
          </w:tcPr>
          <w:p>
            <w:r>
              <w:rPr>
                <w:sz w:val="15"/>
              </w:rPr>
            </w:r>
            <w:r>
              <w:rPr>
                <w:sz w:val="15"/>
              </w:rPr>
              <w:t>14</w:t>
            </w:r>
          </w:p>
        </w:tc>
        <w:tc>
          <w:tcPr>
            <w:tcW w:type="dxa" w:w="1872"/>
          </w:tcPr>
          <w:p>
            <w:r>
              <w:rPr>
                <w:sz w:val="15"/>
              </w:rPr>
            </w:r>
            <w:r>
              <w:rPr>
                <w:sz w:val="15"/>
              </w:rPr>
              <w:t>Policy § 1.1</w:t>
            </w:r>
          </w:p>
        </w:tc>
        <w:tc>
          <w:tcPr>
            <w:tcW w:type="dxa" w:w="3744"/>
          </w:tcPr>
          <w:p>
            <w:r>
              <w:rPr>
                <w:sz w:val="15"/>
              </w:rPr>
            </w:r>
            <w:r>
              <w:rPr>
                <w:sz w:val="15"/>
              </w:rPr>
              <w:t>States civil penalties may reach $20 million per violation and criminal imprisonment of up to 30 years; these figures do not correspond to the IEEPA maxima (inflation-adjusted civil penalty per violation, or twice the transaction value; criminal penalties up to $1 million and 20 years).</w:t>
            </w:r>
          </w:p>
        </w:tc>
        <w:tc>
          <w:tcPr>
            <w:tcW w:type="dxa" w:w="3744"/>
          </w:tcPr>
          <w:p>
            <w:r>
              <w:rPr>
                <w:sz w:val="15"/>
              </w:rPr>
            </w:r>
            <w:r>
              <w:rPr>
                <w:sz w:val="15"/>
              </w:rPr>
              <w:t>Counsel to verify and correct at next policy review (not outcome-determinative for screening).</w:t>
            </w:r>
          </w:p>
        </w:tc>
      </w:tr>
      <w:tr>
        <w:tc>
          <w:tcPr>
            <w:tcW w:type="dxa" w:w="360"/>
          </w:tcPr>
          <w:p>
            <w:r>
              <w:rPr>
                <w:sz w:val="15"/>
              </w:rPr>
            </w:r>
            <w:r>
              <w:rPr>
                <w:sz w:val="15"/>
              </w:rPr>
              <w:t>15</w:t>
            </w:r>
          </w:p>
        </w:tc>
        <w:tc>
          <w:tcPr>
            <w:tcW w:type="dxa" w:w="1872"/>
          </w:tcPr>
          <w:p>
            <w:r>
              <w:rPr>
                <w:sz w:val="15"/>
              </w:rPr>
            </w:r>
            <w:r>
              <w:rPr>
                <w:sz w:val="15"/>
              </w:rPr>
              <w:t>Policy § 7.2</w:t>
            </w:r>
          </w:p>
        </w:tc>
        <w:tc>
          <w:tcPr>
            <w:tcW w:type="dxa" w:w="3744"/>
          </w:tcPr>
          <w:p>
            <w:r>
              <w:rPr>
                <w:sz w:val="15"/>
              </w:rPr>
            </w:r>
            <w:r>
              <w:rPr>
                <w:sz w:val="15"/>
              </w:rPr>
              <w:t>Five-year record retention. Federal law now extends the statute of limitations for IEEPA/TWEA violations to 10 years, and OFAC extended its recordkeeping requirement to 10 years effective March 2025.</w:t>
            </w:r>
          </w:p>
        </w:tc>
        <w:tc>
          <w:tcPr>
            <w:tcW w:type="dxa" w:w="3744"/>
          </w:tcPr>
          <w:p>
            <w:r>
              <w:rPr>
                <w:sz w:val="15"/>
              </w:rPr>
            </w:r>
            <w:r>
              <w:rPr>
                <w:sz w:val="15"/>
              </w:rPr>
              <w:t>Retain this screening file for at least 10 years; update the Policy.</w:t>
            </w:r>
          </w:p>
        </w:tc>
      </w:tr>
      <w:tr>
        <w:tc>
          <w:tcPr>
            <w:tcW w:type="dxa" w:w="360"/>
          </w:tcPr>
          <w:p>
            <w:r>
              <w:rPr>
                <w:sz w:val="15"/>
              </w:rPr>
            </w:r>
            <w:r>
              <w:rPr>
                <w:sz w:val="15"/>
              </w:rPr>
              <w:t>16</w:t>
            </w:r>
          </w:p>
        </w:tc>
        <w:tc>
          <w:tcPr>
            <w:tcW w:type="dxa" w:w="1872"/>
          </w:tcPr>
          <w:p>
            <w:r>
              <w:rPr>
                <w:sz w:val="15"/>
              </w:rPr>
            </w:r>
            <w:r>
              <w:rPr>
                <w:sz w:val="15"/>
              </w:rPr>
              <w:t>Deadline computation</w:t>
            </w:r>
          </w:p>
        </w:tc>
        <w:tc>
          <w:tcPr>
            <w:tcW w:type="dxa" w:w="3744"/>
          </w:tcPr>
          <w:p>
            <w:r>
              <w:rPr>
                <w:sz w:val="15"/>
              </w:rPr>
            </w:r>
            <w:r>
              <w:rPr>
                <w:sz w:val="15"/>
              </w:rPr>
              <w:t>May 26, 2025 is Memorial Day (federal holiday); five business days after May 20 is technically May 28.</w:t>
            </w:r>
          </w:p>
        </w:tc>
        <w:tc>
          <w:tcPr>
            <w:tcW w:type="dxa" w:w="3744"/>
          </w:tcPr>
          <w:p>
            <w:r>
              <w:rPr>
                <w:sz w:val="15"/>
              </w:rPr>
            </w:r>
            <w:r>
              <w:rPr>
                <w:sz w:val="15"/>
              </w:rPr>
              <w:t>No change — the GC has set May 27 as firm; record that the deadline is conservative.</w:t>
            </w:r>
          </w:p>
        </w:tc>
      </w:tr>
      <w:tr>
        <w:tc>
          <w:tcPr>
            <w:tcW w:type="dxa" w:w="360"/>
          </w:tcPr>
          <w:p>
            <w:r>
              <w:rPr>
                <w:sz w:val="15"/>
              </w:rPr>
            </w:r>
            <w:r>
              <w:rPr>
                <w:sz w:val="15"/>
              </w:rPr>
              <w:t>17</w:t>
            </w:r>
          </w:p>
        </w:tc>
        <w:tc>
          <w:tcPr>
            <w:tcW w:type="dxa" w:w="1872"/>
          </w:tcPr>
          <w:p>
            <w:r>
              <w:rPr>
                <w:sz w:val="15"/>
              </w:rPr>
            </w:r>
            <w:r>
              <w:rPr>
                <w:sz w:val="15"/>
              </w:rPr>
              <w:t>Meridian Strait correspondence</w:t>
            </w:r>
          </w:p>
        </w:tc>
        <w:tc>
          <w:tcPr>
            <w:tcW w:type="dxa" w:w="3744"/>
          </w:tcPr>
          <w:p>
            <w:r>
              <w:rPr>
                <w:sz w:val="15"/>
              </w:rPr>
            </w:r>
            <w:r>
              <w:rPr>
                <w:sz w:val="15"/>
              </w:rPr>
              <w:t>Demand letter dated May 21 (email) vs May 22 (Submission Log); 48-hour response deadline vs Policy § 3.2(a) 10 business days.</w:t>
            </w:r>
          </w:p>
        </w:tc>
        <w:tc>
          <w:tcPr>
            <w:tcW w:type="dxa" w:w="3744"/>
          </w:tcPr>
          <w:p>
            <w:r>
              <w:rPr>
                <w:sz w:val="15"/>
              </w:rPr>
            </w:r>
            <w:r>
              <w:rPr>
                <w:sz w:val="15"/>
              </w:rPr>
              <w:t>Reconcile dates in the file; GC to approve deviation from § 3.2(a) if rejection is based on the 48-hour deadline.</w:t>
            </w:r>
          </w:p>
        </w:tc>
      </w:tr>
      <w:tr>
        <w:tc>
          <w:tcPr>
            <w:tcW w:type="dxa" w:w="360"/>
          </w:tcPr>
          <w:p>
            <w:r>
              <w:rPr>
                <w:sz w:val="15"/>
              </w:rPr>
            </w:r>
            <w:r>
              <w:rPr>
                <w:sz w:val="15"/>
              </w:rPr>
              <w:t>18</w:t>
            </w:r>
          </w:p>
        </w:tc>
        <w:tc>
          <w:tcPr>
            <w:tcW w:type="dxa" w:w="1872"/>
          </w:tcPr>
          <w:p>
            <w:r>
              <w:rPr>
                <w:sz w:val="15"/>
              </w:rPr>
            </w:r>
            <w:r>
              <w:rPr>
                <w:sz w:val="15"/>
              </w:rPr>
              <w:t>Yoon email of May 21</w:t>
            </w:r>
          </w:p>
        </w:tc>
        <w:tc>
          <w:tcPr>
            <w:tcW w:type="dxa" w:w="3744"/>
          </w:tcPr>
          <w:p>
            <w:r>
              <w:rPr>
                <w:sz w:val="15"/>
              </w:rPr>
            </w:r>
            <w:r>
              <w:rPr>
                <w:sz w:val="15"/>
              </w:rPr>
              <w:t>States the Whitmore memo did not recommend a specific action for Meridian Strait; the memo (dated May 22) recommends rejection if disclosure is not received by May 27.</w:t>
            </w:r>
          </w:p>
        </w:tc>
        <w:tc>
          <w:tcPr>
            <w:tcW w:type="dxa" w:w="3744"/>
          </w:tcPr>
          <w:p>
            <w:r>
              <w:rPr>
                <w:sz w:val="15"/>
              </w:rPr>
            </w:r>
            <w:r>
              <w:rPr>
                <w:sz w:val="15"/>
              </w:rPr>
              <w:t>Minor; note for the record. The memo date post-dates the email — confirm which version was reviewed.</w:t>
            </w:r>
          </w:p>
        </w:tc>
      </w:tr>
    </w:tbl>
    <w:p>
      <w:pPr>
        <w:spacing w:after="40"/>
      </w:pPr>
    </w:p>
    <w:p>
      <w:pPr>
        <w:pStyle w:val="Heading1"/>
      </w:pPr>
      <w:r>
        <w:t>8. Assessment of the Whitmore Preliminary Memorandum (Policy § 8.2)</w:t>
      </w:r>
    </w:p>
    <w:p>
      <w:pPr>
        <w:spacing w:after="120"/>
      </w:pPr>
      <w:r>
        <w:t>Whitmore’s memo is expressly preliminary and entity-level only and disclaims individual screening. Oakvale’s own screening controls (Policy § 8.2). Measured against this report:</w:t>
      </w:r>
    </w:p>
    <w:p>
      <w:pPr>
        <w:pStyle w:val="ListBullet"/>
        <w:spacing w:after="60"/>
      </w:pPr>
      <w:r>
        <w:rPr>
          <w:b/>
        </w:rPr>
        <w:t>Agreed:</w:t>
      </w:r>
      <w:r>
        <w:t xml:space="preserve"> Al-Zubaydi (Strong Potential Match); Meridian Strait (high risk, condition onboarding on full BO disclosure); the observation that jurisdictional difference does not clear a match; Tokayev surname guidance; vessel screening for Bosphorus/Meridian.</w:t>
      </w:r>
    </w:p>
    <w:p>
      <w:pPr>
        <w:pStyle w:val="ListBullet"/>
        <w:spacing w:after="60"/>
      </w:pPr>
      <w:r>
        <w:rPr>
          <w:b/>
        </w:rPr>
        <w:t>Missed Exact Matches identifiable at entity level:</w:t>
      </w:r>
      <w:r>
        <w:t xml:space="preserve"> Black Sea Logistics OOD (UIC identical to SDN-007) and Bosphorus Maritime Enterprises Ltd. (Trade Registry No. identical to SDN-039) — both registration-number matches that an entity-level review should have caught; Volkov Brothers (OGRN identical to SSI-001).</w:t>
      </w:r>
    </w:p>
    <w:p>
      <w:pPr>
        <w:pStyle w:val="ListBullet"/>
        <w:spacing w:after="60"/>
      </w:pPr>
      <w:r>
        <w:rPr>
          <w:b/>
        </w:rPr>
        <w:t>Missed individual-level matches:</w:t>
      </w:r>
      <w:r>
        <w:t xml:space="preserve"> Morozov (Eurasian), Hosseinzadeh and Khorasani (Silk Road), Jalloul (Petrostar), Drozdov (Novaya) and the SDN-006 key-person link (Orient Bridge).</w:t>
      </w:r>
    </w:p>
    <w:p>
      <w:pPr>
        <w:pStyle w:val="ListBullet"/>
        <w:spacing w:after="60"/>
      </w:pPr>
      <w:r>
        <w:rPr>
          <w:b/>
        </w:rPr>
        <w:t>Analytical errors:</w:t>
      </w:r>
      <w:r>
        <w:t xml:space="preserve"> distinguishing Novaya Energetika on entity type and city alone (Policy §§ 4.2 and 9.1 treat suffixes as non-dispositive; the OGRN comparison is what distinguishes it); characterizing Volkov Brothers and Russian agricultural exports as “generally sanctions-exempt”; grouping Bosphorus Maritime as “Standard Risk.”</w:t>
      </w:r>
    </w:p>
    <w:p>
      <w:pPr>
        <w:pStyle w:val="ListBullet"/>
        <w:spacing w:after="60"/>
      </w:pPr>
      <w:r>
        <w:rPr>
          <w:b/>
        </w:rPr>
        <w:t>Recommendation:</w:t>
      </w:r>
      <w:r>
        <w:t xml:space="preserve"> Whitmore’s classifications should not be cited in any certification to Pinnacle National Bank or to the auditors. Whitmore may usefully be tasked with the independent verification work in Section 9.</w:t>
      </w:r>
    </w:p>
    <w:p>
      <w:pPr>
        <w:pStyle w:val="Heading1"/>
      </w:pPr>
      <w:r>
        <w:t>9. Additional Legal Considerations Beyond the Reference Dataset (for Halcyon Hart LLP)</w:t>
      </w:r>
    </w:p>
    <w:p>
      <w:pPr>
        <w:pStyle w:val="ListBullet"/>
        <w:spacing w:after="60"/>
      </w:pPr>
      <w:r>
        <w:rPr>
          <w:b/>
        </w:rPr>
        <w:t>Full-list verification.</w:t>
      </w:r>
      <w:r>
        <w:t xml:space="preserve"> Before any onboarding decision, re-screen all entities, persons, banks (Ural Merchant Bank and Neva Industrial Bank in particular) and vessels against the current full OFAC SDN and Consolidated lists, since the Reference Dataset is a curated May 15, 2025 extract.</w:t>
      </w:r>
    </w:p>
    <w:p>
      <w:pPr>
        <w:pStyle w:val="ListBullet"/>
        <w:spacing w:after="60"/>
      </w:pPr>
      <w:r>
        <w:rPr>
          <w:b/>
        </w:rPr>
        <w:t>Blocking and reject reporting.</w:t>
      </w:r>
      <w:r>
        <w:t xml:space="preserve"> If Oakvale holds or comes into possession of any property in which a blocked counterparty has an interest (funds, cargo, documents of title), it must be blocked and reported to OFAC within 10 business days (31 C.F.R. § 501.603); rejected transactions must likewise be reported within 10 business days (31 C.F.R. § 501.604). Evaluate whether any pre-contract dealings (LOIs, deposits, framework drafts) constitute an apparent violation warranting voluntary self-disclosure (Policy § 7.3).</w:t>
      </w:r>
    </w:p>
    <w:p>
      <w:pPr>
        <w:pStyle w:val="ListBullet"/>
        <w:spacing w:after="60"/>
      </w:pPr>
      <w:r>
        <w:rPr>
          <w:b/>
        </w:rPr>
        <w:t>Russia-related overlays.</w:t>
      </w:r>
      <w:r>
        <w:t xml:space="preserve"> For Russian counterparties and Russian-origin cargoes, assess the EO 14024 designation risk, the EO 14066 prohibition on importing Russian-origin crude oil and petroleum products into the United States, the price-cap determinations applicable to U.S. persons providing services (including trading, brokering and financing) for maritime transport of Russian-origin crude and petroleum products, and EO 14071 service prohibitions. These are relevant to Novaya Energetika, Volkov Brothers, Black Sea Logistics, Bosphorus Maritime, Meridian Strait and the transshipment-jurisdiction counterparties.</w:t>
      </w:r>
    </w:p>
    <w:p>
      <w:pPr>
        <w:pStyle w:val="ListBullet"/>
        <w:spacing w:after="60"/>
      </w:pPr>
      <w:r>
        <w:rPr>
          <w:b/>
        </w:rPr>
        <w:t>Iran.</w:t>
      </w:r>
      <w:r>
        <w:t xml:space="preserve"> For Silk Road Commodities FZE and other UAE counterparties trading petroleum or petrochemicals, the ITSR prohibition on dealing in Iranian-origin goods applies independently of any SDN match; certificates of origin and cargo tracing would be required.</w:t>
      </w:r>
    </w:p>
    <w:p>
      <w:pPr>
        <w:pStyle w:val="ListBullet"/>
        <w:spacing w:after="60"/>
      </w:pPr>
      <w:r>
        <w:rPr>
          <w:b/>
        </w:rPr>
        <w:t>Syria.</w:t>
      </w:r>
      <w:r>
        <w:t xml:space="preserve"> U.S. Syria sanctions policy was the subject of announcements in May 2025. Any general licence or delisting must be reviewed by counsel before it is relied upon for SDN-005 (Jalloul) or SDN-006 (Orient Bridge International Trading LLC); as of the Reference Dataset date both are blocked persons.</w:t>
      </w:r>
    </w:p>
    <w:p>
      <w:pPr>
        <w:pStyle w:val="ListBullet"/>
        <w:spacing w:after="60"/>
      </w:pPr>
      <w:r>
        <w:rPr>
          <w:b/>
        </w:rPr>
        <w:t>Interconnections.</w:t>
      </w:r>
      <w:r>
        <w:t xml:space="preserve"> Three Strong Potential Match counterparties (Al-Zubaydi, Petrostar, Orient Bridge) bank with Gulf Union Commercial Bank; no shared individuals were found across the 14 counterparties on the disclosed data, but the GC’s concern about interconnections should be tested in EDD (common addresses, signatories, vessels).</w:t>
      </w:r>
    </w:p>
    <w:p>
      <w:pPr>
        <w:pStyle w:val="Heading1"/>
      </w:pPr>
      <w:r>
        <w:t>10. Recommended Next Steps and Information Requests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720"/>
            <w:shd w:val="clear" w:color="auto" w:fill="1F3A5F"/>
          </w:tcPr>
          <w:p>
            <w:r>
              <w:rPr>
                <w:b/>
                <w:color w:val="FFFFFF"/>
                <w:sz w:val="15"/>
              </w:rPr>
            </w:r>
            <w:r>
              <w:rPr>
                <w:b/>
                <w:color w:val="FFFFFF"/>
                <w:sz w:val="15"/>
              </w:rPr>
              <w:t>Priority</w:t>
            </w:r>
          </w:p>
        </w:tc>
        <w:tc>
          <w:tcPr>
            <w:tcW w:type="dxa" w:w="4896"/>
            <w:shd w:val="clear" w:color="auto" w:fill="1F3A5F"/>
          </w:tcPr>
          <w:p>
            <w:r>
              <w:rPr>
                <w:b/>
                <w:color w:val="FFFFFF"/>
                <w:sz w:val="15"/>
              </w:rPr>
            </w:r>
            <w:r>
              <w:rPr>
                <w:b/>
                <w:color w:val="FFFFFF"/>
                <w:sz w:val="15"/>
              </w:rPr>
              <w:t>Action</w:t>
            </w:r>
          </w:p>
        </w:tc>
        <w:tc>
          <w:tcPr>
            <w:tcW w:type="dxa" w:w="2160"/>
            <w:shd w:val="clear" w:color="auto" w:fill="1F3A5F"/>
          </w:tcPr>
          <w:p>
            <w:r>
              <w:rPr>
                <w:b/>
                <w:color w:val="FFFFFF"/>
                <w:sz w:val="15"/>
              </w:rPr>
            </w:r>
            <w:r>
              <w:rPr>
                <w:b/>
                <w:color w:val="FFFFFF"/>
                <w:sz w:val="15"/>
              </w:rPr>
              <w:t>Owner</w:t>
            </w:r>
          </w:p>
        </w:tc>
        <w:tc>
          <w:tcPr>
            <w:tcW w:type="dxa" w:w="2016"/>
            <w:shd w:val="clear" w:color="auto" w:fill="1F3A5F"/>
          </w:tcPr>
          <w:p>
            <w:r>
              <w:rPr>
                <w:b/>
                <w:color w:val="FFFFFF"/>
                <w:sz w:val="15"/>
              </w:rPr>
            </w:r>
            <w:r>
              <w:rPr>
                <w:b/>
                <w:color w:val="FFFFFF"/>
                <w:sz w:val="15"/>
              </w:rPr>
              <w:t>Timing</w:t>
            </w:r>
          </w:p>
        </w:tc>
      </w:tr>
      <w:tr>
        <w:tc>
          <w:tcPr>
            <w:tcW w:type="dxa" w:w="720"/>
          </w:tcPr>
          <w:p>
            <w:r>
              <w:rPr>
                <w:sz w:val="15"/>
              </w:rPr>
            </w:r>
            <w:r>
              <w:rPr>
                <w:sz w:val="15"/>
              </w:rPr>
              <w:t>1</w:t>
            </w:r>
          </w:p>
        </w:tc>
        <w:tc>
          <w:tcPr>
            <w:tcW w:type="dxa" w:w="4896"/>
          </w:tcPr>
          <w:p>
            <w:r>
              <w:rPr>
                <w:sz w:val="15"/>
              </w:rPr>
            </w:r>
            <w:r>
              <w:rPr>
                <w:sz w:val="15"/>
              </w:rPr>
              <w:t>Escalate the four Exact Matches; impose and document automatic blocks; notify CEO; engage Halcyon Hart on reporting/VSD analysis</w:t>
            </w:r>
          </w:p>
        </w:tc>
        <w:tc>
          <w:tcPr>
            <w:tcW w:type="dxa" w:w="2160"/>
          </w:tcPr>
          <w:p>
            <w:r>
              <w:rPr>
                <w:sz w:val="15"/>
              </w:rPr>
            </w:r>
            <w:r>
              <w:rPr>
                <w:sz w:val="15"/>
              </w:rPr>
              <w:t>CCO → GC; GC → CEO, Halcyon Hart</w:t>
            </w:r>
          </w:p>
        </w:tc>
        <w:tc>
          <w:tcPr>
            <w:tcW w:type="dxa" w:w="2016"/>
          </w:tcPr>
          <w:p>
            <w:r>
              <w:rPr>
                <w:sz w:val="15"/>
              </w:rPr>
            </w:r>
            <w:r>
              <w:rPr>
                <w:sz w:val="15"/>
              </w:rPr>
              <w:t>Today (May 23, 2025); CEO within 24 hours</w:t>
            </w:r>
          </w:p>
        </w:tc>
      </w:tr>
      <w:tr>
        <w:tc>
          <w:tcPr>
            <w:tcW w:type="dxa" w:w="720"/>
          </w:tcPr>
          <w:p>
            <w:r>
              <w:rPr>
                <w:sz w:val="15"/>
              </w:rPr>
            </w:r>
            <w:r>
              <w:rPr>
                <w:sz w:val="15"/>
              </w:rPr>
              <w:t>2</w:t>
            </w:r>
          </w:p>
        </w:tc>
        <w:tc>
          <w:tcPr>
            <w:tcW w:type="dxa" w:w="4896"/>
          </w:tcPr>
          <w:p>
            <w:r>
              <w:rPr>
                <w:sz w:val="15"/>
              </w:rPr>
            </w:r>
            <w:r>
              <w:rPr>
                <w:sz w:val="15"/>
              </w:rPr>
              <w:t>Treasury confirmation that no funds have been received from or remitted to any of the 14; notify Pinnacle National Bank where funds moved with an Exact Match</w:t>
            </w:r>
          </w:p>
        </w:tc>
        <w:tc>
          <w:tcPr>
            <w:tcW w:type="dxa" w:w="2160"/>
          </w:tcPr>
          <w:p>
            <w:r>
              <w:rPr>
                <w:sz w:val="15"/>
              </w:rPr>
            </w:r>
            <w:r>
              <w:rPr>
                <w:sz w:val="15"/>
              </w:rPr>
              <w:t>CCO / Treasury</w:t>
            </w:r>
          </w:p>
        </w:tc>
        <w:tc>
          <w:tcPr>
            <w:tcW w:type="dxa" w:w="2016"/>
          </w:tcPr>
          <w:p>
            <w:r>
              <w:rPr>
                <w:sz w:val="15"/>
              </w:rPr>
            </w:r>
            <w:r>
              <w:rPr>
                <w:sz w:val="15"/>
              </w:rPr>
              <w:t>Immediately</w:t>
            </w:r>
          </w:p>
        </w:tc>
      </w:tr>
      <w:tr>
        <w:tc>
          <w:tcPr>
            <w:tcW w:type="dxa" w:w="720"/>
          </w:tcPr>
          <w:p>
            <w:r>
              <w:rPr>
                <w:sz w:val="15"/>
              </w:rPr>
            </w:r>
            <w:r>
              <w:rPr>
                <w:sz w:val="15"/>
              </w:rPr>
              <w:t>3</w:t>
            </w:r>
          </w:p>
        </w:tc>
        <w:tc>
          <w:tcPr>
            <w:tcW w:type="dxa" w:w="4896"/>
          </w:tcPr>
          <w:p>
            <w:r>
              <w:rPr>
                <w:sz w:val="15"/>
              </w:rPr>
            </w:r>
            <w:r>
              <w:rPr>
                <w:sz w:val="15"/>
              </w:rPr>
              <w:t>Compare passport copies already on file with the Reference Dataset (al-Zubaydi, Jalloul, Hosseinzadeh, Khorasani, Drozdov, Morozov, Kuznetsova, D. and S. Volkov)</w:t>
            </w:r>
          </w:p>
        </w:tc>
        <w:tc>
          <w:tcPr>
            <w:tcW w:type="dxa" w:w="2160"/>
          </w:tcPr>
          <w:p>
            <w:r>
              <w:rPr>
                <w:sz w:val="15"/>
              </w:rPr>
            </w:r>
            <w:r>
              <w:rPr>
                <w:sz w:val="15"/>
              </w:rPr>
              <w:t>Compliance Team</w:t>
            </w:r>
          </w:p>
        </w:tc>
        <w:tc>
          <w:tcPr>
            <w:tcW w:type="dxa" w:w="2016"/>
          </w:tcPr>
          <w:p>
            <w:r>
              <w:rPr>
                <w:sz w:val="15"/>
              </w:rPr>
            </w:r>
            <w:r>
              <w:rPr>
                <w:sz w:val="15"/>
              </w:rPr>
              <w:t>May 23–27, 2025</w:t>
            </w:r>
          </w:p>
        </w:tc>
      </w:tr>
      <w:tr>
        <w:tc>
          <w:tcPr>
            <w:tcW w:type="dxa" w:w="720"/>
          </w:tcPr>
          <w:p>
            <w:r>
              <w:rPr>
                <w:sz w:val="15"/>
              </w:rPr>
            </w:r>
            <w:r>
              <w:rPr>
                <w:sz w:val="15"/>
              </w:rPr>
              <w:t>4</w:t>
            </w:r>
          </w:p>
        </w:tc>
        <w:tc>
          <w:tcPr>
            <w:tcW w:type="dxa" w:w="4896"/>
          </w:tcPr>
          <w:p>
            <w:r>
              <w:rPr>
                <w:sz w:val="15"/>
              </w:rPr>
            </w:r>
            <w:r>
              <w:rPr>
                <w:sz w:val="15"/>
              </w:rPr>
              <w:t>Escalate the five Strong Potential Matches to the CCO; commission Whitmore independent verification; resolve within 5 business days or escalate to GC</w:t>
            </w:r>
          </w:p>
        </w:tc>
        <w:tc>
          <w:tcPr>
            <w:tcW w:type="dxa" w:w="2160"/>
          </w:tcPr>
          <w:p>
            <w:r>
              <w:rPr>
                <w:sz w:val="15"/>
              </w:rPr>
            </w:r>
            <w:r>
              <w:rPr>
                <w:sz w:val="15"/>
              </w:rPr>
              <w:t>Compliance Team / CCO / Whitmore</w:t>
            </w:r>
          </w:p>
        </w:tc>
        <w:tc>
          <w:tcPr>
            <w:tcW w:type="dxa" w:w="2016"/>
          </w:tcPr>
          <w:p>
            <w:r>
              <w:rPr>
                <w:sz w:val="15"/>
              </w:rPr>
            </w:r>
            <w:r>
              <w:rPr>
                <w:sz w:val="15"/>
              </w:rPr>
              <w:t>Within 24 hours; resolve within 5 business days</w:t>
            </w:r>
          </w:p>
        </w:tc>
      </w:tr>
      <w:tr>
        <w:tc>
          <w:tcPr>
            <w:tcW w:type="dxa" w:w="720"/>
          </w:tcPr>
          <w:p>
            <w:r>
              <w:rPr>
                <w:sz w:val="15"/>
              </w:rPr>
            </w:r>
            <w:r>
              <w:rPr>
                <w:sz w:val="15"/>
              </w:rPr>
              <w:t>5</w:t>
            </w:r>
          </w:p>
        </w:tc>
        <w:tc>
          <w:tcPr>
            <w:tcW w:type="dxa" w:w="4896"/>
          </w:tcPr>
          <w:p>
            <w:r>
              <w:rPr>
                <w:sz w:val="15"/>
              </w:rPr>
            </w:r>
            <w:r>
              <w:rPr>
                <w:sz w:val="15"/>
              </w:rPr>
              <w:t>Meridian Strait: maintain block; follow Policy § 3.2(a)–(e); screen IMO numbers</w:t>
            </w:r>
          </w:p>
        </w:tc>
        <w:tc>
          <w:tcPr>
            <w:tcW w:type="dxa" w:w="2160"/>
          </w:tcPr>
          <w:p>
            <w:r>
              <w:rPr>
                <w:sz w:val="15"/>
              </w:rPr>
            </w:r>
            <w:r>
              <w:rPr>
                <w:sz w:val="15"/>
              </w:rPr>
              <w:t>CCO / GC</w:t>
            </w:r>
          </w:p>
        </w:tc>
        <w:tc>
          <w:tcPr>
            <w:tcW w:type="dxa" w:w="2016"/>
          </w:tcPr>
          <w:p>
            <w:r>
              <w:rPr>
                <w:sz w:val="15"/>
              </w:rPr>
            </w:r>
            <w:r>
              <w:rPr>
                <w:sz w:val="15"/>
              </w:rPr>
              <w:t>Ongoing; decision by May 27, 2025 deferral per GC</w:t>
            </w:r>
          </w:p>
        </w:tc>
      </w:tr>
      <w:tr>
        <w:tc>
          <w:tcPr>
            <w:tcW w:type="dxa" w:w="720"/>
          </w:tcPr>
          <w:p>
            <w:r>
              <w:rPr>
                <w:sz w:val="15"/>
              </w:rPr>
            </w:r>
            <w:r>
              <w:rPr>
                <w:sz w:val="15"/>
              </w:rPr>
              <w:t>6</w:t>
            </w:r>
          </w:p>
        </w:tc>
        <w:tc>
          <w:tcPr>
            <w:tcW w:type="dxa" w:w="4896"/>
          </w:tcPr>
          <w:p>
            <w:r>
              <w:rPr>
                <w:sz w:val="15"/>
              </w:rPr>
            </w:r>
            <w:r>
              <w:rPr>
                <w:sz w:val="15"/>
              </w:rPr>
              <w:t>Collect missing identifiers: DMCC number (Al-Zubaydi); BINs (Caspian Gateway, TuranTrade); MERSİS and registry history (Bosphorus); EGRUL extracts (Volkov, Novaya); Qasemi background and corporate history (Orient Bridge); BIC/IBAN verification</w:t>
            </w:r>
          </w:p>
        </w:tc>
        <w:tc>
          <w:tcPr>
            <w:tcW w:type="dxa" w:w="2160"/>
          </w:tcPr>
          <w:p>
            <w:r>
              <w:rPr>
                <w:sz w:val="15"/>
              </w:rPr>
            </w:r>
            <w:r>
              <w:rPr>
                <w:sz w:val="15"/>
              </w:rPr>
              <w:t>Compliance Team via commercial team</w:t>
            </w:r>
          </w:p>
        </w:tc>
        <w:tc>
          <w:tcPr>
            <w:tcW w:type="dxa" w:w="2016"/>
          </w:tcPr>
          <w:p>
            <w:r>
              <w:rPr>
                <w:sz w:val="15"/>
              </w:rPr>
            </w:r>
            <w:r>
              <w:rPr>
                <w:sz w:val="15"/>
              </w:rPr>
              <w:t>Before any reclassification</w:t>
            </w:r>
          </w:p>
        </w:tc>
      </w:tr>
      <w:tr>
        <w:tc>
          <w:tcPr>
            <w:tcW w:type="dxa" w:w="720"/>
          </w:tcPr>
          <w:p>
            <w:r>
              <w:rPr>
                <w:sz w:val="15"/>
              </w:rPr>
            </w:r>
            <w:r>
              <w:rPr>
                <w:sz w:val="15"/>
              </w:rPr>
              <w:t>7</w:t>
            </w:r>
          </w:p>
        </w:tc>
        <w:tc>
          <w:tcPr>
            <w:tcW w:type="dxa" w:w="4896"/>
          </w:tcPr>
          <w:p>
            <w:r>
              <w:rPr>
                <w:sz w:val="15"/>
              </w:rPr>
            </w:r>
            <w:r>
              <w:rPr>
                <w:sz w:val="15"/>
              </w:rPr>
              <w:t>Re-screen all 14 against the current full OFAC lists immediately before any execution, and on any ownership or management change</w:t>
            </w:r>
          </w:p>
        </w:tc>
        <w:tc>
          <w:tcPr>
            <w:tcW w:type="dxa" w:w="2160"/>
          </w:tcPr>
          <w:p>
            <w:r>
              <w:rPr>
                <w:sz w:val="15"/>
              </w:rPr>
            </w:r>
            <w:r>
              <w:rPr>
                <w:sz w:val="15"/>
              </w:rPr>
              <w:t>Compliance Team</w:t>
            </w:r>
          </w:p>
        </w:tc>
        <w:tc>
          <w:tcPr>
            <w:tcW w:type="dxa" w:w="2016"/>
          </w:tcPr>
          <w:p>
            <w:r>
              <w:rPr>
                <w:sz w:val="15"/>
              </w:rPr>
            </w:r>
            <w:r>
              <w:rPr>
                <w:sz w:val="15"/>
              </w:rPr>
              <w:t>Before June 15, 2025 and per Policy § 8.1</w:t>
            </w:r>
          </w:p>
        </w:tc>
      </w:tr>
      <w:tr>
        <w:tc>
          <w:tcPr>
            <w:tcW w:type="dxa" w:w="720"/>
          </w:tcPr>
          <w:p>
            <w:r>
              <w:rPr>
                <w:sz w:val="15"/>
              </w:rPr>
            </w:r>
            <w:r>
              <w:rPr>
                <w:sz w:val="15"/>
              </w:rPr>
              <w:t>8</w:t>
            </w:r>
          </w:p>
        </w:tc>
        <w:tc>
          <w:tcPr>
            <w:tcW w:type="dxa" w:w="4896"/>
          </w:tcPr>
          <w:p>
            <w:r>
              <w:rPr>
                <w:sz w:val="15"/>
              </w:rPr>
            </w:r>
            <w:r>
              <w:rPr>
                <w:sz w:val="15"/>
              </w:rPr>
              <w:t>Correct the onboarding notes, Reference Dataset inconsistencies and Policy items in Section 7; retain this file for 10 years</w:t>
            </w:r>
          </w:p>
        </w:tc>
        <w:tc>
          <w:tcPr>
            <w:tcW w:type="dxa" w:w="2160"/>
          </w:tcPr>
          <w:p>
            <w:r>
              <w:rPr>
                <w:sz w:val="15"/>
              </w:rPr>
            </w:r>
            <w:r>
              <w:rPr>
                <w:sz w:val="15"/>
              </w:rPr>
              <w:t>CCO</w:t>
            </w:r>
          </w:p>
        </w:tc>
        <w:tc>
          <w:tcPr>
            <w:tcW w:type="dxa" w:w="2016"/>
          </w:tcPr>
          <w:p>
            <w:r>
              <w:rPr>
                <w:sz w:val="15"/>
              </w:rPr>
            </w:r>
            <w:r>
              <w:rPr>
                <w:sz w:val="15"/>
              </w:rPr>
              <w:t>Before file closure / next policy review</w:t>
            </w:r>
          </w:p>
        </w:tc>
      </w:tr>
    </w:tbl>
    <w:p>
      <w:pPr>
        <w:spacing w:after="40"/>
      </w:pPr>
    </w:p>
    <w:p>
      <w:pPr>
        <w:pStyle w:val="Heading1"/>
      </w:pPr>
      <w:r>
        <w:t>11. Certification Status</w:t>
      </w:r>
    </w:p>
    <w:p>
      <w:pPr>
        <w:spacing w:after="120"/>
      </w:pPr>
      <w:r>
        <w:t xml:space="preserve">As of the date of this report, Oakvale </w:t>
      </w:r>
      <w:r>
        <w:rPr>
          <w:b/>
        </w:rPr>
        <w:t>cannot</w:t>
      </w:r>
      <w:r>
        <w:t xml:space="preserve"> certify to Pinnacle National Bank that all counterparties in this portfolio have been screened and cleared. Four counterparties are blocked Exact Matches, one is unscreenable, and five are Strong Potential Matches requiring EDD. The four Clear counterparties (Caspian Gateway Trading LLP, Ankara Grain &amp; Commodities A.Ş., Caucasus Energy Partners LLC, TuranTrade International LLP; $81,000,000 combined) may be presented for GC approval only once the GC lifts the portfolio-wide hold, and only after re-screening against the then-current OFAC lists.</w:t>
      </w:r>
    </w:p>
    <w:p>
      <w:pPr>
        <w:spacing w:after="120"/>
      </w:pPr>
      <w:r>
        <w:rPr>
          <w:i/>
        </w:rPr>
        <w:t>Prepared by the Compliance Team for review by Sandra Yoon, Chief Compliance Officer. Screening date: May 23, 2025. Reference Dataset as of: May 15, 2025.</w:t>
      </w:r>
    </w:p>
    <w:p>
      <w:pPr>
        <w:pStyle w:val="Heading1"/>
      </w:pPr>
      <w:r>
        <w:t>Appendix A — Transliteration Checklist (Policy § 9.1)</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456"/>
            <w:shd w:val="clear" w:color="auto" w:fill="1F3A5F"/>
          </w:tcPr>
          <w:p>
            <w:r>
              <w:rPr>
                <w:b/>
                <w:color w:val="FFFFFF"/>
                <w:sz w:val="15"/>
              </w:rPr>
            </w:r>
            <w:r>
              <w:rPr>
                <w:b/>
                <w:color w:val="FFFFFF"/>
                <w:sz w:val="15"/>
              </w:rPr>
              <w:t>Checklist item</w:t>
            </w:r>
          </w:p>
        </w:tc>
        <w:tc>
          <w:tcPr>
            <w:tcW w:type="dxa" w:w="1008"/>
            <w:shd w:val="clear" w:color="auto" w:fill="1F3A5F"/>
          </w:tcPr>
          <w:p>
            <w:r>
              <w:rPr>
                <w:b/>
                <w:color w:val="FFFFFF"/>
                <w:sz w:val="15"/>
              </w:rPr>
            </w:r>
            <w:r>
              <w:rPr>
                <w:b/>
                <w:color w:val="FFFFFF"/>
                <w:sz w:val="15"/>
              </w:rPr>
              <w:t>Completed</w:t>
            </w:r>
          </w:p>
        </w:tc>
        <w:tc>
          <w:tcPr>
            <w:tcW w:type="dxa" w:w="5328"/>
            <w:shd w:val="clear" w:color="auto" w:fill="1F3A5F"/>
          </w:tcPr>
          <w:p>
            <w:r>
              <w:rPr>
                <w:b/>
                <w:color w:val="FFFFFF"/>
                <w:sz w:val="15"/>
              </w:rPr>
            </w:r>
            <w:r>
              <w:rPr>
                <w:b/>
                <w:color w:val="FFFFFF"/>
                <w:sz w:val="15"/>
              </w:rPr>
              <w:t>Notes</w:t>
            </w:r>
          </w:p>
        </w:tc>
      </w:tr>
      <w:tr>
        <w:tc>
          <w:tcPr>
            <w:tcW w:type="dxa" w:w="3456"/>
          </w:tcPr>
          <w:p>
            <w:r>
              <w:rPr>
                <w:sz w:val="15"/>
              </w:rPr>
            </w:r>
            <w:r>
              <w:rPr>
                <w:sz w:val="15"/>
              </w:rPr>
              <w:t>Arabic names checked with/without “al-”, patronymics, kunyas, “Bin/Ibn”</w:t>
            </w:r>
          </w:p>
        </w:tc>
        <w:tc>
          <w:tcPr>
            <w:tcW w:type="dxa" w:w="1008"/>
          </w:tcPr>
          <w:p>
            <w:r>
              <w:rPr>
                <w:sz w:val="15"/>
              </w:rPr>
            </w:r>
            <w:r>
              <w:rPr>
                <w:sz w:val="15"/>
              </w:rPr>
              <w:t>Yes</w:t>
            </w:r>
          </w:p>
        </w:tc>
        <w:tc>
          <w:tcPr>
            <w:tcW w:type="dxa" w:w="5328"/>
          </w:tcPr>
          <w:p>
            <w:r>
              <w:rPr>
                <w:sz w:val="15"/>
              </w:rPr>
            </w:r>
            <w:r>
              <w:rPr>
                <w:sz w:val="15"/>
              </w:rPr>
              <w:t>al-Zubaydi (Abdulrahman; Abu Hasan); al-Mansouri (Bin Khalaf; vs Mansour); al-Rashed; Qasemi/al-Qasemi (treated as same name); Jalloul/Jaloul/Farid</w:t>
            </w:r>
          </w:p>
        </w:tc>
      </w:tr>
      <w:tr>
        <w:tc>
          <w:tcPr>
            <w:tcW w:type="dxa" w:w="3456"/>
          </w:tcPr>
          <w:p>
            <w:r>
              <w:rPr>
                <w:sz w:val="15"/>
              </w:rPr>
            </w:r>
            <w:r>
              <w:rPr>
                <w:sz w:val="15"/>
              </w:rPr>
              <w:t>Persian compound surnames hyphenated and merged</w:t>
            </w:r>
          </w:p>
        </w:tc>
        <w:tc>
          <w:tcPr>
            <w:tcW w:type="dxa" w:w="1008"/>
          </w:tcPr>
          <w:p>
            <w:r>
              <w:rPr>
                <w:sz w:val="15"/>
              </w:rPr>
            </w:r>
            <w:r>
              <w:rPr>
                <w:sz w:val="15"/>
              </w:rPr>
              <w:t>Yes</w:t>
            </w:r>
          </w:p>
        </w:tc>
        <w:tc>
          <w:tcPr>
            <w:tcW w:type="dxa" w:w="5328"/>
          </w:tcPr>
          <w:p>
            <w:r>
              <w:rPr>
                <w:sz w:val="15"/>
              </w:rPr>
            </w:r>
            <w:r>
              <w:rPr>
                <w:sz w:val="15"/>
              </w:rPr>
              <w:t>Hosseinzadeh = Hosseini-Zadeh = H. Zadeh; Khorasani vs Khorasani-Fard / K. Fard</w:t>
            </w:r>
          </w:p>
        </w:tc>
      </w:tr>
      <w:tr>
        <w:tc>
          <w:tcPr>
            <w:tcW w:type="dxa" w:w="3456"/>
          </w:tcPr>
          <w:p>
            <w:r>
              <w:rPr>
                <w:sz w:val="15"/>
              </w:rPr>
            </w:r>
            <w:r>
              <w:rPr>
                <w:sz w:val="15"/>
              </w:rPr>
              <w:t>Russian names with/without patronymics and transliteration variants</w:t>
            </w:r>
          </w:p>
        </w:tc>
        <w:tc>
          <w:tcPr>
            <w:tcW w:type="dxa" w:w="1008"/>
          </w:tcPr>
          <w:p>
            <w:r>
              <w:rPr>
                <w:sz w:val="15"/>
              </w:rPr>
            </w:r>
            <w:r>
              <w:rPr>
                <w:sz w:val="15"/>
              </w:rPr>
              <w:t>Yes</w:t>
            </w:r>
          </w:p>
        </w:tc>
        <w:tc>
          <w:tcPr>
            <w:tcW w:type="dxa" w:w="5328"/>
          </w:tcPr>
          <w:p>
            <w:r>
              <w:rPr>
                <w:sz w:val="15"/>
              </w:rPr>
            </w:r>
            <w:r>
              <w:rPr>
                <w:sz w:val="15"/>
              </w:rPr>
              <w:t>Morozov/Morozoff/Morozow; Drozdov/Drosdov and “Aleksei I.”; Volkov (Arkadyevich/Alexandrovich); Kuznetsova/Elena; Drozdova</w:t>
            </w:r>
          </w:p>
        </w:tc>
      </w:tr>
      <w:tr>
        <w:tc>
          <w:tcPr>
            <w:tcW w:type="dxa" w:w="3456"/>
          </w:tcPr>
          <w:p>
            <w:r>
              <w:rPr>
                <w:sz w:val="15"/>
              </w:rPr>
            </w:r>
            <w:r>
              <w:rPr>
                <w:sz w:val="15"/>
              </w:rPr>
              <w:t>Turkish special characters dropped/substituted</w:t>
            </w:r>
          </w:p>
        </w:tc>
        <w:tc>
          <w:tcPr>
            <w:tcW w:type="dxa" w:w="1008"/>
          </w:tcPr>
          <w:p>
            <w:r>
              <w:rPr>
                <w:sz w:val="15"/>
              </w:rPr>
            </w:r>
            <w:r>
              <w:rPr>
                <w:sz w:val="15"/>
              </w:rPr>
              <w:t>Yes</w:t>
            </w:r>
          </w:p>
        </w:tc>
        <w:tc>
          <w:tcPr>
            <w:tcW w:type="dxa" w:w="5328"/>
          </w:tcPr>
          <w:p>
            <w:r>
              <w:rPr>
                <w:sz w:val="15"/>
              </w:rPr>
            </w:r>
            <w:r>
              <w:rPr>
                <w:sz w:val="15"/>
              </w:rPr>
              <w:t>Çelik/Celik; Arslanoğlu/Arslanoglu; Yıldırım; Özdemir/Ozdemir; Demir</w:t>
            </w:r>
          </w:p>
        </w:tc>
      </w:tr>
      <w:tr>
        <w:tc>
          <w:tcPr>
            <w:tcW w:type="dxa" w:w="3456"/>
          </w:tcPr>
          <w:p>
            <w:r>
              <w:rPr>
                <w:sz w:val="15"/>
              </w:rPr>
            </w:r>
            <w:r>
              <w:rPr>
                <w:sz w:val="15"/>
              </w:rPr>
              <w:t>All aliases in the Reference Dataset checked</w:t>
            </w:r>
          </w:p>
        </w:tc>
        <w:tc>
          <w:tcPr>
            <w:tcW w:type="dxa" w:w="1008"/>
          </w:tcPr>
          <w:p>
            <w:r>
              <w:rPr>
                <w:sz w:val="15"/>
              </w:rPr>
            </w:r>
            <w:r>
              <w:rPr>
                <w:sz w:val="15"/>
              </w:rPr>
              <w:t>Yes</w:t>
            </w:r>
          </w:p>
        </w:tc>
        <w:tc>
          <w:tcPr>
            <w:tcW w:type="dxa" w:w="5328"/>
          </w:tcPr>
          <w:p>
            <w:r>
              <w:rPr>
                <w:sz w:val="15"/>
              </w:rPr>
            </w:r>
            <w:r>
              <w:rPr>
                <w:sz w:val="15"/>
              </w:rPr>
              <w:t>All 130 entries’ aliases and key-personnel fields screened</w:t>
            </w:r>
          </w:p>
        </w:tc>
      </w:tr>
      <w:tr>
        <w:tc>
          <w:tcPr>
            <w:tcW w:type="dxa" w:w="3456"/>
          </w:tcPr>
          <w:p>
            <w:r>
              <w:rPr>
                <w:sz w:val="15"/>
              </w:rPr>
            </w:r>
            <w:r>
              <w:rPr>
                <w:sz w:val="15"/>
              </w:rPr>
              <w:t>Entity suffixes disregarded for name-matching but noted for entity analysis</w:t>
            </w:r>
          </w:p>
        </w:tc>
        <w:tc>
          <w:tcPr>
            <w:tcW w:type="dxa" w:w="1008"/>
          </w:tcPr>
          <w:p>
            <w:r>
              <w:rPr>
                <w:sz w:val="15"/>
              </w:rPr>
            </w:r>
            <w:r>
              <w:rPr>
                <w:sz w:val="15"/>
              </w:rPr>
              <w:t>Yes</w:t>
            </w:r>
          </w:p>
        </w:tc>
        <w:tc>
          <w:tcPr>
            <w:tcW w:type="dxa" w:w="5328"/>
          </w:tcPr>
          <w:p>
            <w:r>
              <w:rPr>
                <w:sz w:val="15"/>
              </w:rPr>
            </w:r>
            <w:r>
              <w:rPr>
                <w:sz w:val="15"/>
              </w:rPr>
              <w:t>OOO/PAO (Novaya), OOD (Black Sea), Ltd./AŞ (Bosphorus), “Industrial”/“Agro-Industrial” (Volkov), LLC/DMCC (Al-Zubaydi)</w:t>
            </w:r>
          </w:p>
        </w:tc>
      </w:tr>
      <w:tr>
        <w:tc>
          <w:tcPr>
            <w:tcW w:type="dxa" w:w="3456"/>
          </w:tcPr>
          <w:p>
            <w:r>
              <w:rPr>
                <w:sz w:val="15"/>
              </w:rPr>
            </w:r>
            <w:r>
              <w:rPr>
                <w:sz w:val="15"/>
              </w:rPr>
              <w:t>Rationale documented for each transliteration decision</w:t>
            </w:r>
          </w:p>
        </w:tc>
        <w:tc>
          <w:tcPr>
            <w:tcW w:type="dxa" w:w="1008"/>
          </w:tcPr>
          <w:p>
            <w:r>
              <w:rPr>
                <w:sz w:val="15"/>
              </w:rPr>
            </w:r>
            <w:r>
              <w:rPr>
                <w:sz w:val="15"/>
              </w:rPr>
              <w:t>Yes</w:t>
            </w:r>
          </w:p>
        </w:tc>
        <w:tc>
          <w:tcPr>
            <w:tcW w:type="dxa" w:w="5328"/>
          </w:tcPr>
          <w:p>
            <w:r>
              <w:rPr>
                <w:sz w:val="15"/>
              </w:rPr>
            </w:r>
            <w:r>
              <w:rPr>
                <w:sz w:val="15"/>
              </w:rPr>
              <w:t>Sections 5.1–5.14 and Appendix B</w:t>
            </w:r>
          </w:p>
        </w:tc>
      </w:tr>
    </w:tbl>
    <w:p>
      <w:pPr>
        <w:spacing w:after="40"/>
      </w:pPr>
    </w:p>
    <w:p>
      <w:pPr>
        <w:pStyle w:val="Heading1"/>
      </w:pPr>
      <w:r>
        <w:t>Appendix B — Near-Miss Reference Entries Considered and Dismissed</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592"/>
            <w:shd w:val="clear" w:color="auto" w:fill="1F3A5F"/>
          </w:tcPr>
          <w:p>
            <w:r>
              <w:rPr>
                <w:b/>
                <w:color w:val="FFFFFF"/>
                <w:sz w:val="15"/>
              </w:rPr>
            </w:r>
            <w:r>
              <w:rPr>
                <w:b/>
                <w:color w:val="FFFFFF"/>
                <w:sz w:val="15"/>
              </w:rPr>
              <w:t>Counterparty element</w:t>
            </w:r>
          </w:p>
        </w:tc>
        <w:tc>
          <w:tcPr>
            <w:tcW w:type="dxa" w:w="3456"/>
            <w:shd w:val="clear" w:color="auto" w:fill="1F3A5F"/>
          </w:tcPr>
          <w:p>
            <w:r>
              <w:rPr>
                <w:b/>
                <w:color w:val="FFFFFF"/>
                <w:sz w:val="15"/>
              </w:rPr>
            </w:r>
            <w:r>
              <w:rPr>
                <w:b/>
                <w:color w:val="FFFFFF"/>
                <w:sz w:val="15"/>
              </w:rPr>
              <w:t>Reference entry</w:t>
            </w:r>
          </w:p>
        </w:tc>
        <w:tc>
          <w:tcPr>
            <w:tcW w:type="dxa" w:w="3744"/>
            <w:shd w:val="clear" w:color="auto" w:fill="1F3A5F"/>
          </w:tcPr>
          <w:p>
            <w:r>
              <w:rPr>
                <w:b/>
                <w:color w:val="FFFFFF"/>
                <w:sz w:val="15"/>
              </w:rPr>
            </w:r>
            <w:r>
              <w:rPr>
                <w:b/>
                <w:color w:val="FFFFFF"/>
                <w:sz w:val="15"/>
              </w:rPr>
              <w:t>Reason dismissed</w:t>
            </w:r>
          </w:p>
        </w:tc>
      </w:tr>
      <w:tr>
        <w:tc>
          <w:tcPr>
            <w:tcW w:type="dxa" w:w="2592"/>
          </w:tcPr>
          <w:p>
            <w:r>
              <w:rPr>
                <w:sz w:val="15"/>
              </w:rPr>
            </w:r>
            <w:r>
              <w:rPr>
                <w:sz w:val="15"/>
              </w:rPr>
              <w:t>Caspian Gateway Trading LLP</w:t>
            </w:r>
          </w:p>
        </w:tc>
        <w:tc>
          <w:tcPr>
            <w:tcW w:type="dxa" w:w="3456"/>
          </w:tcPr>
          <w:p>
            <w:r>
              <w:rPr>
                <w:sz w:val="15"/>
              </w:rPr>
            </w:r>
            <w:r>
              <w:rPr>
                <w:sz w:val="15"/>
              </w:rPr>
              <w:t>SDN-017 Caspian Energy Services LLP; SDN-031 Trans-Caspian Logistics FZE</w:t>
            </w:r>
          </w:p>
        </w:tc>
        <w:tc>
          <w:tcPr>
            <w:tcW w:type="dxa" w:w="3744"/>
          </w:tcPr>
          <w:p>
            <w:r>
              <w:rPr>
                <w:sz w:val="15"/>
              </w:rPr>
            </w:r>
            <w:r>
              <w:rPr>
                <w:sz w:val="15"/>
              </w:rPr>
              <w:t>Geographic descriptor only; different names, cities, identifiers, personnel</w:t>
            </w:r>
          </w:p>
        </w:tc>
      </w:tr>
      <w:tr>
        <w:tc>
          <w:tcPr>
            <w:tcW w:type="dxa" w:w="2592"/>
          </w:tcPr>
          <w:p>
            <w:r>
              <w:rPr>
                <w:sz w:val="15"/>
              </w:rPr>
            </w:r>
            <w:r>
              <w:rPr>
                <w:sz w:val="15"/>
              </w:rPr>
              <w:t>Aibek Sarsenov / Nurlan Tokayev</w:t>
            </w:r>
          </w:p>
        </w:tc>
        <w:tc>
          <w:tcPr>
            <w:tcW w:type="dxa" w:w="3456"/>
          </w:tcPr>
          <w:p>
            <w:r>
              <w:rPr>
                <w:sz w:val="15"/>
              </w:rPr>
            </w:r>
            <w:r>
              <w:rPr>
                <w:sz w:val="15"/>
              </w:rPr>
              <w:t>SDN-031 key person Nurlan Sarsenbayev</w:t>
            </w:r>
          </w:p>
        </w:tc>
        <w:tc>
          <w:tcPr>
            <w:tcW w:type="dxa" w:w="3744"/>
          </w:tcPr>
          <w:p>
            <w:r>
              <w:rPr>
                <w:sz w:val="15"/>
              </w:rPr>
            </w:r>
            <w:r>
              <w:rPr>
                <w:sz w:val="15"/>
              </w:rPr>
              <w:t>Distinct surnames; no shared full name or identifier</w:t>
            </w:r>
          </w:p>
        </w:tc>
      </w:tr>
      <w:tr>
        <w:tc>
          <w:tcPr>
            <w:tcW w:type="dxa" w:w="2592"/>
          </w:tcPr>
          <w:p>
            <w:r>
              <w:rPr>
                <w:sz w:val="15"/>
              </w:rPr>
            </w:r>
            <w:r>
              <w:rPr>
                <w:sz w:val="15"/>
              </w:rPr>
              <w:t>Ankara Grain &amp; Commodities A.Ş.</w:t>
            </w:r>
          </w:p>
        </w:tc>
        <w:tc>
          <w:tcPr>
            <w:tcW w:type="dxa" w:w="3456"/>
          </w:tcPr>
          <w:p>
            <w:r>
              <w:rPr>
                <w:sz w:val="15"/>
              </w:rPr>
            </w:r>
            <w:r>
              <w:rPr>
                <w:sz w:val="15"/>
              </w:rPr>
              <w:t>SDN-019 Anatolian Metals Trading AŞ</w:t>
            </w:r>
          </w:p>
        </w:tc>
        <w:tc>
          <w:tcPr>
            <w:tcW w:type="dxa" w:w="3744"/>
          </w:tcPr>
          <w:p>
            <w:r>
              <w:rPr>
                <w:sz w:val="15"/>
              </w:rPr>
            </w:r>
            <w:r>
              <w:rPr>
                <w:sz w:val="15"/>
              </w:rPr>
              <w:t>Generic “Trading”; different registry no. (784512), city and sector</w:t>
            </w:r>
          </w:p>
        </w:tc>
      </w:tr>
      <w:tr>
        <w:tc>
          <w:tcPr>
            <w:tcW w:type="dxa" w:w="2592"/>
          </w:tcPr>
          <w:p>
            <w:r>
              <w:rPr>
                <w:sz w:val="15"/>
              </w:rPr>
            </w:r>
            <w:r>
              <w:rPr>
                <w:sz w:val="15"/>
              </w:rPr>
              <w:t>Caucasus Energy Partners LLC</w:t>
            </w:r>
          </w:p>
        </w:tc>
        <w:tc>
          <w:tcPr>
            <w:tcW w:type="dxa" w:w="3456"/>
          </w:tcPr>
          <w:p>
            <w:r>
              <w:rPr>
                <w:sz w:val="15"/>
              </w:rPr>
            </w:r>
            <w:r>
              <w:rPr>
                <w:sz w:val="15"/>
              </w:rPr>
              <w:t>SDN-051 Caucasus Mineral Extraction OOO</w:t>
            </w:r>
          </w:p>
        </w:tc>
        <w:tc>
          <w:tcPr>
            <w:tcW w:type="dxa" w:w="3744"/>
          </w:tcPr>
          <w:p>
            <w:r>
              <w:rPr>
                <w:sz w:val="15"/>
              </w:rPr>
            </w:r>
            <w:r>
              <w:rPr>
                <w:sz w:val="15"/>
              </w:rPr>
              <w:t>Regional descriptor only; Russian entity, different OGRN and personnel</w:t>
            </w:r>
          </w:p>
        </w:tc>
      </w:tr>
      <w:tr>
        <w:tc>
          <w:tcPr>
            <w:tcW w:type="dxa" w:w="2592"/>
          </w:tcPr>
          <w:p>
            <w:r>
              <w:rPr>
                <w:sz w:val="15"/>
              </w:rPr>
            </w:r>
            <w:r>
              <w:rPr>
                <w:sz w:val="15"/>
              </w:rPr>
              <w:t>Petrostar Gulf DMCC</w:t>
            </w:r>
          </w:p>
        </w:tc>
        <w:tc>
          <w:tcPr>
            <w:tcW w:type="dxa" w:w="3456"/>
          </w:tcPr>
          <w:p>
            <w:r>
              <w:rPr>
                <w:sz w:val="15"/>
              </w:rPr>
            </w:r>
            <w:r>
              <w:rPr>
                <w:sz w:val="15"/>
              </w:rPr>
              <w:t>SDN-029 Gulf Horizon Petroleum DMCC; SDN-067 Atlas Commodities DMCC</w:t>
            </w:r>
          </w:p>
        </w:tc>
        <w:tc>
          <w:tcPr>
            <w:tcW w:type="dxa" w:w="3744"/>
          </w:tcPr>
          <w:p>
            <w:r>
              <w:rPr>
                <w:sz w:val="15"/>
              </w:rPr>
            </w:r>
            <w:r>
              <w:rPr>
                <w:sz w:val="15"/>
              </w:rPr>
              <w:t>Generic words; different licence numbers and personnel</w:t>
            </w:r>
          </w:p>
        </w:tc>
      </w:tr>
      <w:tr>
        <w:tc>
          <w:tcPr>
            <w:tcW w:type="dxa" w:w="2592"/>
          </w:tcPr>
          <w:p>
            <w:r>
              <w:rPr>
                <w:sz w:val="15"/>
              </w:rPr>
            </w:r>
            <w:r>
              <w:rPr>
                <w:sz w:val="15"/>
              </w:rPr>
              <w:t>Rashid Bin Khalaf al-Mansouri</w:t>
            </w:r>
          </w:p>
        </w:tc>
        <w:tc>
          <w:tcPr>
            <w:tcW w:type="dxa" w:w="3456"/>
          </w:tcPr>
          <w:p>
            <w:r>
              <w:rPr>
                <w:sz w:val="15"/>
              </w:rPr>
            </w:r>
            <w:r>
              <w:rPr>
                <w:sz w:val="15"/>
              </w:rPr>
              <w:t>SDN-072 Hatem Adel Mansour</w:t>
            </w:r>
          </w:p>
        </w:tc>
        <w:tc>
          <w:tcPr>
            <w:tcW w:type="dxa" w:w="3744"/>
          </w:tcPr>
          <w:p>
            <w:r>
              <w:rPr>
                <w:sz w:val="15"/>
              </w:rPr>
            </w:r>
            <w:r>
              <w:rPr>
                <w:sz w:val="15"/>
              </w:rPr>
              <w:t>Different given and father’s names; Egyptian national</w:t>
            </w:r>
          </w:p>
        </w:tc>
      </w:tr>
      <w:tr>
        <w:tc>
          <w:tcPr>
            <w:tcW w:type="dxa" w:w="2592"/>
          </w:tcPr>
          <w:p>
            <w:r>
              <w:rPr>
                <w:sz w:val="15"/>
              </w:rPr>
            </w:r>
            <w:r>
              <w:rPr>
                <w:sz w:val="15"/>
              </w:rPr>
              <w:t>Silk Road Commodities FZE</w:t>
            </w:r>
          </w:p>
        </w:tc>
        <w:tc>
          <w:tcPr>
            <w:tcW w:type="dxa" w:w="3456"/>
          </w:tcPr>
          <w:p>
            <w:r>
              <w:rPr>
                <w:sz w:val="15"/>
              </w:rPr>
            </w:r>
            <w:r>
              <w:rPr>
                <w:sz w:val="15"/>
              </w:rPr>
              <w:t>SDN-069 Silk Route Minerals OOO; SDN-021 Azad Petrochemicals FZE; SDN-055 Sunrise Commodities FZE</w:t>
            </w:r>
          </w:p>
        </w:tc>
        <w:tc>
          <w:tcPr>
            <w:tcW w:type="dxa" w:w="3744"/>
          </w:tcPr>
          <w:p>
            <w:r>
              <w:rPr>
                <w:sz w:val="15"/>
              </w:rPr>
            </w:r>
            <w:r>
              <w:rPr>
                <w:sz w:val="15"/>
              </w:rPr>
              <w:t>Generic/geographic overlap or typology only; different identifiers and personnel</w:t>
            </w:r>
          </w:p>
        </w:tc>
      </w:tr>
      <w:tr>
        <w:tc>
          <w:tcPr>
            <w:tcW w:type="dxa" w:w="2592"/>
          </w:tcPr>
          <w:p>
            <w:r>
              <w:rPr>
                <w:sz w:val="15"/>
              </w:rPr>
            </w:r>
            <w:r>
              <w:rPr>
                <w:sz w:val="15"/>
              </w:rPr>
              <w:t>TuranTrade International LLP</w:t>
            </w:r>
          </w:p>
        </w:tc>
        <w:tc>
          <w:tcPr>
            <w:tcW w:type="dxa" w:w="3456"/>
          </w:tcPr>
          <w:p>
            <w:r>
              <w:rPr>
                <w:sz w:val="15"/>
              </w:rPr>
            </w:r>
            <w:r>
              <w:rPr>
                <w:sz w:val="15"/>
              </w:rPr>
              <w:t>CAATSA-005 Turan Military Aviation Holding AO; SDN-077 Aral Sea Commodities LLP</w:t>
            </w:r>
          </w:p>
        </w:tc>
        <w:tc>
          <w:tcPr>
            <w:tcW w:type="dxa" w:w="3744"/>
          </w:tcPr>
          <w:p>
            <w:r>
              <w:rPr>
                <w:sz w:val="15"/>
              </w:rPr>
            </w:r>
            <w:r>
              <w:rPr>
                <w:sz w:val="15"/>
              </w:rPr>
              <w:t>Single shared word; unrelated sector/jurisdiction; different identifiers</w:t>
            </w:r>
          </w:p>
        </w:tc>
      </w:tr>
      <w:tr>
        <w:tc>
          <w:tcPr>
            <w:tcW w:type="dxa" w:w="2592"/>
          </w:tcPr>
          <w:p>
            <w:r>
              <w:rPr>
                <w:sz w:val="15"/>
              </w:rPr>
            </w:r>
            <w:r>
              <w:rPr>
                <w:sz w:val="15"/>
              </w:rPr>
              <w:t>Kemal Arslanoğlu</w:t>
            </w:r>
          </w:p>
        </w:tc>
        <w:tc>
          <w:tcPr>
            <w:tcW w:type="dxa" w:w="3456"/>
          </w:tcPr>
          <w:p>
            <w:r>
              <w:rPr>
                <w:sz w:val="15"/>
              </w:rPr>
            </w:r>
            <w:r>
              <w:rPr>
                <w:sz w:val="15"/>
              </w:rPr>
              <w:t>SDN-019 key person Kemal Yıldırım</w:t>
            </w:r>
          </w:p>
        </w:tc>
        <w:tc>
          <w:tcPr>
            <w:tcW w:type="dxa" w:w="3744"/>
          </w:tcPr>
          <w:p>
            <w:r>
              <w:rPr>
                <w:sz w:val="15"/>
              </w:rPr>
            </w:r>
            <w:r>
              <w:rPr>
                <w:sz w:val="15"/>
              </w:rPr>
              <w:t>Given name only</w:t>
            </w:r>
          </w:p>
        </w:tc>
      </w:tr>
      <w:tr>
        <w:tc>
          <w:tcPr>
            <w:tcW w:type="dxa" w:w="2592"/>
          </w:tcPr>
          <w:p>
            <w:r>
              <w:rPr>
                <w:sz w:val="15"/>
              </w:rPr>
            </w:r>
            <w:r>
              <w:rPr>
                <w:sz w:val="15"/>
              </w:rPr>
              <w:t>Osman Demir</w:t>
            </w:r>
          </w:p>
        </w:tc>
        <w:tc>
          <w:tcPr>
            <w:tcW w:type="dxa" w:w="3456"/>
          </w:tcPr>
          <w:p>
            <w:r>
              <w:rPr>
                <w:sz w:val="15"/>
              </w:rPr>
            </w:r>
            <w:r>
              <w:rPr>
                <w:sz w:val="15"/>
              </w:rPr>
              <w:t>SDN-060 Ismail Demir</w:t>
            </w:r>
          </w:p>
        </w:tc>
        <w:tc>
          <w:tcPr>
            <w:tcW w:type="dxa" w:w="3744"/>
          </w:tcPr>
          <w:p>
            <w:r>
              <w:rPr>
                <w:sz w:val="15"/>
              </w:rPr>
            </w:r>
            <w:r>
              <w:rPr>
                <w:sz w:val="15"/>
              </w:rPr>
              <w:t>Common surname only — recorded as individual Weak Potential Match (moot: entity is Exact Match)</w:t>
            </w:r>
          </w:p>
        </w:tc>
      </w:tr>
      <w:tr>
        <w:tc>
          <w:tcPr>
            <w:tcW w:type="dxa" w:w="2592"/>
          </w:tcPr>
          <w:p>
            <w:r>
              <w:rPr>
                <w:sz w:val="15"/>
              </w:rPr>
            </w:r>
            <w:r>
              <w:rPr>
                <w:sz w:val="15"/>
              </w:rPr>
              <w:t>Faisal Mahdi al-Rashed</w:t>
            </w:r>
          </w:p>
        </w:tc>
        <w:tc>
          <w:tcPr>
            <w:tcW w:type="dxa" w:w="3456"/>
          </w:tcPr>
          <w:p>
            <w:r>
              <w:rPr>
                <w:sz w:val="15"/>
              </w:rPr>
            </w:r>
            <w:r>
              <w:rPr>
                <w:sz w:val="15"/>
              </w:rPr>
              <w:t>SDN-042 Faisal Hajj-Ibrahim</w:t>
            </w:r>
          </w:p>
        </w:tc>
        <w:tc>
          <w:tcPr>
            <w:tcW w:type="dxa" w:w="3744"/>
          </w:tcPr>
          <w:p>
            <w:r>
              <w:rPr>
                <w:sz w:val="15"/>
              </w:rPr>
            </w:r>
            <w:r>
              <w:rPr>
                <w:sz w:val="15"/>
              </w:rPr>
              <w:t>Given name only</w:t>
            </w:r>
          </w:p>
        </w:tc>
      </w:tr>
      <w:tr>
        <w:tc>
          <w:tcPr>
            <w:tcW w:type="dxa" w:w="2592"/>
          </w:tcPr>
          <w:p>
            <w:r>
              <w:rPr>
                <w:sz w:val="15"/>
              </w:rPr>
            </w:r>
            <w:r>
              <w:rPr>
                <w:sz w:val="15"/>
              </w:rPr>
              <w:t>Giorgi Mamadashvili</w:t>
            </w:r>
          </w:p>
        </w:tc>
        <w:tc>
          <w:tcPr>
            <w:tcW w:type="dxa" w:w="3456"/>
          </w:tcPr>
          <w:p>
            <w:r>
              <w:rPr>
                <w:sz w:val="15"/>
              </w:rPr>
            </w:r>
            <w:r>
              <w:rPr>
                <w:sz w:val="15"/>
              </w:rPr>
              <w:t>SDN-061 key person Georgi Petrov Dimitrov</w:t>
            </w:r>
          </w:p>
        </w:tc>
        <w:tc>
          <w:tcPr>
            <w:tcW w:type="dxa" w:w="3744"/>
          </w:tcPr>
          <w:p>
            <w:r>
              <w:rPr>
                <w:sz w:val="15"/>
              </w:rPr>
            </w:r>
            <w:r>
              <w:rPr>
                <w:sz w:val="15"/>
              </w:rPr>
              <w:t>Given-name variant only</w:t>
            </w:r>
          </w:p>
        </w:tc>
      </w:tr>
      <w:tr>
        <w:tc>
          <w:tcPr>
            <w:tcW w:type="dxa" w:w="2592"/>
          </w:tcPr>
          <w:p>
            <w:r>
              <w:rPr>
                <w:sz w:val="15"/>
              </w:rPr>
            </w:r>
            <w:r>
              <w:rPr>
                <w:sz w:val="15"/>
              </w:rPr>
              <w:t>Novaya Energetika OOO (entity)</w:t>
            </w:r>
          </w:p>
        </w:tc>
        <w:tc>
          <w:tcPr>
            <w:tcW w:type="dxa" w:w="3456"/>
          </w:tcPr>
          <w:p>
            <w:r>
              <w:rPr>
                <w:sz w:val="15"/>
              </w:rPr>
            </w:r>
            <w:r>
              <w:rPr>
                <w:sz w:val="15"/>
              </w:rPr>
              <w:t>SSI-003 Novaya Energetika PAO</w:t>
            </w:r>
          </w:p>
        </w:tc>
        <w:tc>
          <w:tcPr>
            <w:tcW w:type="dxa" w:w="3744"/>
          </w:tcPr>
          <w:p>
            <w:r>
              <w:rPr>
                <w:sz w:val="15"/>
              </w:rPr>
            </w:r>
            <w:r>
              <w:rPr>
                <w:sz w:val="15"/>
              </w:rPr>
              <w:t>OGRN differs (1197847098765 vs 1037700098765); affiliate risk noted in 5.13</w:t>
            </w:r>
          </w:p>
        </w:tc>
      </w:tr>
      <w:tr>
        <w:tc>
          <w:tcPr>
            <w:tcW w:type="dxa" w:w="2592"/>
          </w:tcPr>
          <w:p>
            <w:r>
              <w:rPr>
                <w:sz w:val="15"/>
              </w:rPr>
            </w:r>
            <w:r>
              <w:rPr>
                <w:sz w:val="15"/>
              </w:rPr>
              <w:t>All 23 disclosed individuals</w:t>
            </w:r>
          </w:p>
        </w:tc>
        <w:tc>
          <w:tcPr>
            <w:tcW w:type="dxa" w:w="3456"/>
          </w:tcPr>
          <w:p>
            <w:r>
              <w:rPr>
                <w:sz w:val="15"/>
              </w:rPr>
            </w:r>
            <w:r>
              <w:rPr>
                <w:sz w:val="15"/>
              </w:rPr>
              <w:t>CAATSA § 231 list (CAATSA-001 to -015)</w:t>
            </w:r>
          </w:p>
        </w:tc>
        <w:tc>
          <w:tcPr>
            <w:tcW w:type="dxa" w:w="3744"/>
          </w:tcPr>
          <w:p>
            <w:r>
              <w:rPr>
                <w:sz w:val="15"/>
              </w:rPr>
            </w:r>
            <w:r>
              <w:rPr>
                <w:sz w:val="15"/>
              </w:rPr>
              <w:t>No name or identifier overlap with any counterparty element</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Privileged &amp; Confidential — Attorney-Client Privileged / Work Product — Oakvale OFAC Screening Report — Reference Dataset as of May 15, 2025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