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9"/>
        </w:rPr>
        <w:t>DRAFT — PRIVILEGED &amp; CONFIDENTIAL — NOT FOR FILING UNTIL BRACKETED ITEMS ARE RESOLVED AND CLIENT APPROVES</w:t>
      </w:r>
    </w:p>
    <w:p>
      <w:r>
        <w:rPr>
          <w:i/>
          <w:sz w:val="19"/>
        </w:rPr>
        <w:t>Drafting conventions: text in [brackets] is a placeholder or a fact to be confirmed. Bold bracketed "Drafting Note" paragraphs are internal and must be deleted before filing. See Ridgeline &amp; Harker Issues Memorandum dated April 14, 2025 for the open items referenced.</w:t>
      </w:r>
    </w:p>
    <w:p>
      <w:pPr>
        <w:spacing w:after="0"/>
        <w:jc w:val="center"/>
      </w:pPr>
      <w:r>
        <w:rPr>
          <w:b/>
          <w:sz w:val="26"/>
        </w:rPr>
        <w:t>CASCADE PHOTONICS, INC.</w:t>
      </w:r>
    </w:p>
    <w:p>
      <w:pPr>
        <w:spacing w:after="200"/>
        <w:jc w:val="center"/>
      </w:pPr>
      <w:r>
        <w:rPr>
          <w:sz w:val="20"/>
        </w:rPr>
        <w:t>4100 Meridian Parkway, Suite 300, Tucson, Arizona 85718</w:t>
      </w:r>
    </w:p>
    <w:p>
      <w:pPr>
        <w:spacing w:after="0"/>
        <w:jc w:val="center"/>
      </w:pPr>
      <w:r>
        <w:rPr>
          <w:b/>
          <w:sz w:val="24"/>
        </w:rPr>
        <w:t>SUPPORTING STATEMENT IN SUPPORT OF APPLICATION FOR LICENSE TO EXPORT</w:t>
      </w:r>
    </w:p>
    <w:p>
      <w:pPr>
        <w:spacing w:after="200"/>
        <w:jc w:val="center"/>
      </w:pPr>
      <w:r>
        <w:rPr>
          <w:b/>
          <w:sz w:val="22"/>
        </w:rPr>
        <w:t>Form BIS-748P — Export of Twenty-Four (24) CP-640IR Thermal Imaging Modules to Singapore</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E2F3"/>
          </w:tcPr>
          <w:p>
            <w:r/>
            <w:r>
              <w:rPr>
                <w:b/>
                <w:sz w:val="20"/>
              </w:rPr>
            </w:r>
          </w:p>
        </w:tc>
        <w:tc>
          <w:tcPr>
            <w:tcW w:type="dxa" w:w="6912"/>
            <w:shd w:val="clear" w:color="auto" w:fill="D9E2F3"/>
          </w:tcPr>
          <w:p>
            <w:r/>
            <w:r>
              <w:rPr>
                <w:b/>
                <w:sz w:val="20"/>
              </w:rPr>
            </w:r>
          </w:p>
        </w:tc>
      </w:tr>
      <w:tr>
        <w:tc>
          <w:tcPr>
            <w:tcW w:type="dxa" w:w="2448"/>
          </w:tcPr>
          <w:p>
            <w:pPr>
              <w:spacing w:after="20"/>
            </w:pPr>
            <w:r/>
            <w:r>
              <w:rPr>
                <w:b/>
                <w:sz w:val="20"/>
              </w:rPr>
              <w:t>Submitted to:</w:t>
            </w:r>
          </w:p>
        </w:tc>
        <w:tc>
          <w:tcPr>
            <w:tcW w:type="dxa" w:w="6912"/>
          </w:tcPr>
          <w:p>
            <w:pPr>
              <w:spacing w:after="20"/>
            </w:pPr>
            <w:r/>
            <w:r>
              <w:rPr>
                <w:sz w:val="20"/>
              </w:rPr>
              <w:t>U.S. Department of Commerce, Bureau of Industry and Security, Office of Exporter Services</w:t>
            </w:r>
          </w:p>
        </w:tc>
      </w:tr>
      <w:tr>
        <w:tc>
          <w:tcPr>
            <w:tcW w:type="dxa" w:w="2448"/>
          </w:tcPr>
          <w:p>
            <w:pPr>
              <w:spacing w:after="20"/>
            </w:pPr>
            <w:r/>
            <w:r>
              <w:rPr>
                <w:b/>
                <w:sz w:val="20"/>
              </w:rPr>
              <w:t>Applicant:</w:t>
            </w:r>
          </w:p>
        </w:tc>
        <w:tc>
          <w:tcPr>
            <w:tcW w:type="dxa" w:w="6912"/>
          </w:tcPr>
          <w:p>
            <w:pPr>
              <w:spacing w:after="20"/>
            </w:pPr>
            <w:r/>
            <w:r>
              <w:rPr>
                <w:sz w:val="20"/>
              </w:rPr>
              <w:t>Cascade Photonics, Inc. (EIN 84-2917453)</w:t>
            </w:r>
          </w:p>
        </w:tc>
      </w:tr>
      <w:tr>
        <w:tc>
          <w:tcPr>
            <w:tcW w:type="dxa" w:w="2448"/>
          </w:tcPr>
          <w:p>
            <w:pPr>
              <w:spacing w:after="20"/>
            </w:pPr>
            <w:r/>
            <w:r>
              <w:rPr>
                <w:b/>
                <w:sz w:val="20"/>
              </w:rPr>
              <w:t>Application Control No.:</w:t>
            </w:r>
          </w:p>
        </w:tc>
        <w:tc>
          <w:tcPr>
            <w:tcW w:type="dxa" w:w="6912"/>
          </w:tcPr>
          <w:p>
            <w:pPr>
              <w:spacing w:after="20"/>
            </w:pPr>
            <w:r/>
            <w:r>
              <w:rPr>
                <w:sz w:val="20"/>
              </w:rPr>
              <w:t>[To be assigned by SNAP-R]</w:t>
            </w:r>
          </w:p>
        </w:tc>
      </w:tr>
      <w:tr>
        <w:tc>
          <w:tcPr>
            <w:tcW w:type="dxa" w:w="2448"/>
          </w:tcPr>
          <w:p>
            <w:pPr>
              <w:spacing w:after="20"/>
            </w:pPr>
            <w:r/>
            <w:r>
              <w:rPr>
                <w:b/>
                <w:sz w:val="20"/>
              </w:rPr>
              <w:t>Date:</w:t>
            </w:r>
          </w:p>
        </w:tc>
        <w:tc>
          <w:tcPr>
            <w:tcW w:type="dxa" w:w="6912"/>
          </w:tcPr>
          <w:p>
            <w:pPr>
              <w:spacing w:after="20"/>
            </w:pPr>
            <w:r/>
            <w:r>
              <w:rPr>
                <w:sz w:val="20"/>
              </w:rPr>
              <w:t>[Filing date]</w:t>
            </w:r>
          </w:p>
        </w:tc>
      </w:tr>
      <w:tr>
        <w:tc>
          <w:tcPr>
            <w:tcW w:type="dxa" w:w="2448"/>
          </w:tcPr>
          <w:p>
            <w:pPr>
              <w:spacing w:after="20"/>
            </w:pPr>
            <w:r/>
            <w:r>
              <w:rPr>
                <w:b/>
                <w:sz w:val="20"/>
              </w:rPr>
              <w:t>Item:</w:t>
            </w:r>
          </w:p>
        </w:tc>
        <w:tc>
          <w:tcPr>
            <w:tcW w:type="dxa" w:w="6912"/>
          </w:tcPr>
          <w:p>
            <w:pPr>
              <w:spacing w:after="20"/>
            </w:pPr>
            <w:r/>
            <w:r>
              <w:rPr>
                <w:sz w:val="20"/>
              </w:rPr>
              <w:t>CP-640IR Thermal Imaging Module [Part No. CP-640IR-STD — confirm]; ECCN [6A002.a.3 — confirm per engineering classification memorandum]</w:t>
            </w:r>
          </w:p>
        </w:tc>
      </w:tr>
      <w:tr>
        <w:tc>
          <w:tcPr>
            <w:tcW w:type="dxa" w:w="2448"/>
          </w:tcPr>
          <w:p>
            <w:pPr>
              <w:spacing w:after="20"/>
            </w:pPr>
            <w:r/>
            <w:r>
              <w:rPr>
                <w:b/>
                <w:sz w:val="20"/>
              </w:rPr>
              <w:t>Quantity / Value:</w:t>
            </w:r>
          </w:p>
        </w:tc>
        <w:tc>
          <w:tcPr>
            <w:tcW w:type="dxa" w:w="6912"/>
          </w:tcPr>
          <w:p>
            <w:pPr>
              <w:spacing w:after="20"/>
            </w:pPr>
            <w:r/>
            <w:r>
              <w:rPr>
                <w:sz w:val="20"/>
              </w:rPr>
              <w:t>24 units; $47,500.00 per unit; $1,140,000.00 total</w:t>
            </w:r>
          </w:p>
        </w:tc>
      </w:tr>
      <w:tr>
        <w:tc>
          <w:tcPr>
            <w:tcW w:type="dxa" w:w="2448"/>
          </w:tcPr>
          <w:p>
            <w:pPr>
              <w:spacing w:after="20"/>
            </w:pPr>
            <w:r/>
            <w:r>
              <w:rPr>
                <w:b/>
                <w:sz w:val="20"/>
              </w:rPr>
              <w:t>Ultimate Consignee:</w:t>
            </w:r>
          </w:p>
        </w:tc>
        <w:tc>
          <w:tcPr>
            <w:tcW w:type="dxa" w:w="6912"/>
          </w:tcPr>
          <w:p>
            <w:pPr>
              <w:spacing w:after="20"/>
            </w:pPr>
            <w:r/>
            <w:r>
              <w:rPr>
                <w:sz w:val="20"/>
              </w:rPr>
              <w:t>Stellar Defense Technologies Pte. Ltd., Singapore</w:t>
            </w:r>
          </w:p>
        </w:tc>
      </w:tr>
      <w:tr>
        <w:tc>
          <w:tcPr>
            <w:tcW w:type="dxa" w:w="2448"/>
          </w:tcPr>
          <w:p>
            <w:pPr>
              <w:spacing w:after="20"/>
            </w:pPr>
            <w:r/>
            <w:r>
              <w:rPr>
                <w:b/>
                <w:sz w:val="20"/>
              </w:rPr>
              <w:t>End User:</w:t>
            </w:r>
          </w:p>
        </w:tc>
        <w:tc>
          <w:tcPr>
            <w:tcW w:type="dxa" w:w="6912"/>
          </w:tcPr>
          <w:p>
            <w:pPr>
              <w:spacing w:after="20"/>
            </w:pPr>
            <w:r/>
            <w:r>
              <w:rPr>
                <w:sz w:val="20"/>
              </w:rPr>
              <w:t>Ministry of Defence, Republic of Singapore, through the Defence Science and Technology Agency (operational user: Republic of Singapore Navy)</w:t>
            </w:r>
          </w:p>
        </w:tc>
      </w:tr>
      <w:tr>
        <w:tc>
          <w:tcPr>
            <w:tcW w:type="dxa" w:w="2448"/>
          </w:tcPr>
          <w:p>
            <w:pPr>
              <w:spacing w:after="20"/>
            </w:pPr>
            <w:r/>
            <w:r>
              <w:rPr>
                <w:b/>
                <w:sz w:val="20"/>
              </w:rPr>
              <w:t>Related License:</w:t>
            </w:r>
          </w:p>
        </w:tc>
        <w:tc>
          <w:tcPr>
            <w:tcW w:type="dxa" w:w="6912"/>
          </w:tcPr>
          <w:p>
            <w:pPr>
              <w:spacing w:after="20"/>
            </w:pPr>
            <w:r/>
            <w:r>
              <w:rPr>
                <w:sz w:val="20"/>
              </w:rPr>
              <w:t>BIS License No. D-598712 (approved September 14, 2023)</w:t>
            </w:r>
          </w:p>
        </w:tc>
      </w:tr>
    </w:tbl>
    <w:p>
      <w:pPr>
        <w:spacing w:after="40"/>
      </w:pPr>
    </w:p>
    <w:p>
      <w:pPr>
        <w:pStyle w:val="Heading1"/>
      </w:pPr>
      <w:r>
        <w:t>1. Request</w:t>
      </w:r>
    </w:p>
    <w:p>
      <w:pPr>
        <w:jc w:val="both"/>
      </w:pPr>
      <w:r>
        <w:t>Cascade Photonics, Inc. ("Cascade") respectfully requests a license authorizing the export of twenty-four (24) CP-640IR Thermal Imaging Modules, valued at $1,140,000.00, to Stellar Defense Technologies Pte. Ltd. ("SDT") in Singapore, for incorporation into the Sentinel-MDA maritime domain awareness system being supplied to the Ministry of Defence of the Republic of Singapore ("MINDEF"), through its procurement agency, the Defence Science and Technology Agency ("DSTA"), under Contract No. MINDEF/DSTA-2024-EO-0387, for operational use by the Republic of Singapore Navy ("RSN"). This application is a follow-on to BIS License No. D-598712, under which BIS authorized the export of the same item to the same consignee for the same end user and program under the predecessor contract. The order is documented by SDT Purchase Order No. SDT-PO-2025-0042 dated March 3, 2025.</w:t>
      </w:r>
    </w:p>
    <w:p>
      <w:pPr>
        <w:pStyle w:val="Heading1"/>
      </w:pPr>
      <w:r>
        <w:t>2. Applicant</w:t>
      </w:r>
    </w:p>
    <w:p>
      <w:pPr>
        <w:jc w:val="both"/>
      </w:pPr>
      <w:r>
        <w:t>Cascade is a Delaware corporation headquartered in Tucson, Arizona, and is the designer, manufacturer, and exporter of the CP-640IR. Cascade's manufacturing facility is certified to ISO 9001:2015 and AS9100D. Cascade maintains an export compliance program administered by its Export Compliance Officer, Gerald Ng (gng@cascadephotonics.com; (520) 555-0183), who is the contact for this application. All export-related records for this transaction will be maintained in accordance with Part 762 of the EAR.</w:t>
      </w:r>
    </w:p>
    <w:p>
      <w:pPr>
        <w:pStyle w:val="Heading1"/>
      </w:pPr>
      <w:r>
        <w:t>3. Item Description and Classification</w:t>
      </w:r>
    </w:p>
    <w:p>
      <w:pPr>
        <w:jc w:val="both"/>
      </w:pPr>
      <w:r>
        <w:t>The CP-640IR is a cooled mid-wave infrared (MWIR) thermal imaging module ("sensor core") designed for integration by system manufacturers into larger electro-optical/infrared (EO/IR) systems such as stabilized gimbals and maritime surveillance turrets. It is supplied without optics. Its principal parameters are:</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E2F3"/>
          </w:tcPr>
          <w:p>
            <w:r/>
            <w:r>
              <w:rPr>
                <w:b/>
                <w:sz w:val="20"/>
              </w:rPr>
              <w:t>Parameter</w:t>
            </w:r>
          </w:p>
        </w:tc>
        <w:tc>
          <w:tcPr>
            <w:tcW w:type="dxa" w:w="6480"/>
            <w:shd w:val="clear" w:color="auto" w:fill="D9E2F3"/>
          </w:tcPr>
          <w:p>
            <w:r/>
            <w:r>
              <w:rPr>
                <w:b/>
                <w:sz w:val="20"/>
              </w:rPr>
              <w:t>Specification</w:t>
            </w:r>
          </w:p>
        </w:tc>
      </w:tr>
      <w:tr>
        <w:tc>
          <w:tcPr>
            <w:tcW w:type="dxa" w:w="2880"/>
          </w:tcPr>
          <w:p>
            <w:pPr>
              <w:spacing w:after="20"/>
            </w:pPr>
            <w:r/>
            <w:r>
              <w:rPr>
                <w:sz w:val="20"/>
              </w:rPr>
              <w:t>Detector</w:t>
            </w:r>
          </w:p>
        </w:tc>
        <w:tc>
          <w:tcPr>
            <w:tcW w:type="dxa" w:w="6480"/>
          </w:tcPr>
          <w:p>
            <w:pPr>
              <w:spacing w:after="20"/>
            </w:pPr>
            <w:r/>
            <w:r>
              <w:rPr>
                <w:sz w:val="20"/>
              </w:rPr>
              <w:t>Indium antimonide (InSb) photovoltaic focal plane array, two-dimensional</w:t>
            </w:r>
          </w:p>
        </w:tc>
      </w:tr>
      <w:tr>
        <w:tc>
          <w:tcPr>
            <w:tcW w:type="dxa" w:w="2880"/>
          </w:tcPr>
          <w:p>
            <w:pPr>
              <w:spacing w:after="20"/>
            </w:pPr>
            <w:r/>
            <w:r>
              <w:rPr>
                <w:sz w:val="20"/>
              </w:rPr>
              <w:t>Array format / pixel pitch</w:t>
            </w:r>
          </w:p>
        </w:tc>
        <w:tc>
          <w:tcPr>
            <w:tcW w:type="dxa" w:w="6480"/>
          </w:tcPr>
          <w:p>
            <w:pPr>
              <w:spacing w:after="20"/>
            </w:pPr>
            <w:r/>
            <w:r>
              <w:rPr>
                <w:sz w:val="20"/>
              </w:rPr>
              <w:t>640 × 512 pixels (327,680 elements) / 15 μm</w:t>
            </w:r>
          </w:p>
        </w:tc>
      </w:tr>
      <w:tr>
        <w:tc>
          <w:tcPr>
            <w:tcW w:type="dxa" w:w="2880"/>
          </w:tcPr>
          <w:p>
            <w:pPr>
              <w:spacing w:after="20"/>
            </w:pPr>
            <w:r/>
            <w:r>
              <w:rPr>
                <w:sz w:val="20"/>
              </w:rPr>
              <w:t>Spectral band</w:t>
            </w:r>
          </w:p>
        </w:tc>
        <w:tc>
          <w:tcPr>
            <w:tcW w:type="dxa" w:w="6480"/>
          </w:tcPr>
          <w:p>
            <w:pPr>
              <w:spacing w:after="20"/>
            </w:pPr>
            <w:r/>
            <w:r>
              <w:rPr>
                <w:sz w:val="20"/>
              </w:rPr>
              <w:t>3–5 μm (MWIR)</w:t>
            </w:r>
          </w:p>
        </w:tc>
      </w:tr>
      <w:tr>
        <w:tc>
          <w:tcPr>
            <w:tcW w:type="dxa" w:w="2880"/>
          </w:tcPr>
          <w:p>
            <w:pPr>
              <w:spacing w:after="20"/>
            </w:pPr>
            <w:r/>
            <w:r>
              <w:rPr>
                <w:sz w:val="20"/>
              </w:rPr>
              <w:t>NETD</w:t>
            </w:r>
          </w:p>
        </w:tc>
        <w:tc>
          <w:tcPr>
            <w:tcW w:type="dxa" w:w="6480"/>
          </w:tcPr>
          <w:p>
            <w:pPr>
              <w:spacing w:after="20"/>
            </w:pPr>
            <w:r/>
            <w:r>
              <w:rPr>
                <w:sz w:val="20"/>
              </w:rPr>
              <w:t>18 mK at f/4.0, 25°C background</w:t>
            </w:r>
          </w:p>
        </w:tc>
      </w:tr>
      <w:tr>
        <w:tc>
          <w:tcPr>
            <w:tcW w:type="dxa" w:w="2880"/>
          </w:tcPr>
          <w:p>
            <w:pPr>
              <w:spacing w:after="20"/>
            </w:pPr>
            <w:r/>
            <w:r>
              <w:rPr>
                <w:sz w:val="20"/>
              </w:rPr>
              <w:t>Frame rate</w:t>
            </w:r>
          </w:p>
        </w:tc>
        <w:tc>
          <w:tcPr>
            <w:tcW w:type="dxa" w:w="6480"/>
          </w:tcPr>
          <w:p>
            <w:pPr>
              <w:spacing w:after="20"/>
            </w:pPr>
            <w:r/>
            <w:r>
              <w:rPr>
                <w:sz w:val="20"/>
              </w:rPr>
              <w:t>Up to 120 Hz full frame; up to 240 Hz in sub-frame windowing mode</w:t>
            </w:r>
          </w:p>
        </w:tc>
      </w:tr>
      <w:tr>
        <w:tc>
          <w:tcPr>
            <w:tcW w:type="dxa" w:w="2880"/>
          </w:tcPr>
          <w:p>
            <w:pPr>
              <w:spacing w:after="20"/>
            </w:pPr>
            <w:r/>
            <w:r>
              <w:rPr>
                <w:sz w:val="20"/>
              </w:rPr>
              <w:t>Cooling</w:t>
            </w:r>
          </w:p>
        </w:tc>
        <w:tc>
          <w:tcPr>
            <w:tcW w:type="dxa" w:w="6480"/>
          </w:tcPr>
          <w:p>
            <w:pPr>
              <w:spacing w:after="20"/>
            </w:pPr>
            <w:r/>
            <w:r>
              <w:rPr>
                <w:sz w:val="20"/>
              </w:rPr>
              <w:t>Integrated Stirling-cycle microcooler (approx. 77 K); cooldown &lt;8 minutes</w:t>
            </w:r>
          </w:p>
        </w:tc>
      </w:tr>
      <w:tr>
        <w:tc>
          <w:tcPr>
            <w:tcW w:type="dxa" w:w="2880"/>
          </w:tcPr>
          <w:p>
            <w:pPr>
              <w:spacing w:after="20"/>
            </w:pPr>
            <w:r/>
            <w:r>
              <w:rPr>
                <w:sz w:val="20"/>
              </w:rPr>
              <w:t>Signal processing / output</w:t>
            </w:r>
          </w:p>
        </w:tc>
        <w:tc>
          <w:tcPr>
            <w:tcW w:type="dxa" w:w="6480"/>
          </w:tcPr>
          <w:p>
            <w:pPr>
              <w:spacing w:after="20"/>
            </w:pPr>
            <w:r/>
            <w:r>
              <w:rPr>
                <w:sz w:val="20"/>
              </w:rPr>
              <w:t>On-board ROIC with 14-bit digitization; non-uniformity correction and bad-pixel replacement; Camera Link (Base) and LVDS digital output; RS-422 command and control</w:t>
            </w:r>
          </w:p>
        </w:tc>
      </w:tr>
      <w:tr>
        <w:tc>
          <w:tcPr>
            <w:tcW w:type="dxa" w:w="2880"/>
          </w:tcPr>
          <w:p>
            <w:pPr>
              <w:spacing w:after="20"/>
            </w:pPr>
            <w:r/>
            <w:r>
              <w:rPr>
                <w:sz w:val="20"/>
              </w:rPr>
              <w:t>Physical</w:t>
            </w:r>
          </w:p>
        </w:tc>
        <w:tc>
          <w:tcPr>
            <w:tcW w:type="dxa" w:w="6480"/>
          </w:tcPr>
          <w:p>
            <w:pPr>
              <w:spacing w:after="20"/>
            </w:pPr>
            <w:r/>
            <w:r>
              <w:rPr>
                <w:sz w:val="20"/>
              </w:rPr>
              <w:t>1.8 kg; 120 × 85 × 92 mm; hard-anodized aluminum housing; MIL-DTL-38999 connector</w:t>
            </w:r>
          </w:p>
        </w:tc>
      </w:tr>
      <w:tr>
        <w:tc>
          <w:tcPr>
            <w:tcW w:type="dxa" w:w="2880"/>
          </w:tcPr>
          <w:p>
            <w:pPr>
              <w:spacing w:after="20"/>
            </w:pPr>
            <w:r/>
            <w:r>
              <w:rPr>
                <w:sz w:val="20"/>
              </w:rPr>
              <w:t>Environmental</w:t>
            </w:r>
          </w:p>
        </w:tc>
        <w:tc>
          <w:tcPr>
            <w:tcW w:type="dxa" w:w="6480"/>
          </w:tcPr>
          <w:p>
            <w:pPr>
              <w:spacing w:after="20"/>
            </w:pPr>
            <w:r/>
            <w:r>
              <w:rPr>
                <w:sz w:val="20"/>
              </w:rPr>
              <w:t>Operating temperature [−40°C to +71°C — confirm]; MIL-STD-810H and MIL-STD-461G qualified</w:t>
            </w:r>
          </w:p>
        </w:tc>
      </w:tr>
    </w:tbl>
    <w:p>
      <w:pPr>
        <w:spacing w:after="40"/>
      </w:pPr>
    </w:p>
    <w:p>
      <w:pPr>
        <w:jc w:val="both"/>
      </w:pPr>
      <w:r>
        <w:rPr>
          <w:b/>
        </w:rPr>
        <w:t>Classification.</w:t>
      </w:r>
      <w:r>
        <w:t xml:space="preserve"> Cascade has classified the CP-640IR under ECCN [6A002.a.3] on the basis of its [non-space-qualified, two-dimensional focal plane array with individual elements having a peak response in the wavelength range exceeding 1,200 nm but not exceeding 30,000 nm (6A002.a.3.c)]. The classification was made by Cascade's engineering and export compliance personnel; no CCATS has been requested. The item is subject to the EAR; it is not described on the U.S. Munitions List and is not "specially designed" for a defense article, being a catalog product marketed and sold for multiple surveillance and security applications. [Confirm on the basis of the engineering classification and jurisdiction memorandum.] The CP-640IR was previously licensed by BIS under the same classification in License No. D-598712.</w:t>
      </w:r>
    </w:p>
    <w:p>
      <w:r>
        <w:rPr>
          <w:b/>
          <w:sz w:val="19"/>
        </w:rPr>
        <w:t>[Drafting Note: Conform this paragraph to the engineering memorandum (Issues Memo, Issue 5). If the module is determined to be an imaging camera under 6A003.b.4, revise the ECCN, reasons for control, and Section 6 accordingly. Do not cite NETD as a 6A002.a.3 criterion. Confirm whether performance changed after TDS Rev B (September 2023) relative to the units licensed under D-598712; if so, replace "the same item" language in Sections 1 and 7.]</w:t>
      </w:r>
    </w:p>
    <w:p>
      <w:pPr>
        <w:jc w:val="both"/>
      </w:pPr>
      <w:r>
        <w:rPr>
          <w:b/>
        </w:rPr>
        <w:t>Reasons for control.</w:t>
      </w:r>
      <w:r>
        <w:t xml:space="preserve"> National Security (NS Column 2), Regional Stability (RS Column 1), and Anti-Terrorism (AT Column 1). [Cascade has confirmed that the CP-640IR does not meet the parameters of ECCN 6A102; accordingly, Missile Technology controls do not apply.] </w:t>
      </w:r>
      <w:r>
        <w:rPr>
          <w:b/>
        </w:rPr>
        <w:t>[Drafting Note: Do not list MT unless engineering confirms 6A102 parameters are met.]</w:t>
      </w:r>
    </w:p>
    <w:p>
      <w:pPr>
        <w:jc w:val="both"/>
      </w:pPr>
      <w:r>
        <w:t>No accessories, optics, software, or technology are included in this application. [Confirm; if the CP-CLR-01 Camera Link repeater or any CP-LENS optics will ship, classify and add as appropriate.]</w:t>
      </w:r>
    </w:p>
    <w:p>
      <w:pPr>
        <w:pStyle w:val="Heading1"/>
      </w:pPr>
      <w:r>
        <w:t>4. Parties to the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19"/>
              </w:rPr>
              <w:t>Role</w:t>
            </w:r>
          </w:p>
        </w:tc>
        <w:tc>
          <w:tcPr>
            <w:tcW w:type="dxa" w:w="2736"/>
            <w:shd w:val="clear" w:color="auto" w:fill="D9E2F3"/>
          </w:tcPr>
          <w:p>
            <w:r/>
            <w:r>
              <w:rPr>
                <w:b/>
                <w:sz w:val="19"/>
              </w:rPr>
              <w:t>Party</w:t>
            </w:r>
          </w:p>
        </w:tc>
        <w:tc>
          <w:tcPr>
            <w:tcW w:type="dxa" w:w="4320"/>
            <w:shd w:val="clear" w:color="auto" w:fill="D9E2F3"/>
          </w:tcPr>
          <w:p>
            <w:r/>
            <w:r>
              <w:rPr>
                <w:b/>
                <w:sz w:val="19"/>
              </w:rPr>
              <w:t>Details</w:t>
            </w:r>
          </w:p>
        </w:tc>
      </w:tr>
      <w:tr>
        <w:tc>
          <w:tcPr>
            <w:tcW w:type="dxa" w:w="2304"/>
          </w:tcPr>
          <w:p>
            <w:pPr>
              <w:spacing w:after="20"/>
            </w:pPr>
            <w:r/>
            <w:r>
              <w:rPr>
                <w:sz w:val="19"/>
              </w:rPr>
              <w:t>Applicant / Exporter / Manufacturer</w:t>
            </w:r>
          </w:p>
        </w:tc>
        <w:tc>
          <w:tcPr>
            <w:tcW w:type="dxa" w:w="2736"/>
          </w:tcPr>
          <w:p>
            <w:pPr>
              <w:spacing w:after="20"/>
            </w:pPr>
            <w:r/>
            <w:r>
              <w:rPr>
                <w:sz w:val="19"/>
              </w:rPr>
              <w:t>Cascade Photonics, Inc.</w:t>
            </w:r>
          </w:p>
        </w:tc>
        <w:tc>
          <w:tcPr>
            <w:tcW w:type="dxa" w:w="4320"/>
          </w:tcPr>
          <w:p>
            <w:pPr>
              <w:spacing w:after="20"/>
            </w:pPr>
            <w:r/>
            <w:r>
              <w:rPr>
                <w:sz w:val="19"/>
              </w:rPr>
              <w:t>4100 Meridian Parkway, Suite 300, Tucson, AZ 85718, USA</w:t>
            </w:r>
          </w:p>
        </w:tc>
      </w:tr>
      <w:tr>
        <w:tc>
          <w:tcPr>
            <w:tcW w:type="dxa" w:w="2304"/>
          </w:tcPr>
          <w:p>
            <w:pPr>
              <w:spacing w:after="20"/>
            </w:pPr>
            <w:r/>
            <w:r>
              <w:rPr>
                <w:sz w:val="19"/>
              </w:rPr>
              <w:t>Purchaser and Ultimate Consignee</w:t>
            </w:r>
          </w:p>
        </w:tc>
        <w:tc>
          <w:tcPr>
            <w:tcW w:type="dxa" w:w="2736"/>
          </w:tcPr>
          <w:p>
            <w:pPr>
              <w:spacing w:after="20"/>
            </w:pPr>
            <w:r/>
            <w:r>
              <w:rPr>
                <w:sz w:val="19"/>
              </w:rPr>
              <w:t>Stellar Defense Technologies Pte. Ltd.</w:t>
            </w:r>
          </w:p>
        </w:tc>
        <w:tc>
          <w:tcPr>
            <w:tcW w:type="dxa" w:w="4320"/>
          </w:tcPr>
          <w:p>
            <w:pPr>
              <w:spacing w:after="20"/>
            </w:pPr>
            <w:r/>
            <w:r>
              <w:rPr>
                <w:sz w:val="19"/>
              </w:rPr>
              <w:t>UEN 201809234K; 8 Changi Business Park Avenue 1, #04-12, Singapore 486018. Managing Director: Lim Wei Keat. Procurement contact: Rachel Tan Siew Ling, Procurement Director</w:t>
            </w:r>
          </w:p>
        </w:tc>
      </w:tr>
      <w:tr>
        <w:tc>
          <w:tcPr>
            <w:tcW w:type="dxa" w:w="2304"/>
          </w:tcPr>
          <w:p>
            <w:pPr>
              <w:spacing w:after="20"/>
            </w:pPr>
            <w:r/>
            <w:r>
              <w:rPr>
                <w:sz w:val="19"/>
              </w:rPr>
              <w:t>Intermediate Consignee</w:t>
            </w:r>
          </w:p>
        </w:tc>
        <w:tc>
          <w:tcPr>
            <w:tcW w:type="dxa" w:w="2736"/>
          </w:tcPr>
          <w:p>
            <w:pPr>
              <w:spacing w:after="20"/>
            </w:pPr>
            <w:r/>
            <w:r>
              <w:rPr>
                <w:sz w:val="19"/>
              </w:rPr>
              <w:t>None</w:t>
            </w:r>
          </w:p>
        </w:tc>
        <w:tc>
          <w:tcPr>
            <w:tcW w:type="dxa" w:w="4320"/>
          </w:tcPr>
          <w:p>
            <w:pPr>
              <w:spacing w:after="20"/>
            </w:pPr>
            <w:r/>
            <w:r>
              <w:rPr>
                <w:sz w:val="19"/>
              </w:rPr>
              <w:t>[Confirm that no Singapore freight agent or broker will take possession on SDT's behalf]</w:t>
            </w:r>
          </w:p>
        </w:tc>
      </w:tr>
      <w:tr>
        <w:tc>
          <w:tcPr>
            <w:tcW w:type="dxa" w:w="2304"/>
          </w:tcPr>
          <w:p>
            <w:pPr>
              <w:spacing w:after="20"/>
            </w:pPr>
            <w:r/>
            <w:r>
              <w:rPr>
                <w:sz w:val="19"/>
              </w:rPr>
              <w:t>End User</w:t>
            </w:r>
          </w:p>
        </w:tc>
        <w:tc>
          <w:tcPr>
            <w:tcW w:type="dxa" w:w="2736"/>
          </w:tcPr>
          <w:p>
            <w:pPr>
              <w:spacing w:after="20"/>
            </w:pPr>
            <w:r/>
            <w:r>
              <w:rPr>
                <w:sz w:val="19"/>
              </w:rPr>
              <w:t>Ministry of Defence, Republic of Singapore, through the Defence Science and Technology Agency</w:t>
            </w:r>
          </w:p>
        </w:tc>
        <w:tc>
          <w:tcPr>
            <w:tcW w:type="dxa" w:w="4320"/>
          </w:tcPr>
          <w:p>
            <w:pPr>
              <w:spacing w:after="20"/>
            </w:pPr>
            <w:r/>
            <w:r>
              <w:rPr>
                <w:sz w:val="19"/>
              </w:rPr>
              <w:t>[MINDEF/DSTA address — confirm]. Program Manager: Colonel Darren Chua Beng Huat, DSTA. Contract No. MINDEF/DSTA-2024-EO-0387</w:t>
            </w:r>
          </w:p>
        </w:tc>
      </w:tr>
      <w:tr>
        <w:tc>
          <w:tcPr>
            <w:tcW w:type="dxa" w:w="2304"/>
          </w:tcPr>
          <w:p>
            <w:pPr>
              <w:spacing w:after="20"/>
            </w:pPr>
            <w:r/>
            <w:r>
              <w:rPr>
                <w:sz w:val="19"/>
              </w:rPr>
              <w:t>Operational User</w:t>
            </w:r>
          </w:p>
        </w:tc>
        <w:tc>
          <w:tcPr>
            <w:tcW w:type="dxa" w:w="2736"/>
          </w:tcPr>
          <w:p>
            <w:pPr>
              <w:spacing w:after="20"/>
            </w:pPr>
            <w:r/>
            <w:r>
              <w:rPr>
                <w:sz w:val="19"/>
              </w:rPr>
              <w:t>Republic of Singapore Navy</w:t>
            </w:r>
          </w:p>
        </w:tc>
        <w:tc>
          <w:tcPr>
            <w:tcW w:type="dxa" w:w="4320"/>
          </w:tcPr>
          <w:p>
            <w:pPr>
              <w:spacing w:after="20"/>
            </w:pPr>
            <w:r/>
            <w:r>
              <w:rPr>
                <w:sz w:val="19"/>
              </w:rPr>
              <w:t>Patrol vessels operating in Singapore territorial waters and exclusive economic zone</w:t>
            </w:r>
          </w:p>
        </w:tc>
      </w:tr>
      <w:tr>
        <w:tc>
          <w:tcPr>
            <w:tcW w:type="dxa" w:w="2304"/>
          </w:tcPr>
          <w:p>
            <w:pPr>
              <w:spacing w:after="20"/>
            </w:pPr>
            <w:r/>
            <w:r>
              <w:rPr>
                <w:sz w:val="19"/>
              </w:rPr>
              <w:t>U.S. Freight Forwarder (not a foreign party)</w:t>
            </w:r>
          </w:p>
        </w:tc>
        <w:tc>
          <w:tcPr>
            <w:tcW w:type="dxa" w:w="2736"/>
          </w:tcPr>
          <w:p>
            <w:pPr>
              <w:spacing w:after="20"/>
            </w:pPr>
            <w:r/>
            <w:r>
              <w:rPr>
                <w:sz w:val="19"/>
              </w:rPr>
              <w:t>Pinehurst Consulting Group</w:t>
            </w:r>
          </w:p>
        </w:tc>
        <w:tc>
          <w:tcPr>
            <w:tcW w:type="dxa" w:w="4320"/>
          </w:tcPr>
          <w:p>
            <w:pPr>
              <w:spacing w:after="20"/>
            </w:pPr>
            <w:r/>
            <w:r>
              <w:rPr>
                <w:sz w:val="19"/>
              </w:rPr>
              <w:t>2200 International Trade Drive, Long Beach, CA 90802; FMC License No. 026841NF</w:t>
            </w:r>
          </w:p>
        </w:tc>
      </w:tr>
      <w:tr>
        <w:tc>
          <w:tcPr>
            <w:tcW w:type="dxa" w:w="2304"/>
          </w:tcPr>
          <w:p>
            <w:pPr>
              <w:spacing w:after="20"/>
            </w:pPr>
            <w:r/>
            <w:r>
              <w:rPr>
                <w:sz w:val="19"/>
              </w:rPr>
              <w:t>L/C Issuing Bank (financial party)</w:t>
            </w:r>
          </w:p>
        </w:tc>
        <w:tc>
          <w:tcPr>
            <w:tcW w:type="dxa" w:w="2736"/>
          </w:tcPr>
          <w:p>
            <w:pPr>
              <w:spacing w:after="20"/>
            </w:pPr>
            <w:r/>
            <w:r>
              <w:rPr>
                <w:sz w:val="19"/>
              </w:rPr>
              <w:t>Eastbridge Commercial Bank</w:t>
            </w:r>
          </w:p>
        </w:tc>
        <w:tc>
          <w:tcPr>
            <w:tcW w:type="dxa" w:w="4320"/>
          </w:tcPr>
          <w:p>
            <w:pPr>
              <w:spacing w:after="20"/>
            </w:pPr>
            <w:r/>
            <w:r>
              <w:rPr>
                <w:sz w:val="19"/>
              </w:rPr>
              <w:t>1 Raffles Place, #40-01, Singapore 048616</w:t>
            </w:r>
          </w:p>
        </w:tc>
      </w:tr>
    </w:tbl>
    <w:p>
      <w:pPr>
        <w:spacing w:after="40"/>
      </w:pPr>
    </w:p>
    <w:p>
      <w:pPr>
        <w:jc w:val="both"/>
      </w:pPr>
      <w:r>
        <w:t>SDT, a Singapore private limited company incorporated in 2018, designs and integrates electro-optical surveillance systems for maritime domain awareness applications and reports annual revenue of approximately SGD 95 million. SDT is the prime contractor to DSTA for the Sentinel-MDA system and will receive the modules at its Changi Business Park facility, integrate them into Sentinel-MDA turrets, and deliver the completed systems to MINDEF for installation aboard RSN vessels. Because SDT takes delivery and performs the integration, it is identified as ultimate consignee; MINDEF (through DSTA) is the end user.</w:t>
      </w:r>
    </w:p>
    <w:p>
      <w:pPr>
        <w:pStyle w:val="Heading1"/>
      </w:pPr>
      <w:r>
        <w:t>5. End Use</w:t>
      </w:r>
    </w:p>
    <w:p>
      <w:pPr>
        <w:jc w:val="both"/>
      </w:pPr>
      <w:r>
        <w:t>The 24 modules will be used solely as the thermal imaging sensors in Sentinel-MDA, a stabilized EO/IR turret designed and manufactured by SDT for shipboard installation. The integrated systems will be installed aboard RSN patrol vessels and used for maritime surveillance and coastal defense — detection, identification, and tracking of surface contacts — in and around Singapore's territorial waters and exclusive economic zone, including the Singapore Strait. The order supports Contract No. MINDEF/DSTA-2024-EO-0387, a follow-on to Contract No. MINDEF/DSTA-2022-EO-0215, under which DSTA is expanding fleet deployment of the Sentinel-MDA system. [SDT has provided / DSTA has provided] [a letter from DSTA / an extract of the contract award] confirming the program, the contract, and SDT's role, which is attached. [Attach if obtained; otherwise delete.]</w:t>
      </w:r>
    </w:p>
    <w:p>
      <w:pPr>
        <w:jc w:val="both"/>
      </w:pPr>
      <w:r>
        <w:t>Requested delivery is no later than August 15, 2025. Shipment will move by ground from Tucson to the Port of Long Beach and by ocean vessel to the Port of Singapore. SDT will obtain a Singapore import permit under the Strategic Goods (Control) Act prior to importation.</w:t>
      </w:r>
    </w:p>
    <w:p>
      <w:pPr>
        <w:pStyle w:val="Heading1"/>
      </w:pPr>
      <w:r>
        <w:t>6. License Requirement and Unavailability of License Exceptions</w:t>
      </w:r>
    </w:p>
    <w:p>
      <w:pPr>
        <w:jc w:val="both"/>
      </w:pPr>
      <w:r>
        <w:t>A license is required to export the CP-640IR to Singapore under the NS Column 2 and RS Column 1 controls of ECCN [6A002] (Commerce Country Chart, Supp. No. 1 to Part 738). Singapore is in Country Groups A:6 and B and is not in Country Groups D or E. Cascade has reviewed the license exceptions in Part 740 and concluded that none is available:</w:t>
      </w:r>
    </w:p>
    <w:p>
      <w:pPr>
        <w:pStyle w:val="ListBullet"/>
        <w:spacing w:after="60"/>
      </w:pPr>
      <w:r>
        <w:rPr>
          <w:b/>
        </w:rPr>
        <w:t>STA (§ 740.20):</w:t>
      </w:r>
      <w:r>
        <w:t xml:space="preserve"> For Country Group A:6 destinations such as Singapore, § 740.20(c)(2) is limited to items controlled only for national security reasons; the CP-640IR is also controlled for regional stability reasons. Paragraph (c)(1) applies only to Country Group A:5 destinations.</w:t>
      </w:r>
    </w:p>
    <w:p>
      <w:pPr>
        <w:pStyle w:val="ListBullet"/>
        <w:spacing w:after="60"/>
      </w:pPr>
      <w:r>
        <w:rPr>
          <w:b/>
        </w:rPr>
        <w:t>GOV (§ 740.11):</w:t>
      </w:r>
      <w:r>
        <w:t xml:space="preserve"> The item is not for the U.S. Government, and § 740.11(c), which authorizes certain exports to cooperating governments, is limited to the national governments of Country Group A:1 countries, which do not include Singapore.</w:t>
      </w:r>
    </w:p>
    <w:p>
      <w:pPr>
        <w:pStyle w:val="ListBullet"/>
        <w:spacing w:after="60"/>
      </w:pPr>
      <w:r>
        <w:rPr>
          <w:b/>
        </w:rPr>
        <w:t>LVS (§ 740.3) and GBS (§ 740.4):</w:t>
      </w:r>
      <w:r>
        <w:t xml:space="preserve"> Not authorized for this ECCN.</w:t>
      </w:r>
    </w:p>
    <w:p>
      <w:pPr>
        <w:pStyle w:val="ListBullet"/>
        <w:spacing w:after="60"/>
      </w:pPr>
      <w:r>
        <w:rPr>
          <w:b/>
        </w:rPr>
        <w:t>TMP (§ 740.9) and RPL (§ 740.10):</w:t>
      </w:r>
      <w:r>
        <w:t xml:space="preserve"> Inapplicable; this is a permanent export of new production units, not a temporary export, repair, or replacement.</w:t>
      </w:r>
    </w:p>
    <w:p>
      <w:pPr>
        <w:pStyle w:val="Heading1"/>
      </w:pPr>
      <w:r>
        <w:t>7. Licensing History and Relationship</w:t>
      </w:r>
    </w:p>
    <w:p>
      <w:pPr>
        <w:jc w:val="both"/>
      </w:pPr>
      <w:r>
        <w:t xml:space="preserve">BIS approved License No. D-598712 on September 14, 2023 (expiring September 14, 2025), authorizing the export of fifteen (15) CP-640IR modules to SDT for the Sentinel-MDA program under Contract No. MINDEF/DSTA-2022-EO-0215. Cascade has exported twelve (12) units under that license: eight (8) units on January 22, 2024 (ITN X20240122148763) and four (4) units on June 10, 2024 (ITN [to be inserted]). Three (3) units remain unshipped. Those units are tied to the predecessor contract and will not be used to fill the present order; [Cascade intends to (ship them against Contract -2022-EO-0215 before the license expires) / (allow the balance to lapse)]. The present application covers the entire 24-unit quantity of Purchase Order SDT-PO-2025-0042, which exceeds the remaining balance and relates to a different contract. [No compliance issues have arisen in connection with License D-598712 and Cascade has complied with all of its conditions.] </w:t>
      </w:r>
      <w:r>
        <w:rPr>
          <w:b/>
        </w:rPr>
        <w:t>[Drafting Note: Include the bracketed sentence only after the June 10, 2024 EEI/ITN is located and license conditions are confirmed (Issues Memo, Issue 8).]</w:t>
      </w:r>
    </w:p>
    <w:p>
      <w:pPr>
        <w:jc w:val="both"/>
      </w:pPr>
      <w:r>
        <w:t>SDT has advised that MINDEF may exercise options for additional Sentinel-MDA systems, which could result in future orders. This application does not seek authorization for any such quantities; Cascade will submit a separate application if and when a firm order is received.</w:t>
      </w:r>
    </w:p>
    <w:p>
      <w:pPr>
        <w:pStyle w:val="Heading1"/>
      </w:pPr>
      <w:r>
        <w:t>8. Due Diligence and Resolution of Red Flags</w:t>
      </w:r>
    </w:p>
    <w:p>
      <w:pPr>
        <w:jc w:val="both"/>
      </w:pPr>
      <w:r>
        <w:rPr>
          <w:b/>
        </w:rPr>
        <w:t>Restricted party screening.</w:t>
      </w:r>
      <w:r>
        <w:t xml:space="preserve"> Cascade screened all parties to the transaction — SDT, its Managing Director, Procurement Director, and Chief Financial Officer; MINDEF, DSTA, the RSN, and Colonel Chua; Eastbridge Commercial Bank; and Pinehurst Consulting Group — against the Entity List, Denied Persons List, Unverified List, Military End-User List, SDN List and other OFAC lists, the DDTC debarred parties list, and the nonproliferation sanctions lists [on April 1, 2025 and again on (filing date)]. No party is listed. Screening returned a partial name match to an Unverified List entry for "Stellar Defence Systems Pte Ltd." Cascade compared the listed entry's [address/identifiers] against SDT's registered name, address, and Unique Entity Number, reviewed SDT's Singapore corporate registry (ACRA) records, and obtained SDT's written confirmation that it has no affiliation, common ownership, or predecessor relationship with that entity. Cascade has concluded that the listed entity is not SDT. </w:t>
      </w:r>
      <w:r>
        <w:rPr>
          <w:b/>
        </w:rPr>
        <w:t>[Drafting Note: Complete only after the UVL analysis in Issues Memo, Issue 3 is done; describe the actual differentiating facts. The April 1 screening did not cover Pinehurst Consulting Group or the Military End-User List; that screening must be completed (and the filing-date re-screen run) before this paragraph is accurate (Issues Memo, Issue 6).]</w:t>
      </w:r>
    </w:p>
    <w:p>
      <w:pPr>
        <w:jc w:val="both"/>
      </w:pPr>
      <w:r>
        <w:rPr>
          <w:b/>
        </w:rPr>
        <w:t>Third-country transfer inquiry.</w:t>
      </w:r>
      <w:r>
        <w:t xml:space="preserve"> In the interest of full disclosure, Cascade notes that on March 28, 2025, SDT's Procurement Director inquired whether the modules could, at a future date, be transferred to a Burmese company, Myitkyina Optical Systems, for calibration in connection with a potential partnership SDT was exploring. Cascade promptly advised SDT that such a transfer would require BIS authorization and would be inconsistent with U.S. export controls applicable to Burma, and that Cascade would not support it. [On (date), SDT's Managing Director confirmed in writing, on behalf of SDT, that (i) SDT has withdrawn the inquiry; (ii) no CP-640IR modules, including the units exported under License D-598712, or systems incorporating them, or related technical data have been or will be provided to Myitkyina Optical Systems or any other person in Burma; and (iii) all calibration, maintenance, and repair of the modules will be performed in Singapore by SDT or by Cascade in the United States.] Cascade also screened Myitkyina Optical Systems [with no match / results]. SDT's letter is attached. </w:t>
      </w:r>
      <w:r>
        <w:rPr>
          <w:b/>
        </w:rPr>
        <w:t>[Drafting Note: Recommended for inclusion — omission of a known diversion inquiry from the application would be a material omission. Final text depends on SDT's written response (Issues Memo, Issue 1). If SDT declines to provide it, do not file without further advice.]</w:t>
      </w:r>
    </w:p>
    <w:p>
      <w:pPr>
        <w:pStyle w:val="Heading1"/>
      </w:pPr>
      <w:r>
        <w:t>9. Safeguards Against Diversion</w:t>
      </w:r>
    </w:p>
    <w:p>
      <w:pPr>
        <w:pStyle w:val="ListBullet"/>
        <w:spacing w:after="60"/>
      </w:pPr>
      <w:r>
        <w:rPr>
          <w:b/>
        </w:rPr>
        <w:t>End-use certificate.</w:t>
      </w:r>
      <w:r>
        <w:t xml:space="preserve"> SDT has executed End-Use Certificate No. [SDT-EUC-2025-0xx] dated [date], signed by [Lim Wei Keat, Managing Director / Ng Chee Wai, Chief Financial Officer], an authorized signatory under SDT's Board Resolution of January 15, 2025 (certified copy attached). The certificate identifies the full quantity (24 units) and value ($1,140,000), the end user and end use, and contains SDT's undertaking not to reexport, transfer, or divert the items — as stand-alone modules or as incorporated into Sentinel-MDA systems — to any destination, including Burma, or to any party, without prior U.S. Government authorization. </w:t>
      </w:r>
      <w:r>
        <w:rPr>
          <w:b/>
        </w:rPr>
        <w:t>[Drafting Note: Replace EUC SDT-EUC-2025-008 (20 units; signed by unauthorized signatory) before filing (Issues Memo, Issue 2).]</w:t>
      </w:r>
    </w:p>
    <w:p>
      <w:pPr>
        <w:pStyle w:val="ListBullet"/>
        <w:spacing w:after="60"/>
      </w:pPr>
      <w:r>
        <w:rPr>
          <w:b/>
        </w:rPr>
        <w:t>Export documentation.</w:t>
      </w:r>
      <w:r>
        <w:t xml:space="preserve"> The commercial invoice will bear the license number and the destination control statement required by § 758.6; Electronic Export Information will be filed in AES for each shipment.</w:t>
      </w:r>
    </w:p>
    <w:p>
      <w:pPr>
        <w:pStyle w:val="ListBullet"/>
        <w:spacing w:after="60"/>
      </w:pPr>
      <w:r>
        <w:rPr>
          <w:b/>
        </w:rPr>
        <w:t>Screening and records.</w:t>
      </w:r>
      <w:r>
        <w:t xml:space="preserve"> Cascade will re-screen all parties before each shipment and retain records under Part 762. Serial numbers of all 24 modules will be recorded and provided to SDT, and Cascade will make them available to BIS on request.</w:t>
      </w:r>
    </w:p>
    <w:p>
      <w:pPr>
        <w:pStyle w:val="ListBullet"/>
        <w:spacing w:after="60"/>
      </w:pPr>
      <w:r>
        <w:rPr>
          <w:b/>
        </w:rPr>
        <w:t>Singapore controls.</w:t>
      </w:r>
      <w:r>
        <w:t xml:space="preserve"> Singapore maintains its own strategic goods control regime; SDT will obtain an import permit under the Strategic Goods (Control) Act, and any onward transfer from Singapore would also be subject to Singapore export controls.</w:t>
      </w:r>
    </w:p>
    <w:p>
      <w:pPr>
        <w:pStyle w:val="ListBullet"/>
        <w:spacing w:after="60"/>
      </w:pPr>
      <w:r>
        <w:rPr>
          <w:b/>
        </w:rPr>
        <w:t>Acceptance of conditions.</w:t>
      </w:r>
      <w:r>
        <w:t xml:space="preserve"> Cascade will accept, and will flow down to SDT, any license conditions BIS considers appropriate, including conditions prohibiting reexport or transfer without prior BIS authorization, requiring post-shipment reporting of serial numbers and installation, or permitting end-use checks. SDT has agreed to cooperate with any post-shipment verification.</w:t>
      </w:r>
    </w:p>
    <w:p>
      <w:pPr>
        <w:pStyle w:val="Heading1"/>
      </w:pPr>
      <w:r>
        <w:t>10. Policy Considerations</w:t>
      </w:r>
    </w:p>
    <w:p>
      <w:pPr>
        <w:jc w:val="both"/>
      </w:pPr>
      <w:r>
        <w:t>Approval is consistent with the licensing policies for national security (§ 742.4) and regional stability (§ 742.6) controls. The end user is the defense ministry of a close U.S. security partner, and the items will strengthen Singapore's maritime domain awareness in the Singapore Strait — one of the world's most important commercial sea lanes and an area where the United States and Singapore share interests in maritime security, counter-piracy, and freedom of navigation. The modules provide a defensive surveillance capability installed on patrol vessels operating in Singapore's own waters and would not contribute to a destabilizing military capability or alter the regional military balance. The same item, consignee, end user, and program were approved by BIS in 2023, and the present order reflects the planned expansion of the same program.</w:t>
      </w:r>
    </w:p>
    <w:p>
      <w:pPr>
        <w:pStyle w:val="Heading1"/>
      </w:pPr>
      <w:r>
        <w:t>11. Timing</w:t>
      </w:r>
    </w:p>
    <w:p>
      <w:pPr>
        <w:jc w:val="both"/>
      </w:pPr>
      <w:r>
        <w:t>DSTA's program schedule requires delivery by August 15, 2025. Cascade respectfully requests BIS's consideration of the application as promptly as its review procedures permit and will respond immediately to any request for additional information. Cascade will not ship any item before the license is issued.</w:t>
      </w:r>
    </w:p>
    <w:p>
      <w:pPr>
        <w:pStyle w:val="Heading1"/>
      </w:pPr>
      <w:r>
        <w:t>12. Supporting Documents</w:t>
      </w:r>
    </w:p>
    <w:p>
      <w:pPr>
        <w:pStyle w:val="ListNumber"/>
        <w:spacing w:after="60"/>
      </w:pPr>
      <w:r>
        <w:t>SDT Purchase Order No. SDT-PO-2025-0042 dated March 3, 2025 [executed copy], with Cascade acknowledgment [executed].</w:t>
      </w:r>
    </w:p>
    <w:p>
      <w:pPr>
        <w:pStyle w:val="ListNumber"/>
        <w:spacing w:after="60"/>
      </w:pPr>
      <w:r>
        <w:t>SDT End-Use Certificate No. [</w:t>
      </w:r>
      <w:r>
        <w:rPr>
          <w:i/>
        </w:rPr>
        <w:t>] dated [</w:t>
      </w:r>
      <w:r>
        <w:t>] [re-executed].</w:t>
      </w:r>
    </w:p>
    <w:p>
      <w:pPr>
        <w:pStyle w:val="ListNumber"/>
        <w:spacing w:after="60"/>
      </w:pPr>
      <w:r>
        <w:t>Certified copy of SDT Board Resolution dated January 15, 2025 (authorized signatories for export control documentation).</w:t>
      </w:r>
    </w:p>
    <w:p>
      <w:pPr>
        <w:pStyle w:val="ListNumber"/>
        <w:spacing w:after="60"/>
      </w:pPr>
      <w:r>
        <w:t>CP-640IR Technical Data Sheet, CPI-TDS-640IR [Rev. D — with corrected classification section].</w:t>
      </w:r>
    </w:p>
    <w:p>
      <w:pPr>
        <w:pStyle w:val="ListNumber"/>
        <w:spacing w:after="60"/>
      </w:pPr>
      <w:r>
        <w:t>[DSTA/MINDEF letter or contract extract confirming Contract No. MINDEF/DSTA-2024-EO-0387.]</w:t>
      </w:r>
    </w:p>
    <w:p>
      <w:pPr>
        <w:pStyle w:val="ListNumber"/>
        <w:spacing w:after="60"/>
      </w:pPr>
      <w:r>
        <w:t>[SDT letter regarding third-country transfers dated (__).]</w:t>
      </w:r>
    </w:p>
    <w:p>
      <w:pPr>
        <w:pStyle w:val="ListNumber"/>
        <w:spacing w:after="60"/>
      </w:pPr>
      <w:r>
        <w:t>Copy of BIS License No. D-598712 and shipment record (ITNs).</w:t>
      </w:r>
    </w:p>
    <w:p>
      <w:pPr>
        <w:pStyle w:val="Heading1"/>
      </w:pPr>
      <w:r>
        <w:t>13. Certification</w:t>
      </w:r>
    </w:p>
    <w:p>
      <w:pPr>
        <w:jc w:val="both"/>
      </w:pPr>
      <w:r>
        <w:t>Cascade certifies that the statements in this supporting statement and the accompanying application are true and correct to the best of its knowledge and belief, and that it has disclosed all facts known to it that are material to BIS's review of the application. Cascade understands that the export of the items is subject to the terms of any license issued and to the EAR.</w:t>
      </w:r>
    </w:p>
    <w:p>
      <w:pPr>
        <w:spacing w:after="280"/>
      </w:pPr>
      <w:r>
        <w:t>CASCADE PHOTONICS, INC.</w:t>
      </w:r>
    </w:p>
    <w:p>
      <w:pPr>
        <w:spacing w:after="0"/>
      </w:pPr>
      <w:r>
        <w:t xml:space="preserve">By: </w:t>
      </w:r>
      <w:r>
        <w:rPr>
          <w:i/>
        </w:rPr>
        <w:t>_</w:t>
      </w:r>
      <w:r>
        <w:rPr>
          <w:i/>
        </w:rPr>
        <w:t>_</w:t>
      </w:r>
      <w:r>
        <w:rPr>
          <w:i/>
        </w:rPr>
        <w:t>_</w:t>
      </w:r>
      <w:r>
        <w:rPr>
          <w:i/>
        </w:rPr>
        <w:t>_</w:t>
      </w:r>
      <w:r>
        <w:rPr>
          <w:i/>
        </w:rPr>
        <w:t>_</w:t>
      </w:r>
      <w:r>
        <w:rPr>
          <w:i/>
        </w:rPr>
        <w:t>_</w:t>
      </w:r>
      <w:r>
        <w:t>_</w:t>
      </w:r>
    </w:p>
    <w:p>
      <w:pPr>
        <w:spacing w:after="0"/>
      </w:pPr>
      <w:r>
        <w:t>Name: [Dr. Anita Vasquez-Holm / Gerald Ng]</w:t>
      </w:r>
    </w:p>
    <w:p>
      <w:pPr>
        <w:spacing w:after="0"/>
      </w:pPr>
      <w:r>
        <w:t>Title: [Chief Executive Officer / Export Compliance Officer]</w:t>
      </w:r>
    </w:p>
    <w:p>
      <w:r>
        <w:t>Date: [</w:t>
      </w:r>
      <w:r>
        <w:rPr>
          <w:i/>
        </w:rPr>
        <w:t>_</w:t>
      </w:r>
      <w:r>
        <w:rPr>
          <w:i/>
        </w:rPr>
        <w:t>_</w:t>
      </w:r>
      <w:r>
        <w:t>]</w:t>
      </w:r>
    </w:p>
    <w:p>
      <w:r>
        <w:rPr>
          <w:b/>
          <w:sz w:val="19"/>
        </w:rPr>
        <w:t>[Drafting Note: Filing requires Cascade's prior written authorization (Engagement Letter § 4.5). Before filing, verify all regulatory citations against the current eCFR, re-screen all parties, and ensure names, addresses, quantity, value, and contract number match exactly across the BIS-748P, EUC, PO, and this statement.]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sz w:val="16"/>
      </w:rPr>
      <w:t>DRAFT — Privileged &amp; Confidential — Prepared by Ridgeline &amp; Harker LLP for Cascade Photonics, Inc. — Not for filing in this 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