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18"/>
        </w:rPr>
        <w:t>PRIVILEGED &amp; CONFIDENTIAL — ATTORNEY-CLIENT COMMUNICATION / ATTORNEY WORK PRODUCT — PREPARED IN ANTICIPATION OF LITIGATION</w:t>
      </w:r>
    </w:p>
    <w:p>
      <w:pPr>
        <w:spacing w:after="120"/>
        <w:jc w:val="center"/>
      </w:pPr>
      <w:r>
        <w:rPr>
          <w:b/>
          <w:i w:val="0"/>
          <w:sz w:val="28"/>
        </w:rPr>
        <w:t>MEMORANDUM</w:t>
      </w:r>
    </w:p>
    <w:tbl>
      <w:tblPr>
        <w:tblStyle w:val="TableGrid"/>
        <w:tblW w:type="auto" w:w="0"/>
        <w:jc w:val="center"/>
        <w:tblLook w:firstColumn="1" w:firstRow="1" w:lastColumn="0" w:lastRow="0" w:noHBand="0" w:noVBand="1" w:val="04A0"/>
      </w:tblPr>
      <w:tblGrid>
        <w:gridCol w:w="4680"/>
        <w:gridCol w:w="4680"/>
      </w:tblGrid>
      <w:tr>
        <w:tc>
          <w:tcPr>
            <w:tcW w:type="dxa" w:w="1296"/>
            <w:shd w:val="clear" w:color="auto" w:fill="D9E2F3"/>
          </w:tcPr>
          <w:p>
            <w:r/>
            <w:r>
              <w:rPr>
                <w:b/>
                <w:sz w:val="20"/>
              </w:rPr>
            </w:r>
          </w:p>
        </w:tc>
        <w:tc>
          <w:tcPr>
            <w:tcW w:type="dxa" w:w="8064"/>
            <w:shd w:val="clear" w:color="auto" w:fill="D9E2F3"/>
          </w:tcPr>
          <w:p>
            <w:r/>
            <w:r>
              <w:rPr>
                <w:b/>
                <w:sz w:val="20"/>
              </w:rPr>
            </w:r>
          </w:p>
        </w:tc>
      </w:tr>
      <w:tr>
        <w:tc>
          <w:tcPr>
            <w:tcW w:type="dxa" w:w="1296"/>
          </w:tcPr>
          <w:p>
            <w:r>
              <w:rPr>
                <w:sz w:val="20"/>
              </w:rPr>
            </w:r>
            <w:r>
              <w:rPr>
                <w:b w:val="0"/>
                <w:sz w:val="20"/>
              </w:rPr>
              <w:t>TO:</w:t>
            </w:r>
          </w:p>
        </w:tc>
        <w:tc>
          <w:tcPr>
            <w:tcW w:type="dxa" w:w="8064"/>
          </w:tcPr>
          <w:p>
            <w:r>
              <w:rPr>
                <w:sz w:val="20"/>
              </w:rPr>
            </w:r>
            <w:r>
              <w:rPr>
                <w:b w:val="0"/>
                <w:sz w:val="20"/>
              </w:rPr>
              <w:t>Catherine Ng, Harmon Lyle</w:t>
            </w:r>
          </w:p>
        </w:tc>
      </w:tr>
      <w:tr>
        <w:tc>
          <w:tcPr>
            <w:tcW w:type="dxa" w:w="1296"/>
          </w:tcPr>
          <w:p>
            <w:r>
              <w:rPr>
                <w:sz w:val="20"/>
              </w:rPr>
            </w:r>
            <w:r>
              <w:rPr>
                <w:b w:val="0"/>
                <w:sz w:val="20"/>
              </w:rPr>
              <w:t>CC:</w:t>
            </w:r>
          </w:p>
        </w:tc>
        <w:tc>
          <w:tcPr>
            <w:tcW w:type="dxa" w:w="8064"/>
          </w:tcPr>
          <w:p>
            <w:r>
              <w:rPr>
                <w:sz w:val="20"/>
              </w:rPr>
            </w:r>
            <w:r>
              <w:rPr>
                <w:b w:val="0"/>
                <w:sz w:val="20"/>
              </w:rPr>
              <w:t>Jonathan Breyer, Harmon Lyle</w:t>
            </w:r>
          </w:p>
        </w:tc>
      </w:tr>
      <w:tr>
        <w:tc>
          <w:tcPr>
            <w:tcW w:type="dxa" w:w="1296"/>
          </w:tcPr>
          <w:p>
            <w:r>
              <w:rPr>
                <w:sz w:val="20"/>
              </w:rPr>
            </w:r>
            <w:r>
              <w:rPr>
                <w:b w:val="0"/>
                <w:sz w:val="20"/>
              </w:rPr>
              <w:t>FROM:</w:t>
            </w:r>
          </w:p>
        </w:tc>
        <w:tc>
          <w:tcPr>
            <w:tcW w:type="dxa" w:w="8064"/>
          </w:tcPr>
          <w:p>
            <w:r>
              <w:rPr>
                <w:sz w:val="20"/>
              </w:rPr>
            </w:r>
            <w:r>
              <w:rPr>
                <w:b w:val="0"/>
                <w:sz w:val="20"/>
              </w:rPr>
              <w:t>Litigation Associate</w:t>
            </w:r>
          </w:p>
        </w:tc>
      </w:tr>
      <w:tr>
        <w:tc>
          <w:tcPr>
            <w:tcW w:type="dxa" w:w="1296"/>
          </w:tcPr>
          <w:p>
            <w:r>
              <w:rPr>
                <w:sz w:val="20"/>
              </w:rPr>
            </w:r>
            <w:r>
              <w:rPr>
                <w:b w:val="0"/>
                <w:sz w:val="20"/>
              </w:rPr>
              <w:t>DATE:</w:t>
            </w:r>
          </w:p>
        </w:tc>
        <w:tc>
          <w:tcPr>
            <w:tcW w:type="dxa" w:w="8064"/>
          </w:tcPr>
          <w:p>
            <w:r>
              <w:rPr>
                <w:sz w:val="20"/>
              </w:rPr>
            </w:r>
            <w:r>
              <w:rPr>
                <w:b w:val="0"/>
                <w:sz w:val="20"/>
              </w:rPr>
              <w:t>April 26, 2025 (prepared for the Monday, April 28, 2025 strategy call with Greenfield)</w:t>
            </w:r>
          </w:p>
        </w:tc>
      </w:tr>
      <w:tr>
        <w:tc>
          <w:tcPr>
            <w:tcW w:type="dxa" w:w="1296"/>
          </w:tcPr>
          <w:p>
            <w:r>
              <w:rPr>
                <w:sz w:val="20"/>
              </w:rPr>
            </w:r>
            <w:r>
              <w:rPr>
                <w:b w:val="0"/>
                <w:sz w:val="20"/>
              </w:rPr>
              <w:t>CLIENT:</w:t>
            </w:r>
          </w:p>
        </w:tc>
        <w:tc>
          <w:tcPr>
            <w:tcW w:type="dxa" w:w="8064"/>
          </w:tcPr>
          <w:p>
            <w:r>
              <w:rPr>
                <w:sz w:val="20"/>
              </w:rPr>
            </w:r>
            <w:r>
              <w:rPr>
                <w:b w:val="0"/>
                <w:sz w:val="20"/>
              </w:rPr>
              <w:t>Greenfield Dynamics, Inc. (Patricia Yuen, General Counsel; Marcus Ellsworth, CEO)</w:t>
            </w:r>
          </w:p>
        </w:tc>
      </w:tr>
      <w:tr>
        <w:tc>
          <w:tcPr>
            <w:tcW w:type="dxa" w:w="1296"/>
          </w:tcPr>
          <w:p>
            <w:r>
              <w:rPr>
                <w:sz w:val="20"/>
              </w:rPr>
            </w:r>
            <w:r>
              <w:rPr>
                <w:b w:val="0"/>
                <w:sz w:val="20"/>
              </w:rPr>
              <w:t>RE:</w:t>
            </w:r>
          </w:p>
        </w:tc>
        <w:tc>
          <w:tcPr>
            <w:tcW w:type="dxa" w:w="8064"/>
          </w:tcPr>
          <w:p>
            <w:r>
              <w:rPr>
                <w:sz w:val="20"/>
              </w:rPr>
            </w:r>
            <w:r>
              <w:rPr>
                <w:b w:val="0"/>
                <w:sz w:val="20"/>
              </w:rPr>
              <w:t>Apex Industrial Solutions, LLC v. Greenfield Dynamics, Inc., No. 25-CVS-4471 (N.C. Super. Ct., Mecklenburg Cnty.) — Litigation Summary, Key Terms, Deadlines, Exposure, and Recommended Strategy</w:t>
            </w:r>
          </w:p>
        </w:tc>
      </w:tr>
    </w:tbl>
    <w:p>
      <w:pPr>
        <w:spacing w:after="40"/>
      </w:pPr>
    </w:p>
    <w:p>
      <w:pPr>
        <w:spacing w:after="120"/>
      </w:pPr>
      <w:r>
        <w:rPr>
          <w:b w:val="0"/>
          <w:i/>
        </w:rPr>
        <w:t>This memorandum is based solely on (1) the verified Complaint and Application for TRO/Preliminary Injunction filed April 22, 2025, with Exhibits A–F; (2) the Affidavit of Service of process server Derek M. Calloway sworn April 25, 2025; and (3) Patricia Yuen’s privileged email to Catherine Ng of April 25, 2025. We have not yet seen the complete Distribution Agreement (Exhibit A contains excerpts only), the complete employment agreements (Exhibit F contains excerpts only), or any Greenfield internal documents. Legal authorities cited below are identified for orientation and must be cite-checked and updated before being relied on in any filing.</w:t>
      </w:r>
    </w:p>
    <w:p>
      <w:pPr>
        <w:pStyle w:val="Heading1"/>
      </w:pPr>
      <w:r>
        <w:t>I. Executive Summary</w:t>
      </w:r>
    </w:p>
    <w:p>
      <w:pPr>
        <w:spacing w:after="120"/>
      </w:pPr>
      <w:r>
        <w:rPr>
          <w:b/>
        </w:rPr>
        <w:t>Bottom line.</w:t>
      </w:r>
      <w:r>
        <w:rPr>
          <w:b w:val="0"/>
        </w:rPr>
        <w:t xml:space="preserve"> Apex pleads four counts and a headline demand of $22,341,800 (plus punitive and exemplary damages, fees, and interest). The headline number is substantially inflated: it stacks overlapping measures of the same loss, pleads unjust enrichment in the alternative but adds it to the total anyway, and rests its trade-secret theory on a timeline that Apex’s own exhibits contradict. Greenfield nonetheless faces genuine liability risk on the core contract claim. Our preliminary, non-duplicative assessment of realistic compensatory exposure is roughly </w:t>
      </w:r>
      <w:r>
        <w:rPr>
          <w:b/>
        </w:rPr>
        <w:t>$1.5 million to $7 million</w:t>
      </w:r>
      <w:r>
        <w:rPr>
          <w:b w:val="0"/>
        </w:rPr>
        <w:t xml:space="preserve">, with a most-likely band of approximately </w:t>
      </w:r>
      <w:r>
        <w:rPr>
          <w:b/>
        </w:rPr>
        <w:t>$3–6 million plus fee-shifting</w:t>
      </w:r>
      <w:r>
        <w:rPr>
          <w:b w:val="0"/>
        </w:rPr>
        <w:t xml:space="preserve">, and a serious adverse-case exposure in the </w:t>
      </w:r>
      <w:r>
        <w:rPr>
          <w:b/>
        </w:rPr>
        <w:t>$11–16 million</w:t>
      </w:r>
      <w:r>
        <w:rPr>
          <w:b w:val="0"/>
        </w:rPr>
        <w:t xml:space="preserve"> range (before fees and interest) if a jury accepts Apex’s renewal theory, its lost-profit model, and a willful trade-secret finding (see Part VIII).</w:t>
      </w:r>
    </w:p>
    <w:p>
      <w:pPr>
        <w:spacing w:after="120"/>
      </w:pPr>
      <w:r>
        <w:rPr>
          <w:b/>
        </w:rPr>
        <w:t>Greenfield’s most critical vulnerabilities (candidly):</w:t>
      </w:r>
    </w:p>
    <w:p>
      <w:pPr>
        <w:pStyle w:val="ListBullet"/>
        <w:spacing w:after="60"/>
      </w:pPr>
      <w:r>
        <w:rPr>
          <w:b/>
        </w:rPr>
        <w:t>The non-renewal notices very likely failed.</w:t>
      </w:r>
      <w:r>
        <w:rPr>
          <w:b w:val="0"/>
        </w:rPr>
        <w:t xml:space="preserve"> Section 4.2 requires a notice “delivered by the Chief Executive Officer or General Counsel” at least 180 days before expiration and expressly declares a non-compliant notice “void and of no force or effect,” naming “the signatory and timing requirements.” The July 15, 2023 notice was signed by the VP of Sales; the September 12, 2023 CEO notice gave only 169 days. Our count confirms Ms. Yuen’s: 169 days (the 180-day cut-off was in fact September 1, 2023, so the letter was 11 days late). The express voidness clause largely forecloses substantial-compliance arguments, and Greenfield never answered Apex’s August 3, 2023 objection letter, which flagged the defect four weeks before the deadline. The September 12 letter also states that it “supersedes and replaces” the July 15 notice, which undercuts any ratification theory.</w:t>
      </w:r>
    </w:p>
    <w:p>
      <w:pPr>
        <w:pStyle w:val="ListBullet"/>
        <w:spacing w:after="60"/>
      </w:pPr>
      <w:r>
        <w:rPr>
          <w:b/>
        </w:rPr>
        <w:t>The direct sales occurred during the undisputed Initial Term.</w:t>
      </w:r>
      <w:r>
        <w:rPr>
          <w:b w:val="0"/>
        </w:rPr>
        <w:t xml:space="preserve"> Every Exhibit E invoice is dated between November 15, 2023 and February 5, 2024 — before the Initial Term expired on February 28, 2024. Liability for those $4.26 million in sales therefore does not depend on the renewal dispute at all; if the (omitted) exclusivity grant in Articles I–III bars manufacturer direct sales, that breach is close to strict liability. The client email’s account that Mr. Hargrove was “eager to begin Greenfield’s direct sales efforts in the Southeast” will be discoverable as a fact and is unhelpful on intent.</w:t>
      </w:r>
    </w:p>
    <w:p>
      <w:pPr>
        <w:pStyle w:val="ListBullet"/>
        <w:spacing w:after="60"/>
      </w:pPr>
      <w:r>
        <w:rPr>
          <w:b/>
        </w:rPr>
        <w:t>The Year 2 shortfall is a weak defense.</w:t>
      </w:r>
      <w:r>
        <w:rPr>
          <w:b w:val="0"/>
        </w:rPr>
        <w:t xml:space="preserve"> Greenfield never sent a Section 5.3 cure notice, never invoked Section 12.1(b), and accepted three more years of above-minimum performance. Waiver/estoppel and course-of-dealing arguments favor Apex, and an affirmative counterclaim on the 2020–21 shortfall faces a serious limitations problem in a North Carolina forum (Part VII.B).</w:t>
      </w:r>
    </w:p>
    <w:p>
      <w:pPr>
        <w:pStyle w:val="ListBullet"/>
        <w:spacing w:after="60"/>
      </w:pPr>
      <w:r>
        <w:rPr>
          <w:b/>
        </w:rPr>
        <w:t>Hiring diligence on Kelsey and Ostrowski is uncertain.</w:t>
      </w:r>
      <w:r>
        <w:rPr>
          <w:b w:val="0"/>
        </w:rPr>
        <w:t xml:space="preserve"> Ms. Yuen is not certain anyone reviewed their Apex agreements before offers were extended. Knowledge is an element of the interference theory and of willfulness under the trade secret statutes.</w:t>
      </w:r>
    </w:p>
    <w:p>
      <w:pPr>
        <w:spacing w:after="120"/>
      </w:pPr>
      <w:r>
        <w:rPr>
          <w:b/>
        </w:rPr>
        <w:t>Greenfield’s strongest defensive themes:</w:t>
      </w:r>
    </w:p>
    <w:p>
      <w:pPr>
        <w:pStyle w:val="ListBullet"/>
        <w:spacing w:after="60"/>
      </w:pPr>
      <w:r>
        <w:rPr>
          <w:b/>
        </w:rPr>
        <w:t>Apex’s trade-secret causation story collapses on its own exhibits.</w:t>
      </w:r>
      <w:r>
        <w:rPr>
          <w:b w:val="0"/>
        </w:rPr>
        <w:t xml:space="preserve"> Apex alleges (¶ 111) that the direct sales “commenced within weeks of” the February 2024 hires and that Greenfield used the employees’ pricing data to undercut Apex (¶¶ 54, 104, 112). But the Magnolia (Nov. 15, 2023), Tidewater (Dec. 8, 2023 and Jan. 22, 2024) and Clearwater (Jan. 18, 2024) invoices — $2.71 million of the $4.26 million — predate the hires. Only the Southeastern Bottling invoice (Feb. 5, 2024) is even contemporaneous. Apex also pleads that Greenfield’s own records already showed every prior sale to these customers (¶¶ 53, 88), which undermines secrecy of customer identity as against Greenfield.</w:t>
      </w:r>
    </w:p>
    <w:p>
      <w:pPr>
        <w:pStyle w:val="ListBullet"/>
        <w:spacing w:after="60"/>
      </w:pPr>
      <w:r>
        <w:rPr>
          <w:b/>
        </w:rPr>
        <w:t>Delay defeats emergency relief.</w:t>
      </w:r>
      <w:r>
        <w:rPr>
          <w:b w:val="0"/>
        </w:rPr>
        <w:t xml:space="preserve"> Apex necessarily knew of the hires in February 2024 (its own employees resigned) and, on its own account, lost the four customers’ orders in late 2023–early 2024 (discovery date to be tested), yet filed roughly 14 months after the last identified invoice (442 days after Feb. 5, 2024). The harm Apex describes (lost customers) has already occurred and is quantified to the dollar in the Complaint, which supports an adequate remedy at law.</w:t>
      </w:r>
    </w:p>
    <w:p>
      <w:pPr>
        <w:pStyle w:val="ListBullet"/>
        <w:spacing w:after="60"/>
      </w:pPr>
      <w:r>
        <w:rPr>
          <w:b/>
        </w:rPr>
        <w:t>The injunction requested is overbroad and partly unavailable as a matter of law.</w:t>
      </w:r>
      <w:r>
        <w:rPr>
          <w:b w:val="0"/>
        </w:rPr>
        <w:t xml:space="preserve"> It would bar all direct sales across eight states (including Greenfield’s home state), compel mandatory relief (return/destruction under neutral supervision and a verified accounting), and restrict Greenfield’s employment of two non-parties. The DTSA expressly prohibits an injunction that prevents a person from entering an employment relationship and requires conditions to rest on evidence of threatened misappropriation, not merely on what the person knows (18 U.S.C. § 1836(b)(3)(A)(i)(I)).</w:t>
      </w:r>
    </w:p>
    <w:p>
      <w:pPr>
        <w:pStyle w:val="ListBullet"/>
        <w:spacing w:after="60"/>
      </w:pPr>
      <w:r>
        <w:rPr>
          <w:b/>
        </w:rPr>
        <w:t>Damages are duplicative and in places legally unavailable.</w:t>
      </w:r>
      <w:r>
        <w:rPr>
          <w:b w:val="0"/>
        </w:rPr>
        <w:t xml:space="preserve"> Count IV is pleaded “in the alternative” yet summed into the total; unjust enrichment generally is unavailable where an express contract governs; Count II’s customer-relationship NPV overlaps Count I’s renewal-term lost profits; and the Georgia “stranger doctrine” and GTSA displacement provision (O.C.G.A. § 10-1-767) threaten Count II and Count IV.</w:t>
      </w:r>
    </w:p>
    <w:p>
      <w:pPr>
        <w:spacing w:after="120"/>
      </w:pPr>
      <w:r>
        <w:rPr>
          <w:b/>
        </w:rPr>
        <w:t>Most urgent actions (detail in Parts II, IX, X and XIV):</w:t>
      </w:r>
      <w:r>
        <w:rPr>
          <w:b w:val="0"/>
        </w:rPr>
        <w:t xml:space="preserve"> (1) begin TRO/PI opposition immediately — the hearing is </w:t>
      </w:r>
      <w:r>
        <w:rPr>
          <w:b/>
        </w:rPr>
        <w:t>May 9, 2025 at 10:00 a.m.</w:t>
      </w:r>
      <w:r>
        <w:rPr>
          <w:b w:val="0"/>
        </w:rPr>
        <w:t xml:space="preserve"> before Judge Vanderhorst; (2) decide by mid-May (no later than </w:t>
      </w:r>
      <w:r>
        <w:rPr>
          <w:b/>
        </w:rPr>
        <w:t>May 27, 2025</w:t>
      </w:r>
      <w:r>
        <w:rPr>
          <w:b w:val="0"/>
        </w:rPr>
        <w:t xml:space="preserve">, and protectively earlier) whether to remove on DTSA federal-question grounds and/or designate to the N.C. Business Court; (3) obtain a clerk’s 30-day extension of the answer deadline; (4) issue a litigation hold and forensically image the Kelsey/Ostrowski devices and accounts; (5) quarantine Kelsey and Ostrowski from the four accounts and from any Apex-derived information pending the hearing; and (6) </w:t>
      </w:r>
      <w:r>
        <w:rPr>
          <w:b/>
        </w:rPr>
        <w:t>consider serving now, without prejudice, a fully compliant non-renewal notice signed by both the CEO and the General Counsel</w:t>
      </w:r>
      <w:r>
        <w:rPr>
          <w:b w:val="0"/>
        </w:rPr>
        <w:t xml:space="preserve"> so that, even on Apex’s theory, the Agreement cannot renew again past </w:t>
      </w:r>
      <w:r>
        <w:rPr>
          <w:b/>
        </w:rPr>
        <w:t>February 28, 2026</w:t>
      </w:r>
      <w:r>
        <w:rPr>
          <w:b w:val="0"/>
        </w:rPr>
        <w:t xml:space="preserve"> (the next 180-day cut-off is </w:t>
      </w:r>
      <w:r>
        <w:rPr>
          <w:b/>
        </w:rPr>
        <w:t>September 1, 2025</w:t>
      </w:r>
      <w:r>
        <w:rPr>
          <w:b w:val="0"/>
        </w:rPr>
        <w:t>, which is Labor Day).</w:t>
      </w:r>
    </w:p>
    <w:p>
      <w:pPr>
        <w:pStyle w:val="Heading1"/>
      </w:pPr>
      <w:r>
        <w:t>II. Critical Deadlines and Calendar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D9E2F3"/>
          </w:tcPr>
          <w:p>
            <w:r/>
            <w:r>
              <w:rPr>
                <w:b/>
                <w:sz w:val="16"/>
              </w:rPr>
              <w:t>Date</w:t>
            </w:r>
          </w:p>
        </w:tc>
        <w:tc>
          <w:tcPr>
            <w:tcW w:type="dxa" w:w="2592"/>
            <w:shd w:val="clear" w:color="auto" w:fill="D9E2F3"/>
          </w:tcPr>
          <w:p>
            <w:r/>
            <w:r>
              <w:rPr>
                <w:b/>
                <w:sz w:val="16"/>
              </w:rPr>
              <w:t>Event / Deadline</w:t>
            </w:r>
          </w:p>
        </w:tc>
        <w:tc>
          <w:tcPr>
            <w:tcW w:type="dxa" w:w="2304"/>
            <w:shd w:val="clear" w:color="auto" w:fill="D9E2F3"/>
          </w:tcPr>
          <w:p>
            <w:r/>
            <w:r>
              <w:rPr>
                <w:b/>
                <w:sz w:val="16"/>
              </w:rPr>
              <w:t>Source / Basis</w:t>
            </w:r>
          </w:p>
        </w:tc>
        <w:tc>
          <w:tcPr>
            <w:tcW w:type="dxa" w:w="2880"/>
            <w:shd w:val="clear" w:color="auto" w:fill="D9E2F3"/>
          </w:tcPr>
          <w:p>
            <w:r/>
            <w:r>
              <w:rPr>
                <w:b/>
                <w:sz w:val="16"/>
              </w:rPr>
              <w:t>Comment</w:t>
            </w:r>
          </w:p>
        </w:tc>
      </w:tr>
      <w:tr>
        <w:tc>
          <w:tcPr>
            <w:tcW w:type="dxa" w:w="1584"/>
          </w:tcPr>
          <w:p>
            <w:r>
              <w:rPr>
                <w:sz w:val="16"/>
              </w:rPr>
            </w:r>
            <w:r>
              <w:rPr>
                <w:b w:val="0"/>
                <w:sz w:val="16"/>
              </w:rPr>
              <w:t>Apr. 22, 2025</w:t>
            </w:r>
          </w:p>
        </w:tc>
        <w:tc>
          <w:tcPr>
            <w:tcW w:type="dxa" w:w="2592"/>
          </w:tcPr>
          <w:p>
            <w:r>
              <w:rPr>
                <w:sz w:val="16"/>
              </w:rPr>
            </w:r>
            <w:r>
              <w:rPr>
                <w:b w:val="0"/>
                <w:sz w:val="16"/>
              </w:rPr>
              <w:t>Complaint filed; Colford verification sworn (Fulton Cnty., GA)</w:t>
            </w:r>
          </w:p>
        </w:tc>
        <w:tc>
          <w:tcPr>
            <w:tcW w:type="dxa" w:w="2304"/>
          </w:tcPr>
          <w:p>
            <w:r>
              <w:rPr>
                <w:sz w:val="16"/>
              </w:rPr>
            </w:r>
            <w:r>
              <w:rPr>
                <w:b w:val="0"/>
                <w:sz w:val="16"/>
              </w:rPr>
              <w:t>Complaint caption; Verification</w:t>
            </w:r>
          </w:p>
        </w:tc>
        <w:tc>
          <w:tcPr>
            <w:tcW w:type="dxa" w:w="2880"/>
          </w:tcPr>
          <w:p>
            <w:r>
              <w:rPr>
                <w:sz w:val="16"/>
              </w:rPr>
            </w:r>
            <w:r>
              <w:rPr>
                <w:b w:val="0"/>
                <w:sz w:val="16"/>
              </w:rPr>
              <w:t>Certificate of service (signed by Whitlock) asserts service on Apr. 22 — contradicted by affidavit; see below.</w:t>
            </w:r>
          </w:p>
        </w:tc>
      </w:tr>
      <w:tr>
        <w:tc>
          <w:tcPr>
            <w:tcW w:type="dxa" w:w="1584"/>
          </w:tcPr>
          <w:p>
            <w:r>
              <w:rPr>
                <w:sz w:val="16"/>
              </w:rPr>
            </w:r>
            <w:r>
              <w:rPr>
                <w:b w:val="0"/>
                <w:sz w:val="16"/>
              </w:rPr>
              <w:t>Apr. 25, 2025, ~2:15 p.m.</w:t>
            </w:r>
          </w:p>
        </w:tc>
        <w:tc>
          <w:tcPr>
            <w:tcW w:type="dxa" w:w="2592"/>
          </w:tcPr>
          <w:p>
            <w:r>
              <w:rPr>
                <w:sz w:val="16"/>
              </w:rPr>
            </w:r>
            <w:r>
              <w:rPr>
                <w:b w:val="0"/>
                <w:sz w:val="16"/>
              </w:rPr>
              <w:t>Personal service on Sandra H. Whitfield, Registered Agent &amp; Corporate Secretary, at 4200 Tryon Park Dr., Ste. 800</w:t>
            </w:r>
          </w:p>
        </w:tc>
        <w:tc>
          <w:tcPr>
            <w:tcW w:type="dxa" w:w="2304"/>
          </w:tcPr>
          <w:p>
            <w:r>
              <w:rPr>
                <w:sz w:val="16"/>
              </w:rPr>
            </w:r>
            <w:r>
              <w:rPr>
                <w:b w:val="0"/>
                <w:sz w:val="16"/>
              </w:rPr>
              <w:t>Calloway Aff. ¶¶ 2–3; N.C. R. Civ. P. 4(j)(6)(a)</w:t>
            </w:r>
          </w:p>
        </w:tc>
        <w:tc>
          <w:tcPr>
            <w:tcW w:type="dxa" w:w="2880"/>
          </w:tcPr>
          <w:p>
            <w:r>
              <w:rPr>
                <w:sz w:val="16"/>
              </w:rPr>
            </w:r>
            <w:r>
              <w:rPr>
                <w:b w:val="0"/>
                <w:sz w:val="16"/>
              </w:rPr>
              <w:t>Served: Summons, Complaint, Exs. A–F, and Notice of TRO/PI hearing. No apparent defect in service; we do not recommend contesting service.</w:t>
            </w:r>
          </w:p>
        </w:tc>
      </w:tr>
      <w:tr>
        <w:tc>
          <w:tcPr>
            <w:tcW w:type="dxa" w:w="1584"/>
          </w:tcPr>
          <w:p>
            <w:r>
              <w:rPr>
                <w:sz w:val="16"/>
              </w:rPr>
            </w:r>
            <w:r>
              <w:rPr>
                <w:b w:val="0"/>
                <w:sz w:val="16"/>
              </w:rPr>
              <w:t>Apr. 28, 2025</w:t>
            </w:r>
          </w:p>
        </w:tc>
        <w:tc>
          <w:tcPr>
            <w:tcW w:type="dxa" w:w="2592"/>
          </w:tcPr>
          <w:p>
            <w:r>
              <w:rPr>
                <w:sz w:val="16"/>
              </w:rPr>
            </w:r>
            <w:r>
              <w:rPr>
                <w:b w:val="0"/>
                <w:sz w:val="16"/>
              </w:rPr>
              <w:t>Client strategy call</w:t>
            </w:r>
          </w:p>
        </w:tc>
        <w:tc>
          <w:tcPr>
            <w:tcW w:type="dxa" w:w="2304"/>
          </w:tcPr>
          <w:p>
            <w:r>
              <w:rPr>
                <w:sz w:val="16"/>
              </w:rPr>
            </w:r>
            <w:r>
              <w:rPr>
                <w:b w:val="0"/>
                <w:sz w:val="16"/>
              </w:rPr>
              <w:t>Yuen email</w:t>
            </w:r>
          </w:p>
        </w:tc>
        <w:tc>
          <w:tcPr>
            <w:tcW w:type="dxa" w:w="2880"/>
          </w:tcPr>
          <w:p>
            <w:r>
              <w:rPr>
                <w:sz w:val="16"/>
              </w:rPr>
            </w:r>
          </w:p>
        </w:tc>
      </w:tr>
      <w:tr>
        <w:tc>
          <w:tcPr>
            <w:tcW w:type="dxa" w:w="1584"/>
          </w:tcPr>
          <w:p>
            <w:r>
              <w:rPr>
                <w:sz w:val="16"/>
              </w:rPr>
            </w:r>
            <w:r>
              <w:rPr>
                <w:b/>
                <w:sz w:val="16"/>
              </w:rPr>
              <w:t>May 9, 2025, 10:00 a.m.</w:t>
            </w:r>
          </w:p>
        </w:tc>
        <w:tc>
          <w:tcPr>
            <w:tcW w:type="dxa" w:w="2592"/>
          </w:tcPr>
          <w:p>
            <w:r>
              <w:rPr>
                <w:sz w:val="16"/>
              </w:rPr>
            </w:r>
            <w:r>
              <w:rPr>
                <w:b/>
                <w:sz w:val="16"/>
              </w:rPr>
              <w:t>Hearing on TRO and Preliminary Injunction</w:t>
            </w:r>
            <w:r>
              <w:rPr>
                <w:b w:val="0"/>
                <w:sz w:val="16"/>
              </w:rPr>
              <w:t>, Hon. Robert L. Vanderhorst, Mecklenburg Cnty. Superior Court</w:t>
            </w:r>
          </w:p>
        </w:tc>
        <w:tc>
          <w:tcPr>
            <w:tcW w:type="dxa" w:w="2304"/>
          </w:tcPr>
          <w:p>
            <w:r>
              <w:rPr>
                <w:sz w:val="16"/>
              </w:rPr>
            </w:r>
            <w:r>
              <w:rPr>
                <w:b w:val="0"/>
                <w:sz w:val="16"/>
              </w:rPr>
              <w:t>Notice of Hearing; Complaint ¶ 126</w:t>
            </w:r>
          </w:p>
        </w:tc>
        <w:tc>
          <w:tcPr>
            <w:tcW w:type="dxa" w:w="2880"/>
          </w:tcPr>
          <w:p>
            <w:r>
              <w:rPr>
                <w:sz w:val="16"/>
              </w:rPr>
            </w:r>
            <w:r>
              <w:rPr>
                <w:b w:val="0"/>
                <w:sz w:val="16"/>
              </w:rPr>
              <w:t>14 days after service. Opposition brief, affidavits (Ellsworth, Yuen, Hargrove, Kelsey, Ostrowski, sales/finance), and proposed bond figure needed; target filing by ~May 6–7 (confirm any local rule or chambers requirement for advance filing).</w:t>
            </w:r>
          </w:p>
        </w:tc>
      </w:tr>
      <w:tr>
        <w:tc>
          <w:tcPr>
            <w:tcW w:type="dxa" w:w="1584"/>
          </w:tcPr>
          <w:p>
            <w:r>
              <w:rPr>
                <w:sz w:val="16"/>
              </w:rPr>
            </w:r>
            <w:r>
              <w:rPr>
                <w:b/>
                <w:sz w:val="16"/>
              </w:rPr>
              <w:t>May 27, 2025</w:t>
            </w:r>
            <w:r>
              <w:rPr>
                <w:b w:val="0"/>
                <w:sz w:val="16"/>
              </w:rPr>
              <w:t xml:space="preserve"> (protective target: </w:t>
            </w:r>
            <w:r>
              <w:rPr>
                <w:b/>
                <w:sz w:val="16"/>
              </w:rPr>
              <w:t>May 22</w:t>
            </w:r>
            <w:r>
              <w:rPr>
                <w:b w:val="0"/>
                <w:sz w:val="16"/>
              </w:rPr>
              <w:t>)</w:t>
            </w:r>
          </w:p>
        </w:tc>
        <w:tc>
          <w:tcPr>
            <w:tcW w:type="dxa" w:w="2592"/>
          </w:tcPr>
          <w:p>
            <w:r>
              <w:rPr>
                <w:sz w:val="16"/>
              </w:rPr>
            </w:r>
            <w:r>
              <w:rPr>
                <w:b w:val="0"/>
                <w:sz w:val="16"/>
              </w:rPr>
              <w:t>Answer / Rule 12 response due</w:t>
            </w:r>
          </w:p>
        </w:tc>
        <w:tc>
          <w:tcPr>
            <w:tcW w:type="dxa" w:w="2304"/>
          </w:tcPr>
          <w:p>
            <w:r>
              <w:rPr>
                <w:sz w:val="16"/>
              </w:rPr>
            </w:r>
            <w:r>
              <w:rPr>
                <w:b w:val="0"/>
                <w:sz w:val="16"/>
              </w:rPr>
              <w:t>N.C. R. Civ. P. 12(a)(1) (30 days after service); Rule 6(a); N.C. Gen. Stat. § 103-4 (Memorial Day)</w:t>
            </w:r>
          </w:p>
        </w:tc>
        <w:tc>
          <w:tcPr>
            <w:tcW w:type="dxa" w:w="2880"/>
          </w:tcPr>
          <w:p>
            <w:r>
              <w:rPr>
                <w:sz w:val="16"/>
              </w:rPr>
            </w:r>
            <w:r>
              <w:rPr>
                <w:b w:val="0"/>
                <w:sz w:val="16"/>
              </w:rPr>
              <w:t xml:space="preserve">30 days from Apr. 25 = Sun., May 25; Mon., May 26 is Memorial Day; deadline rolls to Tue., May 27. </w:t>
            </w:r>
            <w:r>
              <w:rPr>
                <w:b/>
                <w:sz w:val="16"/>
              </w:rPr>
              <w:t>Ms. Yuen’s calculation is correct.</w:t>
            </w:r>
            <w:r>
              <w:rPr>
                <w:b w:val="0"/>
                <w:sz w:val="16"/>
              </w:rPr>
              <w:t xml:space="preserve"> Because the plaintiff’s certificate recites Apr. 22 service (30 days = Thu., May 22), and the client email’s header timestamp (04:47 UTC Apr. 25, i.e., 12:47 a.m. Eastern) is inconsistent with service “this afternoon,” calendar May 22 as a protective date. Note that even if service occurred Apr. 24, the deadline would still roll to May 27. Seek a 30-day extension from the Clerk under Rule 6(b) promptly (would run to approx. June 26, 2025).</w:t>
            </w:r>
          </w:p>
        </w:tc>
      </w:tr>
      <w:tr>
        <w:tc>
          <w:tcPr>
            <w:tcW w:type="dxa" w:w="1584"/>
          </w:tcPr>
          <w:p>
            <w:r>
              <w:rPr>
                <w:sz w:val="16"/>
              </w:rPr>
            </w:r>
            <w:r>
              <w:rPr>
                <w:b/>
                <w:sz w:val="16"/>
              </w:rPr>
              <w:t>May 27, 2025</w:t>
            </w:r>
            <w:r>
              <w:rPr>
                <w:b w:val="0"/>
                <w:sz w:val="16"/>
              </w:rPr>
              <w:t xml:space="preserve"> (protective target: </w:t>
            </w:r>
            <w:r>
              <w:rPr>
                <w:b/>
                <w:sz w:val="16"/>
              </w:rPr>
              <w:t>May 22</w:t>
            </w:r>
            <w:r>
              <w:rPr>
                <w:b w:val="0"/>
                <w:sz w:val="16"/>
              </w:rPr>
              <w:t>)</w:t>
            </w:r>
          </w:p>
        </w:tc>
        <w:tc>
          <w:tcPr>
            <w:tcW w:type="dxa" w:w="2592"/>
          </w:tcPr>
          <w:p>
            <w:r>
              <w:rPr>
                <w:sz w:val="16"/>
              </w:rPr>
            </w:r>
            <w:r>
              <w:rPr>
                <w:b w:val="0"/>
                <w:sz w:val="16"/>
              </w:rPr>
              <w:t>Last day to remove to W.D.N.C. (federal question — DTSA)</w:t>
            </w:r>
          </w:p>
        </w:tc>
        <w:tc>
          <w:tcPr>
            <w:tcW w:type="dxa" w:w="2304"/>
          </w:tcPr>
          <w:p>
            <w:r>
              <w:rPr>
                <w:sz w:val="16"/>
              </w:rPr>
            </w:r>
            <w:r>
              <w:rPr>
                <w:b w:val="0"/>
                <w:sz w:val="16"/>
              </w:rPr>
              <w:t>28 U.S.C. §§ 1331, 1441(a), 1446(b)(1); Fed. R. Civ. P. 6(a)(1)(C)</w:t>
            </w:r>
          </w:p>
        </w:tc>
        <w:tc>
          <w:tcPr>
            <w:tcW w:type="dxa" w:w="2880"/>
          </w:tcPr>
          <w:p>
            <w:r>
              <w:rPr>
                <w:sz w:val="16"/>
              </w:rPr>
            </w:r>
            <w:r>
              <w:rPr>
                <w:b/>
                <w:sz w:val="16"/>
              </w:rPr>
              <w:t>Not extendable</w:t>
            </w:r>
            <w:r>
              <w:rPr>
                <w:b w:val="0"/>
                <w:sz w:val="16"/>
              </w:rPr>
              <w:t xml:space="preserve"> by stipulation or clerk extension. Diversity removal is barred by the forum-defendant rule (§ 1441(b)(2)) because Greenfield’s principal place of business is in N.C.; federal-question removal via the DTSA count is available, with supplemental jurisdiction over state claims (§ 1367). Section 16.3 permits “state or federal courts located in Mecklenburg County.”</w:t>
            </w:r>
          </w:p>
        </w:tc>
      </w:tr>
      <w:tr>
        <w:tc>
          <w:tcPr>
            <w:tcW w:type="dxa" w:w="1584"/>
          </w:tcPr>
          <w:p>
            <w:r>
              <w:rPr>
                <w:sz w:val="16"/>
              </w:rPr>
            </w:r>
            <w:r>
              <w:rPr>
                <w:b w:val="0"/>
                <w:sz w:val="16"/>
              </w:rPr>
              <w:t>Approx. May 27, 2025 (verify)</w:t>
            </w:r>
          </w:p>
        </w:tc>
        <w:tc>
          <w:tcPr>
            <w:tcW w:type="dxa" w:w="2592"/>
          </w:tcPr>
          <w:p>
            <w:r>
              <w:rPr>
                <w:sz w:val="16"/>
              </w:rPr>
            </w:r>
            <w:r>
              <w:rPr>
                <w:b w:val="0"/>
                <w:sz w:val="16"/>
              </w:rPr>
              <w:t>Deadline for a defendant’s Notice of Designation to the N.C. Business Court</w:t>
            </w:r>
          </w:p>
        </w:tc>
        <w:tc>
          <w:tcPr>
            <w:tcW w:type="dxa" w:w="2304"/>
          </w:tcPr>
          <w:p>
            <w:r>
              <w:rPr>
                <w:sz w:val="16"/>
              </w:rPr>
            </w:r>
            <w:r>
              <w:rPr>
                <w:b w:val="0"/>
                <w:sz w:val="16"/>
              </w:rPr>
              <w:t>N.C. Gen. Stat. § 7A-45.4 (trade secret and contract disputes among business entities may qualify; defendant’s notice due within 30 days after receipt of service)</w:t>
            </w:r>
          </w:p>
        </w:tc>
        <w:tc>
          <w:tcPr>
            <w:tcW w:type="dxa" w:w="2880"/>
          </w:tcPr>
          <w:p>
            <w:r>
              <w:rPr>
                <w:sz w:val="16"/>
              </w:rPr>
            </w:r>
            <w:r>
              <w:rPr>
                <w:b w:val="0"/>
                <w:sz w:val="16"/>
              </w:rPr>
              <w:t>Verify current statutory text and the qualifying category; decision should be made together with the removal decision.</w:t>
            </w:r>
          </w:p>
        </w:tc>
      </w:tr>
      <w:tr>
        <w:tc>
          <w:tcPr>
            <w:tcW w:type="dxa" w:w="1584"/>
          </w:tcPr>
          <w:p>
            <w:r>
              <w:rPr>
                <w:sz w:val="16"/>
              </w:rPr>
            </w:r>
            <w:r>
              <w:rPr>
                <w:b w:val="0"/>
                <w:sz w:val="16"/>
              </w:rPr>
              <w:t>Sept. 1, 2025 (Labor Day)</w:t>
            </w:r>
          </w:p>
        </w:tc>
        <w:tc>
          <w:tcPr>
            <w:tcW w:type="dxa" w:w="2592"/>
          </w:tcPr>
          <w:p>
            <w:r>
              <w:rPr>
                <w:sz w:val="16"/>
              </w:rPr>
            </w:r>
            <w:r>
              <w:rPr>
                <w:b w:val="0"/>
                <w:sz w:val="16"/>
              </w:rPr>
              <w:t>Latest date for a Section 4.2 non-renewal notice to prevent a further renewal beyond Feb. 28, 2026 (on Apex’s theory that the Agreement renewed)</w:t>
            </w:r>
          </w:p>
        </w:tc>
        <w:tc>
          <w:tcPr>
            <w:tcW w:type="dxa" w:w="2304"/>
          </w:tcPr>
          <w:p>
            <w:r>
              <w:rPr>
                <w:sz w:val="16"/>
              </w:rPr>
            </w:r>
            <w:r>
              <w:rPr>
                <w:b w:val="0"/>
                <w:sz w:val="16"/>
              </w:rPr>
              <w:t>Ex. A § 4.2; 180 days before Feb. 28, 2026</w:t>
            </w:r>
          </w:p>
        </w:tc>
        <w:tc>
          <w:tcPr>
            <w:tcW w:type="dxa" w:w="2880"/>
          </w:tcPr>
          <w:p>
            <w:r>
              <w:rPr>
                <w:sz w:val="16"/>
              </w:rPr>
            </w:r>
            <w:r>
              <w:rPr>
                <w:b w:val="0"/>
                <w:sz w:val="16"/>
              </w:rPr>
              <w:t xml:space="preserve">Recommend delivering a compliant notice, signed by CEO </w:t>
            </w:r>
            <w:r>
              <w:rPr>
                <w:b/>
                <w:sz w:val="16"/>
              </w:rPr>
              <w:t>and</w:t>
            </w:r>
            <w:r>
              <w:rPr>
                <w:b w:val="0"/>
                <w:sz w:val="16"/>
              </w:rPr>
              <w:t xml:space="preserve"> GC, well in advance (ideally within the next several weeks), expressly without prejudice to Greenfield’s position that the Agreement expired Feb. 28, 2024.</w:t>
            </w:r>
          </w:p>
        </w:tc>
      </w:tr>
      <w:tr>
        <w:tc>
          <w:tcPr>
            <w:tcW w:type="dxa" w:w="1584"/>
          </w:tcPr>
          <w:p>
            <w:r>
              <w:rPr>
                <w:sz w:val="16"/>
              </w:rPr>
            </w:r>
            <w:r>
              <w:rPr>
                <w:b w:val="0"/>
                <w:sz w:val="16"/>
              </w:rPr>
              <w:t>Feb. 28, 2026</w:t>
            </w:r>
          </w:p>
        </w:tc>
        <w:tc>
          <w:tcPr>
            <w:tcW w:type="dxa" w:w="2592"/>
          </w:tcPr>
          <w:p>
            <w:r>
              <w:rPr>
                <w:sz w:val="16"/>
              </w:rPr>
            </w:r>
            <w:r>
              <w:rPr>
                <w:b w:val="0"/>
                <w:sz w:val="16"/>
              </w:rPr>
              <w:t>End of the alleged Renewal Term</w:t>
            </w:r>
          </w:p>
        </w:tc>
        <w:tc>
          <w:tcPr>
            <w:tcW w:type="dxa" w:w="2304"/>
          </w:tcPr>
          <w:p>
            <w:r>
              <w:rPr>
                <w:sz w:val="16"/>
              </w:rPr>
            </w:r>
            <w:r>
              <w:rPr>
                <w:b w:val="0"/>
                <w:sz w:val="16"/>
              </w:rPr>
              <w:t>Complaint ¶¶ 41, 79</w:t>
            </w:r>
          </w:p>
        </w:tc>
        <w:tc>
          <w:tcPr>
            <w:tcW w:type="dxa" w:w="2880"/>
          </w:tcPr>
          <w:p>
            <w:r>
              <w:rPr>
                <w:sz w:val="16"/>
              </w:rPr>
            </w:r>
            <w:r>
              <w:rPr>
                <w:b w:val="0"/>
                <w:sz w:val="16"/>
              </w:rPr>
              <w:t>Caps Apex’s specific-performance and injunctive theory; the relief window is ~10 months from today (308 days).</w:t>
            </w:r>
          </w:p>
        </w:tc>
      </w:tr>
      <w:tr>
        <w:tc>
          <w:tcPr>
            <w:tcW w:type="dxa" w:w="1584"/>
          </w:tcPr>
          <w:p>
            <w:r>
              <w:rPr>
                <w:sz w:val="16"/>
              </w:rPr>
            </w:r>
            <w:r>
              <w:rPr>
                <w:b w:val="0"/>
                <w:sz w:val="16"/>
              </w:rPr>
              <w:t>Approx. Feb. 2026</w:t>
            </w:r>
          </w:p>
        </w:tc>
        <w:tc>
          <w:tcPr>
            <w:tcW w:type="dxa" w:w="2592"/>
          </w:tcPr>
          <w:p>
            <w:r>
              <w:rPr>
                <w:sz w:val="16"/>
              </w:rPr>
            </w:r>
            <w:r>
              <w:rPr>
                <w:b w:val="0"/>
                <w:sz w:val="16"/>
              </w:rPr>
              <w:t>Expiration of the 24-month restricted periods for Kelsey and Ostrowski (both left Apex in Feb. 2024)</w:t>
            </w:r>
          </w:p>
        </w:tc>
        <w:tc>
          <w:tcPr>
            <w:tcW w:type="dxa" w:w="2304"/>
          </w:tcPr>
          <w:p>
            <w:r>
              <w:rPr>
                <w:sz w:val="16"/>
              </w:rPr>
            </w:r>
            <w:r>
              <w:rPr>
                <w:b w:val="0"/>
                <w:sz w:val="16"/>
              </w:rPr>
              <w:t>Ex. F §§ 7–8; Complaint ¶ 11</w:t>
            </w:r>
          </w:p>
        </w:tc>
        <w:tc>
          <w:tcPr>
            <w:tcW w:type="dxa" w:w="2880"/>
          </w:tcPr>
          <w:p>
            <w:r>
              <w:rPr>
                <w:sz w:val="16"/>
              </w:rPr>
            </w:r>
            <w:r>
              <w:rPr>
                <w:b w:val="0"/>
                <w:sz w:val="16"/>
              </w:rPr>
              <w:t>Exact separation dates needed; the covenant issues become largely moot after that date (other than damages).</w:t>
            </w:r>
          </w:p>
        </w:tc>
      </w:tr>
    </w:tbl>
    <w:p>
      <w:pPr>
        <w:spacing w:after="40"/>
      </w:pPr>
    </w:p>
    <w:p>
      <w:pPr>
        <w:pStyle w:val="Heading1"/>
      </w:pPr>
      <w:r>
        <w:t>III. Case Snapshot</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D9E2F3"/>
          </w:tcPr>
          <w:p>
            <w:r/>
            <w:r>
              <w:rPr>
                <w:b/>
                <w:sz w:val="18"/>
              </w:rPr>
              <w:t>Item</w:t>
            </w:r>
          </w:p>
        </w:tc>
        <w:tc>
          <w:tcPr>
            <w:tcW w:type="dxa" w:w="7344"/>
            <w:shd w:val="clear" w:color="auto" w:fill="D9E2F3"/>
          </w:tcPr>
          <w:p>
            <w:r/>
            <w:r>
              <w:rPr>
                <w:b/>
                <w:sz w:val="18"/>
              </w:rPr>
              <w:t>Detail</w:t>
            </w:r>
          </w:p>
        </w:tc>
      </w:tr>
      <w:tr>
        <w:tc>
          <w:tcPr>
            <w:tcW w:type="dxa" w:w="2016"/>
          </w:tcPr>
          <w:p>
            <w:r>
              <w:rPr>
                <w:sz w:val="18"/>
              </w:rPr>
            </w:r>
            <w:r>
              <w:rPr>
                <w:b w:val="0"/>
                <w:sz w:val="18"/>
              </w:rPr>
              <w:t>Caption / Court</w:t>
            </w:r>
          </w:p>
        </w:tc>
        <w:tc>
          <w:tcPr>
            <w:tcW w:type="dxa" w:w="7344"/>
          </w:tcPr>
          <w:p>
            <w:r>
              <w:rPr>
                <w:sz w:val="18"/>
              </w:rPr>
            </w:r>
            <w:r>
              <w:rPr>
                <w:b w:val="0"/>
                <w:sz w:val="18"/>
              </w:rPr>
              <w:t>Apex Industrial Solutions, LLC v. Greenfield Dynamics, Inc., No. 25-CVS-4471, General Court of Justice, Superior Court Division, Mecklenburg County, North Carolina</w:t>
            </w:r>
          </w:p>
        </w:tc>
      </w:tr>
      <w:tr>
        <w:tc>
          <w:tcPr>
            <w:tcW w:type="dxa" w:w="2016"/>
          </w:tcPr>
          <w:p>
            <w:r>
              <w:rPr>
                <w:sz w:val="18"/>
              </w:rPr>
            </w:r>
            <w:r>
              <w:rPr>
                <w:b w:val="0"/>
                <w:sz w:val="18"/>
              </w:rPr>
              <w:t>Assigned judge</w:t>
            </w:r>
          </w:p>
        </w:tc>
        <w:tc>
          <w:tcPr>
            <w:tcW w:type="dxa" w:w="7344"/>
          </w:tcPr>
          <w:p>
            <w:r>
              <w:rPr>
                <w:sz w:val="18"/>
              </w:rPr>
            </w:r>
            <w:r>
              <w:rPr>
                <w:b w:val="0"/>
                <w:sz w:val="18"/>
              </w:rPr>
              <w:t>Hon. Robert L. Vanderhorst</w:t>
            </w:r>
          </w:p>
        </w:tc>
      </w:tr>
      <w:tr>
        <w:tc>
          <w:tcPr>
            <w:tcW w:type="dxa" w:w="2016"/>
          </w:tcPr>
          <w:p>
            <w:r>
              <w:rPr>
                <w:sz w:val="18"/>
              </w:rPr>
            </w:r>
            <w:r>
              <w:rPr>
                <w:b w:val="0"/>
                <w:sz w:val="18"/>
              </w:rPr>
              <w:t>Plaintiff</w:t>
            </w:r>
          </w:p>
        </w:tc>
        <w:tc>
          <w:tcPr>
            <w:tcW w:type="dxa" w:w="7344"/>
          </w:tcPr>
          <w:p>
            <w:r>
              <w:rPr>
                <w:sz w:val="18"/>
              </w:rPr>
            </w:r>
            <w:r>
              <w:rPr>
                <w:b w:val="0"/>
                <w:sz w:val="18"/>
              </w:rPr>
              <w:t>Apex Industrial Solutions, LLC (Georgia LLC; 1155 Peachtree Industrial Blvd., Ste. 320, Atlanta, GA 30309). Managing Member: Diana Colford. 83 employees; FY2024 revenue approx. $41.2M, of which approx. $14.8M (35.9%) from Greenfield products (¶ 7).</w:t>
            </w:r>
          </w:p>
        </w:tc>
      </w:tr>
      <w:tr>
        <w:tc>
          <w:tcPr>
            <w:tcW w:type="dxa" w:w="2016"/>
          </w:tcPr>
          <w:p>
            <w:r>
              <w:rPr>
                <w:sz w:val="18"/>
              </w:rPr>
            </w:r>
            <w:r>
              <w:rPr>
                <w:b w:val="0"/>
                <w:sz w:val="18"/>
              </w:rPr>
              <w:t>Defendant</w:t>
            </w:r>
          </w:p>
        </w:tc>
        <w:tc>
          <w:tcPr>
            <w:tcW w:type="dxa" w:w="7344"/>
          </w:tcPr>
          <w:p>
            <w:r>
              <w:rPr>
                <w:sz w:val="18"/>
              </w:rPr>
            </w:r>
            <w:r>
              <w:rPr>
                <w:b w:val="0"/>
                <w:sz w:val="18"/>
              </w:rPr>
              <w:t>Greenfield Dynamics, Inc. (Delaware corporation; PPB 4200 Tryon Park Dr., Ste. 800, Charlotte, NC 28217). CEO Marcus Ellsworth; GC Patricia Yuen; VP Sales Thomas Hargrove. FY2024 revenue approx. $187M; approx. 640 employees in N.C. and Ohio (¶ 8). Note: the Complaint (¶ 14) loosely calls Greenfield “domiciled” in N.C.; it is a Delaware corporation with its PPB in N.C.</w:t>
            </w:r>
          </w:p>
        </w:tc>
      </w:tr>
      <w:tr>
        <w:tc>
          <w:tcPr>
            <w:tcW w:type="dxa" w:w="2016"/>
          </w:tcPr>
          <w:p>
            <w:r>
              <w:rPr>
                <w:sz w:val="18"/>
              </w:rPr>
            </w:r>
            <w:r>
              <w:rPr>
                <w:b w:val="0"/>
                <w:sz w:val="18"/>
              </w:rPr>
              <w:t>Plaintiff’s counsel</w:t>
            </w:r>
          </w:p>
        </w:tc>
        <w:tc>
          <w:tcPr>
            <w:tcW w:type="dxa" w:w="7344"/>
          </w:tcPr>
          <w:p>
            <w:r>
              <w:rPr>
                <w:sz w:val="18"/>
              </w:rPr>
            </w:r>
            <w:r>
              <w:rPr>
                <w:b w:val="0"/>
                <w:sz w:val="18"/>
              </w:rPr>
              <w:t>Reginald Whitlock and Priya Nandakumar, Whitlock Stein &amp; Marsh, P.A., 230 Courtland St. NE, Ste. 1500, Atlanta, GA 30303; (404) 555-7200; rwhitlock@whitlockstein.com; pnandakumar@whitlockstein.com (N.C. State Bar Nos. 32847 and 41056)</w:t>
            </w:r>
          </w:p>
        </w:tc>
      </w:tr>
      <w:tr>
        <w:tc>
          <w:tcPr>
            <w:tcW w:type="dxa" w:w="2016"/>
          </w:tcPr>
          <w:p>
            <w:r>
              <w:rPr>
                <w:sz w:val="18"/>
              </w:rPr>
            </w:r>
            <w:r>
              <w:rPr>
                <w:b w:val="0"/>
                <w:sz w:val="18"/>
              </w:rPr>
              <w:t>Key non-parties</w:t>
            </w:r>
          </w:p>
        </w:tc>
        <w:tc>
          <w:tcPr>
            <w:tcW w:type="dxa" w:w="7344"/>
          </w:tcPr>
          <w:p>
            <w:r>
              <w:rPr>
                <w:sz w:val="18"/>
              </w:rPr>
            </w:r>
            <w:r>
              <w:rPr>
                <w:b w:val="0"/>
                <w:sz w:val="18"/>
              </w:rPr>
              <w:t>Brandon Kelsey (former Apex Southeast Regional Sales Manager, approx. Mar. 2020–Feb. 2024); Lauren Ostrowski (former Apex Senior Technical Account Executive, approx. June 2021–Feb. 2024); both hired by Greenfield Feb. 2024. Customers: Magnolia Foods Processing, Inc. (Savannah, GA); Tidewater Pharmaceutical Group, LLC (Jacksonville, FL); Clearwater Chemical Partners, LP (Birmingham, AL); Southeastern Bottling Co., Inc. (Nashville, TN).</w:t>
            </w:r>
          </w:p>
        </w:tc>
      </w:tr>
      <w:tr>
        <w:tc>
          <w:tcPr>
            <w:tcW w:type="dxa" w:w="2016"/>
          </w:tcPr>
          <w:p>
            <w:r>
              <w:rPr>
                <w:sz w:val="18"/>
              </w:rPr>
            </w:r>
            <w:r>
              <w:rPr>
                <w:b w:val="0"/>
                <w:sz w:val="18"/>
              </w:rPr>
              <w:t>Claims</w:t>
            </w:r>
          </w:p>
        </w:tc>
        <w:tc>
          <w:tcPr>
            <w:tcW w:type="dxa" w:w="7344"/>
          </w:tcPr>
          <w:p>
            <w:r>
              <w:rPr>
                <w:sz w:val="18"/>
              </w:rPr>
            </w:r>
            <w:r>
              <w:rPr>
                <w:b w:val="0"/>
                <w:sz w:val="18"/>
              </w:rPr>
              <w:t xml:space="preserve">Count I – Breach of the Exclusive Distribution Agreement; Count II – Tortious interference with business relationships (plus punitive damages); Count III – Trade secret misappropriation under the Georgia Trade Secrets Act (O.C.G.A. § 10-1-760 et seq.) </w:t>
            </w:r>
            <w:r>
              <w:rPr>
                <w:b/>
                <w:sz w:val="18"/>
              </w:rPr>
              <w:t>and</w:t>
            </w:r>
            <w:r>
              <w:rPr>
                <w:b w:val="0"/>
                <w:sz w:val="18"/>
              </w:rPr>
              <w:t xml:space="preserve"> the federal Defend Trade Secrets Act (18 U.S.C. § 1836) (the client email refers only to the GTSA; the DTSA count matters for removal); Count IV – Unjust enrichment (pleaded in the alternative to Count I). Paragraph 72 also asserts tortious interference with the Kelsey/Ostrowski covenants, but no separate count is pleaded.</w:t>
            </w:r>
          </w:p>
        </w:tc>
      </w:tr>
      <w:tr>
        <w:tc>
          <w:tcPr>
            <w:tcW w:type="dxa" w:w="2016"/>
          </w:tcPr>
          <w:p>
            <w:r>
              <w:rPr>
                <w:sz w:val="18"/>
              </w:rPr>
            </w:r>
            <w:r>
              <w:rPr>
                <w:b w:val="0"/>
                <w:sz w:val="18"/>
              </w:rPr>
              <w:t>Relief sought</w:t>
            </w:r>
          </w:p>
        </w:tc>
        <w:tc>
          <w:tcPr>
            <w:tcW w:type="dxa" w:w="7344"/>
          </w:tcPr>
          <w:p>
            <w:r>
              <w:rPr>
                <w:sz w:val="18"/>
              </w:rPr>
            </w:r>
            <w:r>
              <w:rPr>
                <w:b w:val="0"/>
                <w:sz w:val="18"/>
              </w:rPr>
              <w:t>Damages of not less than $22,341,800; punitive damages (Count II); GTSA exemplary damages; attorneys’ fees under Agreement § 14.2 and O.C.G.A. § 10-1-764; pre- and post-judgment interest; TRO, preliminary and permanent injunction; specific performance through Feb. 28, 2026; jury trial demanded (Rule 38).</w:t>
            </w:r>
          </w:p>
        </w:tc>
      </w:tr>
      <w:tr>
        <w:tc>
          <w:tcPr>
            <w:tcW w:type="dxa" w:w="2016"/>
          </w:tcPr>
          <w:p>
            <w:r>
              <w:rPr>
                <w:sz w:val="18"/>
              </w:rPr>
            </w:r>
            <w:r>
              <w:rPr>
                <w:b w:val="0"/>
                <w:sz w:val="18"/>
              </w:rPr>
              <w:t>Jurisdiction / venue</w:t>
            </w:r>
          </w:p>
        </w:tc>
        <w:tc>
          <w:tcPr>
            <w:tcW w:type="dxa" w:w="7344"/>
          </w:tcPr>
          <w:p>
            <w:r>
              <w:rPr>
                <w:sz w:val="18"/>
              </w:rPr>
            </w:r>
            <w:r>
              <w:rPr>
                <w:b w:val="0"/>
                <w:sz w:val="18"/>
              </w:rPr>
              <w:t>Subject matter: N.C. Gen. Stat. § 7A-240 et seq. Personal jurisdiction and venue: Greenfield’s Mecklenburg PPB; § 16.3 forum-selection clause (exclusive; state or federal courts in Mecklenburg County; forum non conveniens waived); N.C. Gen. Stat. § 1-82. We see no viable jurisdiction or venue challenge.</w:t>
            </w:r>
          </w:p>
        </w:tc>
      </w:tr>
      <w:tr>
        <w:tc>
          <w:tcPr>
            <w:tcW w:type="dxa" w:w="2016"/>
          </w:tcPr>
          <w:p>
            <w:r>
              <w:rPr>
                <w:sz w:val="18"/>
              </w:rPr>
            </w:r>
            <w:r>
              <w:rPr>
                <w:b w:val="0"/>
                <w:sz w:val="18"/>
              </w:rPr>
              <w:t>Governing law</w:t>
            </w:r>
          </w:p>
        </w:tc>
        <w:tc>
          <w:tcPr>
            <w:tcW w:type="dxa" w:w="7344"/>
          </w:tcPr>
          <w:p>
            <w:r>
              <w:rPr>
                <w:sz w:val="18"/>
              </w:rPr>
            </w:r>
            <w:r>
              <w:rPr>
                <w:b w:val="0"/>
                <w:sz w:val="18"/>
              </w:rPr>
              <w:t>Agreement § 16.1: Georgia law, without regard to conflicts principles, “to all questions of interpretation, validity, performance, and enforcement.” Employment agreements § 12: Georgia law. Tort claims (Counts II–IV) are not clearly within § 16.1’s scope; see Part VII.C.</w:t>
            </w:r>
          </w:p>
        </w:tc>
      </w:tr>
      <w:tr>
        <w:tc>
          <w:tcPr>
            <w:tcW w:type="dxa" w:w="2016"/>
          </w:tcPr>
          <w:p>
            <w:r>
              <w:rPr>
                <w:sz w:val="18"/>
              </w:rPr>
            </w:r>
            <w:r>
              <w:rPr>
                <w:b w:val="0"/>
                <w:sz w:val="18"/>
              </w:rPr>
              <w:t>Verification</w:t>
            </w:r>
          </w:p>
        </w:tc>
        <w:tc>
          <w:tcPr>
            <w:tcW w:type="dxa" w:w="7344"/>
          </w:tcPr>
          <w:p>
            <w:r>
              <w:rPr>
                <w:sz w:val="18"/>
              </w:rPr>
            </w:r>
            <w:r>
              <w:rPr>
                <w:b w:val="0"/>
                <w:sz w:val="18"/>
              </w:rPr>
              <w:t>Verified by Diana Colford “to the best of my knowledge, information, and belief.” Many key trade-secret allegations are pleaded “upon information and belief,” which weakens the Complaint as an evidentiary basis for Rule 65 relief.</w:t>
            </w:r>
          </w:p>
        </w:tc>
      </w:tr>
    </w:tbl>
    <w:p>
      <w:pPr>
        <w:spacing w:after="40"/>
      </w:pPr>
    </w:p>
    <w:p>
      <w:pPr>
        <w:pStyle w:val="Heading1"/>
      </w:pPr>
      <w:r>
        <w:t>IV. Key Contract Terms Extracted</w:t>
      </w:r>
    </w:p>
    <w:p>
      <w:pPr>
        <w:pStyle w:val="Heading2"/>
      </w:pPr>
      <w:r>
        <w:t>A. Exclusive Distribution Agreement (Ex. A — excerpts only)</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E2F3"/>
          </w:tcPr>
          <w:p>
            <w:r/>
            <w:r>
              <w:rPr>
                <w:b/>
                <w:sz w:val="16"/>
              </w:rPr>
              <w:t>Provision</w:t>
            </w:r>
          </w:p>
        </w:tc>
        <w:tc>
          <w:tcPr>
            <w:tcW w:type="dxa" w:w="3744"/>
            <w:shd w:val="clear" w:color="auto" w:fill="D9E2F3"/>
          </w:tcPr>
          <w:p>
            <w:r/>
            <w:r>
              <w:rPr>
                <w:b/>
                <w:sz w:val="16"/>
              </w:rPr>
              <w:t>Key language / term</w:t>
            </w:r>
          </w:p>
        </w:tc>
        <w:tc>
          <w:tcPr>
            <w:tcW w:type="dxa" w:w="3744"/>
            <w:shd w:val="clear" w:color="auto" w:fill="D9E2F3"/>
          </w:tcPr>
          <w:p>
            <w:r/>
            <w:r>
              <w:rPr>
                <w:b/>
                <w:sz w:val="16"/>
              </w:rPr>
              <w:t>Significance for Greenfield</w:t>
            </w:r>
          </w:p>
        </w:tc>
      </w:tr>
      <w:tr>
        <w:tc>
          <w:tcPr>
            <w:tcW w:type="dxa" w:w="1872"/>
          </w:tcPr>
          <w:p>
            <w:r>
              <w:rPr>
                <w:sz w:val="16"/>
              </w:rPr>
            </w:r>
            <w:r>
              <w:rPr>
                <w:b w:val="0"/>
                <w:sz w:val="16"/>
              </w:rPr>
              <w:t>Parties / date</w:t>
            </w:r>
          </w:p>
        </w:tc>
        <w:tc>
          <w:tcPr>
            <w:tcW w:type="dxa" w:w="3744"/>
          </w:tcPr>
          <w:p>
            <w:r>
              <w:rPr>
                <w:sz w:val="16"/>
              </w:rPr>
            </w:r>
            <w:r>
              <w:rPr>
                <w:b w:val="0"/>
                <w:sz w:val="16"/>
              </w:rPr>
              <w:t>Greenfield (“Manufacturer”) and Apex (“Distributor”); Effective Date Mar. 1, 2019; signed by Ellsworth (CEO) and Colford (Managing Member)</w:t>
            </w:r>
          </w:p>
        </w:tc>
        <w:tc>
          <w:tcPr>
            <w:tcW w:type="dxa" w:w="3744"/>
          </w:tcPr>
          <w:p>
            <w:r>
              <w:rPr>
                <w:sz w:val="16"/>
              </w:rPr>
            </w:r>
            <w:r>
              <w:rPr>
                <w:b w:val="0"/>
                <w:sz w:val="16"/>
              </w:rPr>
              <w:t>Ellsworth signed the Agreement containing § 4.2; hard to argue lack of awareness of its requirements.</w:t>
            </w:r>
          </w:p>
        </w:tc>
      </w:tr>
      <w:tr>
        <w:tc>
          <w:tcPr>
            <w:tcW w:type="dxa" w:w="1872"/>
          </w:tcPr>
          <w:p>
            <w:r>
              <w:rPr>
                <w:sz w:val="16"/>
              </w:rPr>
            </w:r>
            <w:r>
              <w:rPr>
                <w:b w:val="0"/>
                <w:sz w:val="16"/>
              </w:rPr>
              <w:t xml:space="preserve">Grant / Territory (Arts. I–III — </w:t>
            </w:r>
            <w:r>
              <w:rPr>
                <w:b/>
                <w:sz w:val="16"/>
              </w:rPr>
              <w:t>omitted</w:t>
            </w:r>
            <w:r>
              <w:rPr>
                <w:b w:val="0"/>
                <w:sz w:val="16"/>
              </w:rPr>
              <w:t>)</w:t>
            </w:r>
          </w:p>
        </w:tc>
        <w:tc>
          <w:tcPr>
            <w:tcW w:type="dxa" w:w="3744"/>
          </w:tcPr>
          <w:p>
            <w:r>
              <w:rPr>
                <w:sz w:val="16"/>
              </w:rPr>
            </w:r>
            <w:r>
              <w:rPr>
                <w:b w:val="0"/>
                <w:sz w:val="16"/>
              </w:rPr>
              <w:t>Complaint ¶ 19 alleges exclusive right to market, sell, distribute and service Greenfield’s full line (PLCs, HMIs, sensor arrays) in GA, AL, TN, SC, NC, FL, MS, LA</w:t>
            </w:r>
          </w:p>
        </w:tc>
        <w:tc>
          <w:tcPr>
            <w:tcW w:type="dxa" w:w="3744"/>
          </w:tcPr>
          <w:p>
            <w:r>
              <w:rPr>
                <w:sz w:val="16"/>
              </w:rPr>
            </w:r>
            <w:r>
              <w:rPr>
                <w:b/>
                <w:sz w:val="16"/>
              </w:rPr>
              <w:t>Must obtain full text.</w:t>
            </w:r>
            <w:r>
              <w:rPr>
                <w:b w:val="0"/>
                <w:sz w:val="16"/>
              </w:rPr>
              <w:t xml:space="preserve"> Whether exclusivity bars the Manufacturer’s own direct sales, reserves house/national accounts, or carves out OEM/existing accounts is outcome-determinative for the $4.26M direct-sales claim.</w:t>
            </w:r>
          </w:p>
        </w:tc>
      </w:tr>
      <w:tr>
        <w:tc>
          <w:tcPr>
            <w:tcW w:type="dxa" w:w="1872"/>
          </w:tcPr>
          <w:p>
            <w:r>
              <w:rPr>
                <w:sz w:val="16"/>
              </w:rPr>
            </w:r>
            <w:r>
              <w:rPr>
                <w:b w:val="0"/>
                <w:sz w:val="16"/>
              </w:rPr>
              <w:t>§ 4.1 Initial Term</w:t>
            </w:r>
          </w:p>
        </w:tc>
        <w:tc>
          <w:tcPr>
            <w:tcW w:type="dxa" w:w="3744"/>
          </w:tcPr>
          <w:p>
            <w:r>
              <w:rPr>
                <w:sz w:val="16"/>
              </w:rPr>
            </w:r>
            <w:r>
              <w:rPr>
                <w:b w:val="0"/>
                <w:sz w:val="16"/>
              </w:rPr>
              <w:t>Effective Date through Feb. 28, 2024, unless earlier terminated under Art. XII</w:t>
            </w:r>
          </w:p>
        </w:tc>
        <w:tc>
          <w:tcPr>
            <w:tcW w:type="dxa" w:w="3744"/>
          </w:tcPr>
          <w:p>
            <w:r>
              <w:rPr>
                <w:sz w:val="16"/>
              </w:rPr>
            </w:r>
            <w:r>
              <w:rPr>
                <w:b w:val="0"/>
                <w:sz w:val="16"/>
              </w:rPr>
              <w:t>Direct sales (Nov. 2023–Feb. 2024) fall inside the Initial Term.</w:t>
            </w:r>
          </w:p>
        </w:tc>
      </w:tr>
      <w:tr>
        <w:tc>
          <w:tcPr>
            <w:tcW w:type="dxa" w:w="1872"/>
          </w:tcPr>
          <w:p>
            <w:r>
              <w:rPr>
                <w:sz w:val="16"/>
              </w:rPr>
            </w:r>
            <w:r>
              <w:rPr>
                <w:b w:val="0"/>
                <w:sz w:val="16"/>
              </w:rPr>
              <w:t>§ 4.2 Automatic Renewal</w:t>
            </w:r>
          </w:p>
        </w:tc>
        <w:tc>
          <w:tcPr>
            <w:tcW w:type="dxa" w:w="3744"/>
          </w:tcPr>
          <w:p>
            <w:r>
              <w:rPr>
                <w:sz w:val="16"/>
              </w:rPr>
            </w:r>
            <w:r>
              <w:rPr>
                <w:b w:val="0"/>
                <w:sz w:val="16"/>
              </w:rPr>
              <w:t>Auto-renews for successive 2-year Renewal Terms unless either party delivers written notice of non-renewal at least 180 days before expiration of the then-current Term. Notice “shall be delivered by the Chief Executive Officer or General Counsel of the terminating party.” Non-compliant notice, “including the signatory and timing requirements, shall be void and of no force or effect.”</w:t>
            </w:r>
          </w:p>
        </w:tc>
        <w:tc>
          <w:tcPr>
            <w:tcW w:type="dxa" w:w="3744"/>
          </w:tcPr>
          <w:p>
            <w:r>
              <w:rPr>
                <w:sz w:val="16"/>
              </w:rPr>
            </w:r>
            <w:r>
              <w:rPr>
                <w:b w:val="0"/>
                <w:sz w:val="16"/>
              </w:rPr>
              <w:t>Express voidness language is Apex’s strongest term. Note the clause says “delivered by,” while Apex characterizes it as a “signed by” requirement (¶¶ 2, 21); the express reference to “signatory” requirements likely resolves any ambiguity against Greenfield. 180 days before Feb. 28, 2024 = Sept. 1, 2023 (Apex says Aug. 31).</w:t>
            </w:r>
          </w:p>
        </w:tc>
      </w:tr>
      <w:tr>
        <w:tc>
          <w:tcPr>
            <w:tcW w:type="dxa" w:w="1872"/>
          </w:tcPr>
          <w:p>
            <w:r>
              <w:rPr>
                <w:sz w:val="16"/>
              </w:rPr>
            </w:r>
            <w:r>
              <w:rPr>
                <w:b w:val="0"/>
                <w:sz w:val="16"/>
              </w:rPr>
              <w:t>§§ 4.3–4.5 (</w:t>
            </w:r>
            <w:r>
              <w:rPr>
                <w:b/>
                <w:sz w:val="16"/>
              </w:rPr>
              <w:t>omitted</w:t>
            </w:r>
            <w:r>
              <w:rPr>
                <w:b w:val="0"/>
                <w:sz w:val="16"/>
              </w:rPr>
              <w:t>)</w:t>
            </w:r>
          </w:p>
        </w:tc>
        <w:tc>
          <w:tcPr>
            <w:tcW w:type="dxa" w:w="3744"/>
          </w:tcPr>
          <w:p>
            <w:r>
              <w:rPr>
                <w:sz w:val="16"/>
              </w:rPr>
            </w:r>
            <w:r>
              <w:rPr>
                <w:b w:val="0"/>
                <w:sz w:val="16"/>
              </w:rPr>
              <w:t>Unknown</w:t>
            </w:r>
          </w:p>
        </w:tc>
        <w:tc>
          <w:tcPr>
            <w:tcW w:type="dxa" w:w="3744"/>
          </w:tcPr>
          <w:p>
            <w:r>
              <w:rPr>
                <w:sz w:val="16"/>
              </w:rPr>
            </w:r>
            <w:r>
              <w:rPr>
                <w:b w:val="0"/>
                <w:sz w:val="16"/>
              </w:rPr>
              <w:t>May contain post-expiration/transition, wind-down, or termination-for-convenience terms. Obtain.</w:t>
            </w:r>
          </w:p>
        </w:tc>
      </w:tr>
      <w:tr>
        <w:tc>
          <w:tcPr>
            <w:tcW w:type="dxa" w:w="1872"/>
          </w:tcPr>
          <w:p>
            <w:r>
              <w:rPr>
                <w:sz w:val="16"/>
              </w:rPr>
            </w:r>
            <w:r>
              <w:rPr>
                <w:b w:val="0"/>
                <w:sz w:val="16"/>
              </w:rPr>
              <w:t>§ 5.1 Minimum purchases (Initial Term)</w:t>
            </w:r>
          </w:p>
        </w:tc>
        <w:tc>
          <w:tcPr>
            <w:tcW w:type="dxa" w:w="3744"/>
          </w:tcPr>
          <w:p>
            <w:r>
              <w:rPr>
                <w:sz w:val="16"/>
              </w:rPr>
            </w:r>
            <w:r>
              <w:rPr>
                <w:b w:val="0"/>
                <w:sz w:val="16"/>
              </w:rPr>
              <w:t>Y1 $8.0M; Y2 $9.2M; Y3 $10.6M; Y4 $12.2M; Y5 $14.0M; cumulative $54.0M (Contract Year = Mar. 1–end of Feb.)</w:t>
            </w:r>
          </w:p>
        </w:tc>
        <w:tc>
          <w:tcPr>
            <w:tcW w:type="dxa" w:w="3744"/>
          </w:tcPr>
          <w:p>
            <w:r>
              <w:rPr>
                <w:sz w:val="16"/>
              </w:rPr>
            </w:r>
            <w:r>
              <w:rPr>
                <w:b w:val="0"/>
                <w:sz w:val="16"/>
              </w:rPr>
              <w:t>Apex actual: $8.4M / $7.1M / $11.9M / $13.5M / $14.8M = $55.7M (+$1.7M). Year 2 shortfall $2.1M.</w:t>
            </w:r>
          </w:p>
        </w:tc>
      </w:tr>
      <w:tr>
        <w:tc>
          <w:tcPr>
            <w:tcW w:type="dxa" w:w="1872"/>
          </w:tcPr>
          <w:p>
            <w:r>
              <w:rPr>
                <w:sz w:val="16"/>
              </w:rPr>
            </w:r>
            <w:r>
              <w:rPr>
                <w:b w:val="0"/>
                <w:sz w:val="16"/>
              </w:rPr>
              <w:t>§ 5.2 Renewal Term minimums</w:t>
            </w:r>
          </w:p>
        </w:tc>
        <w:tc>
          <w:tcPr>
            <w:tcW w:type="dxa" w:w="3744"/>
          </w:tcPr>
          <w:p>
            <w:r>
              <w:rPr>
                <w:sz w:val="16"/>
              </w:rPr>
            </w:r>
            <w:r>
              <w:rPr>
                <w:b w:val="0"/>
                <w:sz w:val="16"/>
              </w:rPr>
              <w:t>Set by mutual agreement ≥60 days before Renewal Term; absent agreement, Y5 minimum ($14.0M) adjusted annually by CPI-U</w:t>
            </w:r>
          </w:p>
        </w:tc>
        <w:tc>
          <w:tcPr>
            <w:tcW w:type="dxa" w:w="3744"/>
          </w:tcPr>
          <w:p>
            <w:r>
              <w:rPr>
                <w:sz w:val="16"/>
              </w:rPr>
            </w:r>
            <w:r>
              <w:rPr>
                <w:b w:val="0"/>
                <w:sz w:val="16"/>
              </w:rPr>
              <w:t>If the Agreement renewed, Apex also owed minimum purchases of ~$14M+CPI per Renewal Year. Relevant to Apex’s $16.1M projection and to Apex’s own performance.</w:t>
            </w:r>
          </w:p>
        </w:tc>
      </w:tr>
      <w:tr>
        <w:tc>
          <w:tcPr>
            <w:tcW w:type="dxa" w:w="1872"/>
          </w:tcPr>
          <w:p>
            <w:r>
              <w:rPr>
                <w:sz w:val="16"/>
              </w:rPr>
            </w:r>
            <w:r>
              <w:rPr>
                <w:b w:val="0"/>
                <w:sz w:val="16"/>
              </w:rPr>
              <w:t>§ 5.3 Curable Default</w:t>
            </w:r>
          </w:p>
        </w:tc>
        <w:tc>
          <w:tcPr>
            <w:tcW w:type="dxa" w:w="3744"/>
          </w:tcPr>
          <w:p>
            <w:r>
              <w:rPr>
                <w:sz w:val="16"/>
              </w:rPr>
            </w:r>
            <w:r>
              <w:rPr>
                <w:b w:val="0"/>
                <w:sz w:val="16"/>
              </w:rPr>
              <w:t>Single-year minimum shortfall is a “Curable Default”; non-breaching party “shall provide written notice” and 60 days from receipt to cure; cure may be by a written remediation plan reasonably acceptable to Manufacturer; no § 12.1(b) termination unless notice given and cure fails</w:t>
            </w:r>
          </w:p>
        </w:tc>
        <w:tc>
          <w:tcPr>
            <w:tcW w:type="dxa" w:w="3744"/>
          </w:tcPr>
          <w:p>
            <w:r>
              <w:rPr>
                <w:sz w:val="16"/>
              </w:rPr>
            </w:r>
            <w:r>
              <w:rPr>
                <w:b w:val="0"/>
                <w:sz w:val="16"/>
              </w:rPr>
              <w:t xml:space="preserve">Notice is a precondition to </w:t>
            </w:r>
            <w:r>
              <w:rPr>
                <w:b/>
                <w:sz w:val="16"/>
              </w:rPr>
              <w:t>termination</w:t>
            </w:r>
            <w:r>
              <w:rPr>
                <w:b w:val="0"/>
                <w:sz w:val="16"/>
              </w:rPr>
              <w:t>, not expressly to asserting breach or seeking damages — a narrow textual argument, but Greenfield’s 3-year silence undermines it.</w:t>
            </w:r>
          </w:p>
        </w:tc>
      </w:tr>
      <w:tr>
        <w:tc>
          <w:tcPr>
            <w:tcW w:type="dxa" w:w="1872"/>
          </w:tcPr>
          <w:p>
            <w:r>
              <w:rPr>
                <w:sz w:val="16"/>
              </w:rPr>
            </w:r>
            <w:r>
              <w:rPr>
                <w:b w:val="0"/>
                <w:sz w:val="16"/>
              </w:rPr>
              <w:t>§ 12.1 Termination for breach</w:t>
            </w:r>
          </w:p>
        </w:tc>
        <w:tc>
          <w:tcPr>
            <w:tcW w:type="dxa" w:w="3744"/>
          </w:tcPr>
          <w:p>
            <w:r>
              <w:rPr>
                <w:sz w:val="16"/>
              </w:rPr>
            </w:r>
            <w:r>
              <w:rPr>
                <w:b w:val="0"/>
                <w:sz w:val="16"/>
              </w:rPr>
              <w:t>(a) immediate termination for insolvency, fraud, willful misconduct, crime; (b) termination for uncured material breach — 60-day cure for Curable Defaults, 30 days otherwise; notice must specify breach with reasonable particularity</w:t>
            </w:r>
          </w:p>
        </w:tc>
        <w:tc>
          <w:tcPr>
            <w:tcW w:type="dxa" w:w="3744"/>
          </w:tcPr>
          <w:p>
            <w:r>
              <w:rPr>
                <w:sz w:val="16"/>
              </w:rPr>
            </w:r>
            <w:r>
              <w:rPr>
                <w:b w:val="0"/>
                <w:sz w:val="16"/>
              </w:rPr>
              <w:t>Greenfield never invoked either. Apex has not purported to terminate either.</w:t>
            </w:r>
          </w:p>
        </w:tc>
      </w:tr>
      <w:tr>
        <w:tc>
          <w:tcPr>
            <w:tcW w:type="dxa" w:w="1872"/>
          </w:tcPr>
          <w:p>
            <w:r>
              <w:rPr>
                <w:sz w:val="16"/>
              </w:rPr>
            </w:r>
            <w:r>
              <w:rPr>
                <w:b w:val="0"/>
                <w:sz w:val="16"/>
              </w:rPr>
              <w:t>§ 14.2 Attorneys’ fees</w:t>
            </w:r>
          </w:p>
        </w:tc>
        <w:tc>
          <w:tcPr>
            <w:tcW w:type="dxa" w:w="3744"/>
          </w:tcPr>
          <w:p>
            <w:r>
              <w:rPr>
                <w:sz w:val="16"/>
              </w:rPr>
            </w:r>
            <w:r>
              <w:rPr>
                <w:b w:val="0"/>
                <w:sz w:val="16"/>
              </w:rPr>
              <w:t>Prevailing party in any action to enforce, interpret, or recover damages for breach recovers reasonable attorneys’ fees, expert fees and costs</w:t>
            </w:r>
          </w:p>
        </w:tc>
        <w:tc>
          <w:tcPr>
            <w:tcW w:type="dxa" w:w="3744"/>
          </w:tcPr>
          <w:p>
            <w:r>
              <w:rPr>
                <w:sz w:val="16"/>
              </w:rPr>
            </w:r>
            <w:r>
              <w:rPr>
                <w:b w:val="0"/>
                <w:sz w:val="16"/>
              </w:rPr>
              <w:t>Two-way risk. Raises Greenfield’s downside but also provides leverage if Greenfield prevails on the renewal issue. Confirm enforceability under the governing law (cf. N.C. Gen. Stat. § 6-21.6 for reciprocal fee clauses in business contracts) — research item.</w:t>
            </w:r>
          </w:p>
        </w:tc>
      </w:tr>
      <w:tr>
        <w:tc>
          <w:tcPr>
            <w:tcW w:type="dxa" w:w="1872"/>
          </w:tcPr>
          <w:p>
            <w:r>
              <w:rPr>
                <w:sz w:val="16"/>
              </w:rPr>
            </w:r>
            <w:r>
              <w:rPr>
                <w:b w:val="0"/>
                <w:sz w:val="16"/>
              </w:rPr>
              <w:t>§ 16.1 Governing law</w:t>
            </w:r>
          </w:p>
        </w:tc>
        <w:tc>
          <w:tcPr>
            <w:tcW w:type="dxa" w:w="3744"/>
          </w:tcPr>
          <w:p>
            <w:r>
              <w:rPr>
                <w:sz w:val="16"/>
              </w:rPr>
            </w:r>
            <w:r>
              <w:rPr>
                <w:b w:val="0"/>
                <w:sz w:val="16"/>
              </w:rPr>
              <w:t>Georgia law, without regard to conflicts principles; applies to interpretation, validity, performance and enforcement “regardless of the forum”</w:t>
            </w:r>
          </w:p>
        </w:tc>
        <w:tc>
          <w:tcPr>
            <w:tcW w:type="dxa" w:w="3744"/>
          </w:tcPr>
          <w:p>
            <w:r>
              <w:rPr>
                <w:sz w:val="16"/>
              </w:rPr>
            </w:r>
            <w:r>
              <w:rPr>
                <w:b w:val="0"/>
                <w:sz w:val="16"/>
              </w:rPr>
              <w:t>Covers contract claims; arguably does not reach tort claims (no “arising out of or relating to” language).</w:t>
            </w:r>
          </w:p>
        </w:tc>
      </w:tr>
      <w:tr>
        <w:tc>
          <w:tcPr>
            <w:tcW w:type="dxa" w:w="1872"/>
          </w:tcPr>
          <w:p>
            <w:r>
              <w:rPr>
                <w:sz w:val="16"/>
              </w:rPr>
            </w:r>
            <w:r>
              <w:rPr>
                <w:b w:val="0"/>
                <w:sz w:val="16"/>
              </w:rPr>
              <w:t>§ 16.2 (</w:t>
            </w:r>
            <w:r>
              <w:rPr>
                <w:b/>
                <w:sz w:val="16"/>
              </w:rPr>
              <w:t>omitted</w:t>
            </w:r>
            <w:r>
              <w:rPr>
                <w:b w:val="0"/>
                <w:sz w:val="16"/>
              </w:rPr>
              <w:t>)</w:t>
            </w:r>
          </w:p>
        </w:tc>
        <w:tc>
          <w:tcPr>
            <w:tcW w:type="dxa" w:w="3744"/>
          </w:tcPr>
          <w:p>
            <w:r>
              <w:rPr>
                <w:sz w:val="16"/>
              </w:rPr>
            </w:r>
            <w:r>
              <w:rPr>
                <w:b w:val="0"/>
                <w:sz w:val="16"/>
              </w:rPr>
              <w:t>Unknown</w:t>
            </w:r>
          </w:p>
        </w:tc>
        <w:tc>
          <w:tcPr>
            <w:tcW w:type="dxa" w:w="3744"/>
          </w:tcPr>
          <w:p>
            <w:r>
              <w:rPr>
                <w:sz w:val="16"/>
              </w:rPr>
            </w:r>
            <w:r>
              <w:rPr>
                <w:b w:val="0"/>
                <w:sz w:val="16"/>
              </w:rPr>
              <w:t>Could contain a pre-suit negotiation/mediation requirement, jury waiver, or limitation. If a mandatory ADR precondition exists, it may support a motion to stay. (A pre-dispute jury waiver would likely be unenforceable in N.C. under N.C. Gen. Stat. § 22B-10 — verify.)</w:t>
            </w:r>
          </w:p>
        </w:tc>
      </w:tr>
      <w:tr>
        <w:tc>
          <w:tcPr>
            <w:tcW w:type="dxa" w:w="1872"/>
          </w:tcPr>
          <w:p>
            <w:r>
              <w:rPr>
                <w:sz w:val="16"/>
              </w:rPr>
            </w:r>
            <w:r>
              <w:rPr>
                <w:b w:val="0"/>
                <w:sz w:val="16"/>
              </w:rPr>
              <w:t>§ 16.3 Forum selection</w:t>
            </w:r>
          </w:p>
        </w:tc>
        <w:tc>
          <w:tcPr>
            <w:tcW w:type="dxa" w:w="3744"/>
          </w:tcPr>
          <w:p>
            <w:r>
              <w:rPr>
                <w:sz w:val="16"/>
              </w:rPr>
            </w:r>
            <w:r>
              <w:rPr>
                <w:b w:val="0"/>
                <w:sz w:val="16"/>
              </w:rPr>
              <w:t>Exclusive: state or federal courts located in Mecklenburg County, N.C., for actions “arising under, out of, or relating to” the Agreement, “sounding in contract, tort, or otherwise”; consent to jurisdiction; waiver of venue and forum non conveniens objections</w:t>
            </w:r>
          </w:p>
        </w:tc>
        <w:tc>
          <w:tcPr>
            <w:tcW w:type="dxa" w:w="3744"/>
          </w:tcPr>
          <w:p>
            <w:r>
              <w:rPr>
                <w:sz w:val="16"/>
              </w:rPr>
            </w:r>
            <w:r>
              <w:rPr>
                <w:b w:val="0"/>
                <w:sz w:val="16"/>
              </w:rPr>
              <w:t>Forecloses venue challenges; allows removal to W.D.N.C. (Charlotte Division).</w:t>
            </w:r>
          </w:p>
        </w:tc>
      </w:tr>
      <w:tr>
        <w:tc>
          <w:tcPr>
            <w:tcW w:type="dxa" w:w="1872"/>
          </w:tcPr>
          <w:p>
            <w:r>
              <w:rPr>
                <w:sz w:val="16"/>
              </w:rPr>
            </w:r>
            <w:r>
              <w:rPr>
                <w:b w:val="0"/>
                <w:sz w:val="16"/>
              </w:rPr>
              <w:t>Other omitted articles (§§ 5.4–11.4, 12.2–14.1, 14.3–16.0)</w:t>
            </w:r>
          </w:p>
        </w:tc>
        <w:tc>
          <w:tcPr>
            <w:tcW w:type="dxa" w:w="3744"/>
          </w:tcPr>
          <w:p>
            <w:r>
              <w:rPr>
                <w:sz w:val="16"/>
              </w:rPr>
            </w:r>
            <w:r>
              <w:rPr>
                <w:b w:val="0"/>
                <w:sz w:val="16"/>
              </w:rPr>
              <w:t>Unknown</w:t>
            </w:r>
          </w:p>
        </w:tc>
        <w:tc>
          <w:tcPr>
            <w:tcW w:type="dxa" w:w="3744"/>
          </w:tcPr>
          <w:p>
            <w:r>
              <w:rPr>
                <w:sz w:val="16"/>
              </w:rPr>
            </w:r>
            <w:r>
              <w:rPr>
                <w:b/>
                <w:sz w:val="16"/>
              </w:rPr>
              <w:t>Highest priority to review:</w:t>
            </w:r>
            <w:r>
              <w:rPr>
                <w:b w:val="0"/>
                <w:sz w:val="16"/>
              </w:rPr>
              <w:t xml:space="preserve"> limitation of liability / consequential-damages (lost profits) waiver; notice clause (method, addressee, deemed-receipt date); force majeure (Year 2/COVID); confidentiality; non-solicit of employees; pricing/commission terms (Apex alleges an 18% “commission rate,” which does not appear in the excerpts); integration and no-waiver clauses (a no-waiver clause would help on the Year 2 issue).</w:t>
            </w:r>
          </w:p>
        </w:tc>
      </w:tr>
    </w:tbl>
    <w:p>
      <w:pPr>
        <w:spacing w:after="40"/>
      </w:pPr>
    </w:p>
    <w:p>
      <w:pPr>
        <w:pStyle w:val="Heading2"/>
      </w:pPr>
      <w:r>
        <w:t>B. Kelsey and Ostrowski Employment Agreements (Ex. F — excerpts only)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D9E2F3"/>
          </w:tcPr>
          <w:p>
            <w:r/>
            <w:r>
              <w:rPr>
                <w:b/>
                <w:sz w:val="16"/>
              </w:rPr>
              <w:t>Term</w:t>
            </w:r>
          </w:p>
        </w:tc>
        <w:tc>
          <w:tcPr>
            <w:tcW w:type="dxa" w:w="2736"/>
            <w:shd w:val="clear" w:color="auto" w:fill="D9E2F3"/>
          </w:tcPr>
          <w:p>
            <w:r/>
            <w:r>
              <w:rPr>
                <w:b/>
                <w:sz w:val="16"/>
              </w:rPr>
              <w:t>Kelsey</w:t>
            </w:r>
          </w:p>
        </w:tc>
        <w:tc>
          <w:tcPr>
            <w:tcW w:type="dxa" w:w="1728"/>
            <w:shd w:val="clear" w:color="auto" w:fill="D9E2F3"/>
          </w:tcPr>
          <w:p>
            <w:r/>
            <w:r>
              <w:rPr>
                <w:b/>
                <w:sz w:val="16"/>
              </w:rPr>
              <w:t>Ostrowski</w:t>
            </w:r>
          </w:p>
        </w:tc>
        <w:tc>
          <w:tcPr>
            <w:tcW w:type="dxa" w:w="3312"/>
            <w:shd w:val="clear" w:color="auto" w:fill="D9E2F3"/>
          </w:tcPr>
          <w:p>
            <w:r/>
            <w:r>
              <w:rPr>
                <w:b/>
                <w:sz w:val="16"/>
              </w:rPr>
              <w:t>Comment</w:t>
            </w:r>
          </w:p>
        </w:tc>
      </w:tr>
      <w:tr>
        <w:tc>
          <w:tcPr>
            <w:tcW w:type="dxa" w:w="1584"/>
          </w:tcPr>
          <w:p>
            <w:r>
              <w:rPr>
                <w:sz w:val="16"/>
              </w:rPr>
            </w:r>
            <w:r>
              <w:rPr>
                <w:b w:val="0"/>
                <w:sz w:val="16"/>
              </w:rPr>
              <w:t>Date / position</w:t>
            </w:r>
          </w:p>
        </w:tc>
        <w:tc>
          <w:tcPr>
            <w:tcW w:type="dxa" w:w="2736"/>
          </w:tcPr>
          <w:p>
            <w:r>
              <w:rPr>
                <w:sz w:val="16"/>
              </w:rPr>
            </w:r>
            <w:r>
              <w:rPr>
                <w:b w:val="0"/>
                <w:sz w:val="16"/>
              </w:rPr>
              <w:t>Mar. 15, 2020; Southeast Regional Sales Manager</w:t>
            </w:r>
          </w:p>
        </w:tc>
        <w:tc>
          <w:tcPr>
            <w:tcW w:type="dxa" w:w="1728"/>
          </w:tcPr>
          <w:p>
            <w:r>
              <w:rPr>
                <w:sz w:val="16"/>
              </w:rPr>
            </w:r>
            <w:r>
              <w:rPr>
                <w:b w:val="0"/>
                <w:sz w:val="16"/>
              </w:rPr>
              <w:t>June 1, 2021; Senior Technical Account Executive</w:t>
            </w:r>
          </w:p>
        </w:tc>
        <w:tc>
          <w:tcPr>
            <w:tcW w:type="dxa" w:w="3312"/>
          </w:tcPr>
          <w:p>
            <w:r>
              <w:rPr>
                <w:sz w:val="16"/>
              </w:rPr>
            </w:r>
            <w:r>
              <w:rPr>
                <w:b w:val="0"/>
                <w:sz w:val="16"/>
              </w:rPr>
              <w:t>Both identified as Georgia residents at signing; both post-date the Georgia Restrictive Covenants Act (effective May 11, 2011), so O.C.G.A. § 13-8-50 et seq. would apply under Georgia law.</w:t>
            </w:r>
          </w:p>
        </w:tc>
      </w:tr>
      <w:tr>
        <w:tc>
          <w:tcPr>
            <w:tcW w:type="dxa" w:w="1584"/>
          </w:tcPr>
          <w:p>
            <w:r>
              <w:rPr>
                <w:sz w:val="16"/>
              </w:rPr>
            </w:r>
            <w:r>
              <w:rPr>
                <w:b w:val="0"/>
                <w:sz w:val="16"/>
              </w:rPr>
              <w:t>§ 7 Non-compete</w:t>
            </w:r>
          </w:p>
        </w:tc>
        <w:tc>
          <w:tcPr>
            <w:tcW w:type="dxa" w:w="2736"/>
          </w:tcPr>
          <w:p>
            <w:r>
              <w:rPr>
                <w:sz w:val="16"/>
              </w:rPr>
            </w:r>
            <w:r>
              <w:rPr>
                <w:b w:val="0"/>
                <w:sz w:val="16"/>
              </w:rPr>
              <w:t>24 months post-termination; may not “be employed by” or work “in any other capacity” for any business competing in marketing, sale, distribution or servicing of industrial automation components, PLCs, HMIs or sensor arrays within the 8-state Territory</w:t>
            </w:r>
          </w:p>
        </w:tc>
        <w:tc>
          <w:tcPr>
            <w:tcW w:type="dxa" w:w="1728"/>
          </w:tcPr>
          <w:p>
            <w:r>
              <w:rPr>
                <w:sz w:val="16"/>
              </w:rPr>
            </w:r>
            <w:r>
              <w:rPr>
                <w:b w:val="0"/>
                <w:sz w:val="16"/>
              </w:rPr>
              <w:t>Same</w:t>
            </w:r>
          </w:p>
        </w:tc>
        <w:tc>
          <w:tcPr>
            <w:tcW w:type="dxa" w:w="3312"/>
          </w:tcPr>
          <w:p>
            <w:r>
              <w:rPr>
                <w:sz w:val="16"/>
              </w:rPr>
            </w:r>
            <w:r>
              <w:rPr>
                <w:b w:val="0"/>
                <w:sz w:val="16"/>
              </w:rPr>
              <w:t>“Any capacity” scope and 8-state region are vulnerable, particularly under N.C. law; Georgia permits judicial modification.</w:t>
            </w:r>
          </w:p>
        </w:tc>
      </w:tr>
      <w:tr>
        <w:tc>
          <w:tcPr>
            <w:tcW w:type="dxa" w:w="1584"/>
          </w:tcPr>
          <w:p>
            <w:r>
              <w:rPr>
                <w:sz w:val="16"/>
              </w:rPr>
            </w:r>
            <w:r>
              <w:rPr>
                <w:b w:val="0"/>
                <w:sz w:val="16"/>
              </w:rPr>
              <w:t>§ 8 Non-solicit</w:t>
            </w:r>
          </w:p>
        </w:tc>
        <w:tc>
          <w:tcPr>
            <w:tcW w:type="dxa" w:w="2736"/>
          </w:tcPr>
          <w:p>
            <w:r>
              <w:rPr>
                <w:sz w:val="16"/>
              </w:rPr>
            </w:r>
            <w:r>
              <w:rPr>
                <w:b w:val="0"/>
                <w:sz w:val="16"/>
              </w:rPr>
              <w:t>24 months; (a) customers/prospects with whom employee had contact, or about whom employee obtained confidential information, in last two years; (b) no solicitation or hiring of Apex employees, contractors or consultants</w:t>
            </w:r>
          </w:p>
        </w:tc>
        <w:tc>
          <w:tcPr>
            <w:tcW w:type="dxa" w:w="1728"/>
          </w:tcPr>
          <w:p>
            <w:r>
              <w:rPr>
                <w:sz w:val="16"/>
              </w:rPr>
            </w:r>
            <w:r>
              <w:rPr>
                <w:b w:val="0"/>
                <w:sz w:val="16"/>
              </w:rPr>
              <w:t>Same</w:t>
            </w:r>
          </w:p>
        </w:tc>
        <w:tc>
          <w:tcPr>
            <w:tcW w:type="dxa" w:w="3312"/>
          </w:tcPr>
          <w:p>
            <w:r>
              <w:rPr>
                <w:sz w:val="16"/>
              </w:rPr>
            </w:r>
            <w:r>
              <w:rPr>
                <w:b w:val="0"/>
                <w:sz w:val="16"/>
              </w:rPr>
              <w:t>Customer non-solicit is the most enforceable covenant; this is where real risk lies if Kelsey/Ostrowski worked on the four accounts post-hire.</w:t>
            </w:r>
          </w:p>
        </w:tc>
      </w:tr>
      <w:tr>
        <w:tc>
          <w:tcPr>
            <w:tcW w:type="dxa" w:w="1584"/>
          </w:tcPr>
          <w:p>
            <w:r>
              <w:rPr>
                <w:sz w:val="16"/>
              </w:rPr>
            </w:r>
            <w:r>
              <w:rPr>
                <w:b w:val="0"/>
                <w:sz w:val="16"/>
              </w:rPr>
              <w:t>§ 9 Confidentiality</w:t>
            </w:r>
          </w:p>
        </w:tc>
        <w:tc>
          <w:tcPr>
            <w:tcW w:type="dxa" w:w="2736"/>
          </w:tcPr>
          <w:p>
            <w:r>
              <w:rPr>
                <w:sz w:val="16"/>
              </w:rPr>
            </w:r>
            <w:r>
              <w:rPr>
                <w:b w:val="0"/>
                <w:sz w:val="16"/>
              </w:rPr>
              <w:t>No disclosure/use of Confidential Information (customer lists/databases, purchasing histories, pricing structures/matrices/discount schedules, pipeline data and forecasts, etc.); no time limit</w:t>
            </w:r>
          </w:p>
        </w:tc>
        <w:tc>
          <w:tcPr>
            <w:tcW w:type="dxa" w:w="1728"/>
          </w:tcPr>
          <w:p>
            <w:r>
              <w:rPr>
                <w:sz w:val="16"/>
              </w:rPr>
            </w:r>
            <w:r>
              <w:rPr>
                <w:b w:val="0"/>
                <w:sz w:val="16"/>
              </w:rPr>
              <w:t>Same</w:t>
            </w:r>
          </w:p>
        </w:tc>
        <w:tc>
          <w:tcPr>
            <w:tcW w:type="dxa" w:w="3312"/>
          </w:tcPr>
          <w:p>
            <w:r>
              <w:rPr>
                <w:sz w:val="16"/>
              </w:rPr>
            </w:r>
            <w:r>
              <w:rPr>
                <w:b w:val="0"/>
                <w:sz w:val="16"/>
              </w:rPr>
              <w:t>Basis of trade-secret/confidentiality theories; Apex has not identified any document actually taken.</w:t>
            </w:r>
          </w:p>
        </w:tc>
      </w:tr>
      <w:tr>
        <w:tc>
          <w:tcPr>
            <w:tcW w:type="dxa" w:w="1584"/>
          </w:tcPr>
          <w:p>
            <w:r>
              <w:rPr>
                <w:sz w:val="16"/>
              </w:rPr>
            </w:r>
            <w:r>
              <w:rPr>
                <w:b w:val="0"/>
                <w:sz w:val="16"/>
              </w:rPr>
              <w:t>§ 12 Governing law</w:t>
            </w:r>
          </w:p>
        </w:tc>
        <w:tc>
          <w:tcPr>
            <w:tcW w:type="dxa" w:w="2736"/>
          </w:tcPr>
          <w:p>
            <w:r>
              <w:rPr>
                <w:sz w:val="16"/>
              </w:rPr>
            </w:r>
            <w:r>
              <w:rPr>
                <w:b w:val="0"/>
                <w:sz w:val="16"/>
              </w:rPr>
              <w:t>Georgia, without regard to conflicts principles</w:t>
            </w:r>
          </w:p>
        </w:tc>
        <w:tc>
          <w:tcPr>
            <w:tcW w:type="dxa" w:w="1728"/>
          </w:tcPr>
          <w:p>
            <w:r>
              <w:rPr>
                <w:sz w:val="16"/>
              </w:rPr>
            </w:r>
            <w:r>
              <w:rPr>
                <w:b w:val="0"/>
                <w:sz w:val="16"/>
              </w:rPr>
              <w:t>Same</w:t>
            </w:r>
          </w:p>
        </w:tc>
        <w:tc>
          <w:tcPr>
            <w:tcW w:type="dxa" w:w="3312"/>
          </w:tcPr>
          <w:p>
            <w:r>
              <w:rPr>
                <w:sz w:val="16"/>
              </w:rPr>
            </w:r>
            <w:r>
              <w:rPr>
                <w:b w:val="0"/>
                <w:sz w:val="16"/>
              </w:rPr>
              <w:t>No forum clause in the excerpts (§§ 10–11 and remainder omitted). Obtain full agreements.</w:t>
            </w:r>
          </w:p>
        </w:tc>
      </w:tr>
      <w:tr>
        <w:tc>
          <w:tcPr>
            <w:tcW w:type="dxa" w:w="1584"/>
          </w:tcPr>
          <w:p>
            <w:r>
              <w:rPr>
                <w:sz w:val="16"/>
              </w:rPr>
            </w:r>
            <w:r>
              <w:rPr>
                <w:b w:val="0"/>
                <w:sz w:val="16"/>
              </w:rPr>
              <w:t>§ 13 Remedies</w:t>
            </w:r>
          </w:p>
        </w:tc>
        <w:tc>
          <w:tcPr>
            <w:tcW w:type="dxa" w:w="2736"/>
          </w:tcPr>
          <w:p>
            <w:r>
              <w:rPr>
                <w:sz w:val="16"/>
              </w:rPr>
            </w:r>
            <w:r>
              <w:rPr>
                <w:b w:val="0"/>
                <w:sz w:val="16"/>
              </w:rPr>
              <w:t>Acknowledges irreparable injury; Company may seek injunctive relief without bond or proof of actual damages</w:t>
            </w:r>
          </w:p>
        </w:tc>
        <w:tc>
          <w:tcPr>
            <w:tcW w:type="dxa" w:w="1728"/>
          </w:tcPr>
          <w:p>
            <w:r>
              <w:rPr>
                <w:sz w:val="16"/>
              </w:rPr>
            </w:r>
            <w:r>
              <w:rPr>
                <w:b w:val="0"/>
                <w:sz w:val="16"/>
              </w:rPr>
              <w:t>Same</w:t>
            </w:r>
          </w:p>
        </w:tc>
        <w:tc>
          <w:tcPr>
            <w:tcW w:type="dxa" w:w="3312"/>
          </w:tcPr>
          <w:p>
            <w:r>
              <w:rPr>
                <w:sz w:val="16"/>
              </w:rPr>
            </w:r>
            <w:r>
              <w:rPr>
                <w:b w:val="0"/>
                <w:sz w:val="16"/>
              </w:rPr>
              <w:t>Binds only the employees; Greenfield is not a party. N.C. R. Civ. P. 65(c) requires security as a condition of any TRO/PI against Greenfield.</w:t>
            </w:r>
          </w:p>
        </w:tc>
      </w:tr>
    </w:tbl>
    <w:p>
      <w:pPr>
        <w:spacing w:after="40"/>
      </w:pPr>
    </w:p>
    <w:p>
      <w:pPr>
        <w:pStyle w:val="Heading1"/>
      </w:pPr>
      <w:r>
        <w:t>V. Chronology of Key Events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D9E2F3"/>
          </w:tcPr>
          <w:p>
            <w:r/>
            <w:r>
              <w:rPr>
                <w:b/>
                <w:sz w:val="16"/>
              </w:rPr>
              <w:t>Date</w:t>
            </w:r>
          </w:p>
        </w:tc>
        <w:tc>
          <w:tcPr>
            <w:tcW w:type="dxa" w:w="5904"/>
            <w:shd w:val="clear" w:color="auto" w:fill="D9E2F3"/>
          </w:tcPr>
          <w:p>
            <w:r/>
            <w:r>
              <w:rPr>
                <w:b/>
                <w:sz w:val="16"/>
              </w:rPr>
              <w:t>Event</w:t>
            </w:r>
          </w:p>
        </w:tc>
        <w:tc>
          <w:tcPr>
            <w:tcW w:type="dxa" w:w="1728"/>
            <w:shd w:val="clear" w:color="auto" w:fill="D9E2F3"/>
          </w:tcPr>
          <w:p>
            <w:r/>
            <w:r>
              <w:rPr>
                <w:b/>
                <w:sz w:val="16"/>
              </w:rPr>
              <w:t>Source</w:t>
            </w:r>
          </w:p>
        </w:tc>
      </w:tr>
      <w:tr>
        <w:tc>
          <w:tcPr>
            <w:tcW w:type="dxa" w:w="1728"/>
          </w:tcPr>
          <w:p>
            <w:r>
              <w:rPr>
                <w:sz w:val="16"/>
              </w:rPr>
            </w:r>
            <w:r>
              <w:rPr>
                <w:b w:val="0"/>
                <w:sz w:val="16"/>
              </w:rPr>
              <w:t>2009 / 2014</w:t>
            </w:r>
          </w:p>
        </w:tc>
        <w:tc>
          <w:tcPr>
            <w:tcW w:type="dxa" w:w="5904"/>
          </w:tcPr>
          <w:p>
            <w:r>
              <w:rPr>
                <w:sz w:val="16"/>
              </w:rPr>
            </w:r>
            <w:r>
              <w:rPr>
                <w:b w:val="0"/>
                <w:sz w:val="16"/>
              </w:rPr>
              <w:t>Greenfield founded by Ellsworth (2009); Apex founded by Colford (2014)</w:t>
            </w:r>
          </w:p>
        </w:tc>
        <w:tc>
          <w:tcPr>
            <w:tcW w:type="dxa" w:w="1728"/>
          </w:tcPr>
          <w:p>
            <w:r>
              <w:rPr>
                <w:sz w:val="16"/>
              </w:rPr>
            </w:r>
            <w:r>
              <w:rPr>
                <w:b w:val="0"/>
                <w:sz w:val="16"/>
              </w:rPr>
              <w:t>¶¶ 7–8</w:t>
            </w:r>
          </w:p>
        </w:tc>
      </w:tr>
      <w:tr>
        <w:tc>
          <w:tcPr>
            <w:tcW w:type="dxa" w:w="1728"/>
          </w:tcPr>
          <w:p>
            <w:r>
              <w:rPr>
                <w:sz w:val="16"/>
              </w:rPr>
            </w:r>
            <w:r>
              <w:rPr>
                <w:b w:val="0"/>
                <w:sz w:val="16"/>
              </w:rPr>
              <w:t>Mar. 1, 2019</w:t>
            </w:r>
          </w:p>
        </w:tc>
        <w:tc>
          <w:tcPr>
            <w:tcW w:type="dxa" w:w="5904"/>
          </w:tcPr>
          <w:p>
            <w:r>
              <w:rPr>
                <w:sz w:val="16"/>
              </w:rPr>
            </w:r>
            <w:r>
              <w:rPr>
                <w:b w:val="0"/>
                <w:sz w:val="16"/>
              </w:rPr>
              <w:t>Exclusive Distribution Agreement executed (Initial Term to Feb. 28, 2024)</w:t>
            </w:r>
          </w:p>
        </w:tc>
        <w:tc>
          <w:tcPr>
            <w:tcW w:type="dxa" w:w="1728"/>
          </w:tcPr>
          <w:p>
            <w:r>
              <w:rPr>
                <w:sz w:val="16"/>
              </w:rPr>
            </w:r>
            <w:r>
              <w:rPr>
                <w:b w:val="0"/>
                <w:sz w:val="16"/>
              </w:rPr>
              <w:t>Ex. A; ¶¶ 18, 20</w:t>
            </w:r>
          </w:p>
        </w:tc>
      </w:tr>
      <w:tr>
        <w:tc>
          <w:tcPr>
            <w:tcW w:type="dxa" w:w="1728"/>
          </w:tcPr>
          <w:p>
            <w:r>
              <w:rPr>
                <w:sz w:val="16"/>
              </w:rPr>
            </w:r>
            <w:r>
              <w:rPr>
                <w:b w:val="0"/>
                <w:sz w:val="16"/>
              </w:rPr>
              <w:t>Mar. 2020–Feb. 2021</w:t>
            </w:r>
          </w:p>
        </w:tc>
        <w:tc>
          <w:tcPr>
            <w:tcW w:type="dxa" w:w="5904"/>
          </w:tcPr>
          <w:p>
            <w:r>
              <w:rPr>
                <w:sz w:val="16"/>
              </w:rPr>
            </w:r>
            <w:r>
              <w:rPr>
                <w:b w:val="0"/>
                <w:sz w:val="16"/>
              </w:rPr>
              <w:t>Contract Year 2: Apex purchases $7.1M vs. $9.2M minimum (−$2.1M), during COVID-19</w:t>
            </w:r>
          </w:p>
        </w:tc>
        <w:tc>
          <w:tcPr>
            <w:tcW w:type="dxa" w:w="1728"/>
          </w:tcPr>
          <w:p>
            <w:r>
              <w:rPr>
                <w:sz w:val="16"/>
              </w:rPr>
            </w:r>
            <w:r>
              <w:rPr>
                <w:b w:val="0"/>
                <w:sz w:val="16"/>
              </w:rPr>
              <w:t>¶¶ 24–25; Yuen email</w:t>
            </w:r>
          </w:p>
        </w:tc>
      </w:tr>
      <w:tr>
        <w:tc>
          <w:tcPr>
            <w:tcW w:type="dxa" w:w="1728"/>
          </w:tcPr>
          <w:p>
            <w:r>
              <w:rPr>
                <w:sz w:val="16"/>
              </w:rPr>
            </w:r>
            <w:r>
              <w:rPr>
                <w:b w:val="0"/>
                <w:sz w:val="16"/>
              </w:rPr>
              <w:t>Mar. 15, 2020</w:t>
            </w:r>
          </w:p>
        </w:tc>
        <w:tc>
          <w:tcPr>
            <w:tcW w:type="dxa" w:w="5904"/>
          </w:tcPr>
          <w:p>
            <w:r>
              <w:rPr>
                <w:sz w:val="16"/>
              </w:rPr>
            </w:r>
            <w:r>
              <w:rPr>
                <w:b w:val="0"/>
                <w:sz w:val="16"/>
              </w:rPr>
              <w:t>Kelsey employment agreement</w:t>
            </w:r>
          </w:p>
        </w:tc>
        <w:tc>
          <w:tcPr>
            <w:tcW w:type="dxa" w:w="1728"/>
          </w:tcPr>
          <w:p>
            <w:r>
              <w:rPr>
                <w:sz w:val="16"/>
              </w:rPr>
            </w:r>
            <w:r>
              <w:rPr>
                <w:b w:val="0"/>
                <w:sz w:val="16"/>
              </w:rPr>
              <w:t>Ex. F</w:t>
            </w:r>
          </w:p>
        </w:tc>
      </w:tr>
      <w:tr>
        <w:tc>
          <w:tcPr>
            <w:tcW w:type="dxa" w:w="1728"/>
          </w:tcPr>
          <w:p>
            <w:r>
              <w:rPr>
                <w:sz w:val="16"/>
              </w:rPr>
            </w:r>
            <w:r>
              <w:rPr>
                <w:b w:val="0"/>
                <w:sz w:val="16"/>
              </w:rPr>
              <w:t>June 1, 2021</w:t>
            </w:r>
          </w:p>
        </w:tc>
        <w:tc>
          <w:tcPr>
            <w:tcW w:type="dxa" w:w="5904"/>
          </w:tcPr>
          <w:p>
            <w:r>
              <w:rPr>
                <w:sz w:val="16"/>
              </w:rPr>
            </w:r>
            <w:r>
              <w:rPr>
                <w:b w:val="0"/>
                <w:sz w:val="16"/>
              </w:rPr>
              <w:t>Ostrowski employment agreement</w:t>
            </w:r>
          </w:p>
        </w:tc>
        <w:tc>
          <w:tcPr>
            <w:tcW w:type="dxa" w:w="1728"/>
          </w:tcPr>
          <w:p>
            <w:r>
              <w:rPr>
                <w:sz w:val="16"/>
              </w:rPr>
            </w:r>
            <w:r>
              <w:rPr>
                <w:b w:val="0"/>
                <w:sz w:val="16"/>
              </w:rPr>
              <w:t>Ex. F</w:t>
            </w:r>
          </w:p>
        </w:tc>
      </w:tr>
      <w:tr>
        <w:tc>
          <w:tcPr>
            <w:tcW w:type="dxa" w:w="1728"/>
          </w:tcPr>
          <w:p>
            <w:r>
              <w:rPr>
                <w:sz w:val="16"/>
              </w:rPr>
            </w:r>
            <w:r>
              <w:rPr>
                <w:b w:val="0"/>
                <w:sz w:val="16"/>
              </w:rPr>
              <w:t>Mar. 2021–Feb. 2024</w:t>
            </w:r>
          </w:p>
        </w:tc>
        <w:tc>
          <w:tcPr>
            <w:tcW w:type="dxa" w:w="5904"/>
          </w:tcPr>
          <w:p>
            <w:r>
              <w:rPr>
                <w:sz w:val="16"/>
              </w:rPr>
            </w:r>
            <w:r>
              <w:rPr>
                <w:b w:val="0"/>
                <w:sz w:val="16"/>
              </w:rPr>
              <w:t>Apex exceeds minimums in Years 3–5; Greenfield sends no cure notice and accepts performance</w:t>
            </w:r>
          </w:p>
        </w:tc>
        <w:tc>
          <w:tcPr>
            <w:tcW w:type="dxa" w:w="1728"/>
          </w:tcPr>
          <w:p>
            <w:r>
              <w:rPr>
                <w:sz w:val="16"/>
              </w:rPr>
            </w:r>
            <w:r>
              <w:rPr>
                <w:b w:val="0"/>
                <w:sz w:val="16"/>
              </w:rPr>
              <w:t>¶¶ 24, 26</w:t>
            </w:r>
          </w:p>
        </w:tc>
      </w:tr>
      <w:tr>
        <w:tc>
          <w:tcPr>
            <w:tcW w:type="dxa" w:w="1728"/>
          </w:tcPr>
          <w:p>
            <w:r>
              <w:rPr>
                <w:sz w:val="16"/>
              </w:rPr>
            </w:r>
            <w:r>
              <w:rPr>
                <w:b w:val="0"/>
                <w:sz w:val="16"/>
              </w:rPr>
              <w:t>July 15, 2023</w:t>
            </w:r>
          </w:p>
        </w:tc>
        <w:tc>
          <w:tcPr>
            <w:tcW w:type="dxa" w:w="5904"/>
          </w:tcPr>
          <w:p>
            <w:r>
              <w:rPr>
                <w:sz w:val="16"/>
              </w:rPr>
            </w:r>
            <w:r>
              <w:rPr>
                <w:b w:val="0"/>
                <w:sz w:val="16"/>
              </w:rPr>
              <w:t>Non-renewal letter signed by Thomas Hargrove (VP Sales), by email and FedEx (No. 7749-2031-8856), cc: Ellsworth and Yuen — sent without GC review while Ms. Yuen was traveling; 228 days before expiration (timely but wrong signatory)</w:t>
            </w:r>
          </w:p>
        </w:tc>
        <w:tc>
          <w:tcPr>
            <w:tcW w:type="dxa" w:w="1728"/>
          </w:tcPr>
          <w:p>
            <w:r>
              <w:rPr>
                <w:sz w:val="16"/>
              </w:rPr>
            </w:r>
            <w:r>
              <w:rPr>
                <w:b w:val="0"/>
                <w:sz w:val="16"/>
              </w:rPr>
              <w:t>Ex. B; Yuen email</w:t>
            </w:r>
          </w:p>
        </w:tc>
      </w:tr>
      <w:tr>
        <w:tc>
          <w:tcPr>
            <w:tcW w:type="dxa" w:w="1728"/>
          </w:tcPr>
          <w:p>
            <w:r>
              <w:rPr>
                <w:sz w:val="16"/>
              </w:rPr>
            </w:r>
            <w:r>
              <w:rPr>
                <w:b w:val="0"/>
                <w:sz w:val="16"/>
              </w:rPr>
              <w:t>Aug. 3, 2023</w:t>
            </w:r>
          </w:p>
        </w:tc>
        <w:tc>
          <w:tcPr>
            <w:tcW w:type="dxa" w:w="5904"/>
          </w:tcPr>
          <w:p>
            <w:r>
              <w:rPr>
                <w:sz w:val="16"/>
              </w:rPr>
            </w:r>
            <w:r>
              <w:rPr>
                <w:b w:val="0"/>
                <w:sz w:val="16"/>
              </w:rPr>
              <w:t>Whitlock letter to Yuen: notice void; valid notice required by Aug. 31, 2023, otherwise renewal through Feb. 28, 2026. Greenfield never responded.</w:t>
            </w:r>
          </w:p>
        </w:tc>
        <w:tc>
          <w:tcPr>
            <w:tcW w:type="dxa" w:w="1728"/>
          </w:tcPr>
          <w:p>
            <w:r>
              <w:rPr>
                <w:sz w:val="16"/>
              </w:rPr>
            </w:r>
            <w:r>
              <w:rPr>
                <w:b w:val="0"/>
                <w:sz w:val="16"/>
              </w:rPr>
              <w:t>Ex. C; ¶ 36; Yuen email</w:t>
            </w:r>
          </w:p>
        </w:tc>
      </w:tr>
      <w:tr>
        <w:tc>
          <w:tcPr>
            <w:tcW w:type="dxa" w:w="1728"/>
          </w:tcPr>
          <w:p>
            <w:r>
              <w:rPr>
                <w:sz w:val="16"/>
              </w:rPr>
            </w:r>
            <w:r>
              <w:rPr>
                <w:b w:val="0"/>
                <w:sz w:val="16"/>
              </w:rPr>
              <w:t>Aug. 31 / Sept. 1, 2023</w:t>
            </w:r>
          </w:p>
        </w:tc>
        <w:tc>
          <w:tcPr>
            <w:tcW w:type="dxa" w:w="5904"/>
          </w:tcPr>
          <w:p>
            <w:r>
              <w:rPr>
                <w:sz w:val="16"/>
              </w:rPr>
            </w:r>
            <w:r>
              <w:rPr>
                <w:b w:val="0"/>
                <w:sz w:val="16"/>
              </w:rPr>
              <w:t>Last day for a timely notice (Apex: Aug. 31; arithmetic: Sept. 1 is exactly 180 days before Feb. 28, 2024)</w:t>
            </w:r>
          </w:p>
        </w:tc>
        <w:tc>
          <w:tcPr>
            <w:tcW w:type="dxa" w:w="1728"/>
          </w:tcPr>
          <w:p>
            <w:r>
              <w:rPr>
                <w:sz w:val="16"/>
              </w:rPr>
            </w:r>
            <w:r>
              <w:rPr>
                <w:b w:val="0"/>
                <w:sz w:val="16"/>
              </w:rPr>
              <w:t>§ 4.2; ¶ 22</w:t>
            </w:r>
          </w:p>
        </w:tc>
      </w:tr>
      <w:tr>
        <w:tc>
          <w:tcPr>
            <w:tcW w:type="dxa" w:w="1728"/>
          </w:tcPr>
          <w:p>
            <w:r>
              <w:rPr>
                <w:sz w:val="16"/>
              </w:rPr>
            </w:r>
            <w:r>
              <w:rPr>
                <w:b w:val="0"/>
                <w:sz w:val="16"/>
              </w:rPr>
              <w:t>Sept. 12, 2023</w:t>
            </w:r>
          </w:p>
        </w:tc>
        <w:tc>
          <w:tcPr>
            <w:tcW w:type="dxa" w:w="5904"/>
          </w:tcPr>
          <w:p>
            <w:r>
              <w:rPr>
                <w:sz w:val="16"/>
              </w:rPr>
            </w:r>
            <w:r>
              <w:rPr>
                <w:b w:val="0"/>
                <w:sz w:val="16"/>
              </w:rPr>
              <w:t>Second notice signed by CEO Ellsworth, FedEx and email, stating it “supersedes and replaces” the July 15 notice; 169 days before expiration</w:t>
            </w:r>
          </w:p>
        </w:tc>
        <w:tc>
          <w:tcPr>
            <w:tcW w:type="dxa" w:w="1728"/>
          </w:tcPr>
          <w:p>
            <w:r>
              <w:rPr>
                <w:sz w:val="16"/>
              </w:rPr>
            </w:r>
            <w:r>
              <w:rPr>
                <w:b w:val="0"/>
                <w:sz w:val="16"/>
              </w:rPr>
              <w:t>Ex. D; ¶¶ 38–40</w:t>
            </w:r>
          </w:p>
        </w:tc>
      </w:tr>
      <w:tr>
        <w:tc>
          <w:tcPr>
            <w:tcW w:type="dxa" w:w="1728"/>
          </w:tcPr>
          <w:p>
            <w:r>
              <w:rPr>
                <w:sz w:val="16"/>
              </w:rPr>
            </w:r>
            <w:r>
              <w:rPr>
                <w:b w:val="0"/>
                <w:sz w:val="16"/>
              </w:rPr>
              <w:t>Oct. 2023 (approx.)</w:t>
            </w:r>
          </w:p>
        </w:tc>
        <w:tc>
          <w:tcPr>
            <w:tcW w:type="dxa" w:w="5904"/>
          </w:tcPr>
          <w:p>
            <w:r>
              <w:rPr>
                <w:sz w:val="16"/>
              </w:rPr>
            </w:r>
            <w:r>
              <w:rPr>
                <w:b w:val="0"/>
                <w:sz w:val="16"/>
              </w:rPr>
              <w:t>Direct-sales initiative led by Hargrove begins (per Complaint and client)</w:t>
            </w:r>
          </w:p>
        </w:tc>
        <w:tc>
          <w:tcPr>
            <w:tcW w:type="dxa" w:w="1728"/>
          </w:tcPr>
          <w:p>
            <w:r>
              <w:rPr>
                <w:sz w:val="16"/>
              </w:rPr>
            </w:r>
            <w:r>
              <w:rPr>
                <w:b w:val="0"/>
                <w:sz w:val="16"/>
              </w:rPr>
              <w:t>¶ 43; Yuen email</w:t>
            </w:r>
          </w:p>
        </w:tc>
      </w:tr>
      <w:tr>
        <w:tc>
          <w:tcPr>
            <w:tcW w:type="dxa" w:w="1728"/>
          </w:tcPr>
          <w:p>
            <w:r>
              <w:rPr>
                <w:sz w:val="16"/>
              </w:rPr>
            </w:r>
            <w:r>
              <w:rPr>
                <w:b w:val="0"/>
                <w:sz w:val="16"/>
              </w:rPr>
              <w:t>Nov. 15, 2023</w:t>
            </w:r>
          </w:p>
        </w:tc>
        <w:tc>
          <w:tcPr>
            <w:tcW w:type="dxa" w:w="5904"/>
          </w:tcPr>
          <w:p>
            <w:r>
              <w:rPr>
                <w:sz w:val="16"/>
              </w:rPr>
            </w:r>
            <w:r>
              <w:rPr>
                <w:b w:val="0"/>
                <w:sz w:val="16"/>
              </w:rPr>
              <w:t>Invoice GDI-2023-10847 to Magnolia Foods — $870,000 (12 × GD-PLC450 @ $42,500; 8 × GD-HMI220 @ $45,000)</w:t>
            </w:r>
          </w:p>
        </w:tc>
        <w:tc>
          <w:tcPr>
            <w:tcW w:type="dxa" w:w="1728"/>
          </w:tcPr>
          <w:p>
            <w:r>
              <w:rPr>
                <w:sz w:val="16"/>
              </w:rPr>
            </w:r>
            <w:r>
              <w:rPr>
                <w:b w:val="0"/>
                <w:sz w:val="16"/>
              </w:rPr>
              <w:t>Ex. E</w:t>
            </w:r>
          </w:p>
        </w:tc>
      </w:tr>
      <w:tr>
        <w:tc>
          <w:tcPr>
            <w:tcW w:type="dxa" w:w="1728"/>
          </w:tcPr>
          <w:p>
            <w:r>
              <w:rPr>
                <w:sz w:val="16"/>
              </w:rPr>
            </w:r>
            <w:r>
              <w:rPr>
                <w:b w:val="0"/>
                <w:sz w:val="16"/>
              </w:rPr>
              <w:t>Dec. 8, 2023</w:t>
            </w:r>
          </w:p>
        </w:tc>
        <w:tc>
          <w:tcPr>
            <w:tcW w:type="dxa" w:w="5904"/>
          </w:tcPr>
          <w:p>
            <w:r>
              <w:rPr>
                <w:sz w:val="16"/>
              </w:rPr>
            </w:r>
            <w:r>
              <w:rPr>
                <w:b w:val="0"/>
                <w:sz w:val="16"/>
              </w:rPr>
              <w:t>Invoice GDI-2023-11203 to Tidewater — $720,000 (24 × GD-SA780 @ $30,000)</w:t>
            </w:r>
          </w:p>
        </w:tc>
        <w:tc>
          <w:tcPr>
            <w:tcW w:type="dxa" w:w="1728"/>
          </w:tcPr>
          <w:p>
            <w:r>
              <w:rPr>
                <w:sz w:val="16"/>
              </w:rPr>
            </w:r>
            <w:r>
              <w:rPr>
                <w:b w:val="0"/>
                <w:sz w:val="16"/>
              </w:rPr>
              <w:t>Ex. E</w:t>
            </w:r>
          </w:p>
        </w:tc>
      </w:tr>
      <w:tr>
        <w:tc>
          <w:tcPr>
            <w:tcW w:type="dxa" w:w="1728"/>
          </w:tcPr>
          <w:p>
            <w:r>
              <w:rPr>
                <w:sz w:val="16"/>
              </w:rPr>
            </w:r>
            <w:r>
              <w:rPr>
                <w:b w:val="0"/>
                <w:sz w:val="16"/>
              </w:rPr>
              <w:t>Jan. 18, 2024</w:t>
            </w:r>
          </w:p>
        </w:tc>
        <w:tc>
          <w:tcPr>
            <w:tcW w:type="dxa" w:w="5904"/>
          </w:tcPr>
          <w:p>
            <w:r>
              <w:rPr>
                <w:sz w:val="16"/>
              </w:rPr>
            </w:r>
            <w:r>
              <w:rPr>
                <w:b w:val="0"/>
                <w:sz w:val="16"/>
              </w:rPr>
              <w:t>Invoice GDI-2024-00512 to Clearwater — $640,000 (8 × GD-PLC600 @ $80,000)</w:t>
            </w:r>
          </w:p>
        </w:tc>
        <w:tc>
          <w:tcPr>
            <w:tcW w:type="dxa" w:w="1728"/>
          </w:tcPr>
          <w:p>
            <w:r>
              <w:rPr>
                <w:sz w:val="16"/>
              </w:rPr>
            </w:r>
            <w:r>
              <w:rPr>
                <w:b w:val="0"/>
                <w:sz w:val="16"/>
              </w:rPr>
              <w:t>Ex. E</w:t>
            </w:r>
          </w:p>
        </w:tc>
      </w:tr>
      <w:tr>
        <w:tc>
          <w:tcPr>
            <w:tcW w:type="dxa" w:w="1728"/>
          </w:tcPr>
          <w:p>
            <w:r>
              <w:rPr>
                <w:sz w:val="16"/>
              </w:rPr>
            </w:r>
            <w:r>
              <w:rPr>
                <w:b w:val="0"/>
                <w:sz w:val="16"/>
              </w:rPr>
              <w:t>Jan. 22, 2024</w:t>
            </w:r>
          </w:p>
        </w:tc>
        <w:tc>
          <w:tcPr>
            <w:tcW w:type="dxa" w:w="5904"/>
          </w:tcPr>
          <w:p>
            <w:r>
              <w:rPr>
                <w:sz w:val="16"/>
              </w:rPr>
            </w:r>
            <w:r>
              <w:rPr>
                <w:b w:val="0"/>
                <w:sz w:val="16"/>
              </w:rPr>
              <w:t>Invoice GDI-2024-00341 to Tidewater — $480,000 (16 × GD-SA780; described in a note, invoice not reproduced)</w:t>
            </w:r>
          </w:p>
        </w:tc>
        <w:tc>
          <w:tcPr>
            <w:tcW w:type="dxa" w:w="1728"/>
          </w:tcPr>
          <w:p>
            <w:r>
              <w:rPr>
                <w:sz w:val="16"/>
              </w:rPr>
            </w:r>
            <w:r>
              <w:rPr>
                <w:b w:val="0"/>
                <w:sz w:val="16"/>
              </w:rPr>
              <w:t>Ex. E</w:t>
            </w:r>
          </w:p>
        </w:tc>
      </w:tr>
      <w:tr>
        <w:tc>
          <w:tcPr>
            <w:tcW w:type="dxa" w:w="1728"/>
          </w:tcPr>
          <w:p>
            <w:r>
              <w:rPr>
                <w:sz w:val="16"/>
              </w:rPr>
            </w:r>
            <w:r>
              <w:rPr>
                <w:b w:val="0"/>
                <w:sz w:val="16"/>
              </w:rPr>
              <w:t>Feb. 5, 2024</w:t>
            </w:r>
          </w:p>
        </w:tc>
        <w:tc>
          <w:tcPr>
            <w:tcW w:type="dxa" w:w="5904"/>
          </w:tcPr>
          <w:p>
            <w:r>
              <w:rPr>
                <w:sz w:val="16"/>
              </w:rPr>
            </w:r>
            <w:r>
              <w:rPr>
                <w:b w:val="0"/>
                <w:sz w:val="16"/>
              </w:rPr>
              <w:t>Invoice GDI-2024-00894 to Southeastern Bottling — $1,550,000 (5 × GD-PLCHMI900 @ $310,000)</w:t>
            </w:r>
          </w:p>
        </w:tc>
        <w:tc>
          <w:tcPr>
            <w:tcW w:type="dxa" w:w="1728"/>
          </w:tcPr>
          <w:p>
            <w:r>
              <w:rPr>
                <w:sz w:val="16"/>
              </w:rPr>
            </w:r>
            <w:r>
              <w:rPr>
                <w:b w:val="0"/>
                <w:sz w:val="16"/>
              </w:rPr>
              <w:t>Ex. E</w:t>
            </w:r>
          </w:p>
        </w:tc>
      </w:tr>
      <w:tr>
        <w:tc>
          <w:tcPr>
            <w:tcW w:type="dxa" w:w="1728"/>
          </w:tcPr>
          <w:p>
            <w:r>
              <w:rPr>
                <w:sz w:val="16"/>
              </w:rPr>
            </w:r>
            <w:r>
              <w:rPr>
                <w:b w:val="0"/>
                <w:sz w:val="16"/>
              </w:rPr>
              <w:t>Feb. 2024</w:t>
            </w:r>
          </w:p>
        </w:tc>
        <w:tc>
          <w:tcPr>
            <w:tcW w:type="dxa" w:w="5904"/>
          </w:tcPr>
          <w:p>
            <w:r>
              <w:rPr>
                <w:sz w:val="16"/>
              </w:rPr>
            </w:r>
            <w:r>
              <w:rPr>
                <w:b w:val="0"/>
                <w:sz w:val="16"/>
              </w:rPr>
              <w:t>Kelsey and Ostrowski leave Apex and are hired by Greenfield (exact dates unknown)</w:t>
            </w:r>
          </w:p>
        </w:tc>
        <w:tc>
          <w:tcPr>
            <w:tcW w:type="dxa" w:w="1728"/>
          </w:tcPr>
          <w:p>
            <w:r>
              <w:rPr>
                <w:sz w:val="16"/>
              </w:rPr>
            </w:r>
            <w:r>
              <w:rPr>
                <w:b w:val="0"/>
                <w:sz w:val="16"/>
              </w:rPr>
              <w:t>¶¶ 11, 58; Yuen email</w:t>
            </w:r>
          </w:p>
        </w:tc>
      </w:tr>
      <w:tr>
        <w:tc>
          <w:tcPr>
            <w:tcW w:type="dxa" w:w="1728"/>
          </w:tcPr>
          <w:p>
            <w:r>
              <w:rPr>
                <w:sz w:val="16"/>
              </w:rPr>
            </w:r>
            <w:r>
              <w:rPr>
                <w:b w:val="0"/>
                <w:sz w:val="16"/>
              </w:rPr>
              <w:t>Feb. 28, 2024</w:t>
            </w:r>
          </w:p>
        </w:tc>
        <w:tc>
          <w:tcPr>
            <w:tcW w:type="dxa" w:w="5904"/>
          </w:tcPr>
          <w:p>
            <w:r>
              <w:rPr>
                <w:sz w:val="16"/>
              </w:rPr>
            </w:r>
            <w:r>
              <w:rPr>
                <w:b w:val="0"/>
                <w:sz w:val="16"/>
              </w:rPr>
              <w:t>Initial Term expires; on Apex’s theory, Renewal Term begins Mar. 1, 2024</w:t>
            </w:r>
          </w:p>
        </w:tc>
        <w:tc>
          <w:tcPr>
            <w:tcW w:type="dxa" w:w="1728"/>
          </w:tcPr>
          <w:p>
            <w:r>
              <w:rPr>
                <w:sz w:val="16"/>
              </w:rPr>
            </w:r>
            <w:r>
              <w:rPr>
                <w:b w:val="0"/>
                <w:sz w:val="16"/>
              </w:rPr>
              <w:t>§ 4.1; ¶ 41</w:t>
            </w:r>
          </w:p>
        </w:tc>
      </w:tr>
      <w:tr>
        <w:tc>
          <w:tcPr>
            <w:tcW w:type="dxa" w:w="1728"/>
          </w:tcPr>
          <w:p>
            <w:r>
              <w:rPr>
                <w:sz w:val="16"/>
              </w:rPr>
            </w:r>
            <w:r>
              <w:rPr>
                <w:b w:val="0"/>
                <w:sz w:val="16"/>
              </w:rPr>
              <w:t>Apr. 22, 2025</w:t>
            </w:r>
          </w:p>
        </w:tc>
        <w:tc>
          <w:tcPr>
            <w:tcW w:type="dxa" w:w="5904"/>
          </w:tcPr>
          <w:p>
            <w:r>
              <w:rPr>
                <w:sz w:val="16"/>
              </w:rPr>
            </w:r>
            <w:r>
              <w:rPr>
                <w:b w:val="0"/>
                <w:sz w:val="16"/>
              </w:rPr>
              <w:t>Complaint filed (approx. 14 months after the last identified sale and the hires)</w:t>
            </w:r>
          </w:p>
        </w:tc>
        <w:tc>
          <w:tcPr>
            <w:tcW w:type="dxa" w:w="1728"/>
          </w:tcPr>
          <w:p>
            <w:r>
              <w:rPr>
                <w:sz w:val="16"/>
              </w:rPr>
            </w:r>
            <w:r>
              <w:rPr>
                <w:b w:val="0"/>
                <w:sz w:val="16"/>
              </w:rPr>
              <w:t>Complaint</w:t>
            </w:r>
          </w:p>
        </w:tc>
      </w:tr>
      <w:tr>
        <w:tc>
          <w:tcPr>
            <w:tcW w:type="dxa" w:w="1728"/>
          </w:tcPr>
          <w:p>
            <w:r>
              <w:rPr>
                <w:sz w:val="16"/>
              </w:rPr>
            </w:r>
            <w:r>
              <w:rPr>
                <w:b w:val="0"/>
                <w:sz w:val="16"/>
              </w:rPr>
              <w:t>Apr. 25, 2025</w:t>
            </w:r>
          </w:p>
        </w:tc>
        <w:tc>
          <w:tcPr>
            <w:tcW w:type="dxa" w:w="5904"/>
          </w:tcPr>
          <w:p>
            <w:r>
              <w:rPr>
                <w:sz w:val="16"/>
              </w:rPr>
            </w:r>
            <w:r>
              <w:rPr>
                <w:b w:val="0"/>
                <w:sz w:val="16"/>
              </w:rPr>
              <w:t>Service on registered agent; Yuen email to Harmon Lyle</w:t>
            </w:r>
          </w:p>
        </w:tc>
        <w:tc>
          <w:tcPr>
            <w:tcW w:type="dxa" w:w="1728"/>
          </w:tcPr>
          <w:p>
            <w:r>
              <w:rPr>
                <w:sz w:val="16"/>
              </w:rPr>
            </w:r>
            <w:r>
              <w:rPr>
                <w:b w:val="0"/>
                <w:sz w:val="16"/>
              </w:rPr>
              <w:t>Aff. of Service; email</w:t>
            </w:r>
          </w:p>
        </w:tc>
      </w:tr>
      <w:tr>
        <w:tc>
          <w:tcPr>
            <w:tcW w:type="dxa" w:w="1728"/>
          </w:tcPr>
          <w:p>
            <w:r>
              <w:rPr>
                <w:sz w:val="16"/>
              </w:rPr>
            </w:r>
            <w:r>
              <w:rPr>
                <w:b w:val="0"/>
                <w:sz w:val="16"/>
              </w:rPr>
              <w:t>May 9, 2025</w:t>
            </w:r>
          </w:p>
        </w:tc>
        <w:tc>
          <w:tcPr>
            <w:tcW w:type="dxa" w:w="5904"/>
          </w:tcPr>
          <w:p>
            <w:r>
              <w:rPr>
                <w:sz w:val="16"/>
              </w:rPr>
            </w:r>
            <w:r>
              <w:rPr>
                <w:b w:val="0"/>
                <w:sz w:val="16"/>
              </w:rPr>
              <w:t>TRO/PI hearing</w:t>
            </w:r>
          </w:p>
        </w:tc>
        <w:tc>
          <w:tcPr>
            <w:tcW w:type="dxa" w:w="1728"/>
          </w:tcPr>
          <w:p>
            <w:r>
              <w:rPr>
                <w:sz w:val="16"/>
              </w:rPr>
            </w:r>
            <w:r>
              <w:rPr>
                <w:b w:val="0"/>
                <w:sz w:val="16"/>
              </w:rPr>
              <w:t>Notice of Hearing</w:t>
            </w:r>
          </w:p>
        </w:tc>
      </w:tr>
      <w:tr>
        <w:tc>
          <w:tcPr>
            <w:tcW w:type="dxa" w:w="1728"/>
          </w:tcPr>
          <w:p>
            <w:r>
              <w:rPr>
                <w:sz w:val="16"/>
              </w:rPr>
            </w:r>
            <w:r>
              <w:rPr>
                <w:b w:val="0"/>
                <w:sz w:val="16"/>
              </w:rPr>
              <w:t>Feb. 28, 2026</w:t>
            </w:r>
          </w:p>
        </w:tc>
        <w:tc>
          <w:tcPr>
            <w:tcW w:type="dxa" w:w="5904"/>
          </w:tcPr>
          <w:p>
            <w:r>
              <w:rPr>
                <w:sz w:val="16"/>
              </w:rPr>
            </w:r>
            <w:r>
              <w:rPr>
                <w:b w:val="0"/>
                <w:sz w:val="16"/>
              </w:rPr>
              <w:t>End of alleged Renewal Term</w:t>
            </w:r>
          </w:p>
        </w:tc>
        <w:tc>
          <w:tcPr>
            <w:tcW w:type="dxa" w:w="1728"/>
          </w:tcPr>
          <w:p>
            <w:r>
              <w:rPr>
                <w:sz w:val="16"/>
              </w:rPr>
            </w:r>
            <w:r>
              <w:rPr>
                <w:b w:val="0"/>
                <w:sz w:val="16"/>
              </w:rPr>
              <w:t>¶ 41</w:t>
            </w:r>
          </w:p>
        </w:tc>
      </w:tr>
    </w:tbl>
    <w:p>
      <w:pPr>
        <w:spacing w:after="40"/>
      </w:pPr>
    </w:p>
    <w:p>
      <w:pPr>
        <w:pStyle w:val="Heading1"/>
      </w:pPr>
      <w:r>
        <w:t>VI. Claim-by-Claim Analysis</w:t>
      </w:r>
    </w:p>
    <w:p>
      <w:pPr>
        <w:pStyle w:val="Heading2"/>
      </w:pPr>
      <w:r>
        <w:t>Count I — Breach of the Exclusive Distribution Agreement ($7,850,800)</w:t>
      </w:r>
    </w:p>
    <w:p>
      <w:pPr>
        <w:spacing w:after="120"/>
      </w:pPr>
      <w:r>
        <w:rPr>
          <w:b/>
        </w:rPr>
        <w:t>Apex’s theory.</w:t>
      </w:r>
      <w:r>
        <w:rPr>
          <w:b w:val="0"/>
        </w:rPr>
        <w:t xml:space="preserve"> (a) Both non-renewal notices were void under § 4.2, so the Agreement renewed through Feb. 28, 2026, and Greenfield repudiated it; (b) Greenfield made $4.26M in direct sales in the Territory; (c) Greenfield refused to honor the Renewal Term. Damages: $7,084,000 renewal-term lost profits ($16.1M projected annual purchases × 22% gross margin × 2 years) plus $766,800 lost “commissions” (18% × $4.26M). Also seeks § 14.2 fees and specific performance.</w:t>
      </w:r>
    </w:p>
    <w:p>
      <w:pPr>
        <w:spacing w:after="120"/>
      </w:pPr>
      <w:r>
        <w:rPr>
          <w:b/>
        </w:rPr>
        <w:t>Elements (Georgia law per § 16.1):</w:t>
      </w:r>
      <w:r>
        <w:rPr>
          <w:b w:val="0"/>
        </w:rPr>
        <w:t xml:space="preserve"> a valid contract, breach, and resulting damages. Validity is not in dispute.</w:t>
      </w:r>
    </w:p>
    <w:p>
      <w:pPr>
        <w:spacing w:after="120"/>
      </w:pPr>
      <w:r>
        <w:rPr>
          <w:b/>
        </w:rPr>
        <w:t>Assessment — liability: high risk for Greenfield.</w:t>
      </w:r>
    </w:p>
    <w:p>
      <w:pPr>
        <w:pStyle w:val="ListBullet"/>
        <w:spacing w:after="60"/>
      </w:pPr>
      <w:r>
        <w:rPr>
          <w:b/>
        </w:rPr>
        <w:t>Signatory defect (July 15 notice).</w:t>
      </w:r>
      <w:r>
        <w:rPr>
          <w:b w:val="0"/>
        </w:rPr>
        <w:t xml:space="preserve"> Section 4.2’s text is specific and contains its own voidness consequence. Georgia courts generally enforce unambiguous contractual notice conditions as written, and the express “void” language defeats substantial-compliance and “no prejudice/actual notice” arguments. Possible but weak counter-arguments: (i) the clause says “delivered by,” and the letter was cc’d to the CEO and GC; (ii) the purpose (senior-level authorization) was satisfied if Ellsworth in fact approved the non-renewal decision before July 15 — </w:t>
      </w:r>
      <w:r>
        <w:rPr>
          <w:b/>
        </w:rPr>
        <w:t>we need the facts on whether Ellsworth authorized Hargrove</w:t>
      </w:r>
      <w:r>
        <w:rPr>
          <w:b w:val="0"/>
        </w:rPr>
        <w:t xml:space="preserve"> (Ms. Yuen says the letter was sent without her approval but does not say whether the CEO approved it); (iii) ratification by the CEO before Aug. 31. Each is undercut by Apex’s prompt objection, Greenfield’s silence, and the Sept. 12 letter’s statement that it “supersedes and replaces” the July notice (which implicitly concedes the first notice’s inadequacy).</w:t>
      </w:r>
    </w:p>
    <w:p>
      <w:pPr>
        <w:pStyle w:val="ListBullet"/>
        <w:spacing w:after="60"/>
      </w:pPr>
      <w:r>
        <w:rPr>
          <w:b/>
        </w:rPr>
        <w:t>Timing defect (Sept. 12 notice).</w:t>
      </w:r>
      <w:r>
        <w:rPr>
          <w:b w:val="0"/>
        </w:rPr>
        <w:t xml:space="preserve"> Our computation: Sept. 12, 2023 → Feb. 28, 2024 = 169 days; the 180-day cut-off was Sept. 1, 2023 (Aug. 31 yields 181 days). Delivery by FedEx could make receipt Sept. 13 (168 days). Unless the omitted notice clause deems notice effective on some earlier event (unlikely), the notice is untimely. Apex’s Complaint is internally inconsistent (“twelve days after” the deadline, ¶ 38, versus “11 days too late,” ¶ 40) — a minor credibility point, not a defense.</w:t>
      </w:r>
    </w:p>
    <w:p>
      <w:pPr>
        <w:pStyle w:val="ListBullet"/>
        <w:spacing w:after="60"/>
      </w:pPr>
      <w:r>
        <w:rPr>
          <w:b/>
        </w:rPr>
        <w:t>Effect of the Sept. 12 notice on the next renewal.</w:t>
      </w:r>
      <w:r>
        <w:rPr>
          <w:b w:val="0"/>
        </w:rPr>
        <w:t xml:space="preserve"> Even if void for the Feb. 2024 expiration, Greenfield can argue the Sept. 12 CEO-signed notice, delivered well over 180 days before Feb. 28, 2026, operates as notice of non-renewal of the first Renewal Term. Apex will respond that § 4.2 voids the notice for all purposes. To eliminate the issue, </w:t>
      </w:r>
      <w:r>
        <w:rPr>
          <w:b/>
        </w:rPr>
        <w:t>serve a new compliant notice now</w:t>
      </w:r>
      <w:r>
        <w:rPr>
          <w:b w:val="0"/>
        </w:rPr>
        <w:t xml:space="preserve"> (see Part XIV).</w:t>
      </w:r>
    </w:p>
    <w:p>
      <w:pPr>
        <w:pStyle w:val="ListBullet"/>
        <w:spacing w:after="60"/>
      </w:pPr>
      <w:r>
        <w:rPr>
          <w:b/>
        </w:rPr>
        <w:t>Direct sales.</w:t>
      </w:r>
      <w:r>
        <w:rPr>
          <w:b w:val="0"/>
        </w:rPr>
        <w:t xml:space="preserve"> Because all invoiced sales occurred during the Initial Term, the renewal dispute is irrelevant to this breach. Apex’s ¶ 51 (“made during the term … having automatically renewed”) misdescribes its own exhibits, but the error does not help Greenfield on liability. The only meaningful defense is contractual: whether the exclusivity grant (omitted Arts. I–III) actually prohibits the Manufacturer’s direct sales, and whether any limitation-of-liability clause restricts recoverable damages.</w:t>
      </w:r>
    </w:p>
    <w:p>
      <w:pPr>
        <w:pStyle w:val="ListBullet"/>
        <w:spacing w:after="60"/>
      </w:pPr>
      <w:r>
        <w:rPr>
          <w:b/>
        </w:rPr>
        <w:t>Year 2 shortfall / prior material breach.</w:t>
      </w:r>
      <w:r>
        <w:rPr>
          <w:b w:val="0"/>
        </w:rPr>
        <w:t xml:space="preserve"> Weak; see Part VII.B.</w:t>
      </w:r>
    </w:p>
    <w:p>
      <w:pPr>
        <w:spacing w:after="120"/>
      </w:pPr>
      <w:r>
        <w:rPr>
          <w:b/>
        </w:rPr>
        <w:t>Assessment — damages: substantially overstated.</w:t>
      </w:r>
    </w:p>
    <w:p>
      <w:pPr>
        <w:pStyle w:val="ListBullet"/>
        <w:spacing w:after="60"/>
      </w:pPr>
      <w:r>
        <w:rPr>
          <w:b w:val="0"/>
        </w:rPr>
        <w:t>The $16.1M projection assumes 8.8% growth over Year 5’s $14.8M, while § 5.2 sets the Renewal Term baseline at $14.0M + CPI. Renewal Year 1 (Mar. 2024–Feb. 2025) is already over — actual data, not projections, should control, and Apex must account for mitigation (replacement product lines, actual Greenfield purchases if any continued).</w:t>
      </w:r>
    </w:p>
    <w:p>
      <w:pPr>
        <w:pStyle w:val="ListBullet"/>
        <w:spacing w:after="60"/>
      </w:pPr>
      <w:r>
        <w:rPr>
          <w:b w:val="0"/>
        </w:rPr>
        <w:t xml:space="preserve">A 22% </w:t>
      </w:r>
      <w:r>
        <w:rPr>
          <w:b/>
        </w:rPr>
        <w:t>gross</w:t>
      </w:r>
      <w:r>
        <w:rPr>
          <w:b w:val="0"/>
        </w:rPr>
        <w:t xml:space="preserve"> margin is not lost </w:t>
      </w:r>
      <w:r>
        <w:rPr>
          <w:b/>
        </w:rPr>
        <w:t>net</w:t>
      </w:r>
      <w:r>
        <w:rPr>
          <w:b w:val="0"/>
        </w:rPr>
        <w:t xml:space="preserve"> profit; Apex saved the variable costs of selling, servicing and financing the inventory. Conversely, we should be careful: if 22% is a margin on resale revenue, applying it to purchase cost actually understates gross profit (16.1M × 22%/78% ≈ $4.54M/yr). The real attack is gross-vs-net and the speculative volume assumption, not the multiplication.</w:t>
      </w:r>
    </w:p>
    <w:p>
      <w:pPr>
        <w:pStyle w:val="ListBullet"/>
        <w:spacing w:after="60"/>
      </w:pPr>
      <w:r>
        <w:rPr>
          <w:b w:val="0"/>
        </w:rPr>
        <w:t>The 18% “commission rate” is not in the Agreement excerpts and is inconsistent with Apex’s buy-resell model (Apex purchases product and earns a margin). Apex cannot recover both a margin on renewal-term purchases and a commission on the same customers’ volume; and the Initial-Term direct sales were made at Greenfield’s end-customer prices, so Apex’s true loss is its net margin on those sales.</w:t>
      </w:r>
    </w:p>
    <w:p>
      <w:pPr>
        <w:pStyle w:val="ListBullet"/>
        <w:spacing w:after="60"/>
      </w:pPr>
      <w:r>
        <w:rPr>
          <w:b w:val="0"/>
        </w:rPr>
        <w:t xml:space="preserve">Internal inconsistency to probe: ¶ 7 says Apex derived $14.8M of FY2024 revenue from Greenfield products — the same figure as Year 5 </w:t>
      </w:r>
      <w:r>
        <w:rPr>
          <w:b/>
        </w:rPr>
        <w:t>purchases</w:t>
      </w:r>
      <w:r>
        <w:rPr>
          <w:b w:val="0"/>
        </w:rPr>
        <w:t xml:space="preserve"> (Mar. 2023–Feb. 2024). If Greenfield stopped supplying Apex after Feb. 28, 2024, FY2024 Greenfield revenue should be far lower; if Apex kept buying in 2024, the claimed loss of the entire renewal-term margin is overstated.</w:t>
      </w:r>
    </w:p>
    <w:p>
      <w:pPr>
        <w:pStyle w:val="ListBullet"/>
        <w:spacing w:after="60"/>
      </w:pPr>
      <w:r>
        <w:rPr>
          <w:b w:val="0"/>
        </w:rPr>
        <w:t>Section 14.2 fees and N.C. prejudgment interest (legal rate 8%, N.C. Gen. Stat. §§ 24-1, 24-5(a), if N.C. law governs interest — research item) add materially to exposure.</w:t>
      </w:r>
    </w:p>
    <w:p>
      <w:pPr>
        <w:spacing w:after="120"/>
      </w:pPr>
      <w:r>
        <w:rPr>
          <w:b/>
        </w:rPr>
        <w:t>Specific performance</w:t>
      </w:r>
      <w:r>
        <w:rPr>
          <w:b w:val="0"/>
        </w:rPr>
        <w:t xml:space="preserve"> through Feb. 28, 2026 is of diminishing practical value: the window closes in ~10 months, well before any trial.</w:t>
      </w:r>
    </w:p>
    <w:p>
      <w:pPr>
        <w:pStyle w:val="Heading2"/>
      </w:pPr>
      <w:r>
        <w:t>Count II — Tortious Interference with Business Relationships ($6,200,000 + punitive damages)</w:t>
      </w:r>
    </w:p>
    <w:p>
      <w:pPr>
        <w:spacing w:after="120"/>
      </w:pPr>
      <w:r>
        <w:rPr>
          <w:b/>
        </w:rPr>
        <w:t>Apex’s theory.</w:t>
      </w:r>
      <w:r>
        <w:rPr>
          <w:b w:val="0"/>
        </w:rPr>
        <w:t xml:space="preserve"> Greenfield knew of Apex’s relationships with the four customers and induced them to buy direct through undercut pricing, use of Apex confidential pricing, and confusion created by the defective notices; damages are the $6.2M NPV of those relationships, plus punitive damages.</w:t>
      </w:r>
    </w:p>
    <w:p>
      <w:pPr>
        <w:spacing w:after="120"/>
      </w:pPr>
      <w:r>
        <w:rPr>
          <w:b/>
        </w:rPr>
        <w:t>Assessment — moderate-to-low risk; strong motion-to-dismiss candidate.</w:t>
      </w:r>
    </w:p>
    <w:p>
      <w:pPr>
        <w:pStyle w:val="ListBullet"/>
        <w:spacing w:after="60"/>
      </w:pPr>
      <w:r>
        <w:rPr>
          <w:b/>
        </w:rPr>
        <w:t>Choice of law.</w:t>
      </w:r>
      <w:r>
        <w:rPr>
          <w:b w:val="0"/>
        </w:rPr>
        <w:t xml:space="preserve"> N.C. applies lex loci delicti to tort claims (place of injury). Apex is a Georgia company and its injury was arguably felt in Georgia, though the customers sit in four states. Section 16.1 is a narrow clause (“this Agreement shall be governed”) that likely does not reach torts. Expect Apex to argue Georgia; Greenfield should evaluate which law is more favorable on each element.</w:t>
      </w:r>
    </w:p>
    <w:p>
      <w:pPr>
        <w:pStyle w:val="ListBullet"/>
        <w:spacing w:after="60"/>
      </w:pPr>
      <w:r>
        <w:rPr>
          <w:b/>
        </w:rPr>
        <w:t>Georgia “stranger doctrine.”</w:t>
      </w:r>
      <w:r>
        <w:rPr>
          <w:b w:val="0"/>
        </w:rPr>
        <w:t xml:space="preserve"> Under Georgia law, a defendant is liable for tortious interference only if it is a “stranger” to the business relationship at issue; a party whose products and contract are integral to the relationship is not (see, e.g., Atlanta Market Center Mgmt. Co. v. McLane, 269 Ga. 604 (1998) — verify). As the manufacturer whose products were the very subject of Apex’s customer relationships, and as Apex’s contractual counterparty, Greenfield has a strong argument that it is not a stranger.</w:t>
      </w:r>
    </w:p>
    <w:p>
      <w:pPr>
        <w:pStyle w:val="ListBullet"/>
        <w:spacing w:after="60"/>
      </w:pPr>
      <w:r>
        <w:rPr>
          <w:b/>
        </w:rPr>
        <w:t>Contract/tort overlap.</w:t>
      </w:r>
      <w:r>
        <w:rPr>
          <w:b w:val="0"/>
        </w:rPr>
        <w:t xml:space="preserve"> The conduct is the same conduct alleged as breach of contract; both Georgia and N.C. limit tort recovery for what is essentially a contract dispute (independent-duty / economic-loss principles). Under N.C. law, interference with prospective advantage also requires proof that a contract would have resulted but for the interference and that the defendant acted without justification; legitimate competitive interest is a justification (in N.C., “competition” privilege) — though Greenfield’s competition during the exclusivity period is not obviously legitimate.</w:t>
      </w:r>
    </w:p>
    <w:p>
      <w:pPr>
        <w:pStyle w:val="ListBullet"/>
        <w:spacing w:after="60"/>
      </w:pPr>
      <w:r>
        <w:rPr>
          <w:b/>
        </w:rPr>
        <w:t>GTSA displacement.</w:t>
      </w:r>
      <w:r>
        <w:rPr>
          <w:b w:val="0"/>
        </w:rPr>
        <w:t xml:space="preserve"> To the extent ¶ 90(b) rests on use of confidential information, O.C.G.A. § 10-1-767 displaces conflicting tort and restitutionary claims based on misappropriation of trade secrets.</w:t>
      </w:r>
    </w:p>
    <w:p>
      <w:pPr>
        <w:pStyle w:val="ListBullet"/>
        <w:spacing w:after="60"/>
      </w:pPr>
      <w:r>
        <w:rPr>
          <w:b/>
        </w:rPr>
        <w:t>Damages.</w:t>
      </w:r>
      <w:r>
        <w:rPr>
          <w:b w:val="0"/>
        </w:rPr>
        <w:t xml:space="preserve"> The $6.2M NPV is unsupported (deferred to expert testimony, ¶ 95) and overlaps Count I: the four customers’ purchases through Feb. 2026 are already inside the $16.1M projection. Value beyond Feb. 28, 2026 is speculative because Greenfield could lawfully decline to renew. Historical sales to these customers ($11.3M cumulative over 3–5 years) are revenue, not profit.</w:t>
      </w:r>
    </w:p>
    <w:p>
      <w:pPr>
        <w:pStyle w:val="ListBullet"/>
        <w:spacing w:after="60"/>
      </w:pPr>
      <w:r>
        <w:rPr>
          <w:b/>
        </w:rPr>
        <w:t>Punitive damages.</w:t>
      </w:r>
      <w:r>
        <w:rPr>
          <w:b w:val="0"/>
        </w:rPr>
        <w:t xml:space="preserve"> N.C. requires clear and convincing proof of fraud, malice or willful/wanton conduct, with participation or condonation by officers, directors or managers, and caps punitive damages at the greater of 3× compensatory damages or $250,000 (N.C. Gen. Stat. §§ 1D-15, 1D-25). Georgia caps at $250,000 absent specific intent to harm (O.C.G.A. § 51-12-5.1(g)) — verify. Hargrove’s documented eagerness to start direct sales is the risk factor here.</w:t>
      </w:r>
    </w:p>
    <w:p>
      <w:pPr>
        <w:pStyle w:val="Heading2"/>
      </w:pPr>
      <w:r>
        <w:t>Count III — Trade Secret Misappropriation, GTSA and DTSA ($6,800,000 + fees)</w:t>
      </w:r>
    </w:p>
    <w:p>
      <w:pPr>
        <w:spacing w:after="120"/>
      </w:pPr>
      <w:r>
        <w:rPr>
          <w:b/>
        </w:rPr>
        <w:t>Apex’s theory.</w:t>
      </w:r>
      <w:r>
        <w:rPr>
          <w:b w:val="0"/>
        </w:rPr>
        <w:t xml:space="preserve"> Kelsey and Ostrowski possessed Apex’s customer database, pricing matrices, discount structures and pipeline forecasts; Greenfield hired them to obtain and use that information; misappropriation was willful and malicious. Damages: $3.4M “replacement cost” plus $3.4M exemplary damages; fees under O.C.G.A. § 10-1-764; injunction under § 10-1-762 and 18 U.S.C. § 1836(b)(3)(A).</w:t>
      </w:r>
    </w:p>
    <w:p>
      <w:pPr>
        <w:spacing w:after="120"/>
      </w:pPr>
      <w:r>
        <w:rPr>
          <w:b/>
        </w:rPr>
        <w:t>Assessment — liability: low-to-moderate on current record; highest-variance count.</w:t>
      </w:r>
    </w:p>
    <w:p>
      <w:pPr>
        <w:pStyle w:val="ListBullet"/>
        <w:spacing w:after="60"/>
      </w:pPr>
      <w:r>
        <w:rPr>
          <w:b/>
        </w:rPr>
        <w:t>Timeline contradiction.</w:t>
      </w:r>
      <w:r>
        <w:rPr>
          <w:b w:val="0"/>
        </w:rPr>
        <w:t xml:space="preserve"> $2.71M of the $4.26M in direct sales predate the February 2024 hires, so they cannot have been driven by information the employees “brought with them.” The pleaded inference (¶¶ 111–113) is contradicted by Exhibit E. Only the Feb. 5, 2024 Southeastern Bottling sale ($1.55M) could plausibly overlap — we need Kelsey’s and Ostrowski’s exact start dates and whether either touched that deal.</w:t>
      </w:r>
    </w:p>
    <w:p>
      <w:pPr>
        <w:pStyle w:val="ListBullet"/>
        <w:spacing w:after="60"/>
      </w:pPr>
      <w:r>
        <w:rPr>
          <w:b/>
        </w:rPr>
        <w:t>No identified taking.</w:t>
      </w:r>
      <w:r>
        <w:rPr>
          <w:b w:val="0"/>
        </w:rPr>
        <w:t xml:space="preserve"> Every key allegation of acquisition and use is “upon information and belief” (¶¶ 4, 54, 66–68). There is no allegation of downloads, emails to personal accounts, or retained devices. Our immediate forensic review must confirm that this is true in fact before we lean on it.</w:t>
      </w:r>
    </w:p>
    <w:p>
      <w:pPr>
        <w:pStyle w:val="ListBullet"/>
        <w:spacing w:after="60"/>
      </w:pPr>
      <w:r>
        <w:rPr>
          <w:b/>
        </w:rPr>
        <w:t>Secrecy as against Greenfield.</w:t>
      </w:r>
      <w:r>
        <w:rPr>
          <w:b w:val="0"/>
        </w:rPr>
        <w:t xml:space="preserve"> Apex pleads that Greenfield’s own records reflected all prior sales to these customers through Apex (¶¶ 53, 88). Customer identities and product/volume data were thus known to Greenfield independently as the manufacturer. Apex’s resale pricing is known to each customer. Greenfield should develop its independent-source evidence (its own list prices, ship-to and warranty data, prior quotes).</w:t>
      </w:r>
    </w:p>
    <w:p>
      <w:pPr>
        <w:pStyle w:val="ListBullet"/>
        <w:spacing w:after="60"/>
      </w:pPr>
      <w:r>
        <w:rPr>
          <w:b/>
        </w:rPr>
        <w:t>Damages measure.</w:t>
      </w:r>
      <w:r>
        <w:rPr>
          <w:b w:val="0"/>
        </w:rPr>
        <w:t xml:space="preserve"> “Replacement cost” of $3.4M includes hiring and training personnel and “rebuilding customer relationships” (¶ 71), which overlaps Count II, and Apex mislabels it as Greenfield’s “unjust enrichment” (¶ 106). Exemplary damages require a willful and malicious finding and are capped at twice the award (O.C.G.A. § 10-1-763; DTSA § 1836(b)(3)(C)). </w:t>
      </w:r>
      <w:r>
        <w:rPr>
          <w:b/>
        </w:rPr>
        <w:t>Note the upside risk:</w:t>
      </w:r>
      <w:r>
        <w:rPr>
          <w:b w:val="0"/>
        </w:rPr>
        <w:t xml:space="preserve"> Apex claims only 1×, but the statutory cap is 2× — a $3.4M actual award could support up to $6.8M in exemplary damages ($10.2M total), plus fees.</w:t>
      </w:r>
    </w:p>
    <w:p>
      <w:pPr>
        <w:pStyle w:val="ListBullet"/>
        <w:spacing w:after="60"/>
      </w:pPr>
      <w:r>
        <w:rPr>
          <w:b/>
        </w:rPr>
        <w:t>Injunction limits.</w:t>
      </w:r>
      <w:r>
        <w:rPr>
          <w:b w:val="0"/>
        </w:rPr>
        <w:t xml:space="preserve"> The DTSA bars an injunction that prevents a person from entering an employment relationship and requires evidence of threatened misappropriation rather than merely what a person knows. Georgia has not recognized an independent “inevitable disclosure” basis for injunctive relief (see Holton v. Physician Oncology Servs., 292 Ga. 864 (2013) — verify).</w:t>
      </w:r>
    </w:p>
    <w:p>
      <w:pPr>
        <w:pStyle w:val="Heading2"/>
      </w:pPr>
      <w:r>
        <w:t>Count IV — Unjust Enrichment ($1,491,000)</w:t>
      </w:r>
    </w:p>
    <w:p>
      <w:pPr>
        <w:spacing w:after="120"/>
      </w:pPr>
      <w:r>
        <w:rPr>
          <w:b/>
        </w:rPr>
        <w:t>Apex’s theory.</w:t>
      </w:r>
      <w:r>
        <w:rPr>
          <w:b w:val="0"/>
        </w:rPr>
        <w:t xml:space="preserve"> Alternative to Count I; disgorgement of Greenfield’s 35% profit on the $4.26M of direct sales.</w:t>
      </w:r>
    </w:p>
    <w:p>
      <w:pPr>
        <w:spacing w:after="120"/>
      </w:pPr>
      <w:r>
        <w:rPr>
          <w:b/>
        </w:rPr>
        <w:t>Assessment — low risk.</w:t>
      </w:r>
      <w:r>
        <w:rPr>
          <w:b w:val="0"/>
        </w:rPr>
        <w:t xml:space="preserve"> Unjust enrichment is generally unavailable where an express contract governs the same subject matter (and here both sides plead the Agreement’s validity). The claim duplicates Count I’s recovery on the same sales and is displaced by the GTSA to the extent premised on misappropriation (¶ 120). The 35% margin is pleaded on information and belief. Critically, although pleaded in the alternative (¶ 116), the $1,491,000 is </w:t>
      </w:r>
      <w:r>
        <w:rPr>
          <w:b/>
        </w:rPr>
        <w:t>added</w:t>
      </w:r>
      <w:r>
        <w:rPr>
          <w:b w:val="0"/>
        </w:rPr>
        <w:t xml:space="preserve"> into the $22,341,800 total (Prayer ¶ 5) — the total is overstated by at least this amount on Apex’s own pleading theory.</w:t>
      </w:r>
    </w:p>
    <w:p>
      <w:pPr>
        <w:pStyle w:val="Heading1"/>
      </w:pPr>
      <w:r>
        <w:t>VII. Responses to Ms. Yuen’s Specific Questions</w:t>
      </w:r>
    </w:p>
    <w:p>
      <w:pPr>
        <w:pStyle w:val="Heading2"/>
      </w:pPr>
      <w:r>
        <w:t>A. Is Sept. 12, 2023 → Feb. 28, 2024 fewer than 180 days?</w:t>
      </w:r>
    </w:p>
    <w:p>
      <w:pPr>
        <w:spacing w:after="120"/>
      </w:pPr>
      <w:r>
        <w:rPr>
          <w:b w:val="0"/>
        </w:rPr>
        <w:t xml:space="preserve">Yes. The interval is </w:t>
      </w:r>
      <w:r>
        <w:rPr>
          <w:b/>
        </w:rPr>
        <w:t>169 days</w:t>
      </w:r>
      <w:r>
        <w:rPr>
          <w:b w:val="0"/>
        </w:rPr>
        <w:t xml:space="preserve"> (Sept. 12→30: 18; Oct.: 31; Nov.: 30; Dec.: 31; Jan.: 31; Feb. 1–28: 28). The last day on which a notice would have provided a full 180 days was </w:t>
      </w:r>
      <w:r>
        <w:rPr>
          <w:b/>
        </w:rPr>
        <w:t>Friday, Sept. 1, 2023</w:t>
      </w:r>
      <w:r>
        <w:rPr>
          <w:b w:val="0"/>
        </w:rPr>
        <w:t>; Apex’s Aug. 31 date is one day conservative and immaterial. The July 15, 2023 notice was timely (228 days) but signed by the wrong officer. On the present record, Apex’s position that the Agreement renewed through Feb. 28, 2026 has substantial merit, and we should plan the defense on the assumption that the renewal issue is likely to be decided against Greenfield, while preserving the arguments in Part VI (Count I) and developing the facts on Ellsworth’s prior authorization of the July 15 letter. Greenfield’s failure to answer the Aug. 3 letter does not itself create liability, but it will feature prominently as evidence that Greenfield had notice and time to cure.</w:t>
      </w:r>
    </w:p>
    <w:p>
      <w:pPr>
        <w:pStyle w:val="Heading2"/>
      </w:pPr>
      <w:r>
        <w:t>B. Did Greenfield waive the Year 2 shortfall, and does Apex’s overall performance defeat a material-breach argument?</w:t>
      </w:r>
    </w:p>
    <w:p>
      <w:pPr>
        <w:pStyle w:val="ListBullet"/>
        <w:spacing w:after="60"/>
      </w:pPr>
      <w:r>
        <w:rPr>
          <w:b/>
        </w:rPr>
        <w:t>Termination/renewal:</w:t>
      </w:r>
      <w:r>
        <w:rPr>
          <w:b w:val="0"/>
        </w:rPr>
        <w:t xml:space="preserve"> The shortfall is legally irrelevant to non-renewal (non-renewal needs no cause), and Greenfield cannot use it as a basis for termination because it never gave the § 5.3 notice that is an express precondition to § 12.1(b) termination.</w:t>
      </w:r>
    </w:p>
    <w:p>
      <w:pPr>
        <w:pStyle w:val="ListBullet"/>
        <w:spacing w:after="60"/>
      </w:pPr>
      <w:r>
        <w:rPr>
          <w:b/>
        </w:rPr>
        <w:t>Prior-material-breach defense:</w:t>
      </w:r>
      <w:r>
        <w:rPr>
          <w:b w:val="0"/>
        </w:rPr>
        <w:t xml:space="preserve"> Weak. Apex’s cumulative purchases exceeded the aggregate minimum by $1.7M; it exceeded each later year’s minimum; and Greenfield accepted performance for three years without reservation. Under Georgia law, acceptance of non-conforming performance and a course of dealing departing from the contract’s terms generally require reasonable notice before strict compliance can again be insisted upon (cf. O.C.G.A. § 13-4-4 — verify), and waiver/estoppel arguments favor Apex. A no-waiver clause in the omitted sections, if present, would help only modestly.</w:t>
      </w:r>
    </w:p>
    <w:p>
      <w:pPr>
        <w:pStyle w:val="ListBullet"/>
        <w:spacing w:after="60"/>
      </w:pPr>
      <w:r>
        <w:rPr>
          <w:b/>
        </w:rPr>
        <w:t>Affirmative counterclaim for the shortfall:</w:t>
      </w:r>
      <w:r>
        <w:rPr>
          <w:b w:val="0"/>
        </w:rPr>
        <w:t xml:space="preserve"> Greenfield’s damages would be its lost margin on $2.1M of purchases, not $2.1M. The claim accrued no later than Feb. 28, 2021. N.C. ordinarily treats limitations as procedural and applies its own 3-year contract period (N.C. Gen. Stat. § 1-52(1)), which would have run by about Feb. 28, 2024; Georgia’s 6-year period for written contracts (O.C.G.A. § 9-3-24) would not. Research the N.C. choice-of-law treatment and whether the claim survives defensively as </w:t>
      </w:r>
      <w:r>
        <w:rPr>
          <w:b/>
        </w:rPr>
        <w:t>recoupment</w:t>
      </w:r>
      <w:r>
        <w:rPr>
          <w:b w:val="0"/>
        </w:rPr>
        <w:t xml:space="preserve"> arising from the same transaction. COVID-related force majeure (if the Agreement contains such a clause) is a further Apex defense.</w:t>
      </w:r>
    </w:p>
    <w:p>
      <w:pPr>
        <w:pStyle w:val="ListBullet"/>
        <w:spacing w:after="60"/>
      </w:pPr>
      <w:r>
        <w:rPr>
          <w:b/>
        </w:rPr>
        <w:t>Recommendation:</w:t>
      </w:r>
      <w:r>
        <w:rPr>
          <w:b w:val="0"/>
        </w:rPr>
        <w:t xml:space="preserve"> Do not lead with the Year 2 shortfall. Preserve it as an affirmative defense and recoupment/set-off, but avoid making it a centerpiece that invites a “manufacturer looking for pretexts” narrative.</w:t>
      </w:r>
    </w:p>
    <w:p>
      <w:pPr>
        <w:pStyle w:val="Heading2"/>
      </w:pPr>
      <w:r>
        <w:t>C. Which state’s law governs enforceability of the Kelsey/Ostrowski covenants in this N.C. forum?</w:t>
      </w:r>
    </w:p>
    <w:p>
      <w:pPr>
        <w:pStyle w:val="ListBullet"/>
        <w:spacing w:after="60"/>
      </w:pPr>
      <w:r>
        <w:rPr>
          <w:b/>
        </w:rPr>
        <w:t>Framework.</w:t>
      </w:r>
      <w:r>
        <w:rPr>
          <w:b w:val="0"/>
        </w:rPr>
        <w:t xml:space="preserve"> A N.C. state court applies N.C. choice-of-law rules. N.C. generally honors a contractual choice of law where the chosen state has a substantial relationship to the parties or transaction, unless applying it would violate a fundamental N.C. public policy (Tanglewood Land Co. v. Byrd, 299 N.C. 260 (1980); Restatement (Second) of Conflict of Laws § 187 — verify). Georgia plainly has a substantial relationship: Apex is a Georgia LLC; both employees resided in Georgia when they signed; they worked for Apex out of Georgia.</w:t>
      </w:r>
    </w:p>
    <w:p>
      <w:pPr>
        <w:pStyle w:val="ListBullet"/>
        <w:spacing w:after="60"/>
      </w:pPr>
      <w:r>
        <w:rPr>
          <w:b/>
        </w:rPr>
        <w:t>The Distribution Agreement’s clauses do not control.</w:t>
      </w:r>
      <w:r>
        <w:rPr>
          <w:b w:val="0"/>
        </w:rPr>
        <w:t xml:space="preserve"> Sections 16.1 and 16.3 govern disputes arising under the Distribution Agreement between Apex and Greenfield. Kelsey and Ostrowski are not parties to it, and Greenfield is not a party to the employment agreements. The employment agreements’ own § 12 (Georgia law) is the relevant clause; whether those agreements contain their own forum clause is unknown (§§ 10–11 and the remainder were omitted) and must be checked.</w:t>
      </w:r>
    </w:p>
    <w:p>
      <w:pPr>
        <w:pStyle w:val="ListBullet"/>
        <w:spacing w:after="60"/>
      </w:pPr>
      <w:r>
        <w:rPr>
          <w:b/>
        </w:rPr>
        <w:t>Georgia law (likely default).</w:t>
      </w:r>
      <w:r>
        <w:rPr>
          <w:b w:val="0"/>
        </w:rPr>
        <w:t xml:space="preserve"> The Georgia Restrictive Covenants Act (O.C.G.A. § 13-8-50 et seq.) applies to agreements entered after May 11, 2011. It permits non-competes against employees who customarily solicit customers or make sales, or are key employees (§ 13-8-53(a)); presumes a post-employment restraint of 2 years or less reasonable (§ 13-8-57(b)); and authorizes courts to modify (blue-pencil) overbroad covenants (§§ 13-8-53(d), 13-8-54). Under Georgia law, Kelsey (regional sales manager) and Ostrowski (technical account executive) likely fall within the covered categories, and a court could narrow the 8-state territory or “any capacity” language rather than strike the covenant — this is the less favorable regime for Greenfield.</w:t>
      </w:r>
    </w:p>
    <w:p>
      <w:pPr>
        <w:pStyle w:val="ListBullet"/>
        <w:spacing w:after="60"/>
      </w:pPr>
      <w:r>
        <w:rPr>
          <w:b/>
        </w:rPr>
        <w:t>North Carolina law (Greenfield’s preferred regime).</w:t>
      </w:r>
      <w:r>
        <w:rPr>
          <w:b w:val="0"/>
        </w:rPr>
        <w:t xml:space="preserve"> N.C. enforces non-competes that are in writing, supported by consideration, reasonable in time and territory, and protective of a legitimate business interest (N.C. Gen. Stat. § 75-4), but applies a strict blue-pencil rule (courts may strike distinct provisions but not rewrite them). N.C. courts have frequently found covenants overbroad where they bar work for a competitor “in any capacity” across a large multi-state territory. Greenfield’s argument for N.C. law: the employees now live and work in N.C., the forum is N.C., and enforcement of a covenant N.C. would not enforce as written implicates N.C. policy on restraints of trade. This is an uphill argument against a clear choice-of-law clause, but it is credible enough to brief, and it is worth researching recent N.C. Business Court decisions on foreign-law restrictive covenants.</w:t>
      </w:r>
    </w:p>
    <w:p>
      <w:pPr>
        <w:pStyle w:val="ListBullet"/>
        <w:spacing w:after="60"/>
      </w:pPr>
      <w:r>
        <w:rPr>
          <w:b/>
        </w:rPr>
        <w:t>Practical significance.</w:t>
      </w:r>
      <w:r>
        <w:rPr>
          <w:b w:val="0"/>
        </w:rPr>
        <w:t xml:space="preserve"> Apex has </w:t>
      </w:r>
      <w:r>
        <w:rPr>
          <w:b/>
        </w:rPr>
        <w:t>not sued Kelsey or Ostrowski</w:t>
      </w:r>
      <w:r>
        <w:rPr>
          <w:b w:val="0"/>
        </w:rPr>
        <w:t xml:space="preserve"> and has not pleaded a separate count for interference with their contracts or for breach of the covenants. The covenant issue enters this case mainly through (i) injunction request ¶ 131(c), (ii) the ¶ 72 interference allegation, and (iii) willfulness. Our TRO opposition should argue that the Court cannot adjudicate the enforceability of contracts between Apex and non-parties, nor effectively enjoin their employment, on this record — and that the covenants expire around Feb. 2026 in any event. </w:t>
      </w:r>
      <w:r>
        <w:rPr>
          <w:b/>
        </w:rPr>
        <w:t>Conflict check:</w:t>
      </w:r>
      <w:r>
        <w:rPr>
          <w:b w:val="0"/>
        </w:rPr>
        <w:t xml:space="preserve"> Kelsey and Ostrowski should have separate counsel (Greenfield may consider indemnification/advancement); their interests may diverge from Greenfield’s.</w:t>
      </w:r>
    </w:p>
    <w:p>
      <w:pPr>
        <w:pStyle w:val="Heading2"/>
      </w:pPr>
      <w:r>
        <w:t>D. How should the TRO opposition be prioritized relative to the answer?</w:t>
      </w:r>
    </w:p>
    <w:p>
      <w:pPr>
        <w:spacing w:after="120"/>
      </w:pPr>
      <w:r>
        <w:rPr>
          <w:b w:val="0"/>
        </w:rPr>
        <w:t xml:space="preserve">Ms. Yuen’s instinct is correct: the May 9 hearing comes first, and we should not file the answer early. Recommended sequencing: (1) obtain a 30-day clerk’s extension under Rule 6(b) promptly so the responsive pleading is not due until approximately June 26, 2025 (confirm with opposing counsel as a courtesy); (2) make the removal and Business Court designation decisions </w:t>
      </w:r>
      <w:r>
        <w:rPr>
          <w:b/>
        </w:rPr>
        <w:t>before</w:t>
      </w:r>
      <w:r>
        <w:rPr>
          <w:b w:val="0"/>
        </w:rPr>
        <w:t xml:space="preserve"> the extension is relied upon, because those deadlines run from service and cannot be extended by the clerk (target decision by May 16, filing no later than May 22 as a protective date); (3) build the TRO record now — affidavits will become our first sworn statements, so they must be accurate, narrow and consistent with the eventual answer (no denials of facts we will later have to admit, such as the dates and signatories of the notices); (4) use the extension period to prepare Rule 12(b)(6) motions on Counts II and IV (and possibly portions of Count III) together with an answer and counterclaim on Count I.</w:t>
      </w:r>
    </w:p>
    <w:p>
      <w:pPr>
        <w:pStyle w:val="Heading1"/>
      </w:pPr>
      <w:r>
        <w:t>VIII. Damages Analysis and Realistic Exposure</w:t>
      </w:r>
    </w:p>
    <w:p>
      <w:pPr>
        <w:pStyle w:val="Heading2"/>
      </w:pPr>
      <w:r>
        <w:t>A. Pleaded damages and arithmetic check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20"/>
            <w:shd w:val="clear" w:color="auto" w:fill="D9E2F3"/>
          </w:tcPr>
          <w:p>
            <w:r/>
            <w:r>
              <w:rPr>
                <w:b/>
                <w:sz w:val="16"/>
              </w:rPr>
              <w:t>Count</w:t>
            </w:r>
          </w:p>
        </w:tc>
        <w:tc>
          <w:tcPr>
            <w:tcW w:type="dxa" w:w="2592"/>
            <w:shd w:val="clear" w:color="auto" w:fill="D9E2F3"/>
          </w:tcPr>
          <w:p>
            <w:r/>
            <w:r>
              <w:rPr>
                <w:b/>
                <w:sz w:val="16"/>
              </w:rPr>
              <w:t>Component</w:t>
            </w:r>
          </w:p>
        </w:tc>
        <w:tc>
          <w:tcPr>
            <w:tcW w:type="dxa" w:w="2736"/>
            <w:shd w:val="clear" w:color="auto" w:fill="D9E2F3"/>
          </w:tcPr>
          <w:p>
            <w:r/>
            <w:r>
              <w:rPr>
                <w:b/>
                <w:sz w:val="16"/>
              </w:rPr>
              <w:t>Apex’s calculation</w:t>
            </w:r>
          </w:p>
        </w:tc>
        <w:tc>
          <w:tcPr>
            <w:tcW w:type="dxa" w:w="1584"/>
            <w:shd w:val="clear" w:color="auto" w:fill="D9E2F3"/>
          </w:tcPr>
          <w:p>
            <w:r/>
            <w:r>
              <w:rPr>
                <w:b/>
                <w:sz w:val="16"/>
              </w:rPr>
              <w:t>Amount</w:t>
            </w:r>
          </w:p>
        </w:tc>
        <w:tc>
          <w:tcPr>
            <w:tcW w:type="dxa" w:w="1728"/>
            <w:shd w:val="clear" w:color="auto" w:fill="D9E2F3"/>
          </w:tcPr>
          <w:p>
            <w:r/>
            <w:r>
              <w:rPr>
                <w:b/>
                <w:sz w:val="16"/>
              </w:rPr>
              <w:t>Arithmetic verified?</w:t>
            </w:r>
          </w:p>
        </w:tc>
      </w:tr>
      <w:tr>
        <w:tc>
          <w:tcPr>
            <w:tcW w:type="dxa" w:w="720"/>
          </w:tcPr>
          <w:p>
            <w:r>
              <w:rPr>
                <w:sz w:val="16"/>
              </w:rPr>
            </w:r>
            <w:r>
              <w:rPr>
                <w:b w:val="0"/>
                <w:sz w:val="16"/>
              </w:rPr>
              <w:t>I</w:t>
            </w:r>
          </w:p>
        </w:tc>
        <w:tc>
          <w:tcPr>
            <w:tcW w:type="dxa" w:w="2592"/>
          </w:tcPr>
          <w:p>
            <w:r>
              <w:rPr>
                <w:sz w:val="16"/>
              </w:rPr>
            </w:r>
            <w:r>
              <w:rPr>
                <w:b w:val="0"/>
                <w:sz w:val="16"/>
              </w:rPr>
              <w:t>Renewal-term lost profits</w:t>
            </w:r>
          </w:p>
        </w:tc>
        <w:tc>
          <w:tcPr>
            <w:tcW w:type="dxa" w:w="2736"/>
          </w:tcPr>
          <w:p>
            <w:r>
              <w:rPr>
                <w:sz w:val="16"/>
              </w:rPr>
            </w:r>
            <w:r>
              <w:rPr>
                <w:b w:val="0"/>
                <w:sz w:val="16"/>
              </w:rPr>
              <w:t>$16,100,000 × 22% × 2 yrs</w:t>
            </w:r>
          </w:p>
        </w:tc>
        <w:tc>
          <w:tcPr>
            <w:tcW w:type="dxa" w:w="1584"/>
          </w:tcPr>
          <w:p>
            <w:r>
              <w:rPr>
                <w:sz w:val="16"/>
              </w:rPr>
            </w:r>
            <w:r>
              <w:rPr>
                <w:b w:val="0"/>
                <w:sz w:val="16"/>
              </w:rPr>
              <w:t>$7,084,000</w:t>
            </w:r>
          </w:p>
        </w:tc>
        <w:tc>
          <w:tcPr>
            <w:tcW w:type="dxa" w:w="1728"/>
          </w:tcPr>
          <w:p>
            <w:r>
              <w:rPr>
                <w:sz w:val="16"/>
              </w:rPr>
            </w:r>
            <w:r>
              <w:rPr>
                <w:b w:val="0"/>
                <w:sz w:val="16"/>
              </w:rPr>
              <w:t>Yes</w:t>
            </w:r>
          </w:p>
        </w:tc>
      </w:tr>
      <w:tr>
        <w:tc>
          <w:tcPr>
            <w:tcW w:type="dxa" w:w="720"/>
          </w:tcPr>
          <w:p>
            <w:r>
              <w:rPr>
                <w:sz w:val="16"/>
              </w:rPr>
            </w:r>
            <w:r>
              <w:rPr>
                <w:b w:val="0"/>
                <w:sz w:val="16"/>
              </w:rPr>
              <w:t>I</w:t>
            </w:r>
          </w:p>
        </w:tc>
        <w:tc>
          <w:tcPr>
            <w:tcW w:type="dxa" w:w="2592"/>
          </w:tcPr>
          <w:p>
            <w:r>
              <w:rPr>
                <w:sz w:val="16"/>
              </w:rPr>
            </w:r>
            <w:r>
              <w:rPr>
                <w:b w:val="0"/>
                <w:sz w:val="16"/>
              </w:rPr>
              <w:t>Lost commissions on direct sales</w:t>
            </w:r>
          </w:p>
        </w:tc>
        <w:tc>
          <w:tcPr>
            <w:tcW w:type="dxa" w:w="2736"/>
          </w:tcPr>
          <w:p>
            <w:r>
              <w:rPr>
                <w:sz w:val="16"/>
              </w:rPr>
            </w:r>
            <w:r>
              <w:rPr>
                <w:b w:val="0"/>
                <w:sz w:val="16"/>
              </w:rPr>
              <w:t>$4,260,000 × 18%</w:t>
            </w:r>
          </w:p>
        </w:tc>
        <w:tc>
          <w:tcPr>
            <w:tcW w:type="dxa" w:w="1584"/>
          </w:tcPr>
          <w:p>
            <w:r>
              <w:rPr>
                <w:sz w:val="16"/>
              </w:rPr>
            </w:r>
            <w:r>
              <w:rPr>
                <w:b w:val="0"/>
                <w:sz w:val="16"/>
              </w:rPr>
              <w:t>$766,800</w:t>
            </w:r>
          </w:p>
        </w:tc>
        <w:tc>
          <w:tcPr>
            <w:tcW w:type="dxa" w:w="1728"/>
          </w:tcPr>
          <w:p>
            <w:r>
              <w:rPr>
                <w:sz w:val="16"/>
              </w:rPr>
            </w:r>
            <w:r>
              <w:rPr>
                <w:b w:val="0"/>
                <w:sz w:val="16"/>
              </w:rPr>
              <w:t>Yes</w:t>
            </w:r>
          </w:p>
        </w:tc>
      </w:tr>
      <w:tr>
        <w:tc>
          <w:tcPr>
            <w:tcW w:type="dxa" w:w="720"/>
          </w:tcPr>
          <w:p>
            <w:r>
              <w:rPr>
                <w:sz w:val="16"/>
              </w:rPr>
            </w:r>
            <w:r>
              <w:rPr>
                <w:b w:val="0"/>
                <w:sz w:val="16"/>
              </w:rPr>
              <w:t>I</w:t>
            </w:r>
          </w:p>
        </w:tc>
        <w:tc>
          <w:tcPr>
            <w:tcW w:type="dxa" w:w="2592"/>
          </w:tcPr>
          <w:p>
            <w:r>
              <w:rPr>
                <w:sz w:val="16"/>
              </w:rPr>
            </w:r>
            <w:r>
              <w:rPr>
                <w:b w:val="0"/>
                <w:sz w:val="16"/>
              </w:rPr>
              <w:t>Subtotal</w:t>
            </w:r>
          </w:p>
        </w:tc>
        <w:tc>
          <w:tcPr>
            <w:tcW w:type="dxa" w:w="2736"/>
          </w:tcPr>
          <w:p>
            <w:r>
              <w:rPr>
                <w:sz w:val="16"/>
              </w:rPr>
            </w:r>
          </w:p>
        </w:tc>
        <w:tc>
          <w:tcPr>
            <w:tcW w:type="dxa" w:w="1584"/>
          </w:tcPr>
          <w:p>
            <w:r>
              <w:rPr>
                <w:sz w:val="16"/>
              </w:rPr>
            </w:r>
            <w:r>
              <w:rPr>
                <w:b/>
                <w:sz w:val="16"/>
              </w:rPr>
              <w:t>$7,850,800</w:t>
            </w:r>
          </w:p>
        </w:tc>
        <w:tc>
          <w:tcPr>
            <w:tcW w:type="dxa" w:w="1728"/>
          </w:tcPr>
          <w:p>
            <w:r>
              <w:rPr>
                <w:sz w:val="16"/>
              </w:rPr>
            </w:r>
            <w:r>
              <w:rPr>
                <w:b w:val="0"/>
                <w:sz w:val="16"/>
              </w:rPr>
              <w:t>Yes</w:t>
            </w:r>
          </w:p>
        </w:tc>
      </w:tr>
      <w:tr>
        <w:tc>
          <w:tcPr>
            <w:tcW w:type="dxa" w:w="720"/>
          </w:tcPr>
          <w:p>
            <w:r>
              <w:rPr>
                <w:sz w:val="16"/>
              </w:rPr>
            </w:r>
            <w:r>
              <w:rPr>
                <w:b w:val="0"/>
                <w:sz w:val="16"/>
              </w:rPr>
              <w:t>II</w:t>
            </w:r>
          </w:p>
        </w:tc>
        <w:tc>
          <w:tcPr>
            <w:tcW w:type="dxa" w:w="2592"/>
          </w:tcPr>
          <w:p>
            <w:r>
              <w:rPr>
                <w:sz w:val="16"/>
              </w:rPr>
            </w:r>
            <w:r>
              <w:rPr>
                <w:b w:val="0"/>
                <w:sz w:val="16"/>
              </w:rPr>
              <w:t>NPV of four customer relationships (+ punitive TBD)</w:t>
            </w:r>
          </w:p>
        </w:tc>
        <w:tc>
          <w:tcPr>
            <w:tcW w:type="dxa" w:w="2736"/>
          </w:tcPr>
          <w:p>
            <w:r>
              <w:rPr>
                <w:sz w:val="16"/>
              </w:rPr>
            </w:r>
            <w:r>
              <w:rPr>
                <w:b w:val="0"/>
                <w:sz w:val="16"/>
              </w:rPr>
              <w:t>Undisclosed model; expert to follow</w:t>
            </w:r>
          </w:p>
        </w:tc>
        <w:tc>
          <w:tcPr>
            <w:tcW w:type="dxa" w:w="1584"/>
          </w:tcPr>
          <w:p>
            <w:r>
              <w:rPr>
                <w:sz w:val="16"/>
              </w:rPr>
            </w:r>
            <w:r>
              <w:rPr>
                <w:b/>
                <w:sz w:val="16"/>
              </w:rPr>
              <w:t>$6,200,000</w:t>
            </w:r>
          </w:p>
        </w:tc>
        <w:tc>
          <w:tcPr>
            <w:tcW w:type="dxa" w:w="1728"/>
          </w:tcPr>
          <w:p>
            <w:r>
              <w:rPr>
                <w:sz w:val="16"/>
              </w:rPr>
            </w:r>
            <w:r>
              <w:rPr>
                <w:b w:val="0"/>
                <w:sz w:val="16"/>
              </w:rPr>
              <w:t>Not verifiable</w:t>
            </w:r>
          </w:p>
        </w:tc>
      </w:tr>
      <w:tr>
        <w:tc>
          <w:tcPr>
            <w:tcW w:type="dxa" w:w="720"/>
          </w:tcPr>
          <w:p>
            <w:r>
              <w:rPr>
                <w:sz w:val="16"/>
              </w:rPr>
            </w:r>
            <w:r>
              <w:rPr>
                <w:b w:val="0"/>
                <w:sz w:val="16"/>
              </w:rPr>
              <w:t>III</w:t>
            </w:r>
          </w:p>
        </w:tc>
        <w:tc>
          <w:tcPr>
            <w:tcW w:type="dxa" w:w="2592"/>
          </w:tcPr>
          <w:p>
            <w:r>
              <w:rPr>
                <w:sz w:val="16"/>
              </w:rPr>
            </w:r>
            <w:r>
              <w:rPr>
                <w:b w:val="0"/>
                <w:sz w:val="16"/>
              </w:rPr>
              <w:t>Actual (replacement cost)</w:t>
            </w:r>
          </w:p>
        </w:tc>
        <w:tc>
          <w:tcPr>
            <w:tcW w:type="dxa" w:w="2736"/>
          </w:tcPr>
          <w:p>
            <w:r>
              <w:rPr>
                <w:sz w:val="16"/>
              </w:rPr>
            </w:r>
            <w:r>
              <w:rPr>
                <w:b w:val="0"/>
                <w:sz w:val="16"/>
              </w:rPr>
              <w:t>Estimate</w:t>
            </w:r>
          </w:p>
        </w:tc>
        <w:tc>
          <w:tcPr>
            <w:tcW w:type="dxa" w:w="1584"/>
          </w:tcPr>
          <w:p>
            <w:r>
              <w:rPr>
                <w:sz w:val="16"/>
              </w:rPr>
            </w:r>
            <w:r>
              <w:rPr>
                <w:b w:val="0"/>
                <w:sz w:val="16"/>
              </w:rPr>
              <w:t>$3,400,000</w:t>
            </w:r>
          </w:p>
        </w:tc>
        <w:tc>
          <w:tcPr>
            <w:tcW w:type="dxa" w:w="1728"/>
          </w:tcPr>
          <w:p>
            <w:r>
              <w:rPr>
                <w:sz w:val="16"/>
              </w:rPr>
            </w:r>
            <w:r>
              <w:rPr>
                <w:b w:val="0"/>
                <w:sz w:val="16"/>
              </w:rPr>
              <w:t>Not verifiable</w:t>
            </w:r>
          </w:p>
        </w:tc>
      </w:tr>
      <w:tr>
        <w:tc>
          <w:tcPr>
            <w:tcW w:type="dxa" w:w="720"/>
          </w:tcPr>
          <w:p>
            <w:r>
              <w:rPr>
                <w:sz w:val="16"/>
              </w:rPr>
            </w:r>
            <w:r>
              <w:rPr>
                <w:b w:val="0"/>
                <w:sz w:val="16"/>
              </w:rPr>
              <w:t>III</w:t>
            </w:r>
          </w:p>
        </w:tc>
        <w:tc>
          <w:tcPr>
            <w:tcW w:type="dxa" w:w="2592"/>
          </w:tcPr>
          <w:p>
            <w:r>
              <w:rPr>
                <w:sz w:val="16"/>
              </w:rPr>
            </w:r>
            <w:r>
              <w:rPr>
                <w:b w:val="0"/>
                <w:sz w:val="16"/>
              </w:rPr>
              <w:t>Exemplary (1× claimed; statutory cap 2×)</w:t>
            </w:r>
          </w:p>
        </w:tc>
        <w:tc>
          <w:tcPr>
            <w:tcW w:type="dxa" w:w="2736"/>
          </w:tcPr>
          <w:p>
            <w:r>
              <w:rPr>
                <w:sz w:val="16"/>
              </w:rPr>
            </w:r>
            <w:r>
              <w:rPr>
                <w:b w:val="0"/>
                <w:sz w:val="16"/>
              </w:rPr>
              <w:t>$3,400,000 × 1</w:t>
            </w:r>
          </w:p>
        </w:tc>
        <w:tc>
          <w:tcPr>
            <w:tcW w:type="dxa" w:w="1584"/>
          </w:tcPr>
          <w:p>
            <w:r>
              <w:rPr>
                <w:sz w:val="16"/>
              </w:rPr>
            </w:r>
            <w:r>
              <w:rPr>
                <w:b w:val="0"/>
                <w:sz w:val="16"/>
              </w:rPr>
              <w:t>$3,400,000</w:t>
            </w:r>
          </w:p>
        </w:tc>
        <w:tc>
          <w:tcPr>
            <w:tcW w:type="dxa" w:w="1728"/>
          </w:tcPr>
          <w:p>
            <w:r>
              <w:rPr>
                <w:sz w:val="16"/>
              </w:rPr>
            </w:r>
            <w:r>
              <w:rPr>
                <w:b w:val="0"/>
                <w:sz w:val="16"/>
              </w:rPr>
              <w:t>Yes</w:t>
            </w:r>
          </w:p>
        </w:tc>
      </w:tr>
      <w:tr>
        <w:tc>
          <w:tcPr>
            <w:tcW w:type="dxa" w:w="720"/>
          </w:tcPr>
          <w:p>
            <w:r>
              <w:rPr>
                <w:sz w:val="16"/>
              </w:rPr>
            </w:r>
            <w:r>
              <w:rPr>
                <w:b w:val="0"/>
                <w:sz w:val="16"/>
              </w:rPr>
              <w:t>III</w:t>
            </w:r>
          </w:p>
        </w:tc>
        <w:tc>
          <w:tcPr>
            <w:tcW w:type="dxa" w:w="2592"/>
          </w:tcPr>
          <w:p>
            <w:r>
              <w:rPr>
                <w:sz w:val="16"/>
              </w:rPr>
            </w:r>
            <w:r>
              <w:rPr>
                <w:b w:val="0"/>
                <w:sz w:val="16"/>
              </w:rPr>
              <w:t>Subtotal</w:t>
            </w:r>
          </w:p>
        </w:tc>
        <w:tc>
          <w:tcPr>
            <w:tcW w:type="dxa" w:w="2736"/>
          </w:tcPr>
          <w:p>
            <w:r>
              <w:rPr>
                <w:sz w:val="16"/>
              </w:rPr>
            </w:r>
          </w:p>
        </w:tc>
        <w:tc>
          <w:tcPr>
            <w:tcW w:type="dxa" w:w="1584"/>
          </w:tcPr>
          <w:p>
            <w:r>
              <w:rPr>
                <w:sz w:val="16"/>
              </w:rPr>
            </w:r>
            <w:r>
              <w:rPr>
                <w:b/>
                <w:sz w:val="16"/>
              </w:rPr>
              <w:t>$6,800,000</w:t>
            </w:r>
          </w:p>
        </w:tc>
        <w:tc>
          <w:tcPr>
            <w:tcW w:type="dxa" w:w="1728"/>
          </w:tcPr>
          <w:p>
            <w:r>
              <w:rPr>
                <w:sz w:val="16"/>
              </w:rPr>
            </w:r>
            <w:r>
              <w:rPr>
                <w:b w:val="0"/>
                <w:sz w:val="16"/>
              </w:rPr>
              <w:t>Yes</w:t>
            </w:r>
          </w:p>
        </w:tc>
      </w:tr>
      <w:tr>
        <w:tc>
          <w:tcPr>
            <w:tcW w:type="dxa" w:w="720"/>
          </w:tcPr>
          <w:p>
            <w:r>
              <w:rPr>
                <w:sz w:val="16"/>
              </w:rPr>
            </w:r>
            <w:r>
              <w:rPr>
                <w:b w:val="0"/>
                <w:sz w:val="16"/>
              </w:rPr>
              <w:t>IV</w:t>
            </w:r>
          </w:p>
        </w:tc>
        <w:tc>
          <w:tcPr>
            <w:tcW w:type="dxa" w:w="2592"/>
          </w:tcPr>
          <w:p>
            <w:r>
              <w:rPr>
                <w:sz w:val="16"/>
              </w:rPr>
            </w:r>
            <w:r>
              <w:rPr>
                <w:b w:val="0"/>
                <w:sz w:val="16"/>
              </w:rPr>
              <w:t>Disgorgement (alternative to Count I)</w:t>
            </w:r>
          </w:p>
        </w:tc>
        <w:tc>
          <w:tcPr>
            <w:tcW w:type="dxa" w:w="2736"/>
          </w:tcPr>
          <w:p>
            <w:r>
              <w:rPr>
                <w:sz w:val="16"/>
              </w:rPr>
            </w:r>
            <w:r>
              <w:rPr>
                <w:b w:val="0"/>
                <w:sz w:val="16"/>
              </w:rPr>
              <w:t>$4,260,000 × 35%</w:t>
            </w:r>
          </w:p>
        </w:tc>
        <w:tc>
          <w:tcPr>
            <w:tcW w:type="dxa" w:w="1584"/>
          </w:tcPr>
          <w:p>
            <w:r>
              <w:rPr>
                <w:sz w:val="16"/>
              </w:rPr>
            </w:r>
            <w:r>
              <w:rPr>
                <w:b/>
                <w:sz w:val="16"/>
              </w:rPr>
              <w:t>$1,491,000</w:t>
            </w:r>
          </w:p>
        </w:tc>
        <w:tc>
          <w:tcPr>
            <w:tcW w:type="dxa" w:w="1728"/>
          </w:tcPr>
          <w:p>
            <w:r>
              <w:rPr>
                <w:sz w:val="16"/>
              </w:rPr>
            </w:r>
            <w:r>
              <w:rPr>
                <w:b w:val="0"/>
                <w:sz w:val="16"/>
              </w:rPr>
              <w:t>Yes</w:t>
            </w:r>
          </w:p>
        </w:tc>
      </w:tr>
      <w:tr>
        <w:tc>
          <w:tcPr>
            <w:tcW w:type="dxa" w:w="720"/>
          </w:tcPr>
          <w:p>
            <w:r>
              <w:rPr>
                <w:sz w:val="16"/>
              </w:rPr>
            </w:r>
            <w:r>
              <w:rPr>
                <w:b w:val="0"/>
                <w:sz w:val="16"/>
              </w:rPr>
              <w:t>Total</w:t>
            </w:r>
          </w:p>
        </w:tc>
        <w:tc>
          <w:tcPr>
            <w:tcW w:type="dxa" w:w="2592"/>
          </w:tcPr>
          <w:p>
            <w:r>
              <w:rPr>
                <w:sz w:val="16"/>
              </w:rPr>
            </w:r>
            <w:r>
              <w:rPr>
                <w:b w:val="0"/>
                <w:sz w:val="16"/>
              </w:rPr>
              <w:t>As pleaded</w:t>
            </w:r>
          </w:p>
        </w:tc>
        <w:tc>
          <w:tcPr>
            <w:tcW w:type="dxa" w:w="2736"/>
          </w:tcPr>
          <w:p>
            <w:r>
              <w:rPr>
                <w:sz w:val="16"/>
              </w:rPr>
            </w:r>
            <w:r>
              <w:rPr>
                <w:b w:val="0"/>
                <w:sz w:val="16"/>
              </w:rPr>
              <w:t>7,850,800 + 6,200,000 + 6,800,000 + 1,491,000</w:t>
            </w:r>
          </w:p>
        </w:tc>
        <w:tc>
          <w:tcPr>
            <w:tcW w:type="dxa" w:w="1584"/>
          </w:tcPr>
          <w:p>
            <w:r>
              <w:rPr>
                <w:sz w:val="16"/>
              </w:rPr>
            </w:r>
            <w:r>
              <w:rPr>
                <w:b/>
                <w:sz w:val="16"/>
              </w:rPr>
              <w:t>$22,341,800</w:t>
            </w:r>
          </w:p>
        </w:tc>
        <w:tc>
          <w:tcPr>
            <w:tcW w:type="dxa" w:w="1728"/>
          </w:tcPr>
          <w:p>
            <w:r>
              <w:rPr>
                <w:sz w:val="16"/>
              </w:rPr>
            </w:r>
            <w:r>
              <w:rPr>
                <w:b w:val="0"/>
                <w:sz w:val="16"/>
              </w:rPr>
              <w:t>Yes — but includes alternative and overlapping measures</w:t>
            </w:r>
          </w:p>
        </w:tc>
      </w:tr>
    </w:tbl>
    <w:p>
      <w:pPr>
        <w:spacing w:after="40"/>
      </w:pPr>
    </w:p>
    <w:p>
      <w:pPr>
        <w:spacing w:after="120"/>
      </w:pPr>
      <w:r>
        <w:rPr>
          <w:b w:val="0"/>
        </w:rPr>
        <w:t>Other figures verified: direct sales $870,000 + $1,200,000 + $640,000 + $1,550,000 = $4,260,000 (invoice line items reconcile); purchases $55.7M vs. $54.0M minimum (+$1.7M); historical sales to the four customers $2.3M + $3.1M + $1.7M + $4.2M = $11.3M; $14.8M / $41.2M = 35.9%.</w:t>
      </w:r>
    </w:p>
    <w:p>
      <w:pPr>
        <w:pStyle w:val="Heading2"/>
      </w:pPr>
      <w:r>
        <w:t>B. Overlaps and legal limits</w:t>
      </w:r>
    </w:p>
    <w:p>
      <w:pPr>
        <w:pStyle w:val="ListBullet"/>
        <w:spacing w:after="60"/>
      </w:pPr>
      <w:r>
        <w:rPr>
          <w:b/>
        </w:rPr>
        <w:t>Count IV vs. Count I:</w:t>
      </w:r>
      <w:r>
        <w:rPr>
          <w:b w:val="0"/>
        </w:rPr>
        <w:t xml:space="preserve"> alternative theories for the same $4.26M of sales; Apex cannot recover both, yet both are summed (−$1,491,000 from the total immediately).</w:t>
      </w:r>
    </w:p>
    <w:p>
      <w:pPr>
        <w:pStyle w:val="ListBullet"/>
        <w:spacing w:after="60"/>
      </w:pPr>
      <w:r>
        <w:rPr>
          <w:b/>
        </w:rPr>
        <w:t>Count II vs. Count I:</w:t>
      </w:r>
      <w:r>
        <w:rPr>
          <w:b w:val="0"/>
        </w:rPr>
        <w:t xml:space="preserve"> the four customers’ purchases through Feb. 2026 are within the renewal-term lost-profit projection; the $6.2M NPV double-counts that period, and any value after Feb. 28, 2026 depends on a renewal Greenfield is free to refuse.</w:t>
      </w:r>
    </w:p>
    <w:p>
      <w:pPr>
        <w:pStyle w:val="ListBullet"/>
        <w:spacing w:after="60"/>
      </w:pPr>
      <w:r>
        <w:rPr>
          <w:b/>
        </w:rPr>
        <w:t>Count III vs. Count II:</w:t>
      </w:r>
      <w:r>
        <w:rPr>
          <w:b w:val="0"/>
        </w:rPr>
        <w:t xml:space="preserve"> “replacement cost” includes “rebuilding customer relationships” and hiring/training personnel — the same customer-loss harm.</w:t>
      </w:r>
    </w:p>
    <w:p>
      <w:pPr>
        <w:pStyle w:val="ListBullet"/>
        <w:spacing w:after="60"/>
      </w:pPr>
      <w:r>
        <w:rPr>
          <w:b/>
        </w:rPr>
        <w:t>Commission vs. margin:</w:t>
      </w:r>
      <w:r>
        <w:rPr>
          <w:b w:val="0"/>
        </w:rPr>
        <w:t xml:space="preserve"> Count I seeks both an 18% commission on direct sales and a 22% margin model for the renewal term; Apex is a reseller, and the two measures cannot both be correct for the same channel.</w:t>
      </w:r>
    </w:p>
    <w:p>
      <w:pPr>
        <w:pStyle w:val="ListBullet"/>
        <w:spacing w:after="60"/>
      </w:pPr>
      <w:r>
        <w:rPr>
          <w:b/>
        </w:rPr>
        <w:t>Election of remedies / one satisfaction:</w:t>
      </w:r>
      <w:r>
        <w:rPr>
          <w:b w:val="0"/>
        </w:rPr>
        <w:t xml:space="preserve"> a single injury supports a single recovery regardless of how many theories are pleaded.</w:t>
      </w:r>
    </w:p>
    <w:p>
      <w:pPr>
        <w:pStyle w:val="ListBullet"/>
        <w:spacing w:after="60"/>
      </w:pPr>
      <w:r>
        <w:rPr>
          <w:b/>
        </w:rPr>
        <w:t>Possible contractual cap:</w:t>
      </w:r>
      <w:r>
        <w:rPr>
          <w:b w:val="0"/>
        </w:rPr>
        <w:t xml:space="preserve"> a consequential-damages/lost-profits waiver in the omitted articles could eliminate most of Count I’s $7.084M. This is the single most important document question for valuation.</w:t>
      </w:r>
    </w:p>
    <w:p>
      <w:pPr>
        <w:pStyle w:val="Heading2"/>
      </w:pPr>
      <w:r>
        <w:t>C. Preliminary exposure scenarios (compensatory and statutory damages; before fees and interest)</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D9E2F3"/>
          </w:tcPr>
          <w:p>
            <w:r/>
            <w:r>
              <w:rPr>
                <w:b/>
                <w:sz w:val="16"/>
              </w:rPr>
              <w:t>Scenario</w:t>
            </w:r>
          </w:p>
        </w:tc>
        <w:tc>
          <w:tcPr>
            <w:tcW w:type="dxa" w:w="5616"/>
            <w:shd w:val="clear" w:color="auto" w:fill="D9E2F3"/>
          </w:tcPr>
          <w:p>
            <w:r/>
            <w:r>
              <w:rPr>
                <w:b/>
                <w:sz w:val="16"/>
              </w:rPr>
              <w:t>Key assumptions</w:t>
            </w:r>
          </w:p>
        </w:tc>
        <w:tc>
          <w:tcPr>
            <w:tcW w:type="dxa" w:w="2160"/>
            <w:shd w:val="clear" w:color="auto" w:fill="D9E2F3"/>
          </w:tcPr>
          <w:p>
            <w:r/>
            <w:r>
              <w:rPr>
                <w:b/>
                <w:sz w:val="16"/>
              </w:rPr>
              <w:t>Estimated exposure</w:t>
            </w:r>
          </w:p>
        </w:tc>
      </w:tr>
      <w:tr>
        <w:tc>
          <w:tcPr>
            <w:tcW w:type="dxa" w:w="1584"/>
          </w:tcPr>
          <w:p>
            <w:r>
              <w:rPr>
                <w:sz w:val="16"/>
              </w:rPr>
            </w:r>
            <w:r>
              <w:rPr>
                <w:b w:val="0"/>
                <w:sz w:val="16"/>
              </w:rPr>
              <w:t>Favorable</w:t>
            </w:r>
          </w:p>
        </w:tc>
        <w:tc>
          <w:tcPr>
            <w:tcW w:type="dxa" w:w="5616"/>
          </w:tcPr>
          <w:p>
            <w:r>
              <w:rPr>
                <w:sz w:val="16"/>
              </w:rPr>
            </w:r>
            <w:r>
              <w:rPr>
                <w:b w:val="0"/>
                <w:sz w:val="16"/>
              </w:rPr>
              <w:t>Greenfield prevails or settles favorably on renewal (e.g., Ellsworth pre-authorized July 15 notice; or contractual damages cap); liability only for Initial-Term direct sales at Apex’s net margin; Counts II–IV dismissed or defeated</w:t>
            </w:r>
          </w:p>
        </w:tc>
        <w:tc>
          <w:tcPr>
            <w:tcW w:type="dxa" w:w="2160"/>
          </w:tcPr>
          <w:p>
            <w:r>
              <w:rPr>
                <w:sz w:val="16"/>
              </w:rPr>
            </w:r>
            <w:r>
              <w:rPr>
                <w:b w:val="0"/>
                <w:sz w:val="16"/>
              </w:rPr>
              <w:t>≈ $0.5M – $1.0M</w:t>
            </w:r>
          </w:p>
        </w:tc>
      </w:tr>
      <w:tr>
        <w:tc>
          <w:tcPr>
            <w:tcW w:type="dxa" w:w="1584"/>
          </w:tcPr>
          <w:p>
            <w:r>
              <w:rPr>
                <w:sz w:val="16"/>
              </w:rPr>
            </w:r>
            <w:r>
              <w:rPr>
                <w:b w:val="0"/>
                <w:sz w:val="16"/>
              </w:rPr>
              <w:t>Most likely</w:t>
            </w:r>
          </w:p>
        </w:tc>
        <w:tc>
          <w:tcPr>
            <w:tcW w:type="dxa" w:w="5616"/>
          </w:tcPr>
          <w:p>
            <w:r>
              <w:rPr>
                <w:sz w:val="16"/>
              </w:rPr>
            </w:r>
            <w:r>
              <w:rPr>
                <w:b w:val="0"/>
                <w:sz w:val="16"/>
              </w:rPr>
              <w:t>Renewal found; renewal lost profits recalculated on § 5.2 baseline (~$14M + CPI), net (not gross) margin of roughly 12–15%, and mitigation; direct-sales margin $0.77–0.94M; Count III limited or defeated on timeline/secrecy; Counts II and IV add little or nothing incremental</w:t>
            </w:r>
          </w:p>
        </w:tc>
        <w:tc>
          <w:tcPr>
            <w:tcW w:type="dxa" w:w="2160"/>
          </w:tcPr>
          <w:p>
            <w:r>
              <w:rPr>
                <w:sz w:val="16"/>
              </w:rPr>
            </w:r>
            <w:r>
              <w:rPr>
                <w:b w:val="0"/>
                <w:sz w:val="16"/>
              </w:rPr>
              <w:t>≈ $3M – $6M</w:t>
            </w:r>
          </w:p>
        </w:tc>
      </w:tr>
      <w:tr>
        <w:tc>
          <w:tcPr>
            <w:tcW w:type="dxa" w:w="1584"/>
          </w:tcPr>
          <w:p>
            <w:r>
              <w:rPr>
                <w:sz w:val="16"/>
              </w:rPr>
            </w:r>
            <w:r>
              <w:rPr>
                <w:b w:val="0"/>
                <w:sz w:val="16"/>
              </w:rPr>
              <w:t>Adverse</w:t>
            </w:r>
          </w:p>
        </w:tc>
        <w:tc>
          <w:tcPr>
            <w:tcW w:type="dxa" w:w="5616"/>
          </w:tcPr>
          <w:p>
            <w:r>
              <w:rPr>
                <w:sz w:val="16"/>
              </w:rPr>
            </w:r>
            <w:r>
              <w:rPr>
                <w:b w:val="0"/>
                <w:sz w:val="16"/>
              </w:rPr>
              <w:t>Jury accepts Apex’s Count I model in full ($7.85M), finds willful misappropriation ($3.4M actual plus $0–6.8M exemplary), and awards some incremental Count II relationship damages (≤ $1M)</w:t>
            </w:r>
          </w:p>
        </w:tc>
        <w:tc>
          <w:tcPr>
            <w:tcW w:type="dxa" w:w="2160"/>
          </w:tcPr>
          <w:p>
            <w:r>
              <w:rPr>
                <w:sz w:val="16"/>
              </w:rPr>
            </w:r>
            <w:r>
              <w:rPr>
                <w:b w:val="0"/>
                <w:sz w:val="16"/>
              </w:rPr>
              <w:t>≈ $11M – $16M</w:t>
            </w:r>
          </w:p>
        </w:tc>
      </w:tr>
      <w:tr>
        <w:tc>
          <w:tcPr>
            <w:tcW w:type="dxa" w:w="1584"/>
          </w:tcPr>
          <w:p>
            <w:r>
              <w:rPr>
                <w:sz w:val="16"/>
              </w:rPr>
            </w:r>
            <w:r>
              <w:rPr>
                <w:b w:val="0"/>
                <w:sz w:val="16"/>
              </w:rPr>
              <w:t>Theoretical pleaded ceiling</w:t>
            </w:r>
          </w:p>
        </w:tc>
        <w:tc>
          <w:tcPr>
            <w:tcW w:type="dxa" w:w="5616"/>
          </w:tcPr>
          <w:p>
            <w:r>
              <w:rPr>
                <w:sz w:val="16"/>
              </w:rPr>
            </w:r>
            <w:r>
              <w:rPr>
                <w:b w:val="0"/>
                <w:sz w:val="16"/>
              </w:rPr>
              <w:t>$22.34M as pleaded, plus additional exemplary up to the 2× cap (+$3.4M), punitive damages on Count II (N.C. cap: greater of 3× compensatory or $250K), fees and 8% interest</w:t>
            </w:r>
          </w:p>
        </w:tc>
        <w:tc>
          <w:tcPr>
            <w:tcW w:type="dxa" w:w="2160"/>
          </w:tcPr>
          <w:p>
            <w:r>
              <w:rPr>
                <w:sz w:val="16"/>
              </w:rPr>
            </w:r>
            <w:r>
              <w:rPr>
                <w:b w:val="0"/>
                <w:sz w:val="16"/>
              </w:rPr>
              <w:t>Not a realistic outcome; useful only to frame Apex’s settlement posture</w:t>
            </w:r>
          </w:p>
        </w:tc>
      </w:tr>
    </w:tbl>
    <w:p>
      <w:pPr>
        <w:spacing w:after="40"/>
      </w:pPr>
    </w:p>
    <w:p>
      <w:pPr>
        <w:spacing w:after="120"/>
      </w:pPr>
      <w:r>
        <w:rPr>
          <w:b/>
        </w:rPr>
        <w:t>Fee and interest overlay.</w:t>
      </w:r>
      <w:r>
        <w:rPr>
          <w:b w:val="0"/>
        </w:rPr>
        <w:t xml:space="preserve"> Under § 14.2 and O.C.G.A. § 10-1-764, the prevailing party recovers reasonable fees. A case of this kind, litigated through trial with experts, could generate seven-figure fees on each side (rough estimate $1.5–3M per side; to be refined). Prejudgment interest, if N.C.’s 8% legal rate applies from breach, adds roughly $0.3–0.6M per year on a mid-range award. The fee clause is reciprocal, which creates meaningful two-way settlement pressure.</w:t>
      </w:r>
    </w:p>
    <w:p>
      <w:pPr>
        <w:spacing w:after="120"/>
      </w:pPr>
      <w:r>
        <w:rPr>
          <w:b/>
        </w:rPr>
        <w:t>Overall realistic range:</w:t>
      </w:r>
      <w:r>
        <w:rPr>
          <w:b w:val="0"/>
        </w:rPr>
        <w:t xml:space="preserve"> approximately </w:t>
      </w:r>
      <w:r>
        <w:rPr>
          <w:b/>
        </w:rPr>
        <w:t>$1.5M–$7M</w:t>
      </w:r>
      <w:r>
        <w:rPr>
          <w:b w:val="0"/>
        </w:rPr>
        <w:t xml:space="preserve"> in non-duplicative compensatory exposure, most likely </w:t>
      </w:r>
      <w:r>
        <w:rPr>
          <w:b/>
        </w:rPr>
        <w:t>$3–6M</w:t>
      </w:r>
      <w:r>
        <w:rPr>
          <w:b w:val="0"/>
        </w:rPr>
        <w:t>, plus fee exposure. These figures are preliminary, depend heavily on the omitted contract terms and on facts about post-Feb. 2024 sales and Apex’s mitigation, and should be refined with a damages consultant before any settlement discussions.</w:t>
      </w:r>
    </w:p>
    <w:p>
      <w:pPr>
        <w:pStyle w:val="Heading1"/>
      </w:pPr>
      <w:r>
        <w:t>IX. TRO / Preliminary Injunction — Opposition Plan</w:t>
      </w:r>
    </w:p>
    <w:p>
      <w:pPr>
        <w:spacing w:after="120"/>
      </w:pPr>
      <w:r>
        <w:rPr>
          <w:b/>
        </w:rPr>
        <w:t>Relief requested (¶ 131):</w:t>
      </w:r>
      <w:r>
        <w:rPr>
          <w:b w:val="0"/>
        </w:rPr>
        <w:t xml:space="preserve"> (a) bar on all Greenfield direct sales to any customer in the 8-state Territory pending the action; (b) return/destruction of Confidential Sales Information under neutral supervision, with sworn certification; (c) prohibition on employing Kelsey and Ostrowski in any Territory-related capacity or any position with access to Apex information; (d) verified accounting of all Territory direct sales since Oct. 2023. Apex offers a bond in an amount set by the Court (¶ 136). Note that paragraph numbering jumps from ¶ 131 to ¶ 136 (¶¶ 132–135 missing) — confirm whether pages are missing from our copy.</w:t>
      </w:r>
    </w:p>
    <w:p>
      <w:pPr>
        <w:spacing w:after="120"/>
      </w:pPr>
      <w:r>
        <w:rPr>
          <w:b/>
        </w:rPr>
        <w:t>Standard.</w:t>
      </w:r>
      <w:r>
        <w:rPr>
          <w:b w:val="0"/>
        </w:rPr>
        <w:t xml:space="preserve"> In N.C., a preliminary injunction requires a showing of likelihood of success on the merits and that the movant is likely to sustain irreparable loss unless the injunction issues, or that issuance is necessary to protect its rights during the litigation; the court also weighs the equities (A.E.P. Indus., Inc. v. McClure, 308 N.C. 393 (1983) — verify). Rule 65(b) TROs are limited in duration; Rule 65(c) requires security; Rule 65(d) requires specificity and limits who is bound. Because the hearing is on notice, expect the Court to treat it as a preliminary injunction hearing — we should be fully prepared on the merits.</w:t>
      </w:r>
    </w:p>
    <w:p>
      <w:pPr>
        <w:spacing w:after="120"/>
      </w:pPr>
      <w:r>
        <w:rPr>
          <w:b/>
        </w:rPr>
        <w:t>Opposition themes:</w:t>
      </w:r>
    </w:p>
    <w:p>
      <w:pPr>
        <w:pStyle w:val="ListBullet"/>
        <w:spacing w:after="60"/>
      </w:pPr>
      <w:r>
        <w:rPr>
          <w:b/>
        </w:rPr>
        <w:t>No irreparable harm / delay.</w:t>
      </w:r>
      <w:r>
        <w:rPr>
          <w:b w:val="0"/>
        </w:rPr>
        <w:t xml:space="preserve"> Apex knew of the direct sales and the hires by early 2024 and waited ~14 months to sue; ¶ 139’s claim of prompt action is contradicted by its own dates. Its claimed injuries are historic, already quantified to the dollar ($4.26M in sales; $766,800; $1,491,000; $6.2M NPV), and compensable in money. The customers have already moved (¶ 55); an injunction cannot restore them.</w:t>
      </w:r>
    </w:p>
    <w:p>
      <w:pPr>
        <w:pStyle w:val="ListBullet"/>
        <w:spacing w:after="60"/>
      </w:pPr>
      <w:r>
        <w:rPr>
          <w:b/>
        </w:rPr>
        <w:t>Likelihood of success is weakest exactly where the most intrusive relief is sought.</w:t>
      </w:r>
      <w:r>
        <w:rPr>
          <w:b w:val="0"/>
        </w:rPr>
        <w:t xml:space="preserve"> Even if Apex is likely to win on renewal, that supports at most narrowly tailored relief through Feb. 28, 2026 — not mandatory return/destruction, an accounting, or employment restrictions, all of which depend on the trade-secret theory that Exhibit E’s chronology undermines.</w:t>
      </w:r>
    </w:p>
    <w:p>
      <w:pPr>
        <w:pStyle w:val="ListBullet"/>
        <w:spacing w:after="60"/>
      </w:pPr>
      <w:r>
        <w:rPr>
          <w:b/>
        </w:rPr>
        <w:t>Overbreadth.</w:t>
      </w:r>
      <w:r>
        <w:rPr>
          <w:b w:val="0"/>
        </w:rPr>
        <w:t xml:space="preserve"> Request (a) would bar sales to every customer in eight states, including N.C., where Greenfield is headquartered, and including customers Apex never served; it would harm third-party customers who rely on Greenfield for spare parts, service and urgent replacements (public interest). Request (d) is discovery dressed as an injunction. Request (b) presupposes possession of materials Apex has not shown exist.</w:t>
      </w:r>
    </w:p>
    <w:p>
      <w:pPr>
        <w:pStyle w:val="ListBullet"/>
        <w:spacing w:after="60"/>
      </w:pPr>
      <w:r>
        <w:rPr>
          <w:b/>
        </w:rPr>
        <w:t>Non-parties and statutory bars.</w:t>
      </w:r>
      <w:r>
        <w:rPr>
          <w:b w:val="0"/>
        </w:rPr>
        <w:t xml:space="preserve"> Request (c) would effectively enjoin non-parties’ employment on the basis of contracts that Greenfield is not party to, that are not sued upon, and whose enforceability is contested; the DTSA forbids injunctions preventing employment and requires evidence of threatened misappropriation (18 U.S.C. § 1836(b)(3)(A)(i)); Georgia rejects inevitable disclosure as an independent basis.</w:t>
      </w:r>
    </w:p>
    <w:p>
      <w:pPr>
        <w:pStyle w:val="ListBullet"/>
        <w:spacing w:after="60"/>
      </w:pPr>
      <w:r>
        <w:rPr>
          <w:b/>
        </w:rPr>
        <w:t>Mandatory relief alters the status quo.</w:t>
      </w:r>
      <w:r>
        <w:rPr>
          <w:b w:val="0"/>
        </w:rPr>
        <w:t xml:space="preserve"> The last peaceable status quo since March 2024 is that Greenfield sells directly; requests (b) and (d) are mandatory and require a heightened showing.</w:t>
      </w:r>
    </w:p>
    <w:p>
      <w:pPr>
        <w:pStyle w:val="ListBullet"/>
        <w:spacing w:after="60"/>
      </w:pPr>
      <w:r>
        <w:rPr>
          <w:b/>
        </w:rPr>
        <w:t>Evidentiary weakness.</w:t>
      </w:r>
      <w:r>
        <w:rPr>
          <w:b w:val="0"/>
        </w:rPr>
        <w:t xml:space="preserve"> The verification is on “knowledge, information, and belief,” and the key trade-secret facts are pleaded on information and belief — insufficient to support emergency relief.</w:t>
      </w:r>
    </w:p>
    <w:p>
      <w:pPr>
        <w:pStyle w:val="ListBullet"/>
        <w:spacing w:after="60"/>
      </w:pPr>
      <w:r>
        <w:rPr>
          <w:b/>
        </w:rPr>
        <w:t>Bond.</w:t>
      </w:r>
      <w:r>
        <w:rPr>
          <w:b w:val="0"/>
        </w:rPr>
        <w:t xml:space="preserve"> If any relief issues, request substantial security under Rule 65(c) reflecting Greenfield’s projected lost Territory sales and customer-relationship harm through Feb. 28, 2026 (client to supply run-rate data). The employment agreements’ “no bond” language does not bind Greenfield or the Court.</w:t>
      </w:r>
    </w:p>
    <w:p>
      <w:pPr>
        <w:spacing w:after="120"/>
      </w:pPr>
      <w:r>
        <w:rPr>
          <w:b/>
        </w:rPr>
        <w:t>Defensive interim measures (strongly recommended before May 9):</w:t>
      </w:r>
      <w:r>
        <w:rPr>
          <w:b w:val="0"/>
        </w:rPr>
        <w:t xml:space="preserve"> (i) written instructions that Kelsey and Ostrowski not use or disclose any Apex information; (ii) sworn certifications from each that they retained no Apex documents, after forensic confirmation; (iii) temporary screening of both from the four accounts and from pricing for those accounts; (iv) consideration of an offered, without-prejudice stipulated order embodying (i)–(iii) plus document preservation, in exchange for withdrawal of requests (a), (c) and (d). These steps reduce the risk of a broad order and demonstrate good faith. A business decision is also needed on whether Greenfield would offer, without prejudice, to route Territory sales through Apex (or to pay a margin into escrow) through Feb. 28, 2026; that would substantially undercut irreparable harm and cap Count I damages, but it has commercial costs the client must weigh.</w:t>
      </w:r>
    </w:p>
    <w:p>
      <w:pPr>
        <w:spacing w:after="120"/>
      </w:pPr>
      <w:r>
        <w:rPr>
          <w:b/>
        </w:rPr>
        <w:t>Witness and evidence needs for the hearing:</w:t>
      </w:r>
      <w:r>
        <w:rPr>
          <w:b w:val="0"/>
        </w:rPr>
        <w:t xml:space="preserve"> Ellsworth (decision to non-renew; whether he authorized Hargrove’s July letter; the Sept. 12 letter); Yuen (receipt of the Aug. 3 letter; she is also a fact witness — consider whether she should sign an affidavit at all, given privilege and advocate-witness issues); Hargrove (direct-sales initiative, pricing sources, timing); Kelsey and Ostrowski (start dates, what they brought, their roles, which accounts they have touched); sales operations (independent sources of customer data and pricing; current direct sales in the Territory).</w:t>
      </w:r>
    </w:p>
    <w:p>
      <w:pPr>
        <w:pStyle w:val="Heading1"/>
      </w:pPr>
      <w:r>
        <w:t>X. Responsive Pleading and Forum Strategy</w:t>
      </w:r>
    </w:p>
    <w:p>
      <w:pPr>
        <w:pStyle w:val="ListBullet"/>
        <w:spacing w:after="60"/>
      </w:pPr>
      <w:r>
        <w:rPr>
          <w:b/>
        </w:rPr>
        <w:t>Removal to W.D.N.C.</w:t>
      </w:r>
      <w:r>
        <w:rPr>
          <w:b w:val="0"/>
        </w:rPr>
        <w:t xml:space="preserve"> Available on the DTSA count (federal question), with supplemental jurisdiction over the state claims; the forum-defendant rule bars diversity-based removal. Pros: federal judge and Rule 65 practice; more rigorous DTSA injunction standards; Twombly/Iqbal pleading standard for information-and-belief trade-secret allegations; federal Daubert gatekeeping for Apex’s $6.2M NPV and lost-profit models. Cons: may be perceived as tactical on the eve of the TRO hearing; the federal court will likely set its own expedited hearing; Apex could drop the DTSA count and seek remand. Deadline: May 27, 2025 (file earlier; protective May 22).</w:t>
      </w:r>
    </w:p>
    <w:p>
      <w:pPr>
        <w:pStyle w:val="ListBullet"/>
        <w:spacing w:after="60"/>
      </w:pPr>
      <w:r>
        <w:rPr>
          <w:b/>
        </w:rPr>
        <w:t>N.C. Business Court.</w:t>
      </w:r>
      <w:r>
        <w:rPr>
          <w:b w:val="0"/>
        </w:rPr>
        <w:t xml:space="preserve"> If the case stays in state court, a mandatory complex business designation (N.C. Gen. Stat. § 7A-45.4) would put the case before a specialized judge with written opinions — generally favorable for a defendant with technical contract and damages defenses. Deadline approximately 30 days from service (verify).</w:t>
      </w:r>
    </w:p>
    <w:p>
      <w:pPr>
        <w:pStyle w:val="ListBullet"/>
        <w:spacing w:after="60"/>
      </w:pPr>
      <w:r>
        <w:rPr>
          <w:b/>
        </w:rPr>
        <w:t>Extension.</w:t>
      </w:r>
      <w:r>
        <w:rPr>
          <w:b w:val="0"/>
        </w:rPr>
        <w:t xml:space="preserve"> Seek the Rule 6(b) clerk’s extension now (answer to approx. June 26, 2025).</w:t>
      </w:r>
    </w:p>
    <w:p>
      <w:pPr>
        <w:pStyle w:val="ListBullet"/>
        <w:spacing w:after="60"/>
      </w:pPr>
      <w:r>
        <w:rPr>
          <w:b/>
        </w:rPr>
        <w:t>Rule 12(b)(6) motions.</w:t>
      </w:r>
      <w:r>
        <w:rPr>
          <w:b w:val="0"/>
        </w:rPr>
        <w:t xml:space="preserve"> Count II (stranger doctrine; independent-tort/economic-loss; GTSA displacement); Count IV (express contract; alternative pleading; GTSA displacement); Count III to the extent the DTSA/GTSA allegations rest only on information and belief and on a chronology contradicted by the exhibits (a motion here is less likely to succeed at the pleading stage but frames the issues). A Rule 12 motion extends the time to answer under N.C. practice.</w:t>
      </w:r>
    </w:p>
    <w:p>
      <w:pPr>
        <w:pStyle w:val="ListBullet"/>
        <w:spacing w:after="60"/>
      </w:pPr>
      <w:r>
        <w:rPr>
          <w:b/>
        </w:rPr>
        <w:t>Answer, affirmative defenses and counterclaims (later).</w:t>
      </w:r>
      <w:r>
        <w:rPr>
          <w:b w:val="0"/>
        </w:rPr>
        <w:t xml:space="preserve"> Affirmative defenses: waiver, estoppel, failure to mitigate, contractual limitations on damages (if any), set-off/recoupment (Year 2 shortfall), unclean hands, laches as to equitable relief, and statutory caps. Counterclaim: declaratory judgment that the Agreement expired on Feb. 28, 2024 or, alternatively, will expire no later than Feb. 28, 2026; § 14.2 fees if Greenfield prevails. Avoid an affirmative Year 2 damages counterclaim unless research confirms it is timely.</w:t>
      </w:r>
    </w:p>
    <w:p>
      <w:pPr>
        <w:pStyle w:val="ListBullet"/>
        <w:spacing w:after="60"/>
      </w:pPr>
      <w:r>
        <w:rPr>
          <w:b/>
        </w:rPr>
        <w:t>Expedited discovery.</w:t>
      </w:r>
      <w:r>
        <w:rPr>
          <w:b w:val="0"/>
        </w:rPr>
        <w:t xml:space="preserve"> If the hearing is continued, request reciprocal expedited discovery: Apex’s alleged trade-secret materials (identified with particularity), Apex’s FY2024 Greenfield-related sales and purchases, Apex’s communications with the four customers, and Apex’s separation documents for Kelsey and Ostrowski.</w:t>
      </w:r>
    </w:p>
    <w:p>
      <w:pPr>
        <w:pStyle w:val="Heading1"/>
      </w:pPr>
      <w:r>
        <w:t>XI. Inconsistencies and Weak Points in Apex’s Papers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D9E2F3"/>
          </w:tcPr>
          <w:p>
            <w:r/>
            <w:r>
              <w:rPr>
                <w:b/>
                <w:sz w:val="16"/>
              </w:rPr>
              <w:t>#</w:t>
            </w:r>
          </w:p>
        </w:tc>
        <w:tc>
          <w:tcPr>
            <w:tcW w:type="dxa" w:w="4032"/>
            <w:shd w:val="clear" w:color="auto" w:fill="D9E2F3"/>
          </w:tcPr>
          <w:p>
            <w:r/>
            <w:r>
              <w:rPr>
                <w:b/>
                <w:sz w:val="16"/>
              </w:rPr>
              <w:t>Issue</w:t>
            </w:r>
          </w:p>
        </w:tc>
        <w:tc>
          <w:tcPr>
            <w:tcW w:type="dxa" w:w="2016"/>
            <w:shd w:val="clear" w:color="auto" w:fill="D9E2F3"/>
          </w:tcPr>
          <w:p>
            <w:r/>
            <w:r>
              <w:rPr>
                <w:b/>
                <w:sz w:val="16"/>
              </w:rPr>
              <w:t>Where</w:t>
            </w:r>
          </w:p>
        </w:tc>
        <w:tc>
          <w:tcPr>
            <w:tcW w:type="dxa" w:w="2880"/>
            <w:shd w:val="clear" w:color="auto" w:fill="D9E2F3"/>
          </w:tcPr>
          <w:p>
            <w:r/>
            <w:r>
              <w:rPr>
                <w:b/>
                <w:sz w:val="16"/>
              </w:rPr>
              <w:t>Use</w:t>
            </w:r>
          </w:p>
        </w:tc>
      </w:tr>
      <w:tr>
        <w:tc>
          <w:tcPr>
            <w:tcW w:type="dxa" w:w="432"/>
          </w:tcPr>
          <w:p>
            <w:r>
              <w:rPr>
                <w:sz w:val="16"/>
              </w:rPr>
            </w:r>
            <w:r>
              <w:rPr>
                <w:b w:val="0"/>
                <w:sz w:val="16"/>
              </w:rPr>
              <w:t>1</w:t>
            </w:r>
          </w:p>
        </w:tc>
        <w:tc>
          <w:tcPr>
            <w:tcW w:type="dxa" w:w="4032"/>
          </w:tcPr>
          <w:p>
            <w:r>
              <w:rPr>
                <w:sz w:val="16"/>
              </w:rPr>
            </w:r>
            <w:r>
              <w:rPr>
                <w:b w:val="0"/>
                <w:sz w:val="16"/>
              </w:rPr>
              <w:t>Direct sales alleged to have “commenced within weeks of” the Feb. 2024 hires, but $2.71M of the $4.26M was invoiced Nov. 2023–Jan. 2024</w:t>
            </w:r>
          </w:p>
        </w:tc>
        <w:tc>
          <w:tcPr>
            <w:tcW w:type="dxa" w:w="2016"/>
          </w:tcPr>
          <w:p>
            <w:r>
              <w:rPr>
                <w:sz w:val="16"/>
              </w:rPr>
            </w:r>
            <w:r>
              <w:rPr>
                <w:b w:val="0"/>
                <w:sz w:val="16"/>
              </w:rPr>
              <w:t>¶ 111 vs. Ex. E; ¶¶ 54, 104, 112–113</w:t>
            </w:r>
          </w:p>
        </w:tc>
        <w:tc>
          <w:tcPr>
            <w:tcW w:type="dxa" w:w="2880"/>
          </w:tcPr>
          <w:p>
            <w:r>
              <w:rPr>
                <w:sz w:val="16"/>
              </w:rPr>
            </w:r>
            <w:r>
              <w:rPr>
                <w:b w:val="0"/>
                <w:sz w:val="16"/>
              </w:rPr>
              <w:t>Core rebuttal to trade-secret causation and to “undercut pricing using employee data.”</w:t>
            </w:r>
          </w:p>
        </w:tc>
      </w:tr>
      <w:tr>
        <w:tc>
          <w:tcPr>
            <w:tcW w:type="dxa" w:w="432"/>
          </w:tcPr>
          <w:p>
            <w:r>
              <w:rPr>
                <w:sz w:val="16"/>
              </w:rPr>
            </w:r>
            <w:r>
              <w:rPr>
                <w:b w:val="0"/>
                <w:sz w:val="16"/>
              </w:rPr>
              <w:t>2</w:t>
            </w:r>
          </w:p>
        </w:tc>
        <w:tc>
          <w:tcPr>
            <w:tcW w:type="dxa" w:w="4032"/>
          </w:tcPr>
          <w:p>
            <w:r>
              <w:rPr>
                <w:sz w:val="16"/>
              </w:rPr>
            </w:r>
            <w:r>
              <w:rPr>
                <w:b w:val="0"/>
                <w:sz w:val="16"/>
              </w:rPr>
              <w:t>Direct sales described as made during the automatically renewed term, but all invoices fall within the Initial Term</w:t>
            </w:r>
          </w:p>
        </w:tc>
        <w:tc>
          <w:tcPr>
            <w:tcW w:type="dxa" w:w="2016"/>
          </w:tcPr>
          <w:p>
            <w:r>
              <w:rPr>
                <w:sz w:val="16"/>
              </w:rPr>
            </w:r>
            <w:r>
              <w:rPr>
                <w:b w:val="0"/>
                <w:sz w:val="16"/>
              </w:rPr>
              <w:t>¶ 51 vs. Ex. E</w:t>
            </w:r>
          </w:p>
        </w:tc>
        <w:tc>
          <w:tcPr>
            <w:tcW w:type="dxa" w:w="2880"/>
          </w:tcPr>
          <w:p>
            <w:r>
              <w:rPr>
                <w:sz w:val="16"/>
              </w:rPr>
            </w:r>
            <w:r>
              <w:rPr>
                <w:b w:val="0"/>
                <w:sz w:val="16"/>
              </w:rPr>
              <w:t>Credibility point (though it cuts against Greenfield on liability).</w:t>
            </w:r>
          </w:p>
        </w:tc>
      </w:tr>
      <w:tr>
        <w:tc>
          <w:tcPr>
            <w:tcW w:type="dxa" w:w="432"/>
          </w:tcPr>
          <w:p>
            <w:r>
              <w:rPr>
                <w:sz w:val="16"/>
              </w:rPr>
            </w:r>
            <w:r>
              <w:rPr>
                <w:b w:val="0"/>
                <w:sz w:val="16"/>
              </w:rPr>
              <w:t>3</w:t>
            </w:r>
          </w:p>
        </w:tc>
        <w:tc>
          <w:tcPr>
            <w:tcW w:type="dxa" w:w="4032"/>
          </w:tcPr>
          <w:p>
            <w:r>
              <w:rPr>
                <w:sz w:val="16"/>
              </w:rPr>
            </w:r>
            <w:r>
              <w:rPr>
                <w:b w:val="0"/>
                <w:sz w:val="16"/>
              </w:rPr>
              <w:t>Notice described as “twelve days after” the deadline and “11 days too late”; deadline stated as Aug. 31 though 180 days before Feb. 28, 2024 is Sept. 1</w:t>
            </w:r>
          </w:p>
        </w:tc>
        <w:tc>
          <w:tcPr>
            <w:tcW w:type="dxa" w:w="2016"/>
          </w:tcPr>
          <w:p>
            <w:r>
              <w:rPr>
                <w:sz w:val="16"/>
              </w:rPr>
            </w:r>
            <w:r>
              <w:rPr>
                <w:b w:val="0"/>
                <w:sz w:val="16"/>
              </w:rPr>
              <w:t>¶¶ 22, 38, 40</w:t>
            </w:r>
          </w:p>
        </w:tc>
        <w:tc>
          <w:tcPr>
            <w:tcW w:type="dxa" w:w="2880"/>
          </w:tcPr>
          <w:p>
            <w:r>
              <w:rPr>
                <w:sz w:val="16"/>
              </w:rPr>
            </w:r>
            <w:r>
              <w:rPr>
                <w:b w:val="0"/>
                <w:sz w:val="16"/>
              </w:rPr>
              <w:t>Minor precision point.</w:t>
            </w:r>
          </w:p>
        </w:tc>
      </w:tr>
      <w:tr>
        <w:tc>
          <w:tcPr>
            <w:tcW w:type="dxa" w:w="432"/>
          </w:tcPr>
          <w:p>
            <w:r>
              <w:rPr>
                <w:sz w:val="16"/>
              </w:rPr>
            </w:r>
            <w:r>
              <w:rPr>
                <w:b w:val="0"/>
                <w:sz w:val="16"/>
              </w:rPr>
              <w:t>4</w:t>
            </w:r>
          </w:p>
        </w:tc>
        <w:tc>
          <w:tcPr>
            <w:tcW w:type="dxa" w:w="4032"/>
          </w:tcPr>
          <w:p>
            <w:r>
              <w:rPr>
                <w:sz w:val="16"/>
              </w:rPr>
            </w:r>
            <w:r>
              <w:rPr>
                <w:b w:val="0"/>
                <w:sz w:val="16"/>
              </w:rPr>
              <w:t>Unjust enrichment pleaded in the alternative but added to the damages total</w:t>
            </w:r>
          </w:p>
        </w:tc>
        <w:tc>
          <w:tcPr>
            <w:tcW w:type="dxa" w:w="2016"/>
          </w:tcPr>
          <w:p>
            <w:r>
              <w:rPr>
                <w:sz w:val="16"/>
              </w:rPr>
            </w:r>
            <w:r>
              <w:rPr>
                <w:b w:val="0"/>
                <w:sz w:val="16"/>
              </w:rPr>
              <w:t>¶ 116 vs. Prayer ¶ 5</w:t>
            </w:r>
          </w:p>
        </w:tc>
        <w:tc>
          <w:tcPr>
            <w:tcW w:type="dxa" w:w="2880"/>
          </w:tcPr>
          <w:p>
            <w:r>
              <w:rPr>
                <w:sz w:val="16"/>
              </w:rPr>
            </w:r>
            <w:r>
              <w:rPr>
                <w:b w:val="0"/>
                <w:sz w:val="16"/>
              </w:rPr>
              <w:t>Total overstated by at least $1.491M.</w:t>
            </w:r>
          </w:p>
        </w:tc>
      </w:tr>
      <w:tr>
        <w:tc>
          <w:tcPr>
            <w:tcW w:type="dxa" w:w="432"/>
          </w:tcPr>
          <w:p>
            <w:r>
              <w:rPr>
                <w:sz w:val="16"/>
              </w:rPr>
            </w:r>
            <w:r>
              <w:rPr>
                <w:b w:val="0"/>
                <w:sz w:val="16"/>
              </w:rPr>
              <w:t>5</w:t>
            </w:r>
          </w:p>
        </w:tc>
        <w:tc>
          <w:tcPr>
            <w:tcW w:type="dxa" w:w="4032"/>
          </w:tcPr>
          <w:p>
            <w:r>
              <w:rPr>
                <w:sz w:val="16"/>
              </w:rPr>
            </w:r>
            <w:r>
              <w:rPr>
                <w:b w:val="0"/>
                <w:sz w:val="16"/>
              </w:rPr>
              <w:t>18% “commission rate” for a buy-resell distributor that also claims a 22% gross margin; commission rate not in Ex. A excerpts</w:t>
            </w:r>
          </w:p>
        </w:tc>
        <w:tc>
          <w:tcPr>
            <w:tcW w:type="dxa" w:w="2016"/>
          </w:tcPr>
          <w:p>
            <w:r>
              <w:rPr>
                <w:sz w:val="16"/>
              </w:rPr>
            </w:r>
            <w:r>
              <w:rPr>
                <w:b w:val="0"/>
                <w:sz w:val="16"/>
              </w:rPr>
              <w:t>¶¶ 52, 81–82</w:t>
            </w:r>
          </w:p>
        </w:tc>
        <w:tc>
          <w:tcPr>
            <w:tcW w:type="dxa" w:w="2880"/>
          </w:tcPr>
          <w:p>
            <w:r>
              <w:rPr>
                <w:sz w:val="16"/>
              </w:rPr>
            </w:r>
            <w:r>
              <w:rPr>
                <w:b w:val="0"/>
                <w:sz w:val="16"/>
              </w:rPr>
              <w:t>Damages model inconsistency.</w:t>
            </w:r>
          </w:p>
        </w:tc>
      </w:tr>
      <w:tr>
        <w:tc>
          <w:tcPr>
            <w:tcW w:type="dxa" w:w="432"/>
          </w:tcPr>
          <w:p>
            <w:r>
              <w:rPr>
                <w:sz w:val="16"/>
              </w:rPr>
            </w:r>
            <w:r>
              <w:rPr>
                <w:b w:val="0"/>
                <w:sz w:val="16"/>
              </w:rPr>
              <w:t>6</w:t>
            </w:r>
          </w:p>
        </w:tc>
        <w:tc>
          <w:tcPr>
            <w:tcW w:type="dxa" w:w="4032"/>
          </w:tcPr>
          <w:p>
            <w:r>
              <w:rPr>
                <w:sz w:val="16"/>
              </w:rPr>
            </w:r>
            <w:r>
              <w:rPr>
                <w:b w:val="0"/>
                <w:sz w:val="16"/>
              </w:rPr>
              <w:t>FY2024 Greenfield-derived revenue ($14.8M) equals Year 5 purchases ($14.8M)</w:t>
            </w:r>
          </w:p>
        </w:tc>
        <w:tc>
          <w:tcPr>
            <w:tcW w:type="dxa" w:w="2016"/>
          </w:tcPr>
          <w:p>
            <w:r>
              <w:rPr>
                <w:sz w:val="16"/>
              </w:rPr>
            </w:r>
            <w:r>
              <w:rPr>
                <w:b w:val="0"/>
                <w:sz w:val="16"/>
              </w:rPr>
              <w:t>¶ 7 vs. ¶ 24</w:t>
            </w:r>
          </w:p>
        </w:tc>
        <w:tc>
          <w:tcPr>
            <w:tcW w:type="dxa" w:w="2880"/>
          </w:tcPr>
          <w:p>
            <w:r>
              <w:rPr>
                <w:sz w:val="16"/>
              </w:rPr>
            </w:r>
            <w:r>
              <w:rPr>
                <w:b w:val="0"/>
                <w:sz w:val="16"/>
              </w:rPr>
              <w:t>Probe whether Apex kept buying in 2024 and its actual losses.</w:t>
            </w:r>
          </w:p>
        </w:tc>
      </w:tr>
      <w:tr>
        <w:tc>
          <w:tcPr>
            <w:tcW w:type="dxa" w:w="432"/>
          </w:tcPr>
          <w:p>
            <w:r>
              <w:rPr>
                <w:sz w:val="16"/>
              </w:rPr>
            </w:r>
            <w:r>
              <w:rPr>
                <w:b w:val="0"/>
                <w:sz w:val="16"/>
              </w:rPr>
              <w:t>7</w:t>
            </w:r>
          </w:p>
        </w:tc>
        <w:tc>
          <w:tcPr>
            <w:tcW w:type="dxa" w:w="4032"/>
          </w:tcPr>
          <w:p>
            <w:r>
              <w:rPr>
                <w:sz w:val="16"/>
              </w:rPr>
            </w:r>
            <w:r>
              <w:rPr>
                <w:b w:val="0"/>
                <w:sz w:val="16"/>
              </w:rPr>
              <w:t>“Replacement cost” characterized as Greenfield’s “unjust enrichment”</w:t>
            </w:r>
          </w:p>
        </w:tc>
        <w:tc>
          <w:tcPr>
            <w:tcW w:type="dxa" w:w="2016"/>
          </w:tcPr>
          <w:p>
            <w:r>
              <w:rPr>
                <w:sz w:val="16"/>
              </w:rPr>
            </w:r>
            <w:r>
              <w:rPr>
                <w:b w:val="0"/>
                <w:sz w:val="16"/>
              </w:rPr>
              <w:t>¶¶ 71, 106</w:t>
            </w:r>
          </w:p>
        </w:tc>
        <w:tc>
          <w:tcPr>
            <w:tcW w:type="dxa" w:w="2880"/>
          </w:tcPr>
          <w:p>
            <w:r>
              <w:rPr>
                <w:sz w:val="16"/>
              </w:rPr>
            </w:r>
            <w:r>
              <w:rPr>
                <w:b w:val="0"/>
                <w:sz w:val="16"/>
              </w:rPr>
              <w:t>Confused damages theory; overlap with Count II.</w:t>
            </w:r>
          </w:p>
        </w:tc>
      </w:tr>
      <w:tr>
        <w:tc>
          <w:tcPr>
            <w:tcW w:type="dxa" w:w="432"/>
          </w:tcPr>
          <w:p>
            <w:r>
              <w:rPr>
                <w:sz w:val="16"/>
              </w:rPr>
            </w:r>
            <w:r>
              <w:rPr>
                <w:b w:val="0"/>
                <w:sz w:val="16"/>
              </w:rPr>
              <w:t>8</w:t>
            </w:r>
          </w:p>
        </w:tc>
        <w:tc>
          <w:tcPr>
            <w:tcW w:type="dxa" w:w="4032"/>
          </w:tcPr>
          <w:p>
            <w:r>
              <w:rPr>
                <w:sz w:val="16"/>
              </w:rPr>
            </w:r>
            <w:r>
              <w:rPr>
                <w:b w:val="0"/>
                <w:sz w:val="16"/>
              </w:rPr>
              <w:t>Certificate of service recites service on Apr. 22, 2025; process server swears service on Apr. 25, 2025</w:t>
            </w:r>
          </w:p>
        </w:tc>
        <w:tc>
          <w:tcPr>
            <w:tcW w:type="dxa" w:w="2016"/>
          </w:tcPr>
          <w:p>
            <w:r>
              <w:rPr>
                <w:sz w:val="16"/>
              </w:rPr>
            </w:r>
            <w:r>
              <w:rPr>
                <w:b w:val="0"/>
                <w:sz w:val="16"/>
              </w:rPr>
              <w:t>Certificate of Service vs. Aff. ¶¶ 2–3</w:t>
            </w:r>
          </w:p>
        </w:tc>
        <w:tc>
          <w:tcPr>
            <w:tcW w:type="dxa" w:w="2880"/>
          </w:tcPr>
          <w:p>
            <w:r>
              <w:rPr>
                <w:sz w:val="16"/>
              </w:rPr>
            </w:r>
            <w:r>
              <w:rPr>
                <w:b w:val="0"/>
                <w:sz w:val="16"/>
              </w:rPr>
              <w:t>Calendar conservatively; minor credibility point.</w:t>
            </w:r>
          </w:p>
        </w:tc>
      </w:tr>
      <w:tr>
        <w:tc>
          <w:tcPr>
            <w:tcW w:type="dxa" w:w="432"/>
          </w:tcPr>
          <w:p>
            <w:r>
              <w:rPr>
                <w:sz w:val="16"/>
              </w:rPr>
            </w:r>
            <w:r>
              <w:rPr>
                <w:b w:val="0"/>
                <w:sz w:val="16"/>
              </w:rPr>
              <w:t>9</w:t>
            </w:r>
          </w:p>
        </w:tc>
        <w:tc>
          <w:tcPr>
            <w:tcW w:type="dxa" w:w="4032"/>
          </w:tcPr>
          <w:p>
            <w:r>
              <w:rPr>
                <w:sz w:val="16"/>
              </w:rPr>
            </w:r>
            <w:r>
              <w:rPr>
                <w:b w:val="0"/>
                <w:sz w:val="16"/>
              </w:rPr>
              <w:t>Paragraph numbering skips from ¶ 131 to ¶ 136</w:t>
            </w:r>
          </w:p>
        </w:tc>
        <w:tc>
          <w:tcPr>
            <w:tcW w:type="dxa" w:w="2016"/>
          </w:tcPr>
          <w:p>
            <w:r>
              <w:rPr>
                <w:sz w:val="16"/>
              </w:rPr>
            </w:r>
            <w:r>
              <w:rPr>
                <w:b w:val="0"/>
                <w:sz w:val="16"/>
              </w:rPr>
              <w:t>Complaint § IX</w:t>
            </w:r>
          </w:p>
        </w:tc>
        <w:tc>
          <w:tcPr>
            <w:tcW w:type="dxa" w:w="2880"/>
          </w:tcPr>
          <w:p>
            <w:r>
              <w:rPr>
                <w:sz w:val="16"/>
              </w:rPr>
            </w:r>
            <w:r>
              <w:rPr>
                <w:b w:val="0"/>
                <w:sz w:val="16"/>
              </w:rPr>
              <w:t>Confirm we have the complete filing.</w:t>
            </w:r>
          </w:p>
        </w:tc>
      </w:tr>
      <w:tr>
        <w:tc>
          <w:tcPr>
            <w:tcW w:type="dxa" w:w="432"/>
          </w:tcPr>
          <w:p>
            <w:r>
              <w:rPr>
                <w:sz w:val="16"/>
              </w:rPr>
            </w:r>
            <w:r>
              <w:rPr>
                <w:b w:val="0"/>
                <w:sz w:val="16"/>
              </w:rPr>
              <w:t>10</w:t>
            </w:r>
          </w:p>
        </w:tc>
        <w:tc>
          <w:tcPr>
            <w:tcW w:type="dxa" w:w="4032"/>
          </w:tcPr>
          <w:p>
            <w:r>
              <w:rPr>
                <w:sz w:val="16"/>
              </w:rPr>
            </w:r>
            <w:r>
              <w:rPr>
                <w:b w:val="0"/>
                <w:sz w:val="16"/>
              </w:rPr>
              <w:t>Apex claims “prompt” action, but filed ~14 months after the last identified sale and the hires</w:t>
            </w:r>
          </w:p>
        </w:tc>
        <w:tc>
          <w:tcPr>
            <w:tcW w:type="dxa" w:w="2016"/>
          </w:tcPr>
          <w:p>
            <w:r>
              <w:rPr>
                <w:sz w:val="16"/>
              </w:rPr>
            </w:r>
            <w:r>
              <w:rPr>
                <w:b w:val="0"/>
                <w:sz w:val="16"/>
              </w:rPr>
              <w:t>¶ 139</w:t>
            </w:r>
          </w:p>
        </w:tc>
        <w:tc>
          <w:tcPr>
            <w:tcW w:type="dxa" w:w="2880"/>
          </w:tcPr>
          <w:p>
            <w:r>
              <w:rPr>
                <w:sz w:val="16"/>
              </w:rPr>
            </w:r>
            <w:r>
              <w:rPr>
                <w:b w:val="0"/>
                <w:sz w:val="16"/>
              </w:rPr>
              <w:t>Delay undermines irreparable harm.</w:t>
            </w:r>
          </w:p>
        </w:tc>
      </w:tr>
      <w:tr>
        <w:tc>
          <w:tcPr>
            <w:tcW w:type="dxa" w:w="432"/>
          </w:tcPr>
          <w:p>
            <w:r>
              <w:rPr>
                <w:sz w:val="16"/>
              </w:rPr>
            </w:r>
            <w:r>
              <w:rPr>
                <w:b w:val="0"/>
                <w:sz w:val="16"/>
              </w:rPr>
              <w:t>11</w:t>
            </w:r>
          </w:p>
        </w:tc>
        <w:tc>
          <w:tcPr>
            <w:tcW w:type="dxa" w:w="4032"/>
          </w:tcPr>
          <w:p>
            <w:r>
              <w:rPr>
                <w:sz w:val="16"/>
              </w:rPr>
            </w:r>
            <w:r>
              <w:rPr>
                <w:b w:val="0"/>
                <w:sz w:val="16"/>
              </w:rPr>
              <w:t>Apex pleads that Greenfield’s own records showed all prior sales to the customers</w:t>
            </w:r>
          </w:p>
        </w:tc>
        <w:tc>
          <w:tcPr>
            <w:tcW w:type="dxa" w:w="2016"/>
          </w:tcPr>
          <w:p>
            <w:r>
              <w:rPr>
                <w:sz w:val="16"/>
              </w:rPr>
            </w:r>
            <w:r>
              <w:rPr>
                <w:b w:val="0"/>
                <w:sz w:val="16"/>
              </w:rPr>
              <w:t>¶¶ 53, 88</w:t>
            </w:r>
          </w:p>
        </w:tc>
        <w:tc>
          <w:tcPr>
            <w:tcW w:type="dxa" w:w="2880"/>
          </w:tcPr>
          <w:p>
            <w:r>
              <w:rPr>
                <w:sz w:val="16"/>
              </w:rPr>
            </w:r>
            <w:r>
              <w:rPr>
                <w:b w:val="0"/>
                <w:sz w:val="16"/>
              </w:rPr>
              <w:t>Undercuts secrecy of customer information as against Greenfield.</w:t>
            </w:r>
          </w:p>
        </w:tc>
      </w:tr>
      <w:tr>
        <w:tc>
          <w:tcPr>
            <w:tcW w:type="dxa" w:w="432"/>
          </w:tcPr>
          <w:p>
            <w:r>
              <w:rPr>
                <w:sz w:val="16"/>
              </w:rPr>
            </w:r>
            <w:r>
              <w:rPr>
                <w:b w:val="0"/>
                <w:sz w:val="16"/>
              </w:rPr>
              <w:t>12</w:t>
            </w:r>
          </w:p>
        </w:tc>
        <w:tc>
          <w:tcPr>
            <w:tcW w:type="dxa" w:w="4032"/>
          </w:tcPr>
          <w:p>
            <w:r>
              <w:rPr>
                <w:sz w:val="16"/>
              </w:rPr>
            </w:r>
            <w:r>
              <w:rPr>
                <w:b w:val="0"/>
                <w:sz w:val="16"/>
              </w:rPr>
              <w:t>Restrictive-covenant interference alleged (¶ 72) but no count pleaded; employees not joined</w:t>
            </w:r>
          </w:p>
        </w:tc>
        <w:tc>
          <w:tcPr>
            <w:tcW w:type="dxa" w:w="2016"/>
          </w:tcPr>
          <w:p>
            <w:r>
              <w:rPr>
                <w:sz w:val="16"/>
              </w:rPr>
            </w:r>
            <w:r>
              <w:rPr>
                <w:b w:val="0"/>
                <w:sz w:val="16"/>
              </w:rPr>
              <w:t>¶ 72; ¶ 131(c)</w:t>
            </w:r>
          </w:p>
        </w:tc>
        <w:tc>
          <w:tcPr>
            <w:tcW w:type="dxa" w:w="2880"/>
          </w:tcPr>
          <w:p>
            <w:r>
              <w:rPr>
                <w:sz w:val="16"/>
              </w:rPr>
            </w:r>
            <w:r>
              <w:rPr>
                <w:b w:val="0"/>
                <w:sz w:val="16"/>
              </w:rPr>
              <w:t>No pleaded claim supports relief (c).</w:t>
            </w:r>
          </w:p>
        </w:tc>
      </w:tr>
      <w:tr>
        <w:tc>
          <w:tcPr>
            <w:tcW w:type="dxa" w:w="432"/>
          </w:tcPr>
          <w:p>
            <w:r>
              <w:rPr>
                <w:sz w:val="16"/>
              </w:rPr>
            </w:r>
            <w:r>
              <w:rPr>
                <w:b w:val="0"/>
                <w:sz w:val="16"/>
              </w:rPr>
              <w:t>13</w:t>
            </w:r>
          </w:p>
        </w:tc>
        <w:tc>
          <w:tcPr>
            <w:tcW w:type="dxa" w:w="4032"/>
          </w:tcPr>
          <w:p>
            <w:r>
              <w:rPr>
                <w:sz w:val="16"/>
              </w:rPr>
            </w:r>
            <w:r>
              <w:rPr>
                <w:b w:val="0"/>
                <w:sz w:val="16"/>
              </w:rPr>
              <w:t>Customers alleged to have been “managed by” Kelsey and Ostrowski, but Magnolia and Southeastern relationships date to 2019, before either was hired; Clearwater began 2021</w:t>
            </w:r>
          </w:p>
        </w:tc>
        <w:tc>
          <w:tcPr>
            <w:tcW w:type="dxa" w:w="2016"/>
          </w:tcPr>
          <w:p>
            <w:r>
              <w:rPr>
                <w:sz w:val="16"/>
              </w:rPr>
            </w:r>
            <w:r>
              <w:rPr>
                <w:b w:val="0"/>
                <w:sz w:val="16"/>
              </w:rPr>
              <w:t>¶¶ 45, 48, 111 vs. ¶ 11</w:t>
            </w:r>
          </w:p>
        </w:tc>
        <w:tc>
          <w:tcPr>
            <w:tcW w:type="dxa" w:w="2880"/>
          </w:tcPr>
          <w:p>
            <w:r>
              <w:rPr>
                <w:sz w:val="16"/>
              </w:rPr>
            </w:r>
            <w:r>
              <w:rPr>
                <w:b w:val="0"/>
                <w:sz w:val="16"/>
              </w:rPr>
              <w:t>Account-history discovery may show other Apex personnel managed these accounts.</w:t>
            </w:r>
          </w:p>
        </w:tc>
      </w:tr>
    </w:tbl>
    <w:p>
      <w:pPr>
        <w:spacing w:after="40"/>
      </w:pPr>
    </w:p>
    <w:p>
      <w:pPr>
        <w:pStyle w:val="Heading1"/>
      </w:pPr>
      <w:r>
        <w:t>XII. Client-Side Vulnerabilities and Privilege Cautions</w:t>
      </w:r>
    </w:p>
    <w:p>
      <w:pPr>
        <w:pStyle w:val="ListBullet"/>
        <w:spacing w:after="60"/>
      </w:pPr>
      <w:r>
        <w:rPr>
          <w:b w:val="0"/>
        </w:rPr>
        <w:t>Ms. Yuen’s email contains candid admissions (that she doubts timeliness, that the second letter was “rushed out,” that the Aug. 3 letter went unanswered “as an oversight,” and that hiring diligence may not have occurred). The email is privileged; the underlying facts are not. Avoid forwarding it outside the control group, and ensure that affidavits and the answer do not contradict facts we will have to concede.</w:t>
      </w:r>
    </w:p>
    <w:p>
      <w:pPr>
        <w:pStyle w:val="ListBullet"/>
        <w:spacing w:after="60"/>
      </w:pPr>
      <w:r>
        <w:rPr>
          <w:b w:val="0"/>
        </w:rPr>
        <w:t>Hargrove’s unilateral July 15 letter and his leadership of the direct-sales initiative make him a central and possibly adverse witness. Interview him promptly through counsel (Upjohn warnings) and preserve his files; avoid any employment action against him that could look retaliatory or prompt him to become a cooperative witness for Apex without careful consideration.</w:t>
      </w:r>
    </w:p>
    <w:p>
      <w:pPr>
        <w:pStyle w:val="ListBullet"/>
        <w:spacing w:after="60"/>
      </w:pPr>
      <w:r>
        <w:rPr>
          <w:b w:val="0"/>
        </w:rPr>
        <w:t>Kelsey and Ostrowski: forensic imaging of laptops, phones, personal email/cloud accounts used for work, and Greenfield CRM entries they created; confirm no Apex files are present before anyone signs a certification. Recommend separate counsel and a joint-defense/common-interest agreement if appropriate.</w:t>
      </w:r>
    </w:p>
    <w:p>
      <w:pPr>
        <w:pStyle w:val="ListBullet"/>
        <w:spacing w:after="60"/>
      </w:pPr>
      <w:r>
        <w:rPr>
          <w:b w:val="0"/>
        </w:rPr>
        <w:t>Litigation hold: Greenfield executives, sales, HR (hiring files), finance (direct-sales margins), IT; FedEx/email delivery records for Exs. B and D; any communications with the four customers about Apex or the transition; any internal discussion of the Aug. 3 letter.</w:t>
      </w:r>
    </w:p>
    <w:p>
      <w:pPr>
        <w:pStyle w:val="ListBullet"/>
        <w:spacing w:after="60"/>
      </w:pPr>
      <w:r>
        <w:rPr>
          <w:b w:val="0"/>
        </w:rPr>
        <w:t>Insurance: tender to D&amp;O/management liability, CGL (personal and advertising injury) and any EPL carriers promptly; trade secret and contract claims are frequently excluded, but timely notice preserves rights.</w:t>
      </w:r>
    </w:p>
    <w:p>
      <w:pPr>
        <w:pStyle w:val="Heading1"/>
      </w:pPr>
      <w:r>
        <w:t>XIII. Information and Documents Needed from Greenfield</w:t>
      </w:r>
    </w:p>
    <w:p>
      <w:pPr>
        <w:pStyle w:val="ListBullet"/>
        <w:spacing w:after="60"/>
      </w:pPr>
      <w:r>
        <w:rPr>
          <w:b w:val="0"/>
        </w:rPr>
        <w:t>Complete Exclusive Distribution Agreement, all amendments, side letters, and the omitted Articles I–III (exclusivity, Territory, reserved accounts), §§ 4.3–4.5, 5.4–11.4, 12.2–14.1, 14.3–16.0 and 16.2 (notice clause, limitation of liability, force majeure, no-waiver, pricing/commission terms).</w:t>
      </w:r>
    </w:p>
    <w:p>
      <w:pPr>
        <w:pStyle w:val="ListBullet"/>
        <w:spacing w:after="60"/>
      </w:pPr>
      <w:r>
        <w:rPr>
          <w:b w:val="0"/>
        </w:rPr>
        <w:t>Whether Ellsworth approved the non-renewal decision and/or the July 15 letter before it was sent; any board or management materials; FedEx and email delivery confirmations for July 15 and Sept. 12 letters.</w:t>
      </w:r>
    </w:p>
    <w:p>
      <w:pPr>
        <w:pStyle w:val="ListBullet"/>
        <w:spacing w:after="60"/>
      </w:pPr>
      <w:r>
        <w:rPr>
          <w:b w:val="0"/>
        </w:rPr>
        <w:t>All internal communications about the Aug. 3, 2023 letter and the decision to send the Sept. 12 letter.</w:t>
      </w:r>
    </w:p>
    <w:p>
      <w:pPr>
        <w:pStyle w:val="ListBullet"/>
        <w:spacing w:after="60"/>
      </w:pPr>
      <w:r>
        <w:rPr>
          <w:b w:val="0"/>
        </w:rPr>
        <w:t>Whether Greenfield continued to supply Apex after Feb. 28, 2024; Apex’s purchases since Mar. 1, 2024; any transition communications with Apex or customers.</w:t>
      </w:r>
    </w:p>
    <w:p>
      <w:pPr>
        <w:pStyle w:val="ListBullet"/>
        <w:spacing w:after="60"/>
      </w:pPr>
      <w:r>
        <w:rPr>
          <w:b w:val="0"/>
        </w:rPr>
        <w:t>All Territory direct sales since Oct. 2023 (not only the four accounts), with margins; current run-rate (needed for bond and exposure).</w:t>
      </w:r>
    </w:p>
    <w:p>
      <w:pPr>
        <w:pStyle w:val="ListBullet"/>
        <w:spacing w:after="60"/>
      </w:pPr>
      <w:r>
        <w:rPr>
          <w:b w:val="0"/>
        </w:rPr>
        <w:t>How the four accounts were identified and priced; Greenfield’s independent customer data (warranty, service, ship-to, direct inquiries); who quoted each deal and when.</w:t>
      </w:r>
    </w:p>
    <w:p>
      <w:pPr>
        <w:pStyle w:val="ListBullet"/>
        <w:spacing w:after="60"/>
      </w:pPr>
      <w:r>
        <w:rPr>
          <w:b w:val="0"/>
        </w:rPr>
        <w:t>Kelsey and Ostrowski: offer letters, start dates, job descriptions, territories, accounts touched, compensation, any indemnities, HR diligence records, and their complete Apex agreements.</w:t>
      </w:r>
    </w:p>
    <w:p>
      <w:pPr>
        <w:pStyle w:val="ListBullet"/>
        <w:spacing w:after="60"/>
      </w:pPr>
      <w:r>
        <w:rPr>
          <w:b w:val="0"/>
        </w:rPr>
        <w:t>Any Greenfield–Apex disputes, audits or communications regarding the Year 2 shortfall.</w:t>
      </w:r>
    </w:p>
    <w:p>
      <w:pPr>
        <w:pStyle w:val="ListBullet"/>
        <w:spacing w:after="60"/>
      </w:pPr>
      <w:r>
        <w:rPr>
          <w:b w:val="0"/>
        </w:rPr>
        <w:t>Insurance policies; any prior settlement communications with Apex.</w:t>
      </w:r>
    </w:p>
    <w:p>
      <w:pPr>
        <w:pStyle w:val="Heading1"/>
      </w:pPr>
      <w:r>
        <w:t>XIV. Recommended Next Steps and Agenda for the April 28 Call</w:t>
      </w:r>
    </w:p>
    <w:p>
      <w:pPr>
        <w:pStyle w:val="ListBullet"/>
        <w:spacing w:after="60"/>
      </w:pPr>
      <w:r>
        <w:rPr>
          <w:b/>
        </w:rPr>
        <w:t>Today–Apr. 29:</w:t>
      </w:r>
      <w:r>
        <w:rPr>
          <w:b w:val="0"/>
        </w:rPr>
        <w:t xml:space="preserve"> litigation hold; engagement/conflicts for representation and for separate counsel for Kelsey and Ostrowski; collect the full Agreement and employment files; begin forensic collection.</w:t>
      </w:r>
    </w:p>
    <w:p>
      <w:pPr>
        <w:pStyle w:val="ListBullet"/>
        <w:spacing w:after="60"/>
      </w:pPr>
      <w:r>
        <w:rPr>
          <w:b/>
        </w:rPr>
        <w:t>By Apr. 30:</w:t>
      </w:r>
      <w:r>
        <w:rPr>
          <w:b w:val="0"/>
        </w:rPr>
        <w:t xml:space="preserve"> contact Apex counsel to (i) confirm the hearing schedule and briefing expectations, (ii) obtain consent to (or at least notice of) a 30-day answer extension, and (iii) explore a stipulated interim order (preservation, non-use of Apex information, temporary screening) in lieu of a contested TRO.</w:t>
      </w:r>
    </w:p>
    <w:p>
      <w:pPr>
        <w:pStyle w:val="ListBullet"/>
        <w:spacing w:after="60"/>
      </w:pPr>
      <w:r>
        <w:rPr>
          <w:b/>
        </w:rPr>
        <w:t>By May 2:</w:t>
      </w:r>
      <w:r>
        <w:rPr>
          <w:b w:val="0"/>
        </w:rPr>
        <w:t xml:space="preserve"> witness interviews (Ellsworth, Yuen, Hargrove, Kelsey, Ostrowski, sales operations); decide removal and Business Court designation in principle.</w:t>
      </w:r>
    </w:p>
    <w:p>
      <w:pPr>
        <w:pStyle w:val="ListBullet"/>
        <w:spacing w:after="60"/>
      </w:pPr>
      <w:r>
        <w:rPr>
          <w:b/>
        </w:rPr>
        <w:t>By May 6–7:</w:t>
      </w:r>
      <w:r>
        <w:rPr>
          <w:b w:val="0"/>
        </w:rPr>
        <w:t xml:space="preserve"> file TRO/PI opposition with affidavits and a proposed bond figure; prepare hearing outline and demonstratives (chronology showing invoices predating hires).</w:t>
      </w:r>
    </w:p>
    <w:p>
      <w:pPr>
        <w:pStyle w:val="ListBullet"/>
        <w:spacing w:after="60"/>
      </w:pPr>
      <w:r>
        <w:rPr>
          <w:b/>
        </w:rPr>
        <w:t>May 9:</w:t>
      </w:r>
      <w:r>
        <w:rPr>
          <w:b w:val="0"/>
        </w:rPr>
        <w:t xml:space="preserve"> hearing.</w:t>
      </w:r>
    </w:p>
    <w:p>
      <w:pPr>
        <w:pStyle w:val="ListBullet"/>
        <w:spacing w:after="60"/>
      </w:pPr>
      <w:r>
        <w:rPr>
          <w:b/>
        </w:rPr>
        <w:t>By May 22 (protective; hard deadline May 27):</w:t>
      </w:r>
      <w:r>
        <w:rPr>
          <w:b w:val="0"/>
        </w:rPr>
        <w:t xml:space="preserve"> removal notice and/or Business Court designation, if pursued; confirm the clerk’s extension is entered.</w:t>
      </w:r>
    </w:p>
    <w:p>
      <w:pPr>
        <w:pStyle w:val="ListBullet"/>
        <w:spacing w:after="60"/>
      </w:pPr>
      <w:r>
        <w:rPr>
          <w:b/>
        </w:rPr>
        <w:t>By mid-June:</w:t>
      </w:r>
      <w:r>
        <w:rPr>
          <w:b w:val="0"/>
        </w:rPr>
        <w:t xml:space="preserve"> decide whether to serve a compliant, without-prejudice non-renewal notice signed by both the CEO and the General Counsel (strongly recommended, and in all events well before Sept. 1, 2025); engage a damages consultant; early case assessment and settlement range.</w:t>
      </w:r>
    </w:p>
    <w:p>
      <w:pPr>
        <w:pStyle w:val="ListBullet"/>
        <w:spacing w:after="60"/>
      </w:pPr>
      <w:r>
        <w:rPr>
          <w:b/>
        </w:rPr>
        <w:t>By approx. June 26:</w:t>
      </w:r>
      <w:r>
        <w:rPr>
          <w:b w:val="0"/>
        </w:rPr>
        <w:t xml:space="preserve"> Rule 12 motions and/or answer, affirmative defenses and declaratory counterclaim.</w:t>
      </w:r>
    </w:p>
    <w:p>
      <w:pPr>
        <w:pStyle w:val="ListBullet"/>
        <w:spacing w:after="60"/>
      </w:pPr>
      <w:r>
        <w:rPr>
          <w:b/>
        </w:rPr>
        <w:t>Settlement posture:</w:t>
      </w:r>
      <w:r>
        <w:rPr>
          <w:b w:val="0"/>
        </w:rPr>
        <w:t xml:space="preserve"> given the strength of Apex’s renewal and direct-sales claims, the reciprocal fee clause, and the short remaining term, an early negotiated resolution (e.g., a payment reflecting net margin on the direct sales and a discounted renewal-term amount, mutual releases, and agreed wind-down by Feb. 28, 2026) should be evaluated in parallel with the TRO defense.</w:t>
      </w:r>
    </w:p>
    <w:p>
      <w:pPr>
        <w:spacing w:after="120"/>
      </w:pPr>
      <w:r>
        <w:rPr>
          <w:b w:val="0"/>
          <w:i/>
        </w:rPr>
        <w:t>We will update this assessment once we review the complete Agreement and the client’s internal documents. All authorities should be cite-checked before use in any filing.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