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20"/>
        </w:rPr>
        <w:t>PRIVILEGED &amp; CONFIDENTIAL</w:t>
      </w:r>
    </w:p>
    <w:p>
      <w:pPr>
        <w:spacing w:after="80"/>
        <w:jc w:val="center"/>
      </w:pPr>
      <w:r>
        <w:rPr>
          <w:b/>
          <w:i w:val="0"/>
          <w:sz w:val="20"/>
        </w:rPr>
        <w:t>ATTORNEY-CLIENT COMMUNICATION / ATTORNEY WORK PRODUCT</w:t>
      </w:r>
    </w:p>
    <w:p>
      <w:pPr>
        <w:spacing w:after="80"/>
        <w:jc w:val="center"/>
      </w:pPr>
      <w:r>
        <w:rPr>
          <w:b/>
          <w:i w:val="0"/>
          <w:sz w:val="32"/>
        </w:rPr>
        <w:t>MEMORANDUM</w:t>
      </w:r>
    </w:p>
    <w:tbl>
      <w:tblPr>
        <w:tblStyle w:val="TableGrid"/>
        <w:tblW w:type="auto" w:w="0"/>
        <w:tblLook w:firstColumn="1" w:firstRow="1" w:lastColumn="0" w:lastRow="0" w:noHBand="0" w:noVBand="1" w:val="04A0"/>
      </w:tblPr>
      <w:tblGrid>
        <w:gridCol w:w="4680"/>
        <w:gridCol w:w="4680"/>
      </w:tblGrid>
      <w:tr>
        <w:tc>
          <w:tcPr>
            <w:tcW w:type="dxa" w:w="1584"/>
          </w:tcPr>
          <w:p>
            <w:r/>
            <w:r>
              <w:rPr>
                <w:b/>
              </w:rPr>
              <w:t>TO:</w:t>
            </w:r>
          </w:p>
        </w:tc>
        <w:tc>
          <w:tcPr>
            <w:tcW w:type="dxa" w:w="7776"/>
          </w:tcPr>
          <w:p>
            <w:r>
              <w:t>Priya Malhotra, General Counsel, Colton Beverage Holdings, Inc.</w:t>
            </w:r>
          </w:p>
        </w:tc>
      </w:tr>
      <w:tr>
        <w:tc>
          <w:tcPr>
            <w:tcW w:type="dxa" w:w="1584"/>
          </w:tcPr>
          <w:p>
            <w:r/>
            <w:r>
              <w:rPr>
                <w:b/>
              </w:rPr>
              <w:t>FROM:</w:t>
            </w:r>
          </w:p>
        </w:tc>
        <w:tc>
          <w:tcPr>
            <w:tcW w:type="dxa" w:w="7776"/>
          </w:tcPr>
          <w:p>
            <w:r>
              <w:t>Legal Department – Outside Counsel Budget Review</w:t>
            </w:r>
          </w:p>
        </w:tc>
      </w:tr>
      <w:tr>
        <w:tc>
          <w:tcPr>
            <w:tcW w:type="dxa" w:w="1584"/>
          </w:tcPr>
          <w:p>
            <w:r/>
            <w:r>
              <w:rPr>
                <w:b/>
              </w:rPr>
              <w:t>DATE:</w:t>
            </w:r>
          </w:p>
        </w:tc>
        <w:tc>
          <w:tcPr>
            <w:tcW w:type="dxa" w:w="7776"/>
          </w:tcPr>
          <w:p>
            <w:r>
              <w:t>May 2025 (review of submission dated May 12, 2025)</w:t>
            </w:r>
          </w:p>
        </w:tc>
      </w:tr>
      <w:tr>
        <w:tc>
          <w:tcPr>
            <w:tcW w:type="dxa" w:w="1584"/>
          </w:tcPr>
          <w:p>
            <w:r/>
            <w:r>
              <w:rPr>
                <w:b/>
              </w:rPr>
              <w:t>RE:</w:t>
            </w:r>
          </w:p>
        </w:tc>
        <w:tc>
          <w:tcPr>
            <w:tcW w:type="dxa" w:w="7776"/>
          </w:tcPr>
          <w:p>
            <w:r>
              <w:t>Issues Identified in Whitfield Garrett LLP Litigation Matter Budget Proposal (May 1, 2025 – April 30, 2026) – Colton Beverage Holdings, Inc. v. Ridgewater Distribution Partners, LLC, Case No. 2024-CV-03821 (Fulton Cty. Super. Ct.)</w:t>
            </w:r>
          </w:p>
        </w:tc>
      </w:tr>
      <w:tr>
        <w:tc>
          <w:tcPr>
            <w:tcW w:type="dxa" w:w="1584"/>
          </w:tcPr>
          <w:p>
            <w:r/>
            <w:r>
              <w:rPr>
                <w:b/>
              </w:rPr>
              <w:t>MATERIALS:</w:t>
            </w:r>
          </w:p>
        </w:tc>
        <w:tc>
          <w:tcPr>
            <w:tcW w:type="dxa" w:w="7776"/>
          </w:tcPr>
          <w:p>
            <w:r>
              <w:t>(1) Whitfield Garrett Litigation Matter Budget Proposal dated May 12, 2025; (2) Colton Outside Counsel Guidelines v4.2 (eff. Jan. 1, 2025) (“OCG”); (3) 2024 Budget vs. Actuals workbook (Mar. 15 – Dec. 31, 2024; prepared Jan. 31, 2025); (4) N. Croft rate increase notice email dated Dec. 15, 2024; (5) S. Okeke timekeeper addition request email dated Apr. 25, 2025</w:t>
            </w:r>
          </w:p>
        </w:tc>
      </w:tr>
    </w:tbl>
    <w:p/>
    <w:p>
      <w:pPr>
        <w:pStyle w:val="Heading1"/>
      </w:pPr>
      <w:r>
        <w:t>I. Executive Summary and Bottom Line</w:t>
      </w:r>
    </w:p>
    <w:p>
      <w:pPr>
        <w:spacing w:after="80"/>
      </w:pPr>
      <w:r>
        <w:rPr>
          <w:b w:val="0"/>
          <w:i w:val="0"/>
        </w:rPr>
        <w:t xml:space="preserve">Whitfield Garrett LLP (“WG”) requests approval of a $2,397,450 budget ($1,708,950 fees; $688,500 expenses) covering May 1, 2025 through the end of trial. We reviewed the proposal line by line against OCG v4.2, the 2024 budget-to-actuals workbook, and the two related WG emails. </w:t>
      </w:r>
      <w:r>
        <w:rPr>
          <w:b/>
          <w:i w:val="0"/>
        </w:rPr>
        <w:t>Recommendation: do not approve the budget as submitted. Return it to WG for revision under OCG Sections 5.2 and 5.4.</w:t>
      </w:r>
      <w:r>
        <w:rPr>
          <w:b w:val="0"/>
          <w:i w:val="0"/>
        </w:rPr>
        <w:t xml:space="preserve"> It does not reconcile, it contains an unauthorized L700 appellate reserve, and it is built on billing rates and staffing that the OCG does not allow. More than 80% of the expense budget also depends on pre-approvals that have not been requested.</w:t>
      </w:r>
    </w:p>
    <w:p>
      <w:pPr>
        <w:spacing w:after="80"/>
      </w:pPr>
      <w:r>
        <w:rPr>
          <w:b/>
          <w:i w:val="0"/>
        </w:rPr>
        <w:t>Key findings:</w:t>
      </w:r>
    </w:p>
    <w:p>
      <w:pPr>
        <w:pStyle w:val="ListBullet"/>
        <w:spacing w:after="40"/>
      </w:pPr>
      <w:r>
        <w:rPr>
          <w:b/>
          <w:i w:val="0"/>
        </w:rPr>
        <w:t>The budget does not reconcile and understates the cost.</w:t>
      </w:r>
      <w:r>
        <w:rPr>
          <w:b w:val="0"/>
          <w:i w:val="0"/>
        </w:rPr>
        <w:t xml:space="preserve"> The phase table (Section 2) totals $1,708,950. The staffing table (Section 3), which is hours times rates, totals $1,825,000. The </w:t>
      </w:r>
      <w:r>
        <w:rPr>
          <w:b/>
          <w:i w:val="0"/>
        </w:rPr>
        <w:t>$116,050 difference</w:t>
      </w:r>
      <w:r>
        <w:rPr>
          <w:b w:val="0"/>
          <w:i w:val="0"/>
        </w:rPr>
        <w:t xml:space="preserve"> is neither identified nor explained, as OCG 5.2 requires. Nearly all of it sits in L300 Discovery (understated by $57,000) and L400 Motion Practice (understated by $51,200). At WG’s own rates, L400 would reach 119% of its budget, past the 110% overrun threshold, before any work begins. On WG’s own numbers the true request is about </w:t>
      </w:r>
      <w:r>
        <w:rPr>
          <w:b/>
          <w:i w:val="0"/>
        </w:rPr>
        <w:t>$2,513,500</w:t>
      </w:r>
      <w:r>
        <w:rPr>
          <w:b w:val="0"/>
          <w:i w:val="0"/>
        </w:rPr>
        <w:t>, plus up to about $49,500 for Boyd Whitaker’s 60 unbudgeted partner hours.</w:t>
      </w:r>
    </w:p>
    <w:p>
      <w:pPr>
        <w:pStyle w:val="ListBullet"/>
        <w:spacing w:after="40"/>
      </w:pPr>
      <w:r>
        <w:rPr>
          <w:b/>
          <w:i w:val="0"/>
        </w:rPr>
        <w:t>Rates exceed the OCG caps and the 3% increase limit.</w:t>
      </w:r>
      <w:r>
        <w:rPr>
          <w:b w:val="0"/>
          <w:i w:val="0"/>
        </w:rPr>
        <w:t xml:space="preserve"> Croft is at $850 against an $825 cap. Okeke is at $575 against a $550 cap, a 4.5% increase. Hu is at $225 against a $200 cap. Yoon’s increase is 3.66% and Novak’s is 4.17%, both above 3%. WG’s notice of the 2025 increases was sent December 15, 2024, </w:t>
      </w:r>
      <w:r>
        <w:rPr>
          <w:b/>
          <w:i w:val="0"/>
        </w:rPr>
        <w:t>45 days after the November 1 deadline</w:t>
      </w:r>
      <w:r>
        <w:rPr>
          <w:b w:val="0"/>
          <w:i w:val="0"/>
        </w:rPr>
        <w:t xml:space="preserve">, so the GC may deny the 2025 increases entirely (OCG 3.2(b)). Over the budgeted hours, the rate overcharge is </w:t>
      </w:r>
      <w:r>
        <w:rPr>
          <w:b/>
          <w:i w:val="0"/>
        </w:rPr>
        <w:t>$63,090</w:t>
      </w:r>
      <w:r>
        <w:rPr>
          <w:b w:val="0"/>
          <w:i w:val="0"/>
        </w:rPr>
        <w:t xml:space="preserve"> if 3% increases are allowed and </w:t>
      </w:r>
      <w:r>
        <w:rPr>
          <w:b/>
          <w:i w:val="0"/>
        </w:rPr>
        <w:t>$79,500</w:t>
      </w:r>
      <w:r>
        <w:rPr>
          <w:b w:val="0"/>
          <w:i w:val="0"/>
        </w:rPr>
        <w:t xml:space="preserve"> if the late increases are denied.</w:t>
      </w:r>
    </w:p>
    <w:p>
      <w:pPr>
        <w:pStyle w:val="ListBullet"/>
        <w:spacing w:after="40"/>
      </w:pPr>
      <w:r>
        <w:rPr>
          <w:b/>
          <w:i w:val="0"/>
        </w:rPr>
        <w:t>The paralegal was added without proper notice or approval.</w:t>
      </w:r>
      <w:r>
        <w:rPr>
          <w:b w:val="0"/>
          <w:i w:val="0"/>
        </w:rPr>
        <w:t xml:space="preserve"> WG gave one business day’s notice (Friday, April 25, 2025, for a Monday, April 28 start) instead of the 10 business days required, claimed no exigency, left out required information, and proposed an over-cap rate. Her time since April 28 is not payable until she is approved (OCG 4.3). The budget includes 740 hours ($166,500) for her.</w:t>
      </w:r>
    </w:p>
    <w:p>
      <w:pPr>
        <w:pStyle w:val="ListBullet"/>
        <w:spacing w:after="40"/>
      </w:pPr>
      <w:r>
        <w:rPr>
          <w:b/>
          <w:i w:val="0"/>
        </w:rPr>
        <w:t>The budget includes an unauthorized post-trial/appeal reserve.</w:t>
      </w:r>
      <w:r>
        <w:rPr>
          <w:b w:val="0"/>
          <w:i w:val="0"/>
        </w:rPr>
        <w:t xml:space="preserve"> The L700 reserve of 200 hours ($92,000 stated; $95,000 at WG’s own rates) was never requested by the Company. The workbook confirms that no appellate planning was requested. Under OCG 5.4, a budget with this reserve must be returned for revision.</w:t>
      </w:r>
    </w:p>
    <w:p>
      <w:pPr>
        <w:pStyle w:val="ListBullet"/>
        <w:spacing w:after="40"/>
      </w:pPr>
      <w:r>
        <w:rPr>
          <w:b/>
          <w:i w:val="0"/>
        </w:rPr>
        <w:t>Major expenses lack required pre-approvals.</w:t>
      </w:r>
      <w:r>
        <w:rPr>
          <w:b w:val="0"/>
          <w:i w:val="0"/>
        </w:rPr>
        <w:t xml:space="preserve"> These are: e-discovery with Clearpoint at $285,000 on a sole-source basis, with no competitive bidding and about $393,500 over the life of the matter (OCG 7.2(a)); two experts at $90,000 and $85,000, each above the $75,000 per-expert threshold (OCG 7.3(a)); and a $95,000 Silvermark mock trial and jury consulting engagement (OCG 7.7). Together these total </w:t>
      </w:r>
      <w:r>
        <w:rPr>
          <w:b/>
          <w:i w:val="0"/>
        </w:rPr>
        <w:t>$555,000, or 81% of the expense budget</w:t>
      </w:r>
      <w:r>
        <w:rPr>
          <w:b w:val="0"/>
          <w:i w:val="0"/>
        </w:rPr>
        <w:t xml:space="preserve">. Two further items are not reimbursable: </w:t>
      </w:r>
      <w:r>
        <w:rPr>
          <w:b/>
          <w:i w:val="0"/>
        </w:rPr>
        <w:t>$15,000 for internal copying</w:t>
      </w:r>
      <w:r>
        <w:rPr>
          <w:b w:val="0"/>
          <w:i w:val="0"/>
        </w:rPr>
        <w:t xml:space="preserve"> (OCG 7.5 and 7.8(a)), and business-class airfare for the lead partner on domestic trips (OCG 7.4(a)).</w:t>
      </w:r>
    </w:p>
    <w:p>
      <w:pPr>
        <w:pStyle w:val="ListBullet"/>
        <w:spacing w:after="40"/>
      </w:pPr>
      <w:r>
        <w:rPr>
          <w:b/>
          <w:i w:val="0"/>
        </w:rPr>
        <w:t>Staffing conflicts with the attendance rules.</w:t>
      </w:r>
      <w:r>
        <w:rPr>
          <w:b w:val="0"/>
          <w:i w:val="0"/>
        </w:rPr>
        <w:t xml:space="preserve"> WG plans to have the “full trial team” of four attorneys at trial, but only two attorneys may attend without approval (OCG 6.5). That puts $61,750 of Yoon and Novak L600 time at risk. Partner and associate co-attendance at depositions is also planned. A second partner, Boyd Whitaker, is proposed without approval (OCG 4.2 and 4.3).</w:t>
      </w:r>
    </w:p>
    <w:p>
      <w:pPr>
        <w:pStyle w:val="ListBullet"/>
        <w:spacing w:after="40"/>
      </w:pPr>
      <w:r>
        <w:rPr>
          <w:b/>
          <w:i w:val="0"/>
        </w:rPr>
        <w:t>The supporting documents contain errors and are internally inconsistent.</w:t>
      </w:r>
      <w:r>
        <w:rPr>
          <w:b w:val="0"/>
          <w:i w:val="0"/>
        </w:rPr>
        <w:t xml:space="preserve"> Examples: the 2024 base rates for Yoon ($410 vs. $415) and Novak ($360 vs. $365) differ across documents; Hu is given a fictitious “2024 rate” of $215; the paralegal’s name appears as “Hu” and as “Hsu”; the December 2024 notice states that no paralegal was assigned, although Lisa Ferrante worked on the matter through December 2024; the trial is described as 8–10 days but ending April 30 (19 business days after April 6); the firm address and Croft’s phone number differ between documents; and the 2024 phase report does not reconcile to the timekeeper report.</w:t>
      </w:r>
    </w:p>
    <w:p>
      <w:pPr>
        <w:pStyle w:val="ListBullet"/>
        <w:spacing w:after="40"/>
      </w:pPr>
      <w:r>
        <w:rPr>
          <w:b/>
          <w:i w:val="0"/>
        </w:rPr>
        <w:t>Compliant items.</w:t>
      </w:r>
      <w:r>
        <w:rPr>
          <w:b w:val="0"/>
          <w:i w:val="0"/>
        </w:rPr>
        <w:t xml:space="preserve"> The staffing efficiency ratio is 46.7% in the budget and about 45.9% cumulative including 2024 actuals, which meets the 40% requirement (OCG 4.4). The diversity significant-role requirement is met by Ms. Okeke at 32.7% of attorney hours (OCG 4.5). The expense table foots to $688,500, and the phase and staffing hours each foot to 3,740.</w:t>
      </w:r>
    </w:p>
    <w:p>
      <w:pPr>
        <w:spacing w:after="80"/>
      </w:pPr>
      <w:r>
        <w:rPr>
          <w:b w:val="0"/>
          <w:i w:val="0"/>
        </w:rPr>
        <w:t xml:space="preserve">Restating the budget to comply with the OCG brings fees to roughly </w:t>
      </w:r>
      <w:r>
        <w:rPr>
          <w:b/>
          <w:i w:val="0"/>
        </w:rPr>
        <w:t>$1,654,900 to $1,670,602</w:t>
      </w:r>
      <w:r>
        <w:rPr>
          <w:b w:val="0"/>
          <w:i w:val="0"/>
        </w:rPr>
        <w:t xml:space="preserve"> (rates capped, L700 removed) and expenses to </w:t>
      </w:r>
      <w:r>
        <w:rPr>
          <w:b/>
          <w:i w:val="0"/>
        </w:rPr>
        <w:t>$673,500</w:t>
      </w:r>
      <w:r>
        <w:rPr>
          <w:b w:val="0"/>
          <w:i w:val="0"/>
        </w:rPr>
        <w:t xml:space="preserve"> (internal copying removed). That is a total of about </w:t>
      </w:r>
      <w:r>
        <w:rPr>
          <w:b/>
          <w:i w:val="0"/>
        </w:rPr>
        <w:t>$2.33 million to $2.34 million</w:t>
      </w:r>
      <w:r>
        <w:rPr>
          <w:b w:val="0"/>
          <w:i w:val="0"/>
        </w:rPr>
        <w:t>. Of that, $555,000 in expenses stays contingent on separate pre-approvals, and 740 paralegal hours stay contingent on approval under Section 4.3. Section V and the appendices give the detail.</w:t>
      </w:r>
    </w:p>
    <w:p>
      <w:pPr>
        <w:pStyle w:val="Heading1"/>
      </w:pPr>
      <w:r>
        <w:t>II. Issue Summary Table</w:t>
      </w:r>
    </w:p>
    <w:p>
      <w:pPr>
        <w:spacing w:after="80"/>
      </w:pPr>
      <w:r>
        <w:rPr>
          <w:b w:val="0"/>
          <w:i/>
          <w:sz w:val="18"/>
        </w:rPr>
        <w:t xml:space="preserve">Severity: </w:t>
      </w:r>
      <w:r>
        <w:rPr>
          <w:b/>
          <w:i/>
          <w:sz w:val="18"/>
        </w:rPr>
        <w:t>High</w:t>
      </w:r>
      <w:r>
        <w:rPr>
          <w:b w:val="0"/>
          <w:i/>
          <w:sz w:val="18"/>
        </w:rPr>
        <w:t xml:space="preserve"> means a direct OCG violation requiring return or revision of the budget, or payment exposure above $25,000. </w:t>
      </w:r>
      <w:r>
        <w:rPr>
          <w:b/>
          <w:i/>
          <w:sz w:val="18"/>
        </w:rPr>
        <w:t>Medium</w:t>
      </w:r>
      <w:r>
        <w:rPr>
          <w:b w:val="0"/>
          <w:i/>
          <w:sz w:val="18"/>
        </w:rPr>
        <w:t xml:space="preserve"> means an OCG non-compliance or approval gap requiring a correction or condition. </w:t>
      </w:r>
      <w:r>
        <w:rPr>
          <w:b/>
          <w:i/>
          <w:sz w:val="18"/>
        </w:rPr>
        <w:t>Low</w:t>
      </w:r>
      <w:r>
        <w:rPr>
          <w:b w:val="0"/>
          <w:i/>
          <w:sz w:val="18"/>
        </w:rPr>
        <w:t xml:space="preserve"> means a documentary inconsistency or clarification item.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648"/>
            <w:shd w:val="clear" w:color="auto" w:fill="1F3A5F"/>
          </w:tcPr>
          <w:p>
            <w:r/>
            <w:r>
              <w:rPr>
                <w:b/>
                <w:color w:val="FFFFFF"/>
                <w:sz w:val="16"/>
              </w:rPr>
              <w:t>No.</w:t>
            </w:r>
          </w:p>
        </w:tc>
        <w:tc>
          <w:tcPr>
            <w:tcW w:type="dxa" w:w="1152"/>
            <w:shd w:val="clear" w:color="auto" w:fill="1F3A5F"/>
          </w:tcPr>
          <w:p>
            <w:r/>
            <w:r>
              <w:rPr>
                <w:b/>
                <w:color w:val="FFFFFF"/>
                <w:sz w:val="16"/>
              </w:rPr>
              <w:t>Category</w:t>
            </w:r>
          </w:p>
        </w:tc>
        <w:tc>
          <w:tcPr>
            <w:tcW w:type="dxa" w:w="3744"/>
            <w:shd w:val="clear" w:color="auto" w:fill="1F3A5F"/>
          </w:tcPr>
          <w:p>
            <w:r/>
            <w:r>
              <w:rPr>
                <w:b/>
                <w:color w:val="FFFFFF"/>
                <w:sz w:val="16"/>
              </w:rPr>
              <w:t>Issue</w:t>
            </w:r>
          </w:p>
        </w:tc>
        <w:tc>
          <w:tcPr>
            <w:tcW w:type="dxa" w:w="1440"/>
            <w:shd w:val="clear" w:color="auto" w:fill="1F3A5F"/>
          </w:tcPr>
          <w:p>
            <w:r/>
            <w:r>
              <w:rPr>
                <w:b/>
                <w:color w:val="FFFFFF"/>
                <w:sz w:val="16"/>
              </w:rPr>
              <w:t>OCG Section</w:t>
            </w:r>
          </w:p>
        </w:tc>
        <w:tc>
          <w:tcPr>
            <w:tcW w:type="dxa" w:w="936"/>
            <w:shd w:val="clear" w:color="auto" w:fill="1F3A5F"/>
          </w:tcPr>
          <w:p>
            <w:r/>
            <w:r>
              <w:rPr>
                <w:b/>
                <w:color w:val="FFFFFF"/>
                <w:sz w:val="16"/>
              </w:rPr>
              <w:t>Severity</w:t>
            </w:r>
          </w:p>
        </w:tc>
        <w:tc>
          <w:tcPr>
            <w:tcW w:type="dxa" w:w="1440"/>
            <w:shd w:val="clear" w:color="auto" w:fill="1F3A5F"/>
          </w:tcPr>
          <w:p>
            <w:r/>
            <w:r>
              <w:rPr>
                <w:b/>
                <w:color w:val="FFFFFF"/>
                <w:sz w:val="16"/>
              </w:rPr>
              <w:t>$ Exposure</w:t>
            </w:r>
          </w:p>
        </w:tc>
      </w:tr>
      <w:tr>
        <w:tc>
          <w:tcPr>
            <w:tcW w:type="dxa" w:w="648"/>
          </w:tcPr>
          <w:p>
            <w:r/>
            <w:r>
              <w:rPr>
                <w:b w:val="0"/>
                <w:i w:val="0"/>
                <w:sz w:val="16"/>
              </w:rPr>
              <w:t>A-1</w:t>
            </w:r>
          </w:p>
        </w:tc>
        <w:tc>
          <w:tcPr>
            <w:tcW w:type="dxa" w:w="1152"/>
          </w:tcPr>
          <w:p>
            <w:r/>
            <w:r>
              <w:rPr>
                <w:b w:val="0"/>
                <w:i w:val="0"/>
                <w:sz w:val="16"/>
              </w:rPr>
              <w:t>Rates</w:t>
            </w:r>
          </w:p>
        </w:tc>
        <w:tc>
          <w:tcPr>
            <w:tcW w:type="dxa" w:w="3744"/>
          </w:tcPr>
          <w:p>
            <w:r/>
            <w:r>
              <w:rPr>
                <w:b w:val="0"/>
                <w:i w:val="0"/>
                <w:sz w:val="16"/>
              </w:rPr>
              <w:t>Croft, Okeke and Hu rates exceed OCG 3.1 caps</w:t>
            </w:r>
          </w:p>
        </w:tc>
        <w:tc>
          <w:tcPr>
            <w:tcW w:type="dxa" w:w="1440"/>
          </w:tcPr>
          <w:p>
            <w:r/>
            <w:r>
              <w:rPr>
                <w:b w:val="0"/>
                <w:i w:val="0"/>
                <w:sz w:val="16"/>
              </w:rPr>
              <w:t>3.1, 3.2(c)</w:t>
            </w:r>
          </w:p>
        </w:tc>
        <w:tc>
          <w:tcPr>
            <w:tcW w:type="dxa" w:w="936"/>
            <w:shd w:val="clear" w:color="auto" w:fill="F4CCCC"/>
          </w:tcPr>
          <w:p>
            <w:r/>
            <w:r>
              <w:rPr>
                <w:b w:val="0"/>
                <w:i w:val="0"/>
                <w:sz w:val="16"/>
              </w:rPr>
              <w:t>High</w:t>
            </w:r>
          </w:p>
        </w:tc>
        <w:tc>
          <w:tcPr>
            <w:tcW w:type="dxa" w:w="1440"/>
          </w:tcPr>
          <w:p>
            <w:r/>
            <w:r>
              <w:rPr>
                <w:b w:val="0"/>
                <w:i w:val="0"/>
                <w:sz w:val="16"/>
              </w:rPr>
              <w:t>$58,500 over budget hours</w:t>
            </w:r>
          </w:p>
        </w:tc>
      </w:tr>
      <w:tr>
        <w:tc>
          <w:tcPr>
            <w:tcW w:type="dxa" w:w="648"/>
          </w:tcPr>
          <w:p>
            <w:r/>
            <w:r>
              <w:rPr>
                <w:b w:val="0"/>
                <w:i w:val="0"/>
                <w:sz w:val="16"/>
              </w:rPr>
              <w:t>A-2</w:t>
            </w:r>
          </w:p>
        </w:tc>
        <w:tc>
          <w:tcPr>
            <w:tcW w:type="dxa" w:w="1152"/>
          </w:tcPr>
          <w:p>
            <w:r/>
            <w:r>
              <w:rPr>
                <w:b w:val="0"/>
                <w:i w:val="0"/>
                <w:sz w:val="16"/>
              </w:rPr>
              <w:t>Rates</w:t>
            </w:r>
          </w:p>
        </w:tc>
        <w:tc>
          <w:tcPr>
            <w:tcW w:type="dxa" w:w="3744"/>
          </w:tcPr>
          <w:p>
            <w:r/>
            <w:r>
              <w:rPr>
                <w:b w:val="0"/>
                <w:i w:val="0"/>
                <w:sz w:val="16"/>
              </w:rPr>
              <w:t>Okeke (4.5%), Yoon (3.66%) and Novak (4.17%) increases exceed 3%; Croft rounded above 3%</w:t>
            </w:r>
          </w:p>
        </w:tc>
        <w:tc>
          <w:tcPr>
            <w:tcW w:type="dxa" w:w="1440"/>
          </w:tcPr>
          <w:p>
            <w:r/>
            <w:r>
              <w:rPr>
                <w:b w:val="0"/>
                <w:i w:val="0"/>
                <w:sz w:val="16"/>
              </w:rPr>
              <w:t>3.2(a)</w:t>
            </w:r>
          </w:p>
        </w:tc>
        <w:tc>
          <w:tcPr>
            <w:tcW w:type="dxa" w:w="936"/>
            <w:shd w:val="clear" w:color="auto" w:fill="F4CCCC"/>
          </w:tcPr>
          <w:p>
            <w:r/>
            <w:r>
              <w:rPr>
                <w:b w:val="0"/>
                <w:i w:val="0"/>
                <w:sz w:val="16"/>
              </w:rPr>
              <w:t>High</w:t>
            </w:r>
          </w:p>
        </w:tc>
        <w:tc>
          <w:tcPr>
            <w:tcW w:type="dxa" w:w="1440"/>
          </w:tcPr>
          <w:p>
            <w:r/>
            <w:r>
              <w:rPr>
                <w:b w:val="0"/>
                <w:i w:val="0"/>
                <w:sz w:val="16"/>
              </w:rPr>
              <w:t>Incl. in A-1; Yoon $2,322; Novak $2,268</w:t>
            </w:r>
          </w:p>
        </w:tc>
      </w:tr>
      <w:tr>
        <w:tc>
          <w:tcPr>
            <w:tcW w:type="dxa" w:w="648"/>
          </w:tcPr>
          <w:p>
            <w:r/>
            <w:r>
              <w:rPr>
                <w:b w:val="0"/>
                <w:i w:val="0"/>
                <w:sz w:val="16"/>
              </w:rPr>
              <w:t>A-3</w:t>
            </w:r>
          </w:p>
        </w:tc>
        <w:tc>
          <w:tcPr>
            <w:tcW w:type="dxa" w:w="1152"/>
          </w:tcPr>
          <w:p>
            <w:r/>
            <w:r>
              <w:rPr>
                <w:b w:val="0"/>
                <w:i w:val="0"/>
                <w:sz w:val="16"/>
              </w:rPr>
              <w:t>Rates</w:t>
            </w:r>
          </w:p>
        </w:tc>
        <w:tc>
          <w:tcPr>
            <w:tcW w:type="dxa" w:w="3744"/>
          </w:tcPr>
          <w:p>
            <w:r/>
            <w:r>
              <w:rPr>
                <w:b w:val="0"/>
                <w:i w:val="0"/>
                <w:sz w:val="16"/>
              </w:rPr>
              <w:t>2025 rate notice untimely (Dec. 15 vs. Nov. 1 deadline)</w:t>
            </w:r>
          </w:p>
        </w:tc>
        <w:tc>
          <w:tcPr>
            <w:tcW w:type="dxa" w:w="1440"/>
          </w:tcPr>
          <w:p>
            <w:r/>
            <w:r>
              <w:rPr>
                <w:b w:val="0"/>
                <w:i w:val="0"/>
                <w:sz w:val="16"/>
              </w:rPr>
              <w:t>3.2(b), 3.2(d)</w:t>
            </w:r>
          </w:p>
        </w:tc>
        <w:tc>
          <w:tcPr>
            <w:tcW w:type="dxa" w:w="936"/>
            <w:shd w:val="clear" w:color="auto" w:fill="F4CCCC"/>
          </w:tcPr>
          <w:p>
            <w:r/>
            <w:r>
              <w:rPr>
                <w:b w:val="0"/>
                <w:i w:val="0"/>
                <w:sz w:val="16"/>
              </w:rPr>
              <w:t>High</w:t>
            </w:r>
          </w:p>
        </w:tc>
        <w:tc>
          <w:tcPr>
            <w:tcW w:type="dxa" w:w="1440"/>
          </w:tcPr>
          <w:p>
            <w:r/>
            <w:r>
              <w:rPr>
                <w:b w:val="0"/>
                <w:i w:val="0"/>
                <w:sz w:val="16"/>
              </w:rPr>
              <w:t>Up to $79,500 if increases denied</w:t>
            </w:r>
          </w:p>
        </w:tc>
      </w:tr>
      <w:tr>
        <w:tc>
          <w:tcPr>
            <w:tcW w:type="dxa" w:w="648"/>
          </w:tcPr>
          <w:p>
            <w:r/>
            <w:r>
              <w:rPr>
                <w:b w:val="0"/>
                <w:i w:val="0"/>
                <w:sz w:val="16"/>
              </w:rPr>
              <w:t>A-4</w:t>
            </w:r>
          </w:p>
        </w:tc>
        <w:tc>
          <w:tcPr>
            <w:tcW w:type="dxa" w:w="1152"/>
          </w:tcPr>
          <w:p>
            <w:r/>
            <w:r>
              <w:rPr>
                <w:b w:val="0"/>
                <w:i w:val="0"/>
                <w:sz w:val="16"/>
              </w:rPr>
              <w:t>Rates</w:t>
            </w:r>
          </w:p>
        </w:tc>
        <w:tc>
          <w:tcPr>
            <w:tcW w:type="dxa" w:w="3744"/>
          </w:tcPr>
          <w:p>
            <w:r/>
            <w:r>
              <w:rPr>
                <w:b w:val="0"/>
                <w:i w:val="0"/>
                <w:sz w:val="16"/>
              </w:rPr>
              <w:t>No written GC approval of 2025 rates; rates presented as firm “standard” rates</w:t>
            </w:r>
          </w:p>
        </w:tc>
        <w:tc>
          <w:tcPr>
            <w:tcW w:type="dxa" w:w="1440"/>
          </w:tcPr>
          <w:p>
            <w:r/>
            <w:r>
              <w:rPr>
                <w:b w:val="0"/>
                <w:i w:val="0"/>
                <w:sz w:val="16"/>
              </w:rPr>
              <w:t>3.1, 3.3, 3.2(d)</w:t>
            </w:r>
          </w:p>
        </w:tc>
        <w:tc>
          <w:tcPr>
            <w:tcW w:type="dxa" w:w="936"/>
            <w:shd w:val="clear" w:color="auto" w:fill="FCE5CD"/>
          </w:tcPr>
          <w:p>
            <w:r/>
            <w:r>
              <w:rPr>
                <w:b w:val="0"/>
                <w:i w:val="0"/>
                <w:sz w:val="16"/>
              </w:rPr>
              <w:t>Medium</w:t>
            </w:r>
          </w:p>
        </w:tc>
        <w:tc>
          <w:tcPr>
            <w:tcW w:type="dxa" w:w="1440"/>
          </w:tcPr>
          <w:p>
            <w:r/>
            <w:r>
              <w:rPr>
                <w:b w:val="0"/>
                <w:i w:val="0"/>
                <w:sz w:val="16"/>
              </w:rPr>
              <w:t>–</w:t>
            </w:r>
          </w:p>
        </w:tc>
      </w:tr>
      <w:tr>
        <w:tc>
          <w:tcPr>
            <w:tcW w:type="dxa" w:w="648"/>
          </w:tcPr>
          <w:p>
            <w:r/>
            <w:r>
              <w:rPr>
                <w:b w:val="0"/>
                <w:i w:val="0"/>
                <w:sz w:val="16"/>
              </w:rPr>
              <w:t>A-5</w:t>
            </w:r>
          </w:p>
        </w:tc>
        <w:tc>
          <w:tcPr>
            <w:tcW w:type="dxa" w:w="1152"/>
          </w:tcPr>
          <w:p>
            <w:r/>
            <w:r>
              <w:rPr>
                <w:b w:val="0"/>
                <w:i w:val="0"/>
                <w:sz w:val="16"/>
              </w:rPr>
              <w:t>Rates</w:t>
            </w:r>
          </w:p>
        </w:tc>
        <w:tc>
          <w:tcPr>
            <w:tcW w:type="dxa" w:w="3744"/>
          </w:tcPr>
          <w:p>
            <w:r/>
            <w:r>
              <w:rPr>
                <w:b w:val="0"/>
                <w:i w:val="0"/>
                <w:sz w:val="16"/>
              </w:rPr>
              <w:t>2024 base rates misstated (Yoon, Novak); fictitious Hu 2024 rate</w:t>
            </w:r>
          </w:p>
        </w:tc>
        <w:tc>
          <w:tcPr>
            <w:tcW w:type="dxa" w:w="1440"/>
          </w:tcPr>
          <w:p>
            <w:r/>
            <w:r>
              <w:rPr>
                <w:b w:val="0"/>
                <w:i w:val="0"/>
                <w:sz w:val="16"/>
              </w:rPr>
              <w:t>3.2(a), 5.2(b)</w:t>
            </w:r>
          </w:p>
        </w:tc>
        <w:tc>
          <w:tcPr>
            <w:tcW w:type="dxa" w:w="936"/>
            <w:shd w:val="clear" w:color="auto" w:fill="FCE5CD"/>
          </w:tcPr>
          <w:p>
            <w:r/>
            <w:r>
              <w:rPr>
                <w:b w:val="0"/>
                <w:i w:val="0"/>
                <w:sz w:val="16"/>
              </w:rPr>
              <w:t>Medium</w:t>
            </w:r>
          </w:p>
        </w:tc>
        <w:tc>
          <w:tcPr>
            <w:tcW w:type="dxa" w:w="1440"/>
          </w:tcPr>
          <w:p>
            <w:r/>
            <w:r>
              <w:rPr>
                <w:b w:val="0"/>
                <w:i w:val="0"/>
                <w:sz w:val="16"/>
              </w:rPr>
              <w:t>–</w:t>
            </w:r>
          </w:p>
        </w:tc>
      </w:tr>
      <w:tr>
        <w:tc>
          <w:tcPr>
            <w:tcW w:type="dxa" w:w="648"/>
          </w:tcPr>
          <w:p>
            <w:r/>
            <w:r>
              <w:rPr>
                <w:b w:val="0"/>
                <w:i w:val="0"/>
                <w:sz w:val="16"/>
              </w:rPr>
              <w:t>B-1</w:t>
            </w:r>
          </w:p>
        </w:tc>
        <w:tc>
          <w:tcPr>
            <w:tcW w:type="dxa" w:w="1152"/>
          </w:tcPr>
          <w:p>
            <w:r/>
            <w:r>
              <w:rPr>
                <w:b w:val="0"/>
                <w:i w:val="0"/>
                <w:sz w:val="16"/>
              </w:rPr>
              <w:t>Staffing</w:t>
            </w:r>
          </w:p>
        </w:tc>
        <w:tc>
          <w:tcPr>
            <w:tcW w:type="dxa" w:w="3744"/>
          </w:tcPr>
          <w:p>
            <w:r/>
            <w:r>
              <w:rPr>
                <w:b w:val="0"/>
                <w:i w:val="0"/>
                <w:sz w:val="16"/>
              </w:rPr>
              <w:t>Paralegal Hu/Hsu added on 1 business day notice, without approval, at over-cap rate, with incomplete notice</w:t>
            </w:r>
          </w:p>
        </w:tc>
        <w:tc>
          <w:tcPr>
            <w:tcW w:type="dxa" w:w="1440"/>
          </w:tcPr>
          <w:p>
            <w:r/>
            <w:r>
              <w:rPr>
                <w:b w:val="0"/>
                <w:i w:val="0"/>
                <w:sz w:val="16"/>
              </w:rPr>
              <w:t>4.3, 3.3, 3.1</w:t>
            </w:r>
          </w:p>
        </w:tc>
        <w:tc>
          <w:tcPr>
            <w:tcW w:type="dxa" w:w="936"/>
            <w:shd w:val="clear" w:color="auto" w:fill="F4CCCC"/>
          </w:tcPr>
          <w:p>
            <w:r/>
            <w:r>
              <w:rPr>
                <w:b w:val="0"/>
                <w:i w:val="0"/>
                <w:sz w:val="16"/>
              </w:rPr>
              <w:t>High</w:t>
            </w:r>
          </w:p>
        </w:tc>
        <w:tc>
          <w:tcPr>
            <w:tcW w:type="dxa" w:w="1440"/>
          </w:tcPr>
          <w:p>
            <w:r/>
            <w:r>
              <w:rPr>
                <w:b w:val="0"/>
                <w:i w:val="0"/>
                <w:sz w:val="16"/>
              </w:rPr>
              <w:t>$166,500 (740 hrs) unpayable absent approval</w:t>
            </w:r>
          </w:p>
        </w:tc>
      </w:tr>
      <w:tr>
        <w:tc>
          <w:tcPr>
            <w:tcW w:type="dxa" w:w="648"/>
          </w:tcPr>
          <w:p>
            <w:r/>
            <w:r>
              <w:rPr>
                <w:b w:val="0"/>
                <w:i w:val="0"/>
                <w:sz w:val="16"/>
              </w:rPr>
              <w:t>B-2</w:t>
            </w:r>
          </w:p>
        </w:tc>
        <w:tc>
          <w:tcPr>
            <w:tcW w:type="dxa" w:w="1152"/>
          </w:tcPr>
          <w:p>
            <w:r/>
            <w:r>
              <w:rPr>
                <w:b w:val="0"/>
                <w:i w:val="0"/>
                <w:sz w:val="16"/>
              </w:rPr>
              <w:t>Staffing</w:t>
            </w:r>
          </w:p>
        </w:tc>
        <w:tc>
          <w:tcPr>
            <w:tcW w:type="dxa" w:w="3744"/>
          </w:tcPr>
          <w:p>
            <w:r/>
            <w:r>
              <w:rPr>
                <w:b w:val="0"/>
                <w:i w:val="0"/>
                <w:sz w:val="16"/>
              </w:rPr>
              <w:t>Boyd Whitaker (2nd partner) proposed without approval; 60 hrs excluded from totals</w:t>
            </w:r>
          </w:p>
        </w:tc>
        <w:tc>
          <w:tcPr>
            <w:tcW w:type="dxa" w:w="1440"/>
          </w:tcPr>
          <w:p>
            <w:r/>
            <w:r>
              <w:rPr>
                <w:b w:val="0"/>
                <w:i w:val="0"/>
                <w:sz w:val="16"/>
              </w:rPr>
              <w:t>4.2, 4.3, 5.2(b)</w:t>
            </w:r>
          </w:p>
        </w:tc>
        <w:tc>
          <w:tcPr>
            <w:tcW w:type="dxa" w:w="936"/>
            <w:shd w:val="clear" w:color="auto" w:fill="FCE5CD"/>
          </w:tcPr>
          <w:p>
            <w:r/>
            <w:r>
              <w:rPr>
                <w:b w:val="0"/>
                <w:i w:val="0"/>
                <w:sz w:val="16"/>
              </w:rPr>
              <w:t>Medium</w:t>
            </w:r>
          </w:p>
        </w:tc>
        <w:tc>
          <w:tcPr>
            <w:tcW w:type="dxa" w:w="1440"/>
          </w:tcPr>
          <w:p>
            <w:r/>
            <w:r>
              <w:rPr>
                <w:b w:val="0"/>
                <w:i w:val="0"/>
                <w:sz w:val="16"/>
              </w:rPr>
              <w:t>~$43,500–$49,500 unbudgeted</w:t>
            </w:r>
          </w:p>
        </w:tc>
      </w:tr>
      <w:tr>
        <w:tc>
          <w:tcPr>
            <w:tcW w:type="dxa" w:w="648"/>
          </w:tcPr>
          <w:p>
            <w:r/>
            <w:r>
              <w:rPr>
                <w:b w:val="0"/>
                <w:i w:val="0"/>
                <w:sz w:val="16"/>
              </w:rPr>
              <w:t>B-3</w:t>
            </w:r>
          </w:p>
        </w:tc>
        <w:tc>
          <w:tcPr>
            <w:tcW w:type="dxa" w:w="1152"/>
          </w:tcPr>
          <w:p>
            <w:r/>
            <w:r>
              <w:rPr>
                <w:b w:val="0"/>
                <w:i w:val="0"/>
                <w:sz w:val="16"/>
              </w:rPr>
              <w:t>Staffing</w:t>
            </w:r>
          </w:p>
        </w:tc>
        <w:tc>
          <w:tcPr>
            <w:tcW w:type="dxa" w:w="3744"/>
          </w:tcPr>
          <w:p>
            <w:r/>
            <w:r>
              <w:rPr>
                <w:b w:val="0"/>
                <w:i w:val="0"/>
                <w:sz w:val="16"/>
              </w:rPr>
              <w:t>Four attorneys planned to attend trial (limit is two)</w:t>
            </w:r>
          </w:p>
        </w:tc>
        <w:tc>
          <w:tcPr>
            <w:tcW w:type="dxa" w:w="1440"/>
          </w:tcPr>
          <w:p>
            <w:r/>
            <w:r>
              <w:rPr>
                <w:b w:val="0"/>
                <w:i w:val="0"/>
                <w:sz w:val="16"/>
              </w:rPr>
              <w:t>6.5</w:t>
            </w:r>
          </w:p>
        </w:tc>
        <w:tc>
          <w:tcPr>
            <w:tcW w:type="dxa" w:w="936"/>
            <w:shd w:val="clear" w:color="auto" w:fill="F4CCCC"/>
          </w:tcPr>
          <w:p>
            <w:r/>
            <w:r>
              <w:rPr>
                <w:b w:val="0"/>
                <w:i w:val="0"/>
                <w:sz w:val="16"/>
              </w:rPr>
              <w:t>High</w:t>
            </w:r>
          </w:p>
        </w:tc>
        <w:tc>
          <w:tcPr>
            <w:tcW w:type="dxa" w:w="1440"/>
          </w:tcPr>
          <w:p>
            <w:r/>
            <w:r>
              <w:rPr>
                <w:b w:val="0"/>
                <w:i w:val="0"/>
                <w:sz w:val="16"/>
              </w:rPr>
              <w:t>$61,750 Yoon/Novak L600 time at risk</w:t>
            </w:r>
          </w:p>
        </w:tc>
      </w:tr>
      <w:tr>
        <w:tc>
          <w:tcPr>
            <w:tcW w:type="dxa" w:w="648"/>
          </w:tcPr>
          <w:p>
            <w:r/>
            <w:r>
              <w:rPr>
                <w:b w:val="0"/>
                <w:i w:val="0"/>
                <w:sz w:val="16"/>
              </w:rPr>
              <w:t>B-4</w:t>
            </w:r>
          </w:p>
        </w:tc>
        <w:tc>
          <w:tcPr>
            <w:tcW w:type="dxa" w:w="1152"/>
          </w:tcPr>
          <w:p>
            <w:r/>
            <w:r>
              <w:rPr>
                <w:b w:val="0"/>
                <w:i w:val="0"/>
                <w:sz w:val="16"/>
              </w:rPr>
              <w:t>Staffing</w:t>
            </w:r>
          </w:p>
        </w:tc>
        <w:tc>
          <w:tcPr>
            <w:tcW w:type="dxa" w:w="3744"/>
          </w:tcPr>
          <w:p>
            <w:r/>
            <w:r>
              <w:rPr>
                <w:b w:val="0"/>
                <w:i w:val="0"/>
                <w:sz w:val="16"/>
              </w:rPr>
              <w:t>Partner and associate co-attendance at depositions; multi-attorney internal meetings</w:t>
            </w:r>
          </w:p>
        </w:tc>
        <w:tc>
          <w:tcPr>
            <w:tcW w:type="dxa" w:w="1440"/>
          </w:tcPr>
          <w:p>
            <w:r/>
            <w:r>
              <w:rPr>
                <w:b w:val="0"/>
                <w:i w:val="0"/>
                <w:sz w:val="16"/>
              </w:rPr>
              <w:t>6.5, 6.4(f), 4.1</w:t>
            </w:r>
          </w:p>
        </w:tc>
        <w:tc>
          <w:tcPr>
            <w:tcW w:type="dxa" w:w="936"/>
            <w:shd w:val="clear" w:color="auto" w:fill="FCE5CD"/>
          </w:tcPr>
          <w:p>
            <w:r/>
            <w:r>
              <w:rPr>
                <w:b w:val="0"/>
                <w:i w:val="0"/>
                <w:sz w:val="16"/>
              </w:rPr>
              <w:t>Medium</w:t>
            </w:r>
          </w:p>
        </w:tc>
        <w:tc>
          <w:tcPr>
            <w:tcW w:type="dxa" w:w="1440"/>
          </w:tcPr>
          <w:p>
            <w:r/>
            <w:r>
              <w:rPr>
                <w:b w:val="0"/>
                <w:i w:val="0"/>
                <w:sz w:val="16"/>
              </w:rPr>
              <w:t>Unquantified</w:t>
            </w:r>
          </w:p>
        </w:tc>
      </w:tr>
      <w:tr>
        <w:tc>
          <w:tcPr>
            <w:tcW w:type="dxa" w:w="648"/>
          </w:tcPr>
          <w:p>
            <w:r/>
            <w:r>
              <w:rPr>
                <w:b w:val="0"/>
                <w:i w:val="0"/>
                <w:sz w:val="16"/>
              </w:rPr>
              <w:t>B-5</w:t>
            </w:r>
          </w:p>
        </w:tc>
        <w:tc>
          <w:tcPr>
            <w:tcW w:type="dxa" w:w="1152"/>
          </w:tcPr>
          <w:p>
            <w:r/>
            <w:r>
              <w:rPr>
                <w:b w:val="0"/>
                <w:i w:val="0"/>
                <w:sz w:val="16"/>
              </w:rPr>
              <w:t>Staffing</w:t>
            </w:r>
          </w:p>
        </w:tc>
        <w:tc>
          <w:tcPr>
            <w:tcW w:type="dxa" w:w="3744"/>
          </w:tcPr>
          <w:p>
            <w:r/>
            <w:r>
              <w:rPr>
                <w:b w:val="0"/>
                <w:i w:val="0"/>
                <w:sz w:val="16"/>
              </w:rPr>
              <w:t>Cite-checking and binder/logistics work by attorneys; admin tasks in paralegal scope</w:t>
            </w:r>
          </w:p>
        </w:tc>
        <w:tc>
          <w:tcPr>
            <w:tcW w:type="dxa" w:w="1440"/>
          </w:tcPr>
          <w:p>
            <w:r/>
            <w:r>
              <w:rPr>
                <w:b w:val="0"/>
                <w:i w:val="0"/>
                <w:sz w:val="16"/>
              </w:rPr>
              <w:t>6.4(c), 6.4(g), 4.1</w:t>
            </w:r>
          </w:p>
        </w:tc>
        <w:tc>
          <w:tcPr>
            <w:tcW w:type="dxa" w:w="936"/>
            <w:shd w:val="clear" w:color="auto" w:fill="FCE5CD"/>
          </w:tcPr>
          <w:p>
            <w:r/>
            <w:r>
              <w:rPr>
                <w:b w:val="0"/>
                <w:i w:val="0"/>
                <w:sz w:val="16"/>
              </w:rPr>
              <w:t>Medium</w:t>
            </w:r>
          </w:p>
        </w:tc>
        <w:tc>
          <w:tcPr>
            <w:tcW w:type="dxa" w:w="1440"/>
          </w:tcPr>
          <w:p>
            <w:r/>
            <w:r>
              <w:rPr>
                <w:b w:val="0"/>
                <w:i w:val="0"/>
                <w:sz w:val="16"/>
              </w:rPr>
              <w:t>Unquantified</w:t>
            </w:r>
          </w:p>
        </w:tc>
      </w:tr>
      <w:tr>
        <w:tc>
          <w:tcPr>
            <w:tcW w:type="dxa" w:w="648"/>
          </w:tcPr>
          <w:p>
            <w:r/>
            <w:r>
              <w:rPr>
                <w:b w:val="0"/>
                <w:i w:val="0"/>
                <w:sz w:val="16"/>
              </w:rPr>
              <w:t>B-6</w:t>
            </w:r>
          </w:p>
        </w:tc>
        <w:tc>
          <w:tcPr>
            <w:tcW w:type="dxa" w:w="1152"/>
          </w:tcPr>
          <w:p>
            <w:r/>
            <w:r>
              <w:rPr>
                <w:b w:val="0"/>
                <w:i w:val="0"/>
                <w:sz w:val="16"/>
              </w:rPr>
              <w:t>Staffing</w:t>
            </w:r>
          </w:p>
        </w:tc>
        <w:tc>
          <w:tcPr>
            <w:tcW w:type="dxa" w:w="3744"/>
          </w:tcPr>
          <w:p>
            <w:r/>
            <w:r>
              <w:rPr>
                <w:b w:val="0"/>
                <w:i w:val="0"/>
                <w:sz w:val="16"/>
              </w:rPr>
              <w:t>Paralegal departure (Ferrante) not reported; staffing ratio not shown cumulatively</w:t>
            </w:r>
          </w:p>
        </w:tc>
        <w:tc>
          <w:tcPr>
            <w:tcW w:type="dxa" w:w="1440"/>
          </w:tcPr>
          <w:p>
            <w:r/>
            <w:r>
              <w:rPr>
                <w:b w:val="0"/>
                <w:i w:val="0"/>
                <w:sz w:val="16"/>
              </w:rPr>
              <w:t>9.3, 9.1(d), 4.4</w:t>
            </w:r>
          </w:p>
        </w:tc>
        <w:tc>
          <w:tcPr>
            <w:tcW w:type="dxa" w:w="936"/>
            <w:shd w:val="clear" w:color="auto" w:fill="FFF2CC"/>
          </w:tcPr>
          <w:p>
            <w:r/>
            <w:r>
              <w:rPr>
                <w:b w:val="0"/>
                <w:i w:val="0"/>
                <w:sz w:val="16"/>
              </w:rPr>
              <w:t>Low</w:t>
            </w:r>
          </w:p>
        </w:tc>
        <w:tc>
          <w:tcPr>
            <w:tcW w:type="dxa" w:w="1440"/>
          </w:tcPr>
          <w:p>
            <w:r/>
            <w:r>
              <w:rPr>
                <w:b w:val="0"/>
                <w:i w:val="0"/>
                <w:sz w:val="16"/>
              </w:rPr>
              <w:t>–</w:t>
            </w:r>
          </w:p>
        </w:tc>
      </w:tr>
      <w:tr>
        <w:tc>
          <w:tcPr>
            <w:tcW w:type="dxa" w:w="648"/>
          </w:tcPr>
          <w:p>
            <w:r/>
            <w:r>
              <w:rPr>
                <w:b w:val="0"/>
                <w:i w:val="0"/>
                <w:sz w:val="16"/>
              </w:rPr>
              <w:t>C-1</w:t>
            </w:r>
          </w:p>
        </w:tc>
        <w:tc>
          <w:tcPr>
            <w:tcW w:type="dxa" w:w="1152"/>
          </w:tcPr>
          <w:p>
            <w:r/>
            <w:r>
              <w:rPr>
                <w:b w:val="0"/>
                <w:i w:val="0"/>
                <w:sz w:val="16"/>
              </w:rPr>
              <w:t>Budget</w:t>
            </w:r>
          </w:p>
        </w:tc>
        <w:tc>
          <w:tcPr>
            <w:tcW w:type="dxa" w:w="3744"/>
          </w:tcPr>
          <w:p>
            <w:r/>
            <w:r>
              <w:rPr>
                <w:b w:val="0"/>
                <w:i w:val="0"/>
                <w:sz w:val="16"/>
              </w:rPr>
              <w:t>Phase fees ($1,708,950) do not reconcile to staffing fees ($1,825,000); variance not disclosed</w:t>
            </w:r>
          </w:p>
        </w:tc>
        <w:tc>
          <w:tcPr>
            <w:tcW w:type="dxa" w:w="1440"/>
          </w:tcPr>
          <w:p>
            <w:r/>
            <w:r>
              <w:rPr>
                <w:b w:val="0"/>
                <w:i w:val="0"/>
                <w:sz w:val="16"/>
              </w:rPr>
              <w:t>5.2(a), (b), (e)</w:t>
            </w:r>
          </w:p>
        </w:tc>
        <w:tc>
          <w:tcPr>
            <w:tcW w:type="dxa" w:w="936"/>
            <w:shd w:val="clear" w:color="auto" w:fill="F4CCCC"/>
          </w:tcPr>
          <w:p>
            <w:r/>
            <w:r>
              <w:rPr>
                <w:b w:val="0"/>
                <w:i w:val="0"/>
                <w:sz w:val="16"/>
              </w:rPr>
              <w:t>High</w:t>
            </w:r>
          </w:p>
        </w:tc>
        <w:tc>
          <w:tcPr>
            <w:tcW w:type="dxa" w:w="1440"/>
          </w:tcPr>
          <w:p>
            <w:r/>
            <w:r>
              <w:rPr>
                <w:b w:val="0"/>
                <w:i w:val="0"/>
                <w:sz w:val="16"/>
              </w:rPr>
              <w:t>$116,050 understatement</w:t>
            </w:r>
          </w:p>
        </w:tc>
      </w:tr>
      <w:tr>
        <w:tc>
          <w:tcPr>
            <w:tcW w:type="dxa" w:w="648"/>
          </w:tcPr>
          <w:p>
            <w:r/>
            <w:r>
              <w:rPr>
                <w:b w:val="0"/>
                <w:i w:val="0"/>
                <w:sz w:val="16"/>
              </w:rPr>
              <w:t>C-2</w:t>
            </w:r>
          </w:p>
        </w:tc>
        <w:tc>
          <w:tcPr>
            <w:tcW w:type="dxa" w:w="1152"/>
          </w:tcPr>
          <w:p>
            <w:r/>
            <w:r>
              <w:rPr>
                <w:b w:val="0"/>
                <w:i w:val="0"/>
                <w:sz w:val="16"/>
              </w:rPr>
              <w:t>Budget</w:t>
            </w:r>
          </w:p>
        </w:tc>
        <w:tc>
          <w:tcPr>
            <w:tcW w:type="dxa" w:w="3744"/>
          </w:tcPr>
          <w:p>
            <w:r/>
            <w:r>
              <w:rPr>
                <w:b w:val="0"/>
                <w:i w:val="0"/>
                <w:sz w:val="16"/>
              </w:rPr>
              <w:t>L300/L400 understated; L400 starts at 119% of budget, past the 110% threshold</w:t>
            </w:r>
          </w:p>
        </w:tc>
        <w:tc>
          <w:tcPr>
            <w:tcW w:type="dxa" w:w="1440"/>
          </w:tcPr>
          <w:p>
            <w:r/>
            <w:r>
              <w:rPr>
                <w:b w:val="0"/>
                <w:i w:val="0"/>
                <w:sz w:val="16"/>
              </w:rPr>
              <w:t>5.2, 5.3</w:t>
            </w:r>
          </w:p>
        </w:tc>
        <w:tc>
          <w:tcPr>
            <w:tcW w:type="dxa" w:w="936"/>
            <w:shd w:val="clear" w:color="auto" w:fill="F4CCCC"/>
          </w:tcPr>
          <w:p>
            <w:r/>
            <w:r>
              <w:rPr>
                <w:b w:val="0"/>
                <w:i w:val="0"/>
                <w:sz w:val="16"/>
              </w:rPr>
              <w:t>High</w:t>
            </w:r>
          </w:p>
        </w:tc>
        <w:tc>
          <w:tcPr>
            <w:tcW w:type="dxa" w:w="1440"/>
          </w:tcPr>
          <w:p>
            <w:r/>
            <w:r>
              <w:rPr>
                <w:b w:val="0"/>
                <w:i w:val="0"/>
                <w:sz w:val="16"/>
              </w:rPr>
              <w:t>L300 $57,000; L400 $51,200</w:t>
            </w:r>
          </w:p>
        </w:tc>
      </w:tr>
      <w:tr>
        <w:tc>
          <w:tcPr>
            <w:tcW w:type="dxa" w:w="648"/>
          </w:tcPr>
          <w:p>
            <w:r/>
            <w:r>
              <w:rPr>
                <w:b w:val="0"/>
                <w:i w:val="0"/>
                <w:sz w:val="16"/>
              </w:rPr>
              <w:t>C-3</w:t>
            </w:r>
          </w:p>
        </w:tc>
        <w:tc>
          <w:tcPr>
            <w:tcW w:type="dxa" w:w="1152"/>
          </w:tcPr>
          <w:p>
            <w:r/>
            <w:r>
              <w:rPr>
                <w:b w:val="0"/>
                <w:i w:val="0"/>
                <w:sz w:val="16"/>
              </w:rPr>
              <w:t>Budget</w:t>
            </w:r>
          </w:p>
        </w:tc>
        <w:tc>
          <w:tcPr>
            <w:tcW w:type="dxa" w:w="3744"/>
          </w:tcPr>
          <w:p>
            <w:r/>
            <w:r>
              <w:rPr>
                <w:b w:val="0"/>
                <w:i w:val="0"/>
                <w:sz w:val="16"/>
              </w:rPr>
              <w:t>Unauthorized L700 post-trial/appeal reserve</w:t>
            </w:r>
          </w:p>
        </w:tc>
        <w:tc>
          <w:tcPr>
            <w:tcW w:type="dxa" w:w="1440"/>
          </w:tcPr>
          <w:p>
            <w:r/>
            <w:r>
              <w:rPr>
                <w:b w:val="0"/>
                <w:i w:val="0"/>
                <w:sz w:val="16"/>
              </w:rPr>
              <w:t>5.4, App. A</w:t>
            </w:r>
          </w:p>
        </w:tc>
        <w:tc>
          <w:tcPr>
            <w:tcW w:type="dxa" w:w="936"/>
            <w:shd w:val="clear" w:color="auto" w:fill="F4CCCC"/>
          </w:tcPr>
          <w:p>
            <w:r/>
            <w:r>
              <w:rPr>
                <w:b w:val="0"/>
                <w:i w:val="0"/>
                <w:sz w:val="16"/>
              </w:rPr>
              <w:t>High</w:t>
            </w:r>
          </w:p>
        </w:tc>
        <w:tc>
          <w:tcPr>
            <w:tcW w:type="dxa" w:w="1440"/>
          </w:tcPr>
          <w:p>
            <w:r/>
            <w:r>
              <w:rPr>
                <w:b w:val="0"/>
                <w:i w:val="0"/>
                <w:sz w:val="16"/>
              </w:rPr>
              <w:t>$92,000 stated / $95,000 at rates</w:t>
            </w:r>
          </w:p>
        </w:tc>
      </w:tr>
      <w:tr>
        <w:tc>
          <w:tcPr>
            <w:tcW w:type="dxa" w:w="648"/>
          </w:tcPr>
          <w:p>
            <w:r/>
            <w:r>
              <w:rPr>
                <w:b w:val="0"/>
                <w:i w:val="0"/>
                <w:sz w:val="16"/>
              </w:rPr>
              <w:t>C-4</w:t>
            </w:r>
          </w:p>
        </w:tc>
        <w:tc>
          <w:tcPr>
            <w:tcW w:type="dxa" w:w="1152"/>
          </w:tcPr>
          <w:p>
            <w:r/>
            <w:r>
              <w:rPr>
                <w:b w:val="0"/>
                <w:i w:val="0"/>
                <w:sz w:val="16"/>
              </w:rPr>
              <w:t>Budget</w:t>
            </w:r>
          </w:p>
        </w:tc>
        <w:tc>
          <w:tcPr>
            <w:tcW w:type="dxa" w:w="3744"/>
          </w:tcPr>
          <w:p>
            <w:r/>
            <w:r>
              <w:rPr>
                <w:b w:val="0"/>
                <w:i w:val="0"/>
                <w:sz w:val="16"/>
              </w:rPr>
              <w:t>No L100 phase; Jan.–Apr. 2025 period unbudgeted and unreported; budget late</w:t>
            </w:r>
          </w:p>
        </w:tc>
        <w:tc>
          <w:tcPr>
            <w:tcW w:type="dxa" w:w="1440"/>
          </w:tcPr>
          <w:p>
            <w:r/>
            <w:r>
              <w:rPr>
                <w:b w:val="0"/>
                <w:i w:val="0"/>
                <w:sz w:val="16"/>
              </w:rPr>
              <w:t>5.1, 5.2(a), 9.1(c), App. A</w:t>
            </w:r>
          </w:p>
        </w:tc>
        <w:tc>
          <w:tcPr>
            <w:tcW w:type="dxa" w:w="936"/>
            <w:shd w:val="clear" w:color="auto" w:fill="FCE5CD"/>
          </w:tcPr>
          <w:p>
            <w:r/>
            <w:r>
              <w:rPr>
                <w:b w:val="0"/>
                <w:i w:val="0"/>
                <w:sz w:val="16"/>
              </w:rPr>
              <w:t>Medium</w:t>
            </w:r>
          </w:p>
        </w:tc>
        <w:tc>
          <w:tcPr>
            <w:tcW w:type="dxa" w:w="1440"/>
          </w:tcPr>
          <w:p>
            <w:r/>
            <w:r>
              <w:rPr>
                <w:b w:val="0"/>
                <w:i w:val="0"/>
                <w:sz w:val="16"/>
              </w:rPr>
              <w:t>–</w:t>
            </w:r>
          </w:p>
        </w:tc>
      </w:tr>
      <w:tr>
        <w:tc>
          <w:tcPr>
            <w:tcW w:type="dxa" w:w="648"/>
          </w:tcPr>
          <w:p>
            <w:r/>
            <w:r>
              <w:rPr>
                <w:b w:val="0"/>
                <w:i w:val="0"/>
                <w:sz w:val="16"/>
              </w:rPr>
              <w:t>C-5</w:t>
            </w:r>
          </w:p>
        </w:tc>
        <w:tc>
          <w:tcPr>
            <w:tcW w:type="dxa" w:w="1152"/>
          </w:tcPr>
          <w:p>
            <w:r/>
            <w:r>
              <w:rPr>
                <w:b w:val="0"/>
                <w:i w:val="0"/>
                <w:sz w:val="16"/>
              </w:rPr>
              <w:t>Budget</w:t>
            </w:r>
          </w:p>
        </w:tc>
        <w:tc>
          <w:tcPr>
            <w:tcW w:type="dxa" w:w="3744"/>
          </w:tcPr>
          <w:p>
            <w:r/>
            <w:r>
              <w:rPr>
                <w:b w:val="0"/>
                <w:i w:val="0"/>
                <w:sz w:val="16"/>
              </w:rPr>
              <w:t>Assumptions inconsistent or unsupported (trial length; 2.5M documents vs. 45,000 reviewed in 2024; 3x hours run-rate)</w:t>
            </w:r>
          </w:p>
        </w:tc>
        <w:tc>
          <w:tcPr>
            <w:tcW w:type="dxa" w:w="1440"/>
          </w:tcPr>
          <w:p>
            <w:r/>
            <w:r>
              <w:rPr>
                <w:b w:val="0"/>
                <w:i w:val="0"/>
                <w:sz w:val="16"/>
              </w:rPr>
              <w:t>5.2(d)</w:t>
            </w:r>
          </w:p>
        </w:tc>
        <w:tc>
          <w:tcPr>
            <w:tcW w:type="dxa" w:w="936"/>
            <w:shd w:val="clear" w:color="auto" w:fill="FCE5CD"/>
          </w:tcPr>
          <w:p>
            <w:r/>
            <w:r>
              <w:rPr>
                <w:b w:val="0"/>
                <w:i w:val="0"/>
                <w:sz w:val="16"/>
              </w:rPr>
              <w:t>Medium</w:t>
            </w:r>
          </w:p>
        </w:tc>
        <w:tc>
          <w:tcPr>
            <w:tcW w:type="dxa" w:w="1440"/>
          </w:tcPr>
          <w:p>
            <w:r/>
            <w:r>
              <w:rPr>
                <w:b w:val="0"/>
                <w:i w:val="0"/>
                <w:sz w:val="16"/>
              </w:rPr>
              <w:t>–</w:t>
            </w:r>
          </w:p>
        </w:tc>
      </w:tr>
      <w:tr>
        <w:tc>
          <w:tcPr>
            <w:tcW w:type="dxa" w:w="648"/>
          </w:tcPr>
          <w:p>
            <w:r/>
            <w:r>
              <w:rPr>
                <w:b w:val="0"/>
                <w:i w:val="0"/>
                <w:sz w:val="16"/>
              </w:rPr>
              <w:t>D-1</w:t>
            </w:r>
          </w:p>
        </w:tc>
        <w:tc>
          <w:tcPr>
            <w:tcW w:type="dxa" w:w="1152"/>
          </w:tcPr>
          <w:p>
            <w:r/>
            <w:r>
              <w:rPr>
                <w:b w:val="0"/>
                <w:i w:val="0"/>
                <w:sz w:val="16"/>
              </w:rPr>
              <w:t>Expenses</w:t>
            </w:r>
          </w:p>
        </w:tc>
        <w:tc>
          <w:tcPr>
            <w:tcW w:type="dxa" w:w="3744"/>
          </w:tcPr>
          <w:p>
            <w:r/>
            <w:r>
              <w:rPr>
                <w:b w:val="0"/>
                <w:i w:val="0"/>
                <w:sz w:val="16"/>
              </w:rPr>
              <w:t>Clearpoint e-discovery sole-sourced; no competitive bids</w:t>
            </w:r>
          </w:p>
        </w:tc>
        <w:tc>
          <w:tcPr>
            <w:tcW w:type="dxa" w:w="1440"/>
          </w:tcPr>
          <w:p>
            <w:r/>
            <w:r>
              <w:rPr>
                <w:b w:val="0"/>
                <w:i w:val="0"/>
                <w:sz w:val="16"/>
              </w:rPr>
              <w:t>7.2(a), 7.2(b)</w:t>
            </w:r>
          </w:p>
        </w:tc>
        <w:tc>
          <w:tcPr>
            <w:tcW w:type="dxa" w:w="936"/>
            <w:shd w:val="clear" w:color="auto" w:fill="F4CCCC"/>
          </w:tcPr>
          <w:p>
            <w:r/>
            <w:r>
              <w:rPr>
                <w:b w:val="0"/>
                <w:i w:val="0"/>
                <w:sz w:val="16"/>
              </w:rPr>
              <w:t>High</w:t>
            </w:r>
          </w:p>
        </w:tc>
        <w:tc>
          <w:tcPr>
            <w:tcW w:type="dxa" w:w="1440"/>
          </w:tcPr>
          <w:p>
            <w:r/>
            <w:r>
              <w:rPr>
                <w:b w:val="0"/>
                <w:i w:val="0"/>
                <w:sz w:val="16"/>
              </w:rPr>
              <w:t>$285,000 ($393,500 life of matter)</w:t>
            </w:r>
          </w:p>
        </w:tc>
      </w:tr>
      <w:tr>
        <w:tc>
          <w:tcPr>
            <w:tcW w:type="dxa" w:w="648"/>
          </w:tcPr>
          <w:p>
            <w:r/>
            <w:r>
              <w:rPr>
                <w:b w:val="0"/>
                <w:i w:val="0"/>
                <w:sz w:val="16"/>
              </w:rPr>
              <w:t>D-2</w:t>
            </w:r>
          </w:p>
        </w:tc>
        <w:tc>
          <w:tcPr>
            <w:tcW w:type="dxa" w:w="1152"/>
          </w:tcPr>
          <w:p>
            <w:r/>
            <w:r>
              <w:rPr>
                <w:b w:val="0"/>
                <w:i w:val="0"/>
                <w:sz w:val="16"/>
              </w:rPr>
              <w:t>Expenses</w:t>
            </w:r>
          </w:p>
        </w:tc>
        <w:tc>
          <w:tcPr>
            <w:tcW w:type="dxa" w:w="3744"/>
          </w:tcPr>
          <w:p>
            <w:r/>
            <w:r>
              <w:rPr>
                <w:b w:val="0"/>
                <w:i w:val="0"/>
                <w:sz w:val="16"/>
              </w:rPr>
              <w:t>Two experts each above the $75,000 threshold; no pre-approval package</w:t>
            </w:r>
          </w:p>
        </w:tc>
        <w:tc>
          <w:tcPr>
            <w:tcW w:type="dxa" w:w="1440"/>
          </w:tcPr>
          <w:p>
            <w:r/>
            <w:r>
              <w:rPr>
                <w:b w:val="0"/>
                <w:i w:val="0"/>
                <w:sz w:val="16"/>
              </w:rPr>
              <w:t>7.3(a)–(c)</w:t>
            </w:r>
          </w:p>
        </w:tc>
        <w:tc>
          <w:tcPr>
            <w:tcW w:type="dxa" w:w="936"/>
            <w:shd w:val="clear" w:color="auto" w:fill="F4CCCC"/>
          </w:tcPr>
          <w:p>
            <w:r/>
            <w:r>
              <w:rPr>
                <w:b w:val="0"/>
                <w:i w:val="0"/>
                <w:sz w:val="16"/>
              </w:rPr>
              <w:t>High</w:t>
            </w:r>
          </w:p>
        </w:tc>
        <w:tc>
          <w:tcPr>
            <w:tcW w:type="dxa" w:w="1440"/>
          </w:tcPr>
          <w:p>
            <w:r/>
            <w:r>
              <w:rPr>
                <w:b w:val="0"/>
                <w:i w:val="0"/>
                <w:sz w:val="16"/>
              </w:rPr>
              <w:t>$175,000</w:t>
            </w:r>
          </w:p>
        </w:tc>
      </w:tr>
      <w:tr>
        <w:tc>
          <w:tcPr>
            <w:tcW w:type="dxa" w:w="648"/>
          </w:tcPr>
          <w:p>
            <w:r/>
            <w:r>
              <w:rPr>
                <w:b w:val="0"/>
                <w:i w:val="0"/>
                <w:sz w:val="16"/>
              </w:rPr>
              <w:t>D-3</w:t>
            </w:r>
          </w:p>
        </w:tc>
        <w:tc>
          <w:tcPr>
            <w:tcW w:type="dxa" w:w="1152"/>
          </w:tcPr>
          <w:p>
            <w:r/>
            <w:r>
              <w:rPr>
                <w:b w:val="0"/>
                <w:i w:val="0"/>
                <w:sz w:val="16"/>
              </w:rPr>
              <w:t>Expenses</w:t>
            </w:r>
          </w:p>
        </w:tc>
        <w:tc>
          <w:tcPr>
            <w:tcW w:type="dxa" w:w="3744"/>
          </w:tcPr>
          <w:p>
            <w:r/>
            <w:r>
              <w:rPr>
                <w:b w:val="0"/>
                <w:i w:val="0"/>
                <w:sz w:val="16"/>
              </w:rPr>
              <w:t>Mock trial / jury consultant without advance approval</w:t>
            </w:r>
          </w:p>
        </w:tc>
        <w:tc>
          <w:tcPr>
            <w:tcW w:type="dxa" w:w="1440"/>
          </w:tcPr>
          <w:p>
            <w:r/>
            <w:r>
              <w:rPr>
                <w:b w:val="0"/>
                <w:i w:val="0"/>
                <w:sz w:val="16"/>
              </w:rPr>
              <w:t>7.7</w:t>
            </w:r>
          </w:p>
        </w:tc>
        <w:tc>
          <w:tcPr>
            <w:tcW w:type="dxa" w:w="936"/>
            <w:shd w:val="clear" w:color="auto" w:fill="F4CCCC"/>
          </w:tcPr>
          <w:p>
            <w:r/>
            <w:r>
              <w:rPr>
                <w:b w:val="0"/>
                <w:i w:val="0"/>
                <w:sz w:val="16"/>
              </w:rPr>
              <w:t>High</w:t>
            </w:r>
          </w:p>
        </w:tc>
        <w:tc>
          <w:tcPr>
            <w:tcW w:type="dxa" w:w="1440"/>
          </w:tcPr>
          <w:p>
            <w:r/>
            <w:r>
              <w:rPr>
                <w:b w:val="0"/>
                <w:i w:val="0"/>
                <w:sz w:val="16"/>
              </w:rPr>
              <w:t>$95,000</w:t>
            </w:r>
          </w:p>
        </w:tc>
      </w:tr>
      <w:tr>
        <w:tc>
          <w:tcPr>
            <w:tcW w:type="dxa" w:w="648"/>
          </w:tcPr>
          <w:p>
            <w:r/>
            <w:r>
              <w:rPr>
                <w:b w:val="0"/>
                <w:i w:val="0"/>
                <w:sz w:val="16"/>
              </w:rPr>
              <w:t>D-4</w:t>
            </w:r>
          </w:p>
        </w:tc>
        <w:tc>
          <w:tcPr>
            <w:tcW w:type="dxa" w:w="1152"/>
          </w:tcPr>
          <w:p>
            <w:r/>
            <w:r>
              <w:rPr>
                <w:b w:val="0"/>
                <w:i w:val="0"/>
                <w:sz w:val="16"/>
              </w:rPr>
              <w:t>Expenses</w:t>
            </w:r>
          </w:p>
        </w:tc>
        <w:tc>
          <w:tcPr>
            <w:tcW w:type="dxa" w:w="3744"/>
          </w:tcPr>
          <w:p>
            <w:r/>
            <w:r>
              <w:rPr>
                <w:b w:val="0"/>
                <w:i w:val="0"/>
                <w:sz w:val="16"/>
              </w:rPr>
              <w:t>Internal copying/printing budgeted (non-reimbursable)</w:t>
            </w:r>
          </w:p>
        </w:tc>
        <w:tc>
          <w:tcPr>
            <w:tcW w:type="dxa" w:w="1440"/>
          </w:tcPr>
          <w:p>
            <w:r/>
            <w:r>
              <w:rPr>
                <w:b w:val="0"/>
                <w:i w:val="0"/>
                <w:sz w:val="16"/>
              </w:rPr>
              <w:t>7.5, 7.8(a)</w:t>
            </w:r>
          </w:p>
        </w:tc>
        <w:tc>
          <w:tcPr>
            <w:tcW w:type="dxa" w:w="936"/>
            <w:shd w:val="clear" w:color="auto" w:fill="F4CCCC"/>
          </w:tcPr>
          <w:p>
            <w:r/>
            <w:r>
              <w:rPr>
                <w:b w:val="0"/>
                <w:i w:val="0"/>
                <w:sz w:val="16"/>
              </w:rPr>
              <w:t>High</w:t>
            </w:r>
          </w:p>
        </w:tc>
        <w:tc>
          <w:tcPr>
            <w:tcW w:type="dxa" w:w="1440"/>
          </w:tcPr>
          <w:p>
            <w:r/>
            <w:r>
              <w:rPr>
                <w:b w:val="0"/>
                <w:i w:val="0"/>
                <w:sz w:val="16"/>
              </w:rPr>
              <w:t>$15,000</w:t>
            </w:r>
          </w:p>
        </w:tc>
      </w:tr>
      <w:tr>
        <w:tc>
          <w:tcPr>
            <w:tcW w:type="dxa" w:w="648"/>
          </w:tcPr>
          <w:p>
            <w:r/>
            <w:r>
              <w:rPr>
                <w:b w:val="0"/>
                <w:i w:val="0"/>
                <w:sz w:val="16"/>
              </w:rPr>
              <w:t>D-5</w:t>
            </w:r>
          </w:p>
        </w:tc>
        <w:tc>
          <w:tcPr>
            <w:tcW w:type="dxa" w:w="1152"/>
          </w:tcPr>
          <w:p>
            <w:r/>
            <w:r>
              <w:rPr>
                <w:b w:val="0"/>
                <w:i w:val="0"/>
                <w:sz w:val="16"/>
              </w:rPr>
              <w:t>Expenses</w:t>
            </w:r>
          </w:p>
        </w:tc>
        <w:tc>
          <w:tcPr>
            <w:tcW w:type="dxa" w:w="3744"/>
          </w:tcPr>
          <w:p>
            <w:r/>
            <w:r>
              <w:rPr>
                <w:b w:val="0"/>
                <w:i w:val="0"/>
                <w:sz w:val="16"/>
              </w:rPr>
              <w:t>Business-class airfare for lead partner on domestic trips</w:t>
            </w:r>
          </w:p>
        </w:tc>
        <w:tc>
          <w:tcPr>
            <w:tcW w:type="dxa" w:w="1440"/>
          </w:tcPr>
          <w:p>
            <w:r/>
            <w:r>
              <w:rPr>
                <w:b w:val="0"/>
                <w:i w:val="0"/>
                <w:sz w:val="16"/>
              </w:rPr>
              <w:t>7.4(a)</w:t>
            </w:r>
          </w:p>
        </w:tc>
        <w:tc>
          <w:tcPr>
            <w:tcW w:type="dxa" w:w="936"/>
            <w:shd w:val="clear" w:color="auto" w:fill="FCE5CD"/>
          </w:tcPr>
          <w:p>
            <w:r/>
            <w:r>
              <w:rPr>
                <w:b w:val="0"/>
                <w:i w:val="0"/>
                <w:sz w:val="16"/>
              </w:rPr>
              <w:t>Medium</w:t>
            </w:r>
          </w:p>
        </w:tc>
        <w:tc>
          <w:tcPr>
            <w:tcW w:type="dxa" w:w="1440"/>
          </w:tcPr>
          <w:p>
            <w:r/>
            <w:r>
              <w:rPr>
                <w:b w:val="0"/>
                <w:i w:val="0"/>
                <w:sz w:val="16"/>
              </w:rPr>
              <w:t>Fare differential (unquantified)</w:t>
            </w:r>
          </w:p>
        </w:tc>
      </w:tr>
      <w:tr>
        <w:tc>
          <w:tcPr>
            <w:tcW w:type="dxa" w:w="648"/>
          </w:tcPr>
          <w:p>
            <w:r/>
            <w:r>
              <w:rPr>
                <w:b w:val="0"/>
                <w:i w:val="0"/>
                <w:sz w:val="16"/>
              </w:rPr>
              <w:t>D-6</w:t>
            </w:r>
          </w:p>
        </w:tc>
        <w:tc>
          <w:tcPr>
            <w:tcW w:type="dxa" w:w="1152"/>
          </w:tcPr>
          <w:p>
            <w:r/>
            <w:r>
              <w:rPr>
                <w:b w:val="0"/>
                <w:i w:val="0"/>
                <w:sz w:val="16"/>
              </w:rPr>
              <w:t>Expenses</w:t>
            </w:r>
          </w:p>
        </w:tc>
        <w:tc>
          <w:tcPr>
            <w:tcW w:type="dxa" w:w="3744"/>
          </w:tcPr>
          <w:p>
            <w:r/>
            <w:r>
              <w:rPr>
                <w:b w:val="0"/>
                <w:i w:val="0"/>
                <w:sz w:val="16"/>
              </w:rPr>
              <w:t>Travel budget lacks breakdown; hotel/meal caps and travel-time billing not addressed</w:t>
            </w:r>
          </w:p>
        </w:tc>
        <w:tc>
          <w:tcPr>
            <w:tcW w:type="dxa" w:w="1440"/>
          </w:tcPr>
          <w:p>
            <w:r/>
            <w:r>
              <w:rPr>
                <w:b w:val="0"/>
                <w:i w:val="0"/>
                <w:sz w:val="16"/>
              </w:rPr>
              <w:t>7.4(c)–(d), 6.4(e), 5.2(c)</w:t>
            </w:r>
          </w:p>
        </w:tc>
        <w:tc>
          <w:tcPr>
            <w:tcW w:type="dxa" w:w="936"/>
            <w:shd w:val="clear" w:color="auto" w:fill="FFF2CC"/>
          </w:tcPr>
          <w:p>
            <w:r/>
            <w:r>
              <w:rPr>
                <w:b w:val="0"/>
                <w:i w:val="0"/>
                <w:sz w:val="16"/>
              </w:rPr>
              <w:t>Low</w:t>
            </w:r>
          </w:p>
        </w:tc>
        <w:tc>
          <w:tcPr>
            <w:tcW w:type="dxa" w:w="1440"/>
          </w:tcPr>
          <w:p>
            <w:r/>
            <w:r>
              <w:rPr>
                <w:b w:val="0"/>
                <w:i w:val="0"/>
                <w:sz w:val="16"/>
              </w:rPr>
              <w:t>Part of $68,000</w:t>
            </w:r>
          </w:p>
        </w:tc>
      </w:tr>
      <w:tr>
        <w:tc>
          <w:tcPr>
            <w:tcW w:type="dxa" w:w="648"/>
          </w:tcPr>
          <w:p>
            <w:r/>
            <w:r>
              <w:rPr>
                <w:b w:val="0"/>
                <w:i w:val="0"/>
                <w:sz w:val="16"/>
              </w:rPr>
              <w:t>E-1</w:t>
            </w:r>
          </w:p>
        </w:tc>
        <w:tc>
          <w:tcPr>
            <w:tcW w:type="dxa" w:w="1152"/>
          </w:tcPr>
          <w:p>
            <w:r/>
            <w:r>
              <w:rPr>
                <w:b w:val="0"/>
                <w:i w:val="0"/>
                <w:sz w:val="16"/>
              </w:rPr>
              <w:t>Compliance</w:t>
            </w:r>
          </w:p>
        </w:tc>
        <w:tc>
          <w:tcPr>
            <w:tcW w:type="dxa" w:w="3744"/>
          </w:tcPr>
          <w:p>
            <w:r/>
            <w:r>
              <w:rPr>
                <w:b w:val="0"/>
                <w:i w:val="0"/>
                <w:sz w:val="16"/>
              </w:rPr>
              <w:t>Payment terms and e-billing misstated; Lexera’s role misdescribed</w:t>
            </w:r>
          </w:p>
        </w:tc>
        <w:tc>
          <w:tcPr>
            <w:tcW w:type="dxa" w:w="1440"/>
          </w:tcPr>
          <w:p>
            <w:r/>
            <w:r>
              <w:rPr>
                <w:b w:val="0"/>
                <w:i w:val="0"/>
                <w:sz w:val="16"/>
              </w:rPr>
              <w:t>6.1, 8.1–8.3, 1.2, 1.3</w:t>
            </w:r>
          </w:p>
        </w:tc>
        <w:tc>
          <w:tcPr>
            <w:tcW w:type="dxa" w:w="936"/>
            <w:shd w:val="clear" w:color="auto" w:fill="FCE5CD"/>
          </w:tcPr>
          <w:p>
            <w:r/>
            <w:r>
              <w:rPr>
                <w:b w:val="0"/>
                <w:i w:val="0"/>
                <w:sz w:val="16"/>
              </w:rPr>
              <w:t>Medium</w:t>
            </w:r>
          </w:p>
        </w:tc>
        <w:tc>
          <w:tcPr>
            <w:tcW w:type="dxa" w:w="1440"/>
          </w:tcPr>
          <w:p>
            <w:r/>
            <w:r>
              <w:rPr>
                <w:b w:val="0"/>
                <w:i w:val="0"/>
                <w:sz w:val="16"/>
              </w:rPr>
              <w:t>–</w:t>
            </w:r>
          </w:p>
        </w:tc>
      </w:tr>
      <w:tr>
        <w:tc>
          <w:tcPr>
            <w:tcW w:type="dxa" w:w="648"/>
          </w:tcPr>
          <w:p>
            <w:r/>
            <w:r>
              <w:rPr>
                <w:b w:val="0"/>
                <w:i w:val="0"/>
                <w:sz w:val="16"/>
              </w:rPr>
              <w:t>E-2</w:t>
            </w:r>
          </w:p>
        </w:tc>
        <w:tc>
          <w:tcPr>
            <w:tcW w:type="dxa" w:w="1152"/>
          </w:tcPr>
          <w:p>
            <w:r/>
            <w:r>
              <w:rPr>
                <w:b w:val="0"/>
                <w:i w:val="0"/>
                <w:sz w:val="16"/>
              </w:rPr>
              <w:t>Compliance</w:t>
            </w:r>
          </w:p>
        </w:tc>
        <w:tc>
          <w:tcPr>
            <w:tcW w:type="dxa" w:w="3744"/>
          </w:tcPr>
          <w:p>
            <w:r/>
            <w:r>
              <w:rPr>
                <w:b w:val="0"/>
                <w:i w:val="0"/>
                <w:sz w:val="16"/>
              </w:rPr>
              <w:t>Variance notice qualified (“to the extent practicable”)</w:t>
            </w:r>
          </w:p>
        </w:tc>
        <w:tc>
          <w:tcPr>
            <w:tcW w:type="dxa" w:w="1440"/>
          </w:tcPr>
          <w:p>
            <w:r/>
            <w:r>
              <w:rPr>
                <w:b w:val="0"/>
                <w:i w:val="0"/>
                <w:sz w:val="16"/>
              </w:rPr>
              <w:t>5.3</w:t>
            </w:r>
          </w:p>
        </w:tc>
        <w:tc>
          <w:tcPr>
            <w:tcW w:type="dxa" w:w="936"/>
            <w:shd w:val="clear" w:color="auto" w:fill="FCE5CD"/>
          </w:tcPr>
          <w:p>
            <w:r/>
            <w:r>
              <w:rPr>
                <w:b w:val="0"/>
                <w:i w:val="0"/>
                <w:sz w:val="16"/>
              </w:rPr>
              <w:t>Medium</w:t>
            </w:r>
          </w:p>
        </w:tc>
        <w:tc>
          <w:tcPr>
            <w:tcW w:type="dxa" w:w="1440"/>
          </w:tcPr>
          <w:p>
            <w:r/>
            <w:r>
              <w:rPr>
                <w:b w:val="0"/>
                <w:i w:val="0"/>
                <w:sz w:val="16"/>
              </w:rPr>
              <w:t>–</w:t>
            </w:r>
          </w:p>
        </w:tc>
      </w:tr>
      <w:tr>
        <w:tc>
          <w:tcPr>
            <w:tcW w:type="dxa" w:w="648"/>
          </w:tcPr>
          <w:p>
            <w:r/>
            <w:r>
              <w:rPr>
                <w:b w:val="0"/>
                <w:i w:val="0"/>
                <w:sz w:val="16"/>
              </w:rPr>
              <w:t>E-3</w:t>
            </w:r>
          </w:p>
        </w:tc>
        <w:tc>
          <w:tcPr>
            <w:tcW w:type="dxa" w:w="1152"/>
          </w:tcPr>
          <w:p>
            <w:r/>
            <w:r>
              <w:rPr>
                <w:b w:val="0"/>
                <w:i w:val="0"/>
                <w:sz w:val="16"/>
              </w:rPr>
              <w:t>Compliance</w:t>
            </w:r>
          </w:p>
        </w:tc>
        <w:tc>
          <w:tcPr>
            <w:tcW w:type="dxa" w:w="3744"/>
          </w:tcPr>
          <w:p>
            <w:r/>
            <w:r>
              <w:rPr>
                <w:b w:val="0"/>
                <w:i w:val="0"/>
                <w:sz w:val="16"/>
              </w:rPr>
              <w:t>Conflicts certification qualified; Suncrest Foods not addressed</w:t>
            </w:r>
          </w:p>
        </w:tc>
        <w:tc>
          <w:tcPr>
            <w:tcW w:type="dxa" w:w="1440"/>
          </w:tcPr>
          <w:p>
            <w:r/>
            <w:r>
              <w:rPr>
                <w:b w:val="0"/>
                <w:i w:val="0"/>
                <w:sz w:val="16"/>
              </w:rPr>
              <w:t>2.2</w:t>
            </w:r>
          </w:p>
        </w:tc>
        <w:tc>
          <w:tcPr>
            <w:tcW w:type="dxa" w:w="936"/>
            <w:shd w:val="clear" w:color="auto" w:fill="FFF2CC"/>
          </w:tcPr>
          <w:p>
            <w:r/>
            <w:r>
              <w:rPr>
                <w:b w:val="0"/>
                <w:i w:val="0"/>
                <w:sz w:val="16"/>
              </w:rPr>
              <w:t>Low</w:t>
            </w:r>
          </w:p>
        </w:tc>
        <w:tc>
          <w:tcPr>
            <w:tcW w:type="dxa" w:w="1440"/>
          </w:tcPr>
          <w:p>
            <w:r/>
            <w:r>
              <w:rPr>
                <w:b w:val="0"/>
                <w:i w:val="0"/>
                <w:sz w:val="16"/>
              </w:rPr>
              <w:t>–</w:t>
            </w:r>
          </w:p>
        </w:tc>
      </w:tr>
      <w:tr>
        <w:tc>
          <w:tcPr>
            <w:tcW w:type="dxa" w:w="648"/>
          </w:tcPr>
          <w:p>
            <w:r/>
            <w:r>
              <w:rPr>
                <w:b w:val="0"/>
                <w:i w:val="0"/>
                <w:sz w:val="16"/>
              </w:rPr>
              <w:t>E-4</w:t>
            </w:r>
          </w:p>
        </w:tc>
        <w:tc>
          <w:tcPr>
            <w:tcW w:type="dxa" w:w="1152"/>
          </w:tcPr>
          <w:p>
            <w:r/>
            <w:r>
              <w:rPr>
                <w:b w:val="0"/>
                <w:i w:val="0"/>
                <w:sz w:val="16"/>
              </w:rPr>
              <w:t>Compliance</w:t>
            </w:r>
          </w:p>
        </w:tc>
        <w:tc>
          <w:tcPr>
            <w:tcW w:type="dxa" w:w="3744"/>
          </w:tcPr>
          <w:p>
            <w:r/>
            <w:r>
              <w:rPr>
                <w:b w:val="0"/>
                <w:i w:val="0"/>
                <w:sz w:val="16"/>
              </w:rPr>
              <w:t>2024 history ($55,650 Lexera reductions) undermines representations; no corrective plan</w:t>
            </w:r>
          </w:p>
        </w:tc>
        <w:tc>
          <w:tcPr>
            <w:tcW w:type="dxa" w:w="1440"/>
          </w:tcPr>
          <w:p>
            <w:r/>
            <w:r>
              <w:rPr>
                <w:b w:val="0"/>
                <w:i w:val="0"/>
                <w:sz w:val="16"/>
              </w:rPr>
              <w:t>1.3, 6.3, 6.4</w:t>
            </w:r>
          </w:p>
        </w:tc>
        <w:tc>
          <w:tcPr>
            <w:tcW w:type="dxa" w:w="936"/>
            <w:shd w:val="clear" w:color="auto" w:fill="FCE5CD"/>
          </w:tcPr>
          <w:p>
            <w:r/>
            <w:r>
              <w:rPr>
                <w:b w:val="0"/>
                <w:i w:val="0"/>
                <w:sz w:val="16"/>
              </w:rPr>
              <w:t>Medium</w:t>
            </w:r>
          </w:p>
        </w:tc>
        <w:tc>
          <w:tcPr>
            <w:tcW w:type="dxa" w:w="1440"/>
          </w:tcPr>
          <w:p>
            <w:r/>
            <w:r>
              <w:rPr>
                <w:b w:val="0"/>
                <w:i w:val="0"/>
                <w:sz w:val="16"/>
              </w:rPr>
              <w:t>10.7% of 2024 gross fees</w:t>
            </w:r>
          </w:p>
        </w:tc>
      </w:tr>
      <w:tr>
        <w:tc>
          <w:tcPr>
            <w:tcW w:type="dxa" w:w="648"/>
          </w:tcPr>
          <w:p>
            <w:r/>
            <w:r>
              <w:rPr>
                <w:b w:val="0"/>
                <w:i w:val="0"/>
                <w:sz w:val="16"/>
              </w:rPr>
              <w:t>F-1</w:t>
            </w:r>
          </w:p>
        </w:tc>
        <w:tc>
          <w:tcPr>
            <w:tcW w:type="dxa" w:w="1152"/>
          </w:tcPr>
          <w:p>
            <w:r/>
            <w:r>
              <w:rPr>
                <w:b w:val="0"/>
                <w:i w:val="0"/>
                <w:sz w:val="16"/>
              </w:rPr>
              <w:t>Documents</w:t>
            </w:r>
          </w:p>
        </w:tc>
        <w:tc>
          <w:tcPr>
            <w:tcW w:type="dxa" w:w="3744"/>
          </w:tcPr>
          <w:p>
            <w:r/>
            <w:r>
              <w:rPr>
                <w:b w:val="0"/>
                <w:i w:val="0"/>
                <w:sz w:val="16"/>
              </w:rPr>
              <w:t>Name, address, phone and other factual inconsistencies; 2024 phase report does not reconcile; non-standard L800 code</w:t>
            </w:r>
          </w:p>
        </w:tc>
        <w:tc>
          <w:tcPr>
            <w:tcW w:type="dxa" w:w="1440"/>
          </w:tcPr>
          <w:p>
            <w:r/>
            <w:r>
              <w:rPr>
                <w:b w:val="0"/>
                <w:i w:val="0"/>
                <w:sz w:val="16"/>
              </w:rPr>
              <w:t>5.2, 6.2, 2.1</w:t>
            </w:r>
          </w:p>
        </w:tc>
        <w:tc>
          <w:tcPr>
            <w:tcW w:type="dxa" w:w="936"/>
            <w:shd w:val="clear" w:color="auto" w:fill="FFF2CC"/>
          </w:tcPr>
          <w:p>
            <w:r/>
            <w:r>
              <w:rPr>
                <w:b w:val="0"/>
                <w:i w:val="0"/>
                <w:sz w:val="16"/>
              </w:rPr>
              <w:t>Low</w:t>
            </w:r>
          </w:p>
        </w:tc>
        <w:tc>
          <w:tcPr>
            <w:tcW w:type="dxa" w:w="1440"/>
          </w:tcPr>
          <w:p>
            <w:r/>
            <w:r>
              <w:rPr>
                <w:b w:val="0"/>
                <w:i w:val="0"/>
                <w:sz w:val="16"/>
              </w:rPr>
              <w:t>–</w:t>
            </w:r>
          </w:p>
        </w:tc>
      </w:tr>
    </w:tbl>
    <w:p>
      <w:pPr>
        <w:spacing w:after="40"/>
      </w:pPr>
    </w:p>
    <w:p>
      <w:pPr>
        <w:pStyle w:val="Heading1"/>
      </w:pPr>
      <w:r>
        <w:t>III. Detailed Findings by Category</w:t>
      </w:r>
    </w:p>
    <w:p>
      <w:pPr>
        <w:pStyle w:val="Heading2"/>
      </w:pPr>
      <w:r>
        <w:t>A. Billing Rates and Rate Increases</w:t>
      </w:r>
    </w:p>
    <w:p>
      <w:pPr>
        <w:pStyle w:val="Heading3"/>
      </w:pPr>
      <w:r>
        <w:t>A-1  Proposed rates exceed the OCG maximum rate caps</w:t>
      </w:r>
    </w:p>
    <w:p>
      <w:pPr>
        <w:spacing w:after="40"/>
      </w:pPr>
      <w:r>
        <w:rPr>
          <w:b/>
        </w:rPr>
        <w:t xml:space="preserve">Severity: </w:t>
      </w:r>
      <w:r>
        <w:t xml:space="preserve">High     </w:t>
      </w:r>
      <w:r>
        <w:rPr>
          <w:b/>
        </w:rPr>
        <w:t xml:space="preserve">OCG provision(s): </w:t>
      </w:r>
      <w:r>
        <w:t>3.1, 3.2(c), App. B</w:t>
      </w:r>
    </w:p>
    <w:p>
      <w:pPr>
        <w:spacing w:after="40"/>
      </w:pPr>
      <w:r>
        <w:rPr>
          <w:b/>
        </w:rPr>
        <w:t xml:space="preserve">Finding. </w:t>
      </w:r>
      <w:r>
        <w:rPr>
          <w:b w:val="0"/>
          <w:i w:val="0"/>
        </w:rPr>
        <w:t xml:space="preserve">OCG 3.1 sets absolute ceilings for 2025: Equity Partner $825, Senior Associate $550, Mid-Level $425, Junior $375 and Paralegal $200. It states that firms “should not propose or include rates exceeding these caps in ... budget submissions.” Three of WG’s five timekeepers are above the cap. </w:t>
      </w:r>
      <w:r>
        <w:rPr>
          <w:b/>
          <w:i w:val="0"/>
        </w:rPr>
        <w:t>Croft is at $850</w:t>
      </w:r>
      <w:r>
        <w:rPr>
          <w:b w:val="0"/>
          <w:i w:val="0"/>
        </w:rPr>
        <w:t xml:space="preserve"> (cap $825). The workbook already notes that his 2024 rate was at the cap and that “[a]ny 2025 increase would exceed the cap.” </w:t>
      </w:r>
      <w:r>
        <w:rPr>
          <w:b/>
          <w:i w:val="0"/>
        </w:rPr>
        <w:t>Okeke is at $575</w:t>
      </w:r>
      <w:r>
        <w:rPr>
          <w:b w:val="0"/>
          <w:i w:val="0"/>
        </w:rPr>
        <w:t xml:space="preserve"> (cap $550). Her 2024 rate was already at the cap; OCG 3.2(c), using the Senior Associate example, says the rate is set at the cap. </w:t>
      </w:r>
      <w:r>
        <w:rPr>
          <w:b/>
          <w:i w:val="0"/>
        </w:rPr>
        <w:t>Hu is at $225</w:t>
      </w:r>
      <w:r>
        <w:rPr>
          <w:b w:val="0"/>
          <w:i w:val="0"/>
        </w:rPr>
        <w:t xml:space="preserve"> (cap $200 for all paralegal levels). Yoon ($425) and Novak ($375) equal their category caps but fail the 3% test (A-2). WG’s justifications (seniority, expanded role, subject-matter expertise, “market rates,” what other clients pay) are exactly the factors OCG 3.1 says do not permit billing above a cap. Lexera will reduce over-cap entries automatically, and the difference cannot be recovered.</w:t>
      </w:r>
    </w:p>
    <w:p>
      <w:pPr>
        <w:spacing w:after="40"/>
      </w:pPr>
      <w:r>
        <w:rPr>
          <w:b/>
        </w:rPr>
        <w:t xml:space="preserve">Financial impact. </w:t>
      </w:r>
      <w:r>
        <w:rPr>
          <w:b w:val="0"/>
          <w:i w:val="0"/>
        </w:rPr>
        <w:t xml:space="preserve">Over the budgeted hours: Croft 620 x $25 = $15,500; Okeke 980 x $25 = $24,500; Hu 740 x $25 = $18,500. </w:t>
      </w:r>
      <w:r>
        <w:rPr>
          <w:b/>
          <w:i w:val="0"/>
        </w:rPr>
        <w:t>Subtotal $58,500.</w:t>
      </w:r>
    </w:p>
    <w:p>
      <w:pPr>
        <w:spacing w:after="160"/>
      </w:pPr>
      <w:r>
        <w:rPr>
          <w:b/>
        </w:rPr>
        <w:t xml:space="preserve">Required action. </w:t>
      </w:r>
      <w:r>
        <w:rPr>
          <w:b w:val="0"/>
          <w:i w:val="0"/>
        </w:rPr>
        <w:t>WG must restate Croft at no more than $825, Okeke at no more than $550 and Hu at no more than $200 throughout the budget. Any request for an exception must go to the GC in writing under the “extraordinary circumstances” standard of OCG 3.1. We see no basis for one.</w:t>
      </w:r>
    </w:p>
    <w:p>
      <w:pPr>
        <w:pStyle w:val="Heading3"/>
      </w:pPr>
      <w:r>
        <w:t>A-2  Annual increases exceed the 3% per-timekeeper limit</w:t>
      </w:r>
    </w:p>
    <w:p>
      <w:pPr>
        <w:spacing w:after="40"/>
      </w:pPr>
      <w:r>
        <w:rPr>
          <w:b/>
        </w:rPr>
        <w:t xml:space="preserve">Severity: </w:t>
      </w:r>
      <w:r>
        <w:t xml:space="preserve">High     </w:t>
      </w:r>
      <w:r>
        <w:rPr>
          <w:b/>
        </w:rPr>
        <w:t xml:space="preserve">OCG provision(s): </w:t>
      </w:r>
      <w:r>
        <w:t>3.2(a), 3.2(c)</w:t>
      </w:r>
    </w:p>
    <w:p>
      <w:pPr>
        <w:spacing w:after="40"/>
      </w:pPr>
      <w:r>
        <w:rPr>
          <w:b/>
        </w:rPr>
        <w:t xml:space="preserve">Finding. </w:t>
      </w:r>
      <w:r>
        <w:rPr>
          <w:b w:val="0"/>
          <w:i w:val="0"/>
        </w:rPr>
        <w:t xml:space="preserve">The 3% cap applies to each timekeeper separately, not as a team average. Measured against the 2024 approved rates in the workbook: </w:t>
      </w:r>
      <w:r>
        <w:rPr>
          <w:b/>
          <w:i w:val="0"/>
        </w:rPr>
        <w:t>Okeke</w:t>
      </w:r>
      <w:r>
        <w:rPr>
          <w:b w:val="0"/>
          <w:i w:val="0"/>
        </w:rPr>
        <w:t xml:space="preserve"> goes from $550 to $575, or </w:t>
      </w:r>
      <w:r>
        <w:rPr>
          <w:b/>
          <w:i w:val="0"/>
        </w:rPr>
        <w:t>4.55%</w:t>
      </w:r>
      <w:r>
        <w:rPr>
          <w:b w:val="0"/>
          <w:i w:val="0"/>
        </w:rPr>
        <w:t xml:space="preserve">; WG labels it 4.5%. </w:t>
      </w:r>
      <w:r>
        <w:rPr>
          <w:b/>
          <w:i w:val="0"/>
        </w:rPr>
        <w:t>Yoon</w:t>
      </w:r>
      <w:r>
        <w:rPr>
          <w:b w:val="0"/>
          <w:i w:val="0"/>
        </w:rPr>
        <w:t xml:space="preserve"> goes from $410 to $425, or </w:t>
      </w:r>
      <w:r>
        <w:rPr>
          <w:b/>
          <w:i w:val="0"/>
        </w:rPr>
        <w:t>3.66%</w:t>
      </w:r>
      <w:r>
        <w:rPr>
          <w:b w:val="0"/>
          <w:i w:val="0"/>
        </w:rPr>
        <w:t xml:space="preserve">; the most allowed is $422.30. </w:t>
      </w:r>
      <w:r>
        <w:rPr>
          <w:b/>
          <w:i w:val="0"/>
        </w:rPr>
        <w:t>Novak</w:t>
      </w:r>
      <w:r>
        <w:rPr>
          <w:b w:val="0"/>
          <w:i w:val="0"/>
        </w:rPr>
        <w:t xml:space="preserve"> goes from $360 to $375, or </w:t>
      </w:r>
      <w:r>
        <w:rPr>
          <w:b/>
          <w:i w:val="0"/>
        </w:rPr>
        <w:t>4.17%</w:t>
      </w:r>
      <w:r>
        <w:rPr>
          <w:b w:val="0"/>
          <w:i w:val="0"/>
        </w:rPr>
        <w:t xml:space="preserve">; the most allowed is $370.80. </w:t>
      </w:r>
      <w:r>
        <w:rPr>
          <w:b/>
          <w:i w:val="0"/>
        </w:rPr>
        <w:t>Croft</w:t>
      </w:r>
      <w:r>
        <w:rPr>
          <w:b w:val="0"/>
          <w:i w:val="0"/>
        </w:rPr>
        <w:t xml:space="preserve"> goes from $825 to $850, or </w:t>
      </w:r>
      <w:r>
        <w:rPr>
          <w:b/>
          <w:i w:val="0"/>
        </w:rPr>
        <w:t>3.03%</w:t>
      </w:r>
      <w:r>
        <w:rPr>
          <w:b w:val="0"/>
          <w:i w:val="0"/>
        </w:rPr>
        <w:t>: WG concedes that 3% is $849.75 and “rounded” up to $850, which is above 3%, and in any event above the cap. No detailed written justification and no advance GC approval for an increase above 3% exists. Increases for Hu cannot be measured at all, because she had no approved 2024 rate on this matter (A-5).</w:t>
      </w:r>
    </w:p>
    <w:p>
      <w:pPr>
        <w:spacing w:after="40"/>
      </w:pPr>
      <w:r>
        <w:rPr>
          <w:b/>
        </w:rPr>
        <w:t xml:space="preserve">Financial impact. </w:t>
      </w:r>
      <w:r>
        <w:rPr>
          <w:b w:val="0"/>
          <w:i w:val="0"/>
        </w:rPr>
        <w:t>Yoon 860 x $2.70 = $2,322; Novak 540 x $4.20 = $2,268 (in addition to A-1).</w:t>
      </w:r>
    </w:p>
    <w:p>
      <w:pPr>
        <w:spacing w:after="160"/>
      </w:pPr>
      <w:r>
        <w:rPr>
          <w:b/>
        </w:rPr>
        <w:t xml:space="preserve">Required action. </w:t>
      </w:r>
      <w:r>
        <w:rPr>
          <w:b w:val="0"/>
          <w:i w:val="0"/>
        </w:rPr>
        <w:t>If increases are allowed at all (see A-3), limit them to the lesser of 3% or the cap: Croft $825, Okeke $550, Yoon $422.30, Novak $370.80.</w:t>
      </w:r>
    </w:p>
    <w:p>
      <w:pPr>
        <w:pStyle w:val="Heading3"/>
      </w:pPr>
      <w:r>
        <w:t>A-3  The 2025 rate increase notice was untimely</w:t>
      </w:r>
    </w:p>
    <w:p>
      <w:pPr>
        <w:spacing w:after="40"/>
      </w:pPr>
      <w:r>
        <w:rPr>
          <w:b/>
        </w:rPr>
        <w:t xml:space="preserve">Severity: </w:t>
      </w:r>
      <w:r>
        <w:t xml:space="preserve">High     </w:t>
      </w:r>
      <w:r>
        <w:rPr>
          <w:b/>
        </w:rPr>
        <w:t xml:space="preserve">OCG provision(s): </w:t>
      </w:r>
      <w:r>
        <w:t>3.2(b), 3.2(d), App. B</w:t>
      </w:r>
    </w:p>
    <w:p>
      <w:pPr>
        <w:spacing w:after="40"/>
      </w:pPr>
      <w:r>
        <w:rPr>
          <w:b/>
        </w:rPr>
        <w:t xml:space="preserve">Finding. </w:t>
      </w:r>
      <w:r>
        <w:rPr>
          <w:b w:val="0"/>
          <w:i w:val="0"/>
        </w:rPr>
        <w:t xml:space="preserve">Requests for increases effective January 1 must reach the GC by November 1 of the prior year. WG’s notice is dated </w:t>
      </w:r>
      <w:r>
        <w:rPr>
          <w:b/>
          <w:i w:val="0"/>
        </w:rPr>
        <w:t>December 15, 2024</w:t>
      </w:r>
      <w:r>
        <w:rPr>
          <w:b w:val="0"/>
          <w:i w:val="0"/>
        </w:rPr>
        <w:t>: 45 days late and only 17 days before the effective date, which the workbook itself acknowledges (Note 4). OCG 3.2(b) says untimely requests “may be denied in their entirety” and “may be rejected without further consideration.” WG’s email states that it “considers this notification as satisfying its obligations under ... Colton Beverage’s outside counsel guidelines.” That is incorrect. The budget then repeats, in Sections 3 and 8, Assumption 10 and Appendix A, that the rates were “communicated” to the client, as if communication alone made them effective.</w:t>
      </w:r>
    </w:p>
    <w:p>
      <w:pPr>
        <w:spacing w:after="40"/>
      </w:pPr>
      <w:r>
        <w:rPr>
          <w:b/>
        </w:rPr>
        <w:t xml:space="preserve">Financial impact. </w:t>
      </w:r>
      <w:r>
        <w:rPr>
          <w:b w:val="0"/>
          <w:i w:val="0"/>
        </w:rPr>
        <w:t xml:space="preserve">If the GC exercises the right to deny, 2025 rates revert to the 2024 approved rates: Croft $825, Okeke $550, Yoon $410, Novak $360. The fee exposure then rises to </w:t>
      </w:r>
      <w:r>
        <w:rPr>
          <w:b/>
          <w:i w:val="0"/>
        </w:rPr>
        <w:t>$79,500</w:t>
      </w:r>
      <w:r>
        <w:rPr>
          <w:b w:val="0"/>
          <w:i w:val="0"/>
        </w:rPr>
        <w:t xml:space="preserve"> over budget hours (staffing-derived fees of $1,745,500 instead of $1,825,000).</w:t>
      </w:r>
    </w:p>
    <w:p>
      <w:pPr>
        <w:spacing w:after="160"/>
      </w:pPr>
      <w:r>
        <w:rPr>
          <w:b/>
        </w:rPr>
        <w:t xml:space="preserve">Required action. </w:t>
      </w:r>
      <w:r>
        <w:rPr>
          <w:b/>
          <w:i w:val="0"/>
        </w:rPr>
        <w:t>GC decision point:</w:t>
      </w:r>
      <w:r>
        <w:rPr>
          <w:b w:val="0"/>
          <w:i w:val="0"/>
        </w:rPr>
        <w:t xml:space="preserve"> whether to deny the 2025 increases outright as untimely, which is the recommended position for Okeke and the associates given the cumulative non-compliance, or to accept increases limited to 3% and the caps. Either way, confirm in writing (OCG 3.2(d)). No increase is approved until written GC confirmation is issued. Retroactive billing at unapproved rates since January 1, 2025 must be reduced.</w:t>
      </w:r>
    </w:p>
    <w:p>
      <w:pPr>
        <w:pStyle w:val="Heading3"/>
      </w:pPr>
      <w:r>
        <w:t>A-4  No written approval of 2025 rates; rates presented as firm “standard” rates</w:t>
      </w:r>
    </w:p>
    <w:p>
      <w:pPr>
        <w:spacing w:after="40"/>
      </w:pPr>
      <w:r>
        <w:rPr>
          <w:b/>
        </w:rPr>
        <w:t xml:space="preserve">Severity: </w:t>
      </w:r>
      <w:r>
        <w:t xml:space="preserve">Medium     </w:t>
      </w:r>
      <w:r>
        <w:rPr>
          <w:b/>
        </w:rPr>
        <w:t xml:space="preserve">OCG provision(s): </w:t>
      </w:r>
      <w:r>
        <w:t>3.1, 3.3, 3.2(d)</w:t>
      </w:r>
    </w:p>
    <w:p>
      <w:pPr>
        <w:spacing w:after="40"/>
      </w:pPr>
      <w:r>
        <w:rPr>
          <w:b/>
        </w:rPr>
        <w:t xml:space="preserve">Finding. </w:t>
      </w:r>
      <w:r>
        <w:rPr>
          <w:b w:val="0"/>
          <w:i w:val="0"/>
        </w:rPr>
        <w:t>The budget calls its rates “standard rates charged by each timekeeper for all client matters” (Appendix A) and “current market rates” (Section 3). Under the OCG, only GC-approved rates within the caps are billable. Approved rates must be documented in the engagement letter, a rate schedule amendment or a written GC confirmation. Nothing provided shows any GC approval of the 2025 rates, and WG’s December 2024 email only asked the GC to “confirm receipt.” Invoices since January 2025 may already reflect unapproved rates.</w:t>
      </w:r>
    </w:p>
    <w:p>
      <w:pPr>
        <w:spacing w:after="160"/>
      </w:pPr>
      <w:r>
        <w:rPr>
          <w:b/>
        </w:rPr>
        <w:t xml:space="preserve">Required action. </w:t>
      </w:r>
      <w:r>
        <w:rPr>
          <w:b w:val="0"/>
          <w:i w:val="0"/>
        </w:rPr>
        <w:t>Require WG to (i) confirm what rates were billed on January–April 2025 invoices, (ii) credit any amounts above the approved rates, and (iii) submit a rate schedule amendment for GC signature that reflects the rates the GC approves.</w:t>
      </w:r>
    </w:p>
    <w:p>
      <w:pPr>
        <w:pStyle w:val="Heading3"/>
      </w:pPr>
      <w:r>
        <w:t>A-5  2024 base rates misstated; fictitious prior-year rate for the paralegal</w:t>
      </w:r>
    </w:p>
    <w:p>
      <w:pPr>
        <w:spacing w:after="40"/>
      </w:pPr>
      <w:r>
        <w:rPr>
          <w:b/>
        </w:rPr>
        <w:t xml:space="preserve">Severity: </w:t>
      </w:r>
      <w:r>
        <w:t xml:space="preserve">Medium     </w:t>
      </w:r>
      <w:r>
        <w:rPr>
          <w:b/>
        </w:rPr>
        <w:t xml:space="preserve">OCG provision(s): </w:t>
      </w:r>
      <w:r>
        <w:t>3.2(a), 5.2(b)</w:t>
      </w:r>
    </w:p>
    <w:p>
      <w:pPr>
        <w:spacing w:after="40"/>
      </w:pPr>
      <w:r>
        <w:rPr>
          <w:b/>
        </w:rPr>
        <w:t xml:space="preserve">Finding. </w:t>
      </w:r>
      <w:r>
        <w:rPr>
          <w:b w:val="0"/>
          <w:i w:val="0"/>
        </w:rPr>
        <w:t xml:space="preserve">Budget Appendix A shows Yoon’s 2024 rate as </w:t>
      </w:r>
      <w:r>
        <w:rPr>
          <w:b/>
          <w:i w:val="0"/>
        </w:rPr>
        <w:t>$415</w:t>
      </w:r>
      <w:r>
        <w:rPr>
          <w:b w:val="0"/>
          <w:i w:val="0"/>
        </w:rPr>
        <w:t xml:space="preserve"> (a 2.4% increase). WG’s own December 2024 notice and the 2024 workbook show </w:t>
      </w:r>
      <w:r>
        <w:rPr>
          <w:b/>
          <w:i w:val="0"/>
        </w:rPr>
        <w:t>$410</w:t>
      </w:r>
      <w:r>
        <w:rPr>
          <w:b w:val="0"/>
          <w:i w:val="0"/>
        </w:rPr>
        <w:t xml:space="preserve"> (3.7%). Appendix A and the notice both show Novak’s 2024 rate as </w:t>
      </w:r>
      <w:r>
        <w:rPr>
          <w:b/>
          <w:i w:val="0"/>
        </w:rPr>
        <w:t>$365</w:t>
      </w:r>
      <w:r>
        <w:rPr>
          <w:b w:val="0"/>
          <w:i w:val="0"/>
        </w:rPr>
        <w:t xml:space="preserve"> (2.7%), but the workbook shows she billed at </w:t>
      </w:r>
      <w:r>
        <w:rPr>
          <w:b/>
          <w:i w:val="0"/>
        </w:rPr>
        <w:t>$360</w:t>
      </w:r>
      <w:r>
        <w:rPr>
          <w:b w:val="0"/>
          <w:i w:val="0"/>
        </w:rPr>
        <w:t xml:space="preserve"> throughout 2024 (4.17%). By overstating the base, the increases appear to fall within 3% when they do not. Appendix A also lists a </w:t>
      </w:r>
      <w:r>
        <w:rPr>
          <w:b/>
          <w:i w:val="0"/>
        </w:rPr>
        <w:t>$215 “2024 rate”</w:t>
      </w:r>
      <w:r>
        <w:rPr>
          <w:b w:val="0"/>
          <w:i w:val="0"/>
        </w:rPr>
        <w:t xml:space="preserve"> for Margaret Hu, with a 4.7% increase. Hu did not work on the matter in 2024: the 2024 paralegal was Lisa Ferrante at $195, and Hu joined April 28, 2025. Hu therefore has no approved prior-year rate, and her rate is governed by the $200 cap and the new-timekeeper approval process (OCG 3.3 and 4.3).</w:t>
      </w:r>
    </w:p>
    <w:p>
      <w:pPr>
        <w:spacing w:after="160"/>
      </w:pPr>
      <w:r>
        <w:rPr>
          <w:b/>
        </w:rPr>
        <w:t xml:space="preserve">Required action. </w:t>
      </w:r>
      <w:r>
        <w:rPr>
          <w:b w:val="0"/>
          <w:i w:val="0"/>
        </w:rPr>
        <w:t>Require WG to correct Appendix A to the approved 2024 rates, recompute every percentage increase, and remove the fictitious Hu 2024 rate. Ask WG to explain the discrepancies, because they bear directly on rate-compliance representations made to the Company.</w:t>
      </w:r>
    </w:p>
    <w:p>
      <w:pPr>
        <w:pStyle w:val="Heading2"/>
      </w:pPr>
      <w:r>
        <w:t>B. Staffing and Timekeepers</w:t>
      </w:r>
    </w:p>
    <w:p>
      <w:pPr>
        <w:pStyle w:val="Heading3"/>
      </w:pPr>
      <w:r>
        <w:t>B-1  Paralegal Margaret Hu (“Hsu”) was added without required notice or approval</w:t>
      </w:r>
    </w:p>
    <w:p>
      <w:pPr>
        <w:spacing w:after="40"/>
      </w:pPr>
      <w:r>
        <w:rPr>
          <w:b/>
        </w:rPr>
        <w:t xml:space="preserve">Severity: </w:t>
      </w:r>
      <w:r>
        <w:t xml:space="preserve">High     </w:t>
      </w:r>
      <w:r>
        <w:rPr>
          <w:b/>
        </w:rPr>
        <w:t xml:space="preserve">OCG provision(s): </w:t>
      </w:r>
      <w:r>
        <w:t>4.3, 3.3, 3.1, 6.4(h)</w:t>
      </w:r>
    </w:p>
    <w:p>
      <w:pPr>
        <w:spacing w:after="40"/>
      </w:pPr>
      <w:r>
        <w:rPr>
          <w:b/>
        </w:rPr>
        <w:t xml:space="preserve">Finding. </w:t>
      </w:r>
      <w:r>
        <w:rPr>
          <w:b w:val="0"/>
          <w:i w:val="0"/>
        </w:rPr>
        <w:t xml:space="preserve">OCG 4.3 requires (a) at least 10 business days’ advance written notice and (b) the GC’s written approval before a timekeeper is added. WG’s request was emailed </w:t>
      </w:r>
      <w:r>
        <w:rPr>
          <w:b/>
          <w:i w:val="0"/>
        </w:rPr>
        <w:t>Friday, April 25, 2025 at 3:47 p.m.</w:t>
      </w:r>
      <w:r>
        <w:rPr>
          <w:b w:val="0"/>
          <w:i w:val="0"/>
        </w:rPr>
        <w:t xml:space="preserve"> for a start on </w:t>
      </w:r>
      <w:r>
        <w:rPr>
          <w:b/>
          <w:i w:val="0"/>
        </w:rPr>
        <w:t>Monday, April 28</w:t>
      </w:r>
      <w:r>
        <w:rPr>
          <w:b w:val="0"/>
          <w:i w:val="0"/>
        </w:rPr>
        <w:t>, which is one business day. The budget confirms she was “added to the matter team effective April 28, 2025” on April 25 notice. Compressed notice is allowed only in “genuinely exigent circumstances” with a contemporaneous written explanation. The reason WG gave, growth in discovery volume ahead of a September 30 deadline set long ago, is foreseeable and not exigent. The paralegal departure that created the gap was also known since January 15, 2025, more than three months earlier. The notice is also incomplete under 4.3: it gives no years of experience and no qualifications or background (WG offered only to provide them on request), and the proposed rate of $225 exceeds the cap, contrary to 4.3(iv). The name is inconsistent: the subject line and the workbook say “Hsu”; the email body and the budget say “Hu.” Nothing provided shows that GC approval was granted. Her rate must also be submitted for approval at the same time (OCG 3.3).</w:t>
      </w:r>
    </w:p>
    <w:p>
      <w:pPr>
        <w:spacing w:after="40"/>
      </w:pPr>
      <w:r>
        <w:rPr>
          <w:b/>
        </w:rPr>
        <w:t xml:space="preserve">Financial impact. </w:t>
      </w:r>
      <w:r>
        <w:rPr>
          <w:b w:val="0"/>
          <w:i w:val="0"/>
        </w:rPr>
        <w:t xml:space="preserve">Time billed by an unapproved timekeeper “will not be paid” (OCG 4.3). The budget includes </w:t>
      </w:r>
      <w:r>
        <w:rPr>
          <w:b/>
          <w:i w:val="0"/>
        </w:rPr>
        <w:t>740 hours / $166,500</w:t>
      </w:r>
      <w:r>
        <w:rPr>
          <w:b w:val="0"/>
          <w:i w:val="0"/>
        </w:rPr>
        <w:t xml:space="preserve"> for her (</w:t>
      </w:r>
      <w:r>
        <w:rPr>
          <w:b/>
          <w:i w:val="0"/>
        </w:rPr>
        <w:t>$148,000</w:t>
      </w:r>
      <w:r>
        <w:rPr>
          <w:b w:val="0"/>
          <w:i w:val="0"/>
        </w:rPr>
        <w:t xml:space="preserve"> at the $200 cap). Any time she spent “getting up to speed” on the file is non-billable (6.4(h)), because the transition was not requested by the Company.</w:t>
      </w:r>
    </w:p>
    <w:p>
      <w:pPr>
        <w:spacing w:after="160"/>
      </w:pPr>
      <w:r>
        <w:rPr>
          <w:b/>
        </w:rPr>
        <w:t xml:space="preserve">Required action. </w:t>
      </w:r>
      <w:r>
        <w:rPr>
          <w:b w:val="0"/>
          <w:i w:val="0"/>
        </w:rPr>
        <w:t>Do not treat her as an approved timekeeper on the strength of the budget. If the GC wishes to approve her going forward: require a complete 4.3 notice that confirms her legal name and gives her experience and qualifications; set her rate at no more than $200; and set an approval effective date no earlier than the GC’s written approval. Time from April 28 until approval should be written off. Instruct Lexera accordingly.</w:t>
      </w:r>
    </w:p>
    <w:p>
      <w:pPr>
        <w:pStyle w:val="Heading3"/>
      </w:pPr>
      <w:r>
        <w:t>B-2  Boyd Whitaker: second partner proposed without approval, and his hours left out of the totals</w:t>
      </w:r>
    </w:p>
    <w:p>
      <w:pPr>
        <w:spacing w:after="40"/>
      </w:pPr>
      <w:r>
        <w:rPr>
          <w:b/>
        </w:rPr>
        <w:t xml:space="preserve">Severity: </w:t>
      </w:r>
      <w:r>
        <w:t xml:space="preserve">Medium     </w:t>
      </w:r>
      <w:r>
        <w:rPr>
          <w:b/>
        </w:rPr>
        <w:t xml:space="preserve">OCG provision(s): </w:t>
      </w:r>
      <w:r>
        <w:t>4.2, 4.3, 5.2(b), 6.4(h)</w:t>
      </w:r>
    </w:p>
    <w:p>
      <w:pPr>
        <w:spacing w:after="40"/>
      </w:pPr>
      <w:r>
        <w:rPr>
          <w:b/>
        </w:rPr>
        <w:t xml:space="preserve">Finding. </w:t>
      </w:r>
      <w:r>
        <w:rPr>
          <w:b w:val="0"/>
          <w:i w:val="0"/>
        </w:rPr>
        <w:t>Sections 2.3 and 4.6 say partner Boyd Whitaker “may assist” with summary judgment briefing for about 60 hours. Assumption 5 concedes those hours are “not ... included in the staffing totals or fee estimates.” Because the approved staffing plan has one partner, adding a second partner requires advance written GC approval before any billable work (OCG 4.2), plus a 10-business-day notice under 4.3 with his rate and qualifications. His rate, title (equity or non-equity) and bar year are not given. Leaving foreseeable hours out of the budget understates the cost and conflicts with 5.2(b) (every expected timekeeper must appear) and the OCG’s warning against “unduly optimistic estimates.” His time on summary judgment also risks duplicating Croft’s 140 hours and Okeke’s 180 hours in L400, and his ramp-up time is non-billable under 6.4(h).</w:t>
      </w:r>
    </w:p>
    <w:p>
      <w:pPr>
        <w:spacing w:after="40"/>
      </w:pPr>
      <w:r>
        <w:rPr>
          <w:b/>
        </w:rPr>
        <w:t xml:space="preserve">Financial impact. </w:t>
      </w:r>
      <w:r>
        <w:rPr>
          <w:b w:val="0"/>
          <w:i w:val="0"/>
        </w:rPr>
        <w:t xml:space="preserve">60 hours x $725–$825 = </w:t>
      </w:r>
      <w:r>
        <w:rPr>
          <w:b/>
          <w:i w:val="0"/>
        </w:rPr>
        <w:t>about $43,500–$49,500</w:t>
      </w:r>
      <w:r>
        <w:rPr>
          <w:b w:val="0"/>
          <w:i w:val="0"/>
        </w:rPr>
        <w:t>, outside the budget.</w:t>
      </w:r>
    </w:p>
    <w:p>
      <w:pPr>
        <w:spacing w:after="160"/>
      </w:pPr>
      <w:r>
        <w:rPr>
          <w:b/>
        </w:rPr>
        <w:t xml:space="preserve">Required action. </w:t>
      </w:r>
      <w:r>
        <w:rPr>
          <w:b w:val="0"/>
          <w:i w:val="0"/>
        </w:rPr>
        <w:t>Require WG either to remove Whitaker or to submit a 4.2/4.3 request with his rate (at or below the applicable cap), scope and justification, and to show his hours in the staffing and phase tables with corresponding reductions elsewhere to avoid duplication.</w:t>
      </w:r>
    </w:p>
    <w:p>
      <w:pPr>
        <w:pStyle w:val="Heading3"/>
      </w:pPr>
      <w:r>
        <w:t>B-3  The “full trial team” of four attorneys exceeds the two-attorney trial attendance limit</w:t>
      </w:r>
    </w:p>
    <w:p>
      <w:pPr>
        <w:spacing w:after="40"/>
      </w:pPr>
      <w:r>
        <w:rPr>
          <w:b/>
        </w:rPr>
        <w:t xml:space="preserve">Severity: </w:t>
      </w:r>
      <w:r>
        <w:t xml:space="preserve">High     </w:t>
      </w:r>
      <w:r>
        <w:rPr>
          <w:b/>
        </w:rPr>
        <w:t xml:space="preserve">OCG provision(s): </w:t>
      </w:r>
      <w:r>
        <w:t>6.5, 4.1</w:t>
      </w:r>
    </w:p>
    <w:p>
      <w:pPr>
        <w:spacing w:after="40"/>
      </w:pPr>
      <w:r>
        <w:rPr>
          <w:b/>
        </w:rPr>
        <w:t xml:space="preserve">Finding. </w:t>
      </w:r>
      <w:r>
        <w:rPr>
          <w:b w:val="0"/>
          <w:i w:val="0"/>
        </w:rPr>
        <w:t>Section 2.5 says “the full trial team will be in attendance throughout the proceedings”: Croft, Okeke, Yoon and Novak, plus Hu. Section 7 says “the full team will be present in the courtroom.” OCG 6.5 allows no more than two attorneys at any trial session without the GC’s advance written pre-approval. No pre-approval has been requested.</w:t>
      </w:r>
    </w:p>
    <w:p>
      <w:pPr>
        <w:spacing w:after="40"/>
      </w:pPr>
      <w:r>
        <w:rPr>
          <w:b/>
        </w:rPr>
        <w:t xml:space="preserve">Financial impact. </w:t>
      </w:r>
      <w:r>
        <w:rPr>
          <w:b w:val="0"/>
          <w:i w:val="0"/>
        </w:rPr>
        <w:t xml:space="preserve">L600 hours for Yoon (110 x $425 = $46,750) and Novak (40 x $375 = $15,000) total </w:t>
      </w:r>
      <w:r>
        <w:rPr>
          <w:b/>
          <w:i w:val="0"/>
        </w:rPr>
        <w:t>$61,750</w:t>
      </w:r>
      <w:r>
        <w:rPr>
          <w:b w:val="0"/>
          <w:i w:val="0"/>
        </w:rPr>
        <w:t xml:space="preserve"> at risk to the extent they represent courtroom attendance.</w:t>
      </w:r>
    </w:p>
    <w:p>
      <w:pPr>
        <w:spacing w:after="160"/>
      </w:pPr>
      <w:r>
        <w:rPr>
          <w:b/>
        </w:rPr>
        <w:t xml:space="preserve">Required action. </w:t>
      </w:r>
      <w:r>
        <w:rPr>
          <w:b w:val="0"/>
          <w:i w:val="0"/>
        </w:rPr>
        <w:t>Require WG to restructure L600 to two attending attorneys, with any associate support done outside the courtroom and justified. Alternatively, WG may submit a specific advance request under 6.5 explaining why a third attorney is needed for particular sessions.</w:t>
      </w:r>
    </w:p>
    <w:p>
      <w:pPr>
        <w:pStyle w:val="Heading3"/>
      </w:pPr>
      <w:r>
        <w:t>B-4  Multiple attorneys planned at depositions and internal meetings</w:t>
      </w:r>
    </w:p>
    <w:p>
      <w:pPr>
        <w:spacing w:after="40"/>
      </w:pPr>
      <w:r>
        <w:rPr>
          <w:b/>
        </w:rPr>
        <w:t xml:space="preserve">Severity: </w:t>
      </w:r>
      <w:r>
        <w:t xml:space="preserve">Medium     </w:t>
      </w:r>
      <w:r>
        <w:rPr>
          <w:b/>
        </w:rPr>
        <w:t xml:space="preserve">OCG provision(s): </w:t>
      </w:r>
      <w:r>
        <w:t>6.5, 6.4(f), 4.1</w:t>
      </w:r>
    </w:p>
    <w:p>
      <w:pPr>
        <w:spacing w:after="40"/>
      </w:pPr>
      <w:r>
        <w:rPr>
          <w:b/>
        </w:rPr>
        <w:t xml:space="preserve">Finding. </w:t>
      </w:r>
      <w:r>
        <w:rPr>
          <w:b w:val="0"/>
          <w:i w:val="0"/>
        </w:rPr>
        <w:t>Section 7 describes Croft’s L300 time as including “attendance at key depositions,” while Okeke is responsible for “conducting depositions.” Without prior GC approval, only one attorney’s attendance at a deposition is paid; Lexera reduces to the lowest-rate attorney. The 2024 record shows the pattern: both Croft and Okeke billed for the July 2024 Ridgewater CEO deposition. The staffing plan also contemplates broad team involvement in every phase, including L700, which increases the risk of non-billable multi-attorney internal conferences (6.4(f)).</w:t>
      </w:r>
    </w:p>
    <w:p>
      <w:pPr>
        <w:spacing w:after="40"/>
      </w:pPr>
      <w:r>
        <w:rPr>
          <w:b/>
        </w:rPr>
        <w:t xml:space="preserve">Financial impact. </w:t>
      </w:r>
      <w:r>
        <w:rPr>
          <w:b w:val="0"/>
          <w:i w:val="0"/>
        </w:rPr>
        <w:t>Not quantifiable from the budget; part of Croft’s 120 L300 hours is at risk.</w:t>
      </w:r>
    </w:p>
    <w:p>
      <w:pPr>
        <w:spacing w:after="160"/>
      </w:pPr>
      <w:r>
        <w:rPr>
          <w:b/>
        </w:rPr>
        <w:t xml:space="preserve">Required action. </w:t>
      </w:r>
      <w:r>
        <w:rPr>
          <w:b w:val="0"/>
          <w:i w:val="0"/>
        </w:rPr>
        <w:t>Require WG to identify which depositions, if any, it proposes to staff with two attorneys and to seek advance approval for each. Otherwise budget a single attending attorney per deposition.</w:t>
      </w:r>
    </w:p>
    <w:p>
      <w:pPr>
        <w:pStyle w:val="Heading3"/>
      </w:pPr>
      <w:r>
        <w:t>B-5  Work assigned at the wrong level: attorney cite-checking and binder work; administrative paralegal tasks</w:t>
      </w:r>
    </w:p>
    <w:p>
      <w:pPr>
        <w:spacing w:after="40"/>
      </w:pPr>
      <w:r>
        <w:rPr>
          <w:b/>
        </w:rPr>
        <w:t xml:space="preserve">Severity: </w:t>
      </w:r>
      <w:r>
        <w:t xml:space="preserve">Medium     </w:t>
      </w:r>
      <w:r>
        <w:rPr>
          <w:b/>
        </w:rPr>
        <w:t xml:space="preserve">OCG provision(s): </w:t>
      </w:r>
      <w:r>
        <w:t>4.1, 6.4(c), 6.4(g)</w:t>
      </w:r>
    </w:p>
    <w:p>
      <w:pPr>
        <w:spacing w:after="40"/>
      </w:pPr>
      <w:r>
        <w:rPr>
          <w:b/>
        </w:rPr>
        <w:t xml:space="preserve">Finding. </w:t>
      </w:r>
      <w:r>
        <w:rPr>
          <w:b w:val="0"/>
          <w:i w:val="0"/>
        </w:rPr>
        <w:t xml:space="preserve">Section 4.4 assigns Ms. Novak “cite-checking, preparation of deposition exhibit binders, and assistance with trial exhibit organization and logistics.” Cite-checking and proofreading at attorney rates are non-billable (6.4(g)). Binder assembly and logistics belong with paralegals (4.1). Ms. Hu’s scope includes “organization and maintenance of trial binders, witness files” and “document management”; filing, organizing and indexing are non-billable administrative tasks (6.4(c)). In 2024 Lexera already cut </w:t>
      </w:r>
      <w:r>
        <w:rPr>
          <w:b/>
          <w:i w:val="0"/>
        </w:rPr>
        <w:t>$7,100</w:t>
      </w:r>
      <w:r>
        <w:rPr>
          <w:b w:val="0"/>
          <w:i w:val="0"/>
        </w:rPr>
        <w:t xml:space="preserve"> for administrative or clerical tasks billed at attorney rates, and Novak’s 2024 entries include “cite-checking,” “document indexing” and “filing organization.”</w:t>
      </w:r>
    </w:p>
    <w:p>
      <w:pPr>
        <w:spacing w:after="40"/>
      </w:pPr>
      <w:r>
        <w:rPr>
          <w:b/>
        </w:rPr>
        <w:t xml:space="preserve">Financial impact. </w:t>
      </w:r>
      <w:r>
        <w:rPr>
          <w:b w:val="0"/>
          <w:i w:val="0"/>
        </w:rPr>
        <w:t>Not quantified; part of Novak’s 540 hours and Hu’s 740 hours.</w:t>
      </w:r>
    </w:p>
    <w:p>
      <w:pPr>
        <w:spacing w:after="160"/>
      </w:pPr>
      <w:r>
        <w:rPr>
          <w:b/>
        </w:rPr>
        <w:t xml:space="preserve">Required action. </w:t>
      </w:r>
      <w:r>
        <w:rPr>
          <w:b w:val="0"/>
          <w:i w:val="0"/>
        </w:rPr>
        <w:t>Require WG to remove non-billable tasks from the budget assumptions, to confirm they will not be billed, and to reassign substantive tasks to the lowest-cost qualified timekeeper.</w:t>
      </w:r>
    </w:p>
    <w:p>
      <w:pPr>
        <w:pStyle w:val="Heading3"/>
      </w:pPr>
      <w:r>
        <w:t>B-6  Staffing ratio and diversity are compliant, but reporting gaps exist</w:t>
      </w:r>
    </w:p>
    <w:p>
      <w:pPr>
        <w:spacing w:after="40"/>
      </w:pPr>
      <w:r>
        <w:rPr>
          <w:b/>
        </w:rPr>
        <w:t xml:space="preserve">Severity: </w:t>
      </w:r>
      <w:r>
        <w:t xml:space="preserve">Low     </w:t>
      </w:r>
      <w:r>
        <w:rPr>
          <w:b/>
        </w:rPr>
        <w:t xml:space="preserve">OCG provision(s): </w:t>
      </w:r>
      <w:r>
        <w:t>4.4, 4.5, 9.1(d), 9.3</w:t>
      </w:r>
    </w:p>
    <w:p>
      <w:pPr>
        <w:spacing w:after="40"/>
      </w:pPr>
      <w:r>
        <w:rPr>
          <w:b/>
        </w:rPr>
        <w:t xml:space="preserve">Finding. </w:t>
      </w:r>
      <w:r>
        <w:rPr>
          <w:b/>
          <w:i w:val="0"/>
        </w:rPr>
        <w:t>Staffing efficiency ratio (compliant).</w:t>
      </w:r>
      <w:r>
        <w:rPr>
          <w:b w:val="0"/>
          <w:i w:val="0"/>
        </w:rPr>
        <w:t xml:space="preserve"> In the budget, Yoon and Novak have 1,400 of 3,000 attorney hours, or 46.67%. The 2024 actuals give (242 + 168) / 943 = 43.5%. On a cumulative basis (OCG 4.4), (410 + 1,400) / (943 + 3,000) = </w:t>
      </w:r>
      <w:r>
        <w:rPr>
          <w:b/>
          <w:i w:val="0"/>
        </w:rPr>
        <w:t>45.9%</w:t>
      </w:r>
      <w:r>
        <w:rPr>
          <w:b w:val="0"/>
          <w:i w:val="0"/>
        </w:rPr>
        <w:t xml:space="preserve">, or 45.2% if Whitaker’s 60 hours are added. All of these exceed 40%. However, WG computed the ratio for the budget period only, and January–April 2025 actuals are missing, so the cumulative figure cannot be fully verified. </w:t>
      </w:r>
      <w:r>
        <w:rPr>
          <w:b/>
          <w:i w:val="0"/>
        </w:rPr>
        <w:t>Diversity (compliant).</w:t>
      </w:r>
      <w:r>
        <w:rPr>
          <w:b w:val="0"/>
          <w:i w:val="0"/>
        </w:rPr>
        <w:t xml:space="preserve"> Ms. Okeke has 980 of 3,000 hours (32.67%); cumulatively about 33.2%. </w:t>
      </w:r>
      <w:r>
        <w:rPr>
          <w:b/>
          <w:i w:val="0"/>
        </w:rPr>
        <w:t>Reporting gap.</w:t>
      </w:r>
      <w:r>
        <w:rPr>
          <w:b w:val="0"/>
          <w:i w:val="0"/>
        </w:rPr>
        <w:t xml:space="preserve"> Lisa Ferrante’s departure (January 15, 2025) was a staffing change requiring notice within 24 hours (9.3) and reporting (9.1(d)). Instead, WG’s December 15, 2024 email said that “the firm does not currently have a paralegal assigned to this matter,” although the workbook shows Ferrante billed on the matter every month from March through December 2024.</w:t>
      </w:r>
    </w:p>
    <w:p>
      <w:pPr>
        <w:spacing w:after="160"/>
      </w:pPr>
      <w:r>
        <w:rPr>
          <w:b/>
        </w:rPr>
        <w:t xml:space="preserve">Required action. </w:t>
      </w:r>
      <w:r>
        <w:rPr>
          <w:b w:val="0"/>
          <w:i w:val="0"/>
        </w:rPr>
        <w:t>Require cumulative ratio and diversity metrics through the most recent month in each quarterly report. Ask WG to explain the inaccurate statement about paralegal staffing and the unreported departure.</w:t>
      </w:r>
    </w:p>
    <w:p>
      <w:pPr>
        <w:pStyle w:val="Heading2"/>
      </w:pPr>
      <w:r>
        <w:t>C. Budget Structure, Arithmetic and Assumptions</w:t>
      </w:r>
    </w:p>
    <w:p>
      <w:pPr>
        <w:pStyle w:val="Heading3"/>
      </w:pPr>
      <w:r>
        <w:t>C-1  Phase-based fees do not reconcile to the staffing table ($116,050 gap, not disclosed)</w:t>
      </w:r>
    </w:p>
    <w:p>
      <w:pPr>
        <w:spacing w:after="40"/>
      </w:pPr>
      <w:r>
        <w:rPr>
          <w:b/>
        </w:rPr>
        <w:t xml:space="preserve">Severity: </w:t>
      </w:r>
      <w:r>
        <w:t xml:space="preserve">High     </w:t>
      </w:r>
      <w:r>
        <w:rPr>
          <w:b/>
        </w:rPr>
        <w:t xml:space="preserve">OCG provision(s): </w:t>
      </w:r>
      <w:r>
        <w:t>5.2(a), 5.2(b), 5.2(e)</w:t>
      </w:r>
    </w:p>
    <w:p>
      <w:pPr>
        <w:spacing w:after="40"/>
      </w:pPr>
      <w:r>
        <w:rPr>
          <w:b/>
        </w:rPr>
        <w:t xml:space="preserve">Finding. </w:t>
      </w:r>
      <w:r>
        <w:rPr>
          <w:b w:val="0"/>
          <w:i w:val="0"/>
        </w:rPr>
        <w:t xml:space="preserve">OCG 5.2 requires the phase total to reconcile to hours times rates, and any discrepancy to be “identified and explained in the budget narrative.” Budgets that do not reconcile “will be returned for revision and will not be approved.” The Section 2 phase table totals </w:t>
      </w:r>
      <w:r>
        <w:rPr>
          <w:b/>
          <w:i w:val="0"/>
        </w:rPr>
        <w:t>$1,708,950</w:t>
      </w:r>
      <w:r>
        <w:rPr>
          <w:b w:val="0"/>
          <w:i w:val="0"/>
        </w:rPr>
        <w:t xml:space="preserve">. The Section 3 staffing table totals </w:t>
      </w:r>
      <w:r>
        <w:rPr>
          <w:b/>
          <w:i w:val="0"/>
        </w:rPr>
        <w:t>$1,825,000</w:t>
      </w:r>
      <w:r>
        <w:rPr>
          <w:b w:val="0"/>
          <w:i w:val="0"/>
        </w:rPr>
        <w:t xml:space="preserve">. The Section 7 phase-by-phase allocation, priced at WG’s own rates, also totals $1,825,000. The </w:t>
      </w:r>
      <w:r>
        <w:rPr>
          <w:b/>
          <w:i w:val="0"/>
        </w:rPr>
        <w:t>$116,050</w:t>
      </w:r>
      <w:r>
        <w:rPr>
          <w:b w:val="0"/>
          <w:i w:val="0"/>
        </w:rPr>
        <w:t xml:space="preserve"> gap is not mentioned. Section 7 asserts that the tables “reconcile,” which is true only of hours. The executive summary, the grand total and the approval request all use the lower figure, so </w:t>
      </w:r>
      <w:r>
        <w:rPr>
          <w:b/>
          <w:i w:val="0"/>
        </w:rPr>
        <w:t>the headline request of $2,397,450 is understated. On WG’s own rates and hours it is $2,513,500</w:t>
      </w:r>
      <w:r>
        <w:rPr>
          <w:b w:val="0"/>
          <w:i w:val="0"/>
        </w:rPr>
        <w:t xml:space="preserve"> ($1,825,000 + $688,500), before Whitaker.</w:t>
      </w:r>
    </w:p>
    <w:p>
      <w:pPr>
        <w:spacing w:after="40"/>
      </w:pPr>
      <w:r>
        <w:rPr>
          <w:b/>
        </w:rPr>
        <w:t xml:space="preserve">Financial impact. </w:t>
      </w:r>
      <w:r>
        <w:rPr>
          <w:b w:val="0"/>
          <w:i w:val="0"/>
        </w:rPr>
        <w:t>$116,050 understatement (and up to $165,550 including Whitaker).</w:t>
      </w:r>
    </w:p>
    <w:p>
      <w:pPr>
        <w:spacing w:after="160"/>
      </w:pPr>
      <w:r>
        <w:rPr>
          <w:b/>
        </w:rPr>
        <w:t xml:space="preserve">Required action. </w:t>
      </w:r>
      <w:r>
        <w:rPr>
          <w:b w:val="0"/>
          <w:i w:val="0"/>
        </w:rPr>
        <w:t>Return the budget. Require a single, reconciled fee build: hours by timekeeper by phase, times approved rates, with the phase table derived from it.</w:t>
      </w:r>
    </w:p>
    <w:p>
      <w:pPr>
        <w:spacing w:after="80"/>
      </w:pPr>
      <w:r>
        <w:rPr>
          <w:b/>
          <w:i w:val="0"/>
        </w:rPr>
        <w:t>Reconciliation of Section 2 phase fees to Section 7 hours x Section 3 rates: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shd w:val="clear" w:color="auto" w:fill="1F3A5F"/>
          </w:tcPr>
          <w:p>
            <w:r/>
            <w:r>
              <w:rPr>
                <w:b/>
                <w:color w:val="FFFFFF"/>
                <w:sz w:val="16"/>
              </w:rPr>
              <w:t>Phase</w:t>
            </w:r>
          </w:p>
        </w:tc>
        <w:tc>
          <w:tcPr>
            <w:tcW w:type="dxa" w:w="792"/>
            <w:shd w:val="clear" w:color="auto" w:fill="1F3A5F"/>
          </w:tcPr>
          <w:p>
            <w:r/>
            <w:r>
              <w:rPr>
                <w:b/>
                <w:color w:val="FFFFFF"/>
                <w:sz w:val="16"/>
              </w:rPr>
              <w:t>Hours</w:t>
            </w:r>
          </w:p>
        </w:tc>
        <w:tc>
          <w:tcPr>
            <w:tcW w:type="dxa" w:w="1368"/>
            <w:shd w:val="clear" w:color="auto" w:fill="1F3A5F"/>
          </w:tcPr>
          <w:p>
            <w:r/>
            <w:r>
              <w:rPr>
                <w:b/>
                <w:color w:val="FFFFFF"/>
                <w:sz w:val="16"/>
              </w:rPr>
              <w:t>Stated fees (Sec. 2)</w:t>
            </w:r>
          </w:p>
        </w:tc>
        <w:tc>
          <w:tcPr>
            <w:tcW w:type="dxa" w:w="1152"/>
            <w:shd w:val="clear" w:color="auto" w:fill="1F3A5F"/>
          </w:tcPr>
          <w:p>
            <w:r/>
            <w:r>
              <w:rPr>
                <w:b/>
                <w:color w:val="FFFFFF"/>
                <w:sz w:val="16"/>
              </w:rPr>
              <w:t>Implied blended rate</w:t>
            </w:r>
          </w:p>
        </w:tc>
        <w:tc>
          <w:tcPr>
            <w:tcW w:type="dxa" w:w="1512"/>
            <w:shd w:val="clear" w:color="auto" w:fill="1F3A5F"/>
          </w:tcPr>
          <w:p>
            <w:r/>
            <w:r>
              <w:rPr>
                <w:b/>
                <w:color w:val="FFFFFF"/>
                <w:sz w:val="16"/>
              </w:rPr>
              <w:t>Hours x WG rates (Sec. 7)</w:t>
            </w:r>
          </w:p>
        </w:tc>
        <w:tc>
          <w:tcPr>
            <w:tcW w:type="dxa" w:w="1368"/>
            <w:shd w:val="clear" w:color="auto" w:fill="1F3A5F"/>
          </w:tcPr>
          <w:p>
            <w:r/>
            <w:r>
              <w:rPr>
                <w:b/>
                <w:color w:val="FFFFFF"/>
                <w:sz w:val="16"/>
              </w:rPr>
              <w:t>Understatement</w:t>
            </w:r>
          </w:p>
        </w:tc>
        <w:tc>
          <w:tcPr>
            <w:tcW w:type="dxa" w:w="1872"/>
            <w:shd w:val="clear" w:color="auto" w:fill="1F3A5F"/>
          </w:tcPr>
          <w:p>
            <w:r/>
            <w:r>
              <w:rPr>
                <w:b/>
                <w:color w:val="FFFFFF"/>
                <w:sz w:val="16"/>
              </w:rPr>
              <w:t>Hours x OCG-compliant rates*</w:t>
            </w:r>
          </w:p>
        </w:tc>
      </w:tr>
      <w:tr>
        <w:tc>
          <w:tcPr>
            <w:tcW w:type="dxa" w:w="720"/>
          </w:tcPr>
          <w:p>
            <w:r/>
            <w:r>
              <w:rPr>
                <w:b w:val="0"/>
                <w:i w:val="0"/>
                <w:sz w:val="16"/>
              </w:rPr>
              <w:t>L200</w:t>
            </w:r>
          </w:p>
        </w:tc>
        <w:tc>
          <w:tcPr>
            <w:tcW w:type="dxa" w:w="792"/>
          </w:tcPr>
          <w:p>
            <w:r/>
            <w:r>
              <w:rPr>
                <w:b w:val="0"/>
                <w:i w:val="0"/>
                <w:sz w:val="16"/>
              </w:rPr>
              <w:t>320</w:t>
            </w:r>
          </w:p>
        </w:tc>
        <w:tc>
          <w:tcPr>
            <w:tcW w:type="dxa" w:w="1368"/>
          </w:tcPr>
          <w:p>
            <w:r/>
            <w:r>
              <w:rPr>
                <w:b w:val="0"/>
                <w:i w:val="0"/>
                <w:sz w:val="16"/>
              </w:rPr>
              <w:t>$148,800</w:t>
            </w:r>
          </w:p>
        </w:tc>
        <w:tc>
          <w:tcPr>
            <w:tcW w:type="dxa" w:w="1152"/>
          </w:tcPr>
          <w:p>
            <w:r/>
            <w:r>
              <w:rPr>
                <w:b w:val="0"/>
                <w:i w:val="0"/>
                <w:sz w:val="16"/>
              </w:rPr>
              <w:t>$465.00</w:t>
            </w:r>
          </w:p>
        </w:tc>
        <w:tc>
          <w:tcPr>
            <w:tcW w:type="dxa" w:w="1512"/>
          </w:tcPr>
          <w:p>
            <w:r/>
            <w:r>
              <w:rPr>
                <w:b w:val="0"/>
                <w:i w:val="0"/>
                <w:sz w:val="16"/>
              </w:rPr>
              <w:t>$150,000</w:t>
            </w:r>
          </w:p>
        </w:tc>
        <w:tc>
          <w:tcPr>
            <w:tcW w:type="dxa" w:w="1368"/>
          </w:tcPr>
          <w:p>
            <w:r/>
            <w:r>
              <w:rPr>
                <w:b w:val="0"/>
                <w:i w:val="0"/>
                <w:sz w:val="16"/>
              </w:rPr>
              <w:t>$1,200</w:t>
            </w:r>
          </w:p>
        </w:tc>
        <w:tc>
          <w:tcPr>
            <w:tcW w:type="dxa" w:w="1872"/>
          </w:tcPr>
          <w:p>
            <w:r/>
            <w:r>
              <w:rPr>
                <w:b w:val="0"/>
                <w:i w:val="0"/>
                <w:sz w:val="16"/>
              </w:rPr>
              <w:t>$145,032</w:t>
            </w:r>
          </w:p>
        </w:tc>
      </w:tr>
      <w:tr>
        <w:tc>
          <w:tcPr>
            <w:tcW w:type="dxa" w:w="720"/>
          </w:tcPr>
          <w:p>
            <w:r/>
            <w:r>
              <w:rPr>
                <w:b w:val="0"/>
                <w:i w:val="0"/>
                <w:sz w:val="16"/>
              </w:rPr>
              <w:t>L300</w:t>
            </w:r>
          </w:p>
        </w:tc>
        <w:tc>
          <w:tcPr>
            <w:tcW w:type="dxa" w:w="792"/>
          </w:tcPr>
          <w:p>
            <w:r/>
            <w:r>
              <w:rPr>
                <w:b w:val="0"/>
                <w:i w:val="0"/>
                <w:sz w:val="16"/>
              </w:rPr>
              <w:t>1,450</w:t>
            </w:r>
          </w:p>
        </w:tc>
        <w:tc>
          <w:tcPr>
            <w:tcW w:type="dxa" w:w="1368"/>
          </w:tcPr>
          <w:p>
            <w:r/>
            <w:r>
              <w:rPr>
                <w:b w:val="0"/>
                <w:i w:val="0"/>
                <w:sz w:val="16"/>
              </w:rPr>
              <w:t>$589,250</w:t>
            </w:r>
          </w:p>
        </w:tc>
        <w:tc>
          <w:tcPr>
            <w:tcW w:type="dxa" w:w="1152"/>
          </w:tcPr>
          <w:p>
            <w:r/>
            <w:r>
              <w:rPr>
                <w:b w:val="0"/>
                <w:i w:val="0"/>
                <w:sz w:val="16"/>
              </w:rPr>
              <w:t>$406.38</w:t>
            </w:r>
          </w:p>
        </w:tc>
        <w:tc>
          <w:tcPr>
            <w:tcW w:type="dxa" w:w="1512"/>
          </w:tcPr>
          <w:p>
            <w:r/>
            <w:r>
              <w:rPr>
                <w:b w:val="0"/>
                <w:i w:val="0"/>
                <w:sz w:val="16"/>
              </w:rPr>
              <w:t>$646,250</w:t>
            </w:r>
          </w:p>
        </w:tc>
        <w:tc>
          <w:tcPr>
            <w:tcW w:type="dxa" w:w="1368"/>
          </w:tcPr>
          <w:p>
            <w:r/>
            <w:r>
              <w:rPr>
                <w:b w:val="0"/>
                <w:i w:val="0"/>
                <w:sz w:val="16"/>
              </w:rPr>
              <w:t>$57,000</w:t>
            </w:r>
          </w:p>
        </w:tc>
        <w:tc>
          <w:tcPr>
            <w:tcW w:type="dxa" w:w="1872"/>
          </w:tcPr>
          <w:p>
            <w:r/>
            <w:r>
              <w:rPr>
                <w:b w:val="0"/>
                <w:i w:val="0"/>
                <w:sz w:val="16"/>
              </w:rPr>
              <w:t>$623,629</w:t>
            </w:r>
          </w:p>
        </w:tc>
      </w:tr>
      <w:tr>
        <w:tc>
          <w:tcPr>
            <w:tcW w:type="dxa" w:w="720"/>
          </w:tcPr>
          <w:p>
            <w:r/>
            <w:r>
              <w:rPr>
                <w:b w:val="0"/>
                <w:i w:val="0"/>
                <w:sz w:val="16"/>
              </w:rPr>
              <w:t>L400</w:t>
            </w:r>
          </w:p>
        </w:tc>
        <w:tc>
          <w:tcPr>
            <w:tcW w:type="dxa" w:w="792"/>
          </w:tcPr>
          <w:p>
            <w:r/>
            <w:r>
              <w:rPr>
                <w:b w:val="0"/>
                <w:i w:val="0"/>
                <w:sz w:val="16"/>
              </w:rPr>
              <w:t>580</w:t>
            </w:r>
          </w:p>
        </w:tc>
        <w:tc>
          <w:tcPr>
            <w:tcW w:type="dxa" w:w="1368"/>
          </w:tcPr>
          <w:p>
            <w:r/>
            <w:r>
              <w:rPr>
                <w:b w:val="0"/>
                <w:i w:val="0"/>
                <w:sz w:val="16"/>
              </w:rPr>
              <w:t>$266,800</w:t>
            </w:r>
          </w:p>
        </w:tc>
        <w:tc>
          <w:tcPr>
            <w:tcW w:type="dxa" w:w="1152"/>
          </w:tcPr>
          <w:p>
            <w:r/>
            <w:r>
              <w:rPr>
                <w:b w:val="0"/>
                <w:i w:val="0"/>
                <w:sz w:val="16"/>
              </w:rPr>
              <w:t>$460.00</w:t>
            </w:r>
          </w:p>
        </w:tc>
        <w:tc>
          <w:tcPr>
            <w:tcW w:type="dxa" w:w="1512"/>
          </w:tcPr>
          <w:p>
            <w:r/>
            <w:r>
              <w:rPr>
                <w:b w:val="0"/>
                <w:i w:val="0"/>
                <w:sz w:val="16"/>
              </w:rPr>
              <w:t>$318,000</w:t>
            </w:r>
          </w:p>
        </w:tc>
        <w:tc>
          <w:tcPr>
            <w:tcW w:type="dxa" w:w="1368"/>
          </w:tcPr>
          <w:p>
            <w:r/>
            <w:r>
              <w:rPr>
                <w:b w:val="0"/>
                <w:i w:val="0"/>
                <w:sz w:val="16"/>
              </w:rPr>
              <w:t>$51,200</w:t>
            </w:r>
          </w:p>
        </w:tc>
        <w:tc>
          <w:tcPr>
            <w:tcW w:type="dxa" w:w="1872"/>
          </w:tcPr>
          <w:p>
            <w:r/>
            <w:r>
              <w:rPr>
                <w:b w:val="0"/>
                <w:i w:val="0"/>
                <w:sz w:val="16"/>
              </w:rPr>
              <w:t>$307,870</w:t>
            </w:r>
          </w:p>
        </w:tc>
      </w:tr>
      <w:tr>
        <w:tc>
          <w:tcPr>
            <w:tcW w:type="dxa" w:w="720"/>
          </w:tcPr>
          <w:p>
            <w:r/>
            <w:r>
              <w:rPr>
                <w:b w:val="0"/>
                <w:i w:val="0"/>
                <w:sz w:val="16"/>
              </w:rPr>
              <w:t>L500</w:t>
            </w:r>
          </w:p>
        </w:tc>
        <w:tc>
          <w:tcPr>
            <w:tcW w:type="dxa" w:w="792"/>
          </w:tcPr>
          <w:p>
            <w:r/>
            <w:r>
              <w:rPr>
                <w:b w:val="0"/>
                <w:i w:val="0"/>
                <w:sz w:val="16"/>
              </w:rPr>
              <w:t>710</w:t>
            </w:r>
          </w:p>
        </w:tc>
        <w:tc>
          <w:tcPr>
            <w:tcW w:type="dxa" w:w="1368"/>
          </w:tcPr>
          <w:p>
            <w:r/>
            <w:r>
              <w:rPr>
                <w:b w:val="0"/>
                <w:i w:val="0"/>
                <w:sz w:val="16"/>
              </w:rPr>
              <w:t>$348,100</w:t>
            </w:r>
          </w:p>
        </w:tc>
        <w:tc>
          <w:tcPr>
            <w:tcW w:type="dxa" w:w="1152"/>
          </w:tcPr>
          <w:p>
            <w:r/>
            <w:r>
              <w:rPr>
                <w:b w:val="0"/>
                <w:i w:val="0"/>
                <w:sz w:val="16"/>
              </w:rPr>
              <w:t>$490.28</w:t>
            </w:r>
          </w:p>
        </w:tc>
        <w:tc>
          <w:tcPr>
            <w:tcW w:type="dxa" w:w="1512"/>
          </w:tcPr>
          <w:p>
            <w:r/>
            <w:r>
              <w:rPr>
                <w:b w:val="0"/>
                <w:i w:val="0"/>
                <w:sz w:val="16"/>
              </w:rPr>
              <w:t>$350,250</w:t>
            </w:r>
          </w:p>
        </w:tc>
        <w:tc>
          <w:tcPr>
            <w:tcW w:type="dxa" w:w="1368"/>
          </w:tcPr>
          <w:p>
            <w:r/>
            <w:r>
              <w:rPr>
                <w:b w:val="0"/>
                <w:i w:val="0"/>
                <w:sz w:val="16"/>
              </w:rPr>
              <w:t>$2,150</w:t>
            </w:r>
          </w:p>
        </w:tc>
        <w:tc>
          <w:tcPr>
            <w:tcW w:type="dxa" w:w="1872"/>
          </w:tcPr>
          <w:p>
            <w:r/>
            <w:r>
              <w:rPr>
                <w:b w:val="0"/>
                <w:i w:val="0"/>
                <w:sz w:val="16"/>
              </w:rPr>
              <w:t>$337,286</w:t>
            </w:r>
          </w:p>
        </w:tc>
      </w:tr>
      <w:tr>
        <w:tc>
          <w:tcPr>
            <w:tcW w:type="dxa" w:w="720"/>
          </w:tcPr>
          <w:p>
            <w:r/>
            <w:r>
              <w:rPr>
                <w:b w:val="0"/>
                <w:i w:val="0"/>
                <w:sz w:val="16"/>
              </w:rPr>
              <w:t>L600</w:t>
            </w:r>
          </w:p>
        </w:tc>
        <w:tc>
          <w:tcPr>
            <w:tcW w:type="dxa" w:w="792"/>
          </w:tcPr>
          <w:p>
            <w:r/>
            <w:r>
              <w:rPr>
                <w:b w:val="0"/>
                <w:i w:val="0"/>
                <w:sz w:val="16"/>
              </w:rPr>
              <w:t>480</w:t>
            </w:r>
          </w:p>
        </w:tc>
        <w:tc>
          <w:tcPr>
            <w:tcW w:type="dxa" w:w="1368"/>
          </w:tcPr>
          <w:p>
            <w:r/>
            <w:r>
              <w:rPr>
                <w:b w:val="0"/>
                <w:i w:val="0"/>
                <w:sz w:val="16"/>
              </w:rPr>
              <w:t>$264,000</w:t>
            </w:r>
          </w:p>
        </w:tc>
        <w:tc>
          <w:tcPr>
            <w:tcW w:type="dxa" w:w="1152"/>
          </w:tcPr>
          <w:p>
            <w:r/>
            <w:r>
              <w:rPr>
                <w:b w:val="0"/>
                <w:i w:val="0"/>
                <w:sz w:val="16"/>
              </w:rPr>
              <w:t>$550.00</w:t>
            </w:r>
          </w:p>
        </w:tc>
        <w:tc>
          <w:tcPr>
            <w:tcW w:type="dxa" w:w="1512"/>
          </w:tcPr>
          <w:p>
            <w:r/>
            <w:r>
              <w:rPr>
                <w:b w:val="0"/>
                <w:i w:val="0"/>
                <w:sz w:val="16"/>
              </w:rPr>
              <w:t>$265,500</w:t>
            </w:r>
          </w:p>
        </w:tc>
        <w:tc>
          <w:tcPr>
            <w:tcW w:type="dxa" w:w="1368"/>
          </w:tcPr>
          <w:p>
            <w:r/>
            <w:r>
              <w:rPr>
                <w:b w:val="0"/>
                <w:i w:val="0"/>
                <w:sz w:val="16"/>
              </w:rPr>
              <w:t>$1,500</w:t>
            </w:r>
          </w:p>
        </w:tc>
        <w:tc>
          <w:tcPr>
            <w:tcW w:type="dxa" w:w="1872"/>
          </w:tcPr>
          <w:p>
            <w:r/>
            <w:r>
              <w:rPr>
                <w:b w:val="0"/>
                <w:i w:val="0"/>
                <w:sz w:val="16"/>
              </w:rPr>
              <w:t>$256,785</w:t>
            </w:r>
          </w:p>
        </w:tc>
      </w:tr>
      <w:tr>
        <w:tc>
          <w:tcPr>
            <w:tcW w:type="dxa" w:w="720"/>
          </w:tcPr>
          <w:p>
            <w:r/>
            <w:r>
              <w:rPr>
                <w:b w:val="0"/>
                <w:i w:val="0"/>
                <w:sz w:val="16"/>
              </w:rPr>
              <w:t>L700</w:t>
            </w:r>
          </w:p>
        </w:tc>
        <w:tc>
          <w:tcPr>
            <w:tcW w:type="dxa" w:w="792"/>
          </w:tcPr>
          <w:p>
            <w:r/>
            <w:r>
              <w:rPr>
                <w:b w:val="0"/>
                <w:i w:val="0"/>
                <w:sz w:val="16"/>
              </w:rPr>
              <w:t>200</w:t>
            </w:r>
          </w:p>
        </w:tc>
        <w:tc>
          <w:tcPr>
            <w:tcW w:type="dxa" w:w="1368"/>
          </w:tcPr>
          <w:p>
            <w:r/>
            <w:r>
              <w:rPr>
                <w:b w:val="0"/>
                <w:i w:val="0"/>
                <w:sz w:val="16"/>
              </w:rPr>
              <w:t>$92,000</w:t>
            </w:r>
          </w:p>
        </w:tc>
        <w:tc>
          <w:tcPr>
            <w:tcW w:type="dxa" w:w="1152"/>
          </w:tcPr>
          <w:p>
            <w:r/>
            <w:r>
              <w:rPr>
                <w:b w:val="0"/>
                <w:i w:val="0"/>
                <w:sz w:val="16"/>
              </w:rPr>
              <w:t>$460.00</w:t>
            </w:r>
          </w:p>
        </w:tc>
        <w:tc>
          <w:tcPr>
            <w:tcW w:type="dxa" w:w="1512"/>
          </w:tcPr>
          <w:p>
            <w:r/>
            <w:r>
              <w:rPr>
                <w:b w:val="0"/>
                <w:i w:val="0"/>
                <w:sz w:val="16"/>
              </w:rPr>
              <w:t>$95,000</w:t>
            </w:r>
          </w:p>
        </w:tc>
        <w:tc>
          <w:tcPr>
            <w:tcW w:type="dxa" w:w="1368"/>
          </w:tcPr>
          <w:p>
            <w:r/>
            <w:r>
              <w:rPr>
                <w:b w:val="0"/>
                <w:i w:val="0"/>
                <w:sz w:val="16"/>
              </w:rPr>
              <w:t>$3,000</w:t>
            </w:r>
          </w:p>
        </w:tc>
        <w:tc>
          <w:tcPr>
            <w:tcW w:type="dxa" w:w="1872"/>
          </w:tcPr>
          <w:p>
            <w:r/>
            <w:r>
              <w:rPr>
                <w:b w:val="0"/>
                <w:i w:val="0"/>
                <w:sz w:val="16"/>
              </w:rPr>
              <w:t>$91,308 (not approvable)</w:t>
            </w:r>
          </w:p>
        </w:tc>
      </w:tr>
      <w:tr>
        <w:tc>
          <w:tcPr>
            <w:tcW w:type="dxa" w:w="720"/>
          </w:tcPr>
          <w:p>
            <w:r/>
            <w:r>
              <w:rPr>
                <w:b/>
                <w:i w:val="0"/>
                <w:sz w:val="16"/>
              </w:rPr>
              <w:t>Total</w:t>
            </w:r>
          </w:p>
        </w:tc>
        <w:tc>
          <w:tcPr>
            <w:tcW w:type="dxa" w:w="792"/>
          </w:tcPr>
          <w:p>
            <w:r/>
            <w:r>
              <w:rPr>
                <w:b/>
                <w:i w:val="0"/>
                <w:sz w:val="16"/>
              </w:rPr>
              <w:t>3,740</w:t>
            </w:r>
          </w:p>
        </w:tc>
        <w:tc>
          <w:tcPr>
            <w:tcW w:type="dxa" w:w="1368"/>
          </w:tcPr>
          <w:p>
            <w:r/>
            <w:r>
              <w:rPr>
                <w:b/>
                <w:i w:val="0"/>
                <w:sz w:val="16"/>
              </w:rPr>
              <w:t>$1,708,950</w:t>
            </w:r>
          </w:p>
        </w:tc>
        <w:tc>
          <w:tcPr>
            <w:tcW w:type="dxa" w:w="1152"/>
          </w:tcPr>
          <w:p>
            <w:r/>
            <w:r>
              <w:rPr>
                <w:b w:val="0"/>
                <w:i w:val="0"/>
                <w:sz w:val="16"/>
              </w:rPr>
              <w:t>$456.94</w:t>
            </w:r>
          </w:p>
        </w:tc>
        <w:tc>
          <w:tcPr>
            <w:tcW w:type="dxa" w:w="1512"/>
          </w:tcPr>
          <w:p>
            <w:r/>
            <w:r>
              <w:rPr>
                <w:b/>
                <w:i w:val="0"/>
                <w:sz w:val="16"/>
              </w:rPr>
              <w:t>$1,825,000</w:t>
            </w:r>
          </w:p>
        </w:tc>
        <w:tc>
          <w:tcPr>
            <w:tcW w:type="dxa" w:w="1368"/>
          </w:tcPr>
          <w:p>
            <w:r/>
            <w:r>
              <w:rPr>
                <w:b/>
                <w:i w:val="0"/>
                <w:sz w:val="16"/>
              </w:rPr>
              <w:t>$116,050</w:t>
            </w:r>
          </w:p>
        </w:tc>
        <w:tc>
          <w:tcPr>
            <w:tcW w:type="dxa" w:w="1872"/>
          </w:tcPr>
          <w:p>
            <w:r/>
            <w:r>
              <w:rPr>
                <w:b/>
                <w:i w:val="0"/>
                <w:sz w:val="16"/>
              </w:rPr>
              <w:t>$1,761,910</w:t>
            </w:r>
            <w:r>
              <w:rPr>
                <w:b w:val="0"/>
                <w:i w:val="0"/>
                <w:sz w:val="16"/>
              </w:rPr>
              <w:t xml:space="preserve"> ($1,670,602 excl. L700)</w:t>
            </w:r>
          </w:p>
        </w:tc>
      </w:tr>
    </w:tbl>
    <w:p>
      <w:pPr>
        <w:spacing w:after="40"/>
      </w:pPr>
    </w:p>
    <w:p>
      <w:pPr>
        <w:spacing w:after="80"/>
      </w:pPr>
      <w:r>
        <w:rPr>
          <w:b w:val="0"/>
          <w:i/>
          <w:sz w:val="17"/>
        </w:rPr>
        <w:t>*Compliant rates: Croft $825, Okeke $550, Yoon $422.30, Novak $370.80, Hu $200 (3% increase limit and caps applied). If 2025 increases are denied as untimely (Yoon $410, Novak $360), the total is $1,745,500, or $1,654,900 excluding L700.</w:t>
      </w:r>
    </w:p>
    <w:p>
      <w:pPr>
        <w:pStyle w:val="Heading3"/>
      </w:pPr>
      <w:r>
        <w:t>C-2  L300 and L400 are understated by phase, building in overruns</w:t>
      </w:r>
    </w:p>
    <w:p>
      <w:pPr>
        <w:spacing w:after="40"/>
      </w:pPr>
      <w:r>
        <w:rPr>
          <w:b/>
        </w:rPr>
        <w:t xml:space="preserve">Severity: </w:t>
      </w:r>
      <w:r>
        <w:t xml:space="preserve">High     </w:t>
      </w:r>
      <w:r>
        <w:rPr>
          <w:b/>
        </w:rPr>
        <w:t xml:space="preserve">OCG provision(s): </w:t>
      </w:r>
      <w:r>
        <w:t>5.2, 5.3</w:t>
      </w:r>
    </w:p>
    <w:p>
      <w:pPr>
        <w:spacing w:after="40"/>
      </w:pPr>
      <w:r>
        <w:rPr>
          <w:b/>
        </w:rPr>
        <w:t xml:space="preserve">Finding. </w:t>
      </w:r>
      <w:r>
        <w:rPr>
          <w:b w:val="0"/>
          <w:i w:val="0"/>
        </w:rPr>
        <w:t xml:space="preserve">The understatement is concentrated in two phases. Priced at WG’s own rates, </w:t>
      </w:r>
      <w:r>
        <w:rPr>
          <w:b/>
          <w:i w:val="0"/>
        </w:rPr>
        <w:t>L300 Discovery</w:t>
      </w:r>
      <w:r>
        <w:rPr>
          <w:b w:val="0"/>
          <w:i w:val="0"/>
        </w:rPr>
        <w:t xml:space="preserve"> is 109.7% of its stated budget, and </w:t>
      </w:r>
      <w:r>
        <w:rPr>
          <w:b/>
          <w:i w:val="0"/>
        </w:rPr>
        <w:t>L400 Motion Practice</w:t>
      </w:r>
      <w:r>
        <w:rPr>
          <w:b w:val="0"/>
          <w:i w:val="0"/>
        </w:rPr>
        <w:t xml:space="preserve"> is </w:t>
      </w:r>
      <w:r>
        <w:rPr>
          <w:b/>
          <w:i w:val="0"/>
        </w:rPr>
        <w:t>119.2%</w:t>
      </w:r>
      <w:r>
        <w:rPr>
          <w:b w:val="0"/>
          <w:i w:val="0"/>
        </w:rPr>
        <w:t>, already past the 110% threshold that triggers advance notice and GC approval under OCG 5.3. If the budget were approved as submitted, WG would breach the L400 threshold on its own figures, and later invoices would show variances caused by the budget’s own arithmetic, not by changes in scope. The Whitaker hours (B-2) would push L400 further over.</w:t>
      </w:r>
    </w:p>
    <w:p>
      <w:pPr>
        <w:spacing w:after="40"/>
      </w:pPr>
      <w:r>
        <w:rPr>
          <w:b/>
        </w:rPr>
        <w:t xml:space="preserve">Financial impact. </w:t>
      </w:r>
      <w:r>
        <w:rPr>
          <w:b w:val="0"/>
          <w:i w:val="0"/>
        </w:rPr>
        <w:t>L300 $57,000; L400 $51,200 (L400 $100,700 with Whitaker at $825).</w:t>
      </w:r>
    </w:p>
    <w:p>
      <w:pPr>
        <w:spacing w:after="160"/>
      </w:pPr>
      <w:r>
        <w:rPr>
          <w:b/>
        </w:rPr>
        <w:t xml:space="preserve">Required action. </w:t>
      </w:r>
      <w:r>
        <w:rPr>
          <w:b w:val="0"/>
          <w:i w:val="0"/>
        </w:rPr>
        <w:t>Require restated phase budgets derived from the staffing build. Make clear that any approval of the phase amounts is the baseline for measuring 110% overruns.</w:t>
      </w:r>
    </w:p>
    <w:p>
      <w:pPr>
        <w:pStyle w:val="Heading3"/>
      </w:pPr>
      <w:r>
        <w:t>C-3  Unauthorized L700 post-trial / appeal reserve</w:t>
      </w:r>
    </w:p>
    <w:p>
      <w:pPr>
        <w:spacing w:after="40"/>
      </w:pPr>
      <w:r>
        <w:rPr>
          <w:b/>
        </w:rPr>
        <w:t xml:space="preserve">Severity: </w:t>
      </w:r>
      <w:r>
        <w:t xml:space="preserve">High     </w:t>
      </w:r>
      <w:r>
        <w:rPr>
          <w:b/>
        </w:rPr>
        <w:t xml:space="preserve">OCG provision(s): </w:t>
      </w:r>
      <w:r>
        <w:t>5.4, App. A, App. C</w:t>
      </w:r>
    </w:p>
    <w:p>
      <w:pPr>
        <w:spacing w:after="40"/>
      </w:pPr>
      <w:r>
        <w:rPr>
          <w:b/>
        </w:rPr>
        <w:t xml:space="preserve">Finding. </w:t>
      </w:r>
      <w:r>
        <w:rPr>
          <w:b w:val="0"/>
          <w:i w:val="0"/>
        </w:rPr>
        <w:t>Budgets “shall not include reserves or estimated fees for post-trial motions or appeals unless the client has expressly requested appellate planning in writing.” Including an unauthorized reserve “will result in the budget being returned for revision” (5.4; Appendix A says not to include L700 in a budget unless instructed). WG included 200 hours ($92,000) “as a matter of prudent planning,” spread across all five timekeepers, including 60 paralegal hours and 40 partner hours. The 2024 workbook confirms: “No appellate planning was requested by the client.” Even an authorized reserve must be a separate line item with its own assumptions memorandum and independent GC approval, and none of these was provided.</w:t>
      </w:r>
    </w:p>
    <w:p>
      <w:pPr>
        <w:spacing w:after="40"/>
      </w:pPr>
      <w:r>
        <w:rPr>
          <w:b/>
        </w:rPr>
        <w:t xml:space="preserve">Financial impact. </w:t>
      </w:r>
      <w:r>
        <w:rPr>
          <w:b w:val="0"/>
          <w:i w:val="0"/>
        </w:rPr>
        <w:t>$92,000 stated ($95,000 at WG’s rates), to be removed.</w:t>
      </w:r>
    </w:p>
    <w:p>
      <w:pPr>
        <w:spacing w:after="160"/>
      </w:pPr>
      <w:r>
        <w:rPr>
          <w:b/>
        </w:rPr>
        <w:t xml:space="preserve">Required action. </w:t>
      </w:r>
      <w:r>
        <w:rPr>
          <w:b w:val="0"/>
          <w:i w:val="0"/>
        </w:rPr>
        <w:t>Return the budget with L700 removed in full. If WG believes post-trial planning is warranted, it may submit a separate written memorandum under 5.4 after trial.</w:t>
      </w:r>
    </w:p>
    <w:p>
      <w:pPr>
        <w:pStyle w:val="Heading3"/>
      </w:pPr>
      <w:r>
        <w:t>C-4  Missing L100 phase, unbudgeted January–April 2025 gap, and late submission</w:t>
      </w:r>
    </w:p>
    <w:p>
      <w:pPr>
        <w:spacing w:after="40"/>
      </w:pPr>
      <w:r>
        <w:rPr>
          <w:b/>
        </w:rPr>
        <w:t xml:space="preserve">Severity: </w:t>
      </w:r>
      <w:r>
        <w:t xml:space="preserve">Medium     </w:t>
      </w:r>
      <w:r>
        <w:rPr>
          <w:b/>
        </w:rPr>
        <w:t xml:space="preserve">OCG provision(s): </w:t>
      </w:r>
      <w:r>
        <w:t>5.1, 5.2(a), 9.1(c), App. A</w:t>
      </w:r>
    </w:p>
    <w:p>
      <w:pPr>
        <w:spacing w:after="40"/>
      </w:pPr>
      <w:r>
        <w:rPr>
          <w:b/>
        </w:rPr>
        <w:t xml:space="preserve">Finding. </w:t>
      </w:r>
      <w:r>
        <w:rPr>
          <w:b w:val="0"/>
          <w:i w:val="0"/>
        </w:rPr>
        <w:t xml:space="preserve">(i) The budget has no </w:t>
      </w:r>
      <w:r>
        <w:rPr>
          <w:b/>
          <w:i w:val="0"/>
        </w:rPr>
        <w:t>L100 (Case Assessment, Development and Administration)</w:t>
      </w:r>
      <w:r>
        <w:rPr>
          <w:b w:val="0"/>
          <w:i w:val="0"/>
        </w:rPr>
        <w:t xml:space="preserve"> phase, although case management, status conferences and coordination will continue through trial. In 2024 this work was coded to L100 and a non-standard “L800” code (102 hours, $41,200), and it may now be buried in other phases. (ii) The 2024 budget ran through December 31, 2024, and this budget starts May 1, 2025. </w:t>
      </w:r>
      <w:r>
        <w:rPr>
          <w:b/>
          <w:i w:val="0"/>
        </w:rPr>
        <w:t>No budget or budget-to-actual figures are provided for January 1 – April 30, 2025.</w:t>
      </w:r>
      <w:r>
        <w:rPr>
          <w:b w:val="0"/>
          <w:i w:val="0"/>
        </w:rPr>
        <w:t xml:space="preserve"> Fees for those months, apparently billed at the disputed 2025 rates, are invisible, and the cumulative ratios cannot be checked. (iii) The budget was submitted May 12, 2025, after its own period began. WG’s December email promised “early Q2 2025,” and OCG 5.1 requires quarterly updates.</w:t>
      </w:r>
    </w:p>
    <w:p>
      <w:pPr>
        <w:spacing w:after="160"/>
      </w:pPr>
      <w:r>
        <w:rPr>
          <w:b/>
        </w:rPr>
        <w:t xml:space="preserve">Required action. </w:t>
      </w:r>
      <w:r>
        <w:rPr>
          <w:b w:val="0"/>
          <w:i w:val="0"/>
        </w:rPr>
        <w:t>Require (a) January–April 2025 actuals by phase and timekeeper, with a budget-to-actual comparison (9.1(c)); (b) an L100 line, or confirmation of where administration time is coded, using only Appendix A codes; and (c) a commitment to the quarterly update schedule.</w:t>
      </w:r>
    </w:p>
    <w:p>
      <w:pPr>
        <w:pStyle w:val="Heading3"/>
      </w:pPr>
      <w:r>
        <w:t>C-5  Assumptions are inconsistent or unsupported</w:t>
      </w:r>
    </w:p>
    <w:p>
      <w:pPr>
        <w:spacing w:after="40"/>
      </w:pPr>
      <w:r>
        <w:rPr>
          <w:b/>
        </w:rPr>
        <w:t xml:space="preserve">Severity: </w:t>
      </w:r>
      <w:r>
        <w:t xml:space="preserve">Medium     </w:t>
      </w:r>
      <w:r>
        <w:rPr>
          <w:b/>
        </w:rPr>
        <w:t xml:space="preserve">OCG provision(s): </w:t>
      </w:r>
      <w:r>
        <w:t>5.2(d)</w:t>
      </w:r>
    </w:p>
    <w:p>
      <w:pPr>
        <w:spacing w:after="40"/>
      </w:pPr>
      <w:r>
        <w:rPr>
          <w:b/>
        </w:rPr>
        <w:t xml:space="preserve">Finding. </w:t>
      </w:r>
      <w:r>
        <w:rPr>
          <w:b w:val="0"/>
          <w:i w:val="0"/>
        </w:rPr>
        <w:t xml:space="preserve">(i) </w:t>
      </w:r>
      <w:r>
        <w:rPr>
          <w:b/>
          <w:i w:val="0"/>
        </w:rPr>
        <w:t>Trial length.</w:t>
      </w:r>
      <w:r>
        <w:rPr>
          <w:b w:val="0"/>
          <w:i w:val="0"/>
        </w:rPr>
        <w:t xml:space="preserve"> The budget describes an “8 to 10 business day” trial beginning Monday, April 6, 2026, which would end around April 15–17. Yet it budgets through “on or about April 30, 2026,” which is 19 business days, and staffs L600 at 480 hours. These assumptions need to be made consistent. (ii) </w:t>
      </w:r>
      <w:r>
        <w:rPr>
          <w:b/>
          <w:i w:val="0"/>
        </w:rPr>
        <w:t>Document volume.</w:t>
      </w:r>
      <w:r>
        <w:rPr>
          <w:b w:val="0"/>
          <w:i w:val="0"/>
        </w:rPr>
        <w:t xml:space="preserve"> E-discovery assumes about 2.5 million documents for processing and review. In 2024 WG reviewed about 45,000 documents, and nothing supports a jump of more than 50 times. (iii) </w:t>
      </w:r>
      <w:r>
        <w:rPr>
          <w:b/>
          <w:i w:val="0"/>
        </w:rPr>
        <w:t>Run-rate.</w:t>
      </w:r>
      <w:r>
        <w:rPr>
          <w:b w:val="0"/>
          <w:i w:val="0"/>
        </w:rPr>
        <w:t xml:space="preserve"> In 2024 the matter used 988 hours in about 9.5 months (about 104 per month). The proposal budgets 3,740 hours in 12 months (about 312 per month, roughly three times as many), with little explanation beyond deadlines. (iv) </w:t>
      </w:r>
      <w:r>
        <w:rPr>
          <w:b/>
          <w:i w:val="0"/>
        </w:rPr>
        <w:t>Expert scope.</w:t>
      </w:r>
      <w:r>
        <w:rPr>
          <w:b w:val="0"/>
          <w:i w:val="0"/>
        </w:rPr>
        <w:t xml:space="preserve"> Section 2.2 refers to “rebuttal expert analysis,” and Assumption 3 assumes 2–4 expert depositions, but the expense budget covers only two experts. (v) </w:t>
      </w:r>
      <w:r>
        <w:rPr>
          <w:b/>
          <w:i w:val="0"/>
        </w:rPr>
        <w:t>L200.</w:t>
      </w:r>
      <w:r>
        <w:rPr>
          <w:b w:val="0"/>
          <w:i w:val="0"/>
        </w:rPr>
        <w:t xml:space="preserve"> Fact investigation (320 hours) is budgeted more than a year after filing and in parallel with discovery, with no explanation of what remains to be done.</w:t>
      </w:r>
    </w:p>
    <w:p>
      <w:pPr>
        <w:spacing w:after="160"/>
      </w:pPr>
      <w:r>
        <w:rPr>
          <w:b/>
        </w:rPr>
        <w:t xml:space="preserve">Required action. </w:t>
      </w:r>
      <w:r>
        <w:rPr>
          <w:b w:val="0"/>
          <w:i w:val="0"/>
        </w:rPr>
        <w:t>Require a revised assumptions narrative supporting the document volume (custodians, date ranges, data sources), the trial-length estimate, and the expert and rebuttal plan, with alternative scenarios as 5.2(d) requires.</w:t>
      </w:r>
    </w:p>
    <w:p>
      <w:pPr>
        <w:pStyle w:val="Heading2"/>
      </w:pPr>
      <w:r>
        <w:t>D. Expenses</w:t>
      </w:r>
    </w:p>
    <w:p>
      <w:pPr>
        <w:pStyle w:val="Heading3"/>
      </w:pPr>
      <w:r>
        <w:t>D-1  E-discovery: Clearpoint engaged sole-source above the $200,000 threshold</w:t>
      </w:r>
    </w:p>
    <w:p>
      <w:pPr>
        <w:spacing w:after="40"/>
      </w:pPr>
      <w:r>
        <w:rPr>
          <w:b/>
        </w:rPr>
        <w:t xml:space="preserve">Severity: </w:t>
      </w:r>
      <w:r>
        <w:t xml:space="preserve">High     </w:t>
      </w:r>
      <w:r>
        <w:rPr>
          <w:b/>
        </w:rPr>
        <w:t xml:space="preserve">OCG provision(s): </w:t>
      </w:r>
      <w:r>
        <w:t>7.2(a), 7.2(b), 7.2(c)</w:t>
      </w:r>
    </w:p>
    <w:p>
      <w:pPr>
        <w:spacing w:after="40"/>
      </w:pPr>
      <w:r>
        <w:rPr>
          <w:b/>
        </w:rPr>
        <w:t xml:space="preserve">Finding. </w:t>
      </w:r>
      <w:r>
        <w:rPr>
          <w:b w:val="0"/>
          <w:i w:val="0"/>
        </w:rPr>
        <w:t xml:space="preserve">E-discovery costs estimated above $200,000 over the life of the matter require competitive bids from at least three qualified vendors, documented and approved by the GC before the vendor is engaged. A sole-source engagement above that level requires express written GC approval supported by a documented justification. WG says it “ha[s] engaged” Clearpoint and budgets </w:t>
      </w:r>
      <w:r>
        <w:rPr>
          <w:b/>
          <w:i w:val="0"/>
        </w:rPr>
        <w:t>$285,000</w:t>
      </w:r>
      <w:r>
        <w:rPr>
          <w:b w:val="0"/>
          <w:i w:val="0"/>
        </w:rPr>
        <w:t xml:space="preserve"> for this period, on top of </w:t>
      </w:r>
      <w:r>
        <w:rPr>
          <w:b/>
          <w:i w:val="0"/>
        </w:rPr>
        <w:t>$108,500</w:t>
      </w:r>
      <w:r>
        <w:rPr>
          <w:b w:val="0"/>
          <w:i w:val="0"/>
        </w:rPr>
        <w:t xml:space="preserve"> already spent in 2024. Life-of-matter cost is therefore at least </w:t>
      </w:r>
      <w:r>
        <w:rPr>
          <w:b/>
          <w:i w:val="0"/>
        </w:rPr>
        <w:t>$393,500</w:t>
      </w:r>
      <w:r>
        <w:rPr>
          <w:b w:val="0"/>
          <w:i w:val="0"/>
        </w:rPr>
        <w:t>, nearly twice the threshold, and the $285,000 alone exceeds it. No bidding was done. WG’s reliance on Clearpoint’s “familiarity” with the data is a sole-source justification that must be submitted to and approved by the GC; it is not a substitute for that approval. The budget also does not break e-discovery costs into hosting, processing, review licensing, document review and production, the categories used for monthly reporting under 7.2(b).</w:t>
      </w:r>
    </w:p>
    <w:p>
      <w:pPr>
        <w:spacing w:after="40"/>
      </w:pPr>
      <w:r>
        <w:rPr>
          <w:b/>
        </w:rPr>
        <w:t xml:space="preserve">Financial impact. </w:t>
      </w:r>
      <w:r>
        <w:rPr>
          <w:b w:val="0"/>
          <w:i w:val="0"/>
        </w:rPr>
        <w:t>$285,000 not approvable pending 7.2 compliance.</w:t>
      </w:r>
    </w:p>
    <w:p>
      <w:pPr>
        <w:spacing w:after="160"/>
      </w:pPr>
      <w:r>
        <w:rPr>
          <w:b/>
        </w:rPr>
        <w:t xml:space="preserve">Required action. </w:t>
      </w:r>
      <w:r>
        <w:rPr>
          <w:b w:val="0"/>
          <w:i w:val="0"/>
        </w:rPr>
        <w:t>Require WG either to run a three-vendor competitive bid or to submit a written sole-source justification for GC approval, together with Clearpoint’s rate card and a component breakdown. Ask whether the Company has a preferred vendor (7.2(c)). Require the 7.2(b) monthly cumulative e-discovery report.</w:t>
      </w:r>
    </w:p>
    <w:p>
      <w:pPr>
        <w:pStyle w:val="Heading3"/>
      </w:pPr>
      <w:r>
        <w:t>D-2  Expert witnesses: each above the $75,000 pre-approval threshold; no pre-approval request</w:t>
      </w:r>
    </w:p>
    <w:p>
      <w:pPr>
        <w:spacing w:after="40"/>
      </w:pPr>
      <w:r>
        <w:rPr>
          <w:b/>
        </w:rPr>
        <w:t xml:space="preserve">Severity: </w:t>
      </w:r>
      <w:r>
        <w:t xml:space="preserve">High     </w:t>
      </w:r>
      <w:r>
        <w:rPr>
          <w:b/>
        </w:rPr>
        <w:t xml:space="preserve">OCG provision(s): </w:t>
      </w:r>
      <w:r>
        <w:t>7.3(a)–(c)</w:t>
      </w:r>
    </w:p>
    <w:p>
      <w:pPr>
        <w:spacing w:after="40"/>
      </w:pPr>
      <w:r>
        <w:rPr>
          <w:b/>
        </w:rPr>
        <w:t xml:space="preserve">Finding. </w:t>
      </w:r>
      <w:r>
        <w:rPr>
          <w:b w:val="0"/>
          <w:i w:val="0"/>
        </w:rPr>
        <w:t xml:space="preserve">The damages expert is estimated at </w:t>
      </w:r>
      <w:r>
        <w:rPr>
          <w:b/>
          <w:i w:val="0"/>
        </w:rPr>
        <w:t>$90,000</w:t>
      </w:r>
      <w:r>
        <w:rPr>
          <w:b w:val="0"/>
          <w:i w:val="0"/>
        </w:rPr>
        <w:t xml:space="preserve"> and the forensics/trade secrets expert at </w:t>
      </w:r>
      <w:r>
        <w:rPr>
          <w:b/>
          <w:i w:val="0"/>
        </w:rPr>
        <w:t>$85,000</w:t>
      </w:r>
      <w:r>
        <w:rPr>
          <w:b w:val="0"/>
          <w:i w:val="0"/>
        </w:rPr>
        <w:t>. Both exceed $75,000 per expert, so each requires GC pre-approval before retention, supported by a CV, a scope of work, a fee schedule with total estimate, and a written justification for the selection. WG says “expert selection is currently underway” and asks that budget approval allow it to “confirm expert witness retentions.” Budget approval is not 7.3 pre-approval. If rebuttal experts are contemplated (C-5), more than two testifying experts also require pre-approval (7.3(b)). Expert discovery closes December 15, 2025, and draft reports must go to the GC at least 15 business days before their deadlines (7.3(c)), so the timetable is tight.</w:t>
      </w:r>
    </w:p>
    <w:p>
      <w:pPr>
        <w:spacing w:after="40"/>
      </w:pPr>
      <w:r>
        <w:rPr>
          <w:b/>
        </w:rPr>
        <w:t xml:space="preserve">Financial impact. </w:t>
      </w:r>
      <w:r>
        <w:rPr>
          <w:b w:val="0"/>
          <w:i w:val="0"/>
        </w:rPr>
        <w:t>$175,000 contingent on separate pre-approval.</w:t>
      </w:r>
    </w:p>
    <w:p>
      <w:pPr>
        <w:spacing w:after="160"/>
      </w:pPr>
      <w:r>
        <w:rPr>
          <w:b/>
        </w:rPr>
        <w:t xml:space="preserve">Required action. </w:t>
      </w:r>
      <w:r>
        <w:rPr>
          <w:b w:val="0"/>
          <w:i w:val="0"/>
        </w:rPr>
        <w:t>State expressly that approval of the budget does not authorize any expert retention. Require 7.3(a) packages for each expert, and a calendar showing the 15-business-day draft report deadlines.</w:t>
      </w:r>
    </w:p>
    <w:p>
      <w:pPr>
        <w:pStyle w:val="Heading3"/>
      </w:pPr>
      <w:r>
        <w:t>D-3  Mock trial and jury consulting (Silvermark) requires advance approval</w:t>
      </w:r>
    </w:p>
    <w:p>
      <w:pPr>
        <w:spacing w:after="40"/>
      </w:pPr>
      <w:r>
        <w:rPr>
          <w:b/>
        </w:rPr>
        <w:t xml:space="preserve">Severity: </w:t>
      </w:r>
      <w:r>
        <w:t xml:space="preserve">High     </w:t>
      </w:r>
      <w:r>
        <w:rPr>
          <w:b/>
        </w:rPr>
        <w:t xml:space="preserve">OCG provision(s): </w:t>
      </w:r>
      <w:r>
        <w:t>7.7, App. C</w:t>
      </w:r>
    </w:p>
    <w:p>
      <w:pPr>
        <w:spacing w:after="40"/>
      </w:pPr>
      <w:r>
        <w:rPr>
          <w:b/>
        </w:rPr>
        <w:t xml:space="preserve">Finding. </w:t>
      </w:r>
      <w:r>
        <w:rPr>
          <w:b w:val="0"/>
          <w:i w:val="0"/>
        </w:rPr>
        <w:t xml:space="preserve">Mock trials and jury consultants are named in OCG 7.7 as “other expenses” requiring advance written GC approval above $10,000. WG has “identified” Silvermark and budgets </w:t>
      </w:r>
      <w:r>
        <w:rPr>
          <w:b/>
          <w:i w:val="0"/>
        </w:rPr>
        <w:t>$95,000</w:t>
      </w:r>
      <w:r>
        <w:rPr>
          <w:b w:val="0"/>
          <w:i w:val="0"/>
        </w:rPr>
        <w:t>, which is 9.5 times the threshold, with no approval request, no proposal, and no alternative bids. Section 2.4 presents the exercise as part of the L500 trial preparation plan. No such expense was budgeted or incurred in 2024.</w:t>
      </w:r>
    </w:p>
    <w:p>
      <w:pPr>
        <w:spacing w:after="40"/>
      </w:pPr>
      <w:r>
        <w:rPr>
          <w:b/>
        </w:rPr>
        <w:t xml:space="preserve">Financial impact. </w:t>
      </w:r>
      <w:r>
        <w:rPr>
          <w:b w:val="0"/>
          <w:i w:val="0"/>
        </w:rPr>
        <w:t>$95,000 contingent on separate approval.</w:t>
      </w:r>
    </w:p>
    <w:p>
      <w:pPr>
        <w:spacing w:after="160"/>
      </w:pPr>
      <w:r>
        <w:rPr>
          <w:b/>
        </w:rPr>
        <w:t xml:space="preserve">Required action. </w:t>
      </w:r>
      <w:r>
        <w:rPr>
          <w:b w:val="0"/>
          <w:i w:val="0"/>
        </w:rPr>
        <w:t>Require a written approval request (Silvermark proposal, scope, cost breakdown and justification, and ideally competing quotes). Consider whether a smaller-scale exercise would serve the purpose.</w:t>
      </w:r>
    </w:p>
    <w:p>
      <w:pPr>
        <w:pStyle w:val="Heading3"/>
      </w:pPr>
      <w:r>
        <w:t>D-4  Internal copying and printing budgeted ($15,000), which is non-reimbursable</w:t>
      </w:r>
    </w:p>
    <w:p>
      <w:pPr>
        <w:spacing w:after="40"/>
      </w:pPr>
      <w:r>
        <w:rPr>
          <w:b/>
        </w:rPr>
        <w:t xml:space="preserve">Severity: </w:t>
      </w:r>
      <w:r>
        <w:t xml:space="preserve">High     </w:t>
      </w:r>
      <w:r>
        <w:rPr>
          <w:b/>
        </w:rPr>
        <w:t xml:space="preserve">OCG provision(s): </w:t>
      </w:r>
      <w:r>
        <w:t>7.5, 7.8(a)</w:t>
      </w:r>
    </w:p>
    <w:p>
      <w:pPr>
        <w:spacing w:after="40"/>
      </w:pPr>
      <w:r>
        <w:rPr>
          <w:b/>
        </w:rPr>
        <w:t xml:space="preserve">Finding. </w:t>
      </w:r>
      <w:r>
        <w:rPr>
          <w:b w:val="0"/>
          <w:i w:val="0"/>
        </w:rPr>
        <w:t>WG budgets $15,000 expressly for “[i]nternal document reproduction, including printing of trial binders, deposition exhibit sets, and correspondence files.” Internal copying and printing is overhead and “not reimbursable under any circumstances.” Only third-party vendor reproduction, with invoices, is allowed. Notably, WG’s 2024 budget correctly limited this category to third-party costs ($3,100 actual, “Third-party vendor only; per OCG”).</w:t>
      </w:r>
    </w:p>
    <w:p>
      <w:pPr>
        <w:spacing w:after="40"/>
      </w:pPr>
      <w:r>
        <w:rPr>
          <w:b/>
        </w:rPr>
        <w:t xml:space="preserve">Financial impact. </w:t>
      </w:r>
      <w:r>
        <w:rPr>
          <w:b w:val="0"/>
          <w:i w:val="0"/>
        </w:rPr>
        <w:t>$15,000 to be removed.</w:t>
      </w:r>
    </w:p>
    <w:p>
      <w:pPr>
        <w:spacing w:after="160"/>
      </w:pPr>
      <w:r>
        <w:rPr>
          <w:b/>
        </w:rPr>
        <w:t xml:space="preserve">Required action. </w:t>
      </w:r>
      <w:r>
        <w:rPr>
          <w:b w:val="0"/>
          <w:i w:val="0"/>
        </w:rPr>
        <w:t>Delete the line. If outside-vendor trial exhibit reproduction is expected, budget it separately as third-party costs with the vendor identified.</w:t>
      </w:r>
    </w:p>
    <w:p>
      <w:pPr>
        <w:pStyle w:val="Heading3"/>
      </w:pPr>
      <w:r>
        <w:t>D-5  Business-class air travel for the lead partner</w:t>
      </w:r>
    </w:p>
    <w:p>
      <w:pPr>
        <w:spacing w:after="40"/>
      </w:pPr>
      <w:r>
        <w:rPr>
          <w:b/>
        </w:rPr>
        <w:t xml:space="preserve">Severity: </w:t>
      </w:r>
      <w:r>
        <w:t xml:space="preserve">Medium     </w:t>
      </w:r>
      <w:r>
        <w:rPr>
          <w:b/>
        </w:rPr>
        <w:t xml:space="preserve">OCG provision(s): </w:t>
      </w:r>
      <w:r>
        <w:t>7.4(a)</w:t>
      </w:r>
    </w:p>
    <w:p>
      <w:pPr>
        <w:spacing w:after="40"/>
      </w:pPr>
      <w:r>
        <w:rPr>
          <w:b/>
        </w:rPr>
        <w:t xml:space="preserve">Finding. </w:t>
      </w:r>
      <w:r>
        <w:rPr>
          <w:b w:val="0"/>
          <w:i w:val="0"/>
        </w:rPr>
        <w:t>Section 5.3 says Mr. Croft’s travel to depositions in Miami and New York “will be business class ... to accommodate scheduling demands and ensure Mr. Croft is fully prepared.” OCG 7.4(a) reimburses economy only. Business class requires advance GC approval granted only in extraordinary circumstances, such as international flights over eight hours or medical necessity. Short domestic flights from Charlotte do not qualify, and WG has requested no approval.</w:t>
      </w:r>
    </w:p>
    <w:p>
      <w:pPr>
        <w:spacing w:after="40"/>
      </w:pPr>
      <w:r>
        <w:rPr>
          <w:b/>
        </w:rPr>
        <w:t xml:space="preserve">Financial impact. </w:t>
      </w:r>
      <w:r>
        <w:rPr>
          <w:b w:val="0"/>
          <w:i w:val="0"/>
        </w:rPr>
        <w:t>The fare differential is not quantified; it is embedded in the $68,000 travel line.</w:t>
      </w:r>
    </w:p>
    <w:p>
      <w:pPr>
        <w:spacing w:after="160"/>
      </w:pPr>
      <w:r>
        <w:rPr>
          <w:b/>
        </w:rPr>
        <w:t xml:space="preserve">Required action. </w:t>
      </w:r>
      <w:r>
        <w:rPr>
          <w:b w:val="0"/>
          <w:i w:val="0"/>
        </w:rPr>
        <w:t>Require the travel budget to be restated at economy fares. Remind WG that reimbursement will be limited to the lowest economy fare, with documentation of the fare comparison.</w:t>
      </w:r>
    </w:p>
    <w:p>
      <w:pPr>
        <w:pStyle w:val="Heading3"/>
      </w:pPr>
      <w:r>
        <w:t>D-6  Travel budget is not itemized; caps and travel-time treatment not addressed</w:t>
      </w:r>
    </w:p>
    <w:p>
      <w:pPr>
        <w:spacing w:after="40"/>
      </w:pPr>
      <w:r>
        <w:rPr>
          <w:b/>
        </w:rPr>
        <w:t xml:space="preserve">Severity: </w:t>
      </w:r>
      <w:r>
        <w:t xml:space="preserve">Low     </w:t>
      </w:r>
      <w:r>
        <w:rPr>
          <w:b/>
        </w:rPr>
        <w:t xml:space="preserve">OCG provision(s): </w:t>
      </w:r>
      <w:r>
        <w:t>5.2(c), 6.4(e), 7.4(c)–(e), 7.8(e)</w:t>
      </w:r>
    </w:p>
    <w:p>
      <w:pPr>
        <w:spacing w:after="40"/>
      </w:pPr>
      <w:r>
        <w:rPr>
          <w:b/>
        </w:rPr>
        <w:t xml:space="preserve">Finding. </w:t>
      </w:r>
      <w:r>
        <w:rPr>
          <w:b w:val="0"/>
          <w:i w:val="0"/>
        </w:rPr>
        <w:t>The $68,000 travel line, more than three times the 2024 actual of $19,750, combines airfare, hotels, ground transport and meals without trip counts or unit assumptions. WG commits only to “negotiated corporate rates where available,” not to the OCG hotel cap ($275 per night in major metro areas such as Atlanta, Miami and New York) or the $75 per day meal cap with no alcohol. The budget does not say whether travel time is embedded in phase hours. Travel time is non-billable unless the GC pre-approves trips over four hours, and then it is billed at 50%. Since WG is based in Charlotte and the court is in Atlanta, this is significant for trial and hearing attendance.</w:t>
      </w:r>
    </w:p>
    <w:p>
      <w:pPr>
        <w:spacing w:after="160"/>
      </w:pPr>
      <w:r>
        <w:rPr>
          <w:b/>
        </w:rPr>
        <w:t xml:space="preserve">Required action. </w:t>
      </w:r>
      <w:r>
        <w:rPr>
          <w:b w:val="0"/>
          <w:i w:val="0"/>
        </w:rPr>
        <w:t>Require a trip-by-trip travel schedule (traveler, purpose, fare class, nights, caps), confirmation that no travel time is included in fee estimates absent approval, and a statement of the 14-day advance-booking practice.</w:t>
      </w:r>
    </w:p>
    <w:p>
      <w:pPr>
        <w:pStyle w:val="Heading2"/>
      </w:pPr>
      <w:r>
        <w:t>E. Billing and Compliance Representations</w:t>
      </w:r>
    </w:p>
    <w:p>
      <w:pPr>
        <w:pStyle w:val="Heading3"/>
      </w:pPr>
      <w:r>
        <w:t>E-1  Payment terms, e-billing and Lexera’s role are misstated</w:t>
      </w:r>
    </w:p>
    <w:p>
      <w:pPr>
        <w:spacing w:after="40"/>
      </w:pPr>
      <w:r>
        <w:rPr>
          <w:b/>
        </w:rPr>
        <w:t xml:space="preserve">Severity: </w:t>
      </w:r>
      <w:r>
        <w:t xml:space="preserve">Medium     </w:t>
      </w:r>
      <w:r>
        <w:rPr>
          <w:b/>
        </w:rPr>
        <w:t xml:space="preserve">OCG provision(s): </w:t>
      </w:r>
      <w:r>
        <w:t>1.2, 1.3, 6.1, 8.1–8.3, 11.4</w:t>
      </w:r>
    </w:p>
    <w:p>
      <w:pPr>
        <w:spacing w:after="40"/>
      </w:pPr>
      <w:r>
        <w:rPr>
          <w:b/>
        </w:rPr>
        <w:t xml:space="preserve">Finding. </w:t>
      </w:r>
      <w:r>
        <w:rPr>
          <w:b w:val="0"/>
          <w:i w:val="0"/>
        </w:rPr>
        <w:t>Section 8 says invoices will be “payable net 45 days from the date of submission.” Under OCG 6.1 and 8.3, payment is due net 45 days from the Company’s receipt of a compliant invoice, and the clock restarts on resubmission. WG also says invoices will be submitted “through Lexera Solutions” and that OCG compliance, “including timekeeper approvals [and] expense pre-approvals,” will be “administered in coordination with Lexera,” whose “feedback” WG welcomes. Under OCG 1.2 and 1.3, only the GC can grant approvals, waivers or exceptions. Lexera audits invoices, and outside counsel must not contact Lexera about guideline exceptions or disputes. Invoices must be in LEDES 1998B format via the designated e-billing platform, submitted within 15 days of month-end, with a status cover memo (6.1 and 8.1); the budget does not mention these requirements.</w:t>
      </w:r>
    </w:p>
    <w:p>
      <w:pPr>
        <w:spacing w:after="160"/>
      </w:pPr>
      <w:r>
        <w:rPr>
          <w:b/>
        </w:rPr>
        <w:t xml:space="preserve">Required action. </w:t>
      </w:r>
      <w:r>
        <w:rPr>
          <w:b w:val="0"/>
          <w:i w:val="0"/>
        </w:rPr>
        <w:t>Require WG to correct Section 8 to track the OCG. Confirm in the approval letter that all approvals run exclusively through the GC in writing.</w:t>
      </w:r>
    </w:p>
    <w:p>
      <w:pPr>
        <w:pStyle w:val="Heading3"/>
      </w:pPr>
      <w:r>
        <w:t>E-2  Budget overrun commitment is qualified</w:t>
      </w:r>
    </w:p>
    <w:p>
      <w:pPr>
        <w:spacing w:after="40"/>
      </w:pPr>
      <w:r>
        <w:rPr>
          <w:b/>
        </w:rPr>
        <w:t xml:space="preserve">Severity: </w:t>
      </w:r>
      <w:r>
        <w:t xml:space="preserve">Medium     </w:t>
      </w:r>
      <w:r>
        <w:rPr>
          <w:b/>
        </w:rPr>
        <w:t xml:space="preserve">OCG provision(s): </w:t>
      </w:r>
      <w:r>
        <w:t>5.3</w:t>
      </w:r>
    </w:p>
    <w:p>
      <w:pPr>
        <w:spacing w:after="40"/>
      </w:pPr>
      <w:r>
        <w:rPr>
          <w:b/>
        </w:rPr>
        <w:t xml:space="preserve">Finding. </w:t>
      </w:r>
      <w:r>
        <w:rPr>
          <w:b w:val="0"/>
          <w:i w:val="0"/>
        </w:rPr>
        <w:t>WG commits to give notice of overruns above 110% “before the excess spending is incurred to the extent practicable.” OCG 5.3 requires advance written notice and approval before fees above 110% will be paid; late notice may lead to non-payment. The “to the extent practicable” qualifier is unacceptable, particularly since L400 starts above 110% (C-2).</w:t>
      </w:r>
    </w:p>
    <w:p>
      <w:pPr>
        <w:spacing w:after="160"/>
      </w:pPr>
      <w:r>
        <w:rPr>
          <w:b/>
        </w:rPr>
        <w:t xml:space="preserve">Required action. </w:t>
      </w:r>
      <w:r>
        <w:rPr>
          <w:b w:val="0"/>
          <w:i w:val="0"/>
        </w:rPr>
        <w:t>Strike the qualifier and confirm that fees above 110% of any approved phase budget, without prior GC approval, will not be paid.</w:t>
      </w:r>
    </w:p>
    <w:p>
      <w:pPr>
        <w:pStyle w:val="Heading3"/>
      </w:pPr>
      <w:r>
        <w:t>E-3  Conflicts certification is qualified and incomplete</w:t>
      </w:r>
    </w:p>
    <w:p>
      <w:pPr>
        <w:spacing w:after="40"/>
      </w:pPr>
      <w:r>
        <w:rPr>
          <w:b/>
        </w:rPr>
        <w:t xml:space="preserve">Severity: </w:t>
      </w:r>
      <w:r>
        <w:t xml:space="preserve">Low     </w:t>
      </w:r>
      <w:r>
        <w:rPr>
          <w:b/>
        </w:rPr>
        <w:t xml:space="preserve">OCG provision(s): </w:t>
      </w:r>
      <w:r>
        <w:t>2.2</w:t>
      </w:r>
    </w:p>
    <w:p>
      <w:pPr>
        <w:spacing w:after="40"/>
      </w:pPr>
      <w:r>
        <w:rPr>
          <w:b/>
        </w:rPr>
        <w:t xml:space="preserve">Finding. </w:t>
      </w:r>
      <w:r>
        <w:rPr>
          <w:b w:val="0"/>
          <w:i w:val="0"/>
        </w:rPr>
        <w:t>OCG 2.2 requires written certification of the absence of conflicts at budget submission. WG certifies only that it ran a review “in accordance with its internal policies” and “is not aware of” conflicts. The certification does not specifically address Suncrest Foods Corp., the competitor alleged to have received the misappropriated information and a likely discovery target, nor Ridgewater’s affiliates.</w:t>
      </w:r>
    </w:p>
    <w:p>
      <w:pPr>
        <w:spacing w:after="160"/>
      </w:pPr>
      <w:r>
        <w:rPr>
          <w:b/>
        </w:rPr>
        <w:t xml:space="preserve">Required action. </w:t>
      </w:r>
      <w:r>
        <w:rPr>
          <w:b w:val="0"/>
          <w:i w:val="0"/>
        </w:rPr>
        <w:t>Request an unqualified written certification under 2.2 that expressly covers Ridgewater, Suncrest Foods Corp., Harmon Chase &amp; Delgado LLP relationships, and anticipated third-party witnesses.</w:t>
      </w:r>
    </w:p>
    <w:p>
      <w:pPr>
        <w:pStyle w:val="Heading3"/>
      </w:pPr>
      <w:r>
        <w:t>E-4  Year-1 billing history contradicts the compliance representations</w:t>
      </w:r>
    </w:p>
    <w:p>
      <w:pPr>
        <w:spacing w:after="40"/>
      </w:pPr>
      <w:r>
        <w:rPr>
          <w:b/>
        </w:rPr>
        <w:t xml:space="preserve">Severity: </w:t>
      </w:r>
      <w:r>
        <w:t xml:space="preserve">Medium     </w:t>
      </w:r>
      <w:r>
        <w:rPr>
          <w:b/>
        </w:rPr>
        <w:t xml:space="preserve">OCG provision(s): </w:t>
      </w:r>
      <w:r>
        <w:t>1.3, 6.3, 6.4, 8.4</w:t>
      </w:r>
    </w:p>
    <w:p>
      <w:pPr>
        <w:spacing w:after="40"/>
      </w:pPr>
      <w:r>
        <w:rPr>
          <w:b/>
        </w:rPr>
        <w:t xml:space="preserve">Finding. </w:t>
      </w:r>
      <w:r>
        <w:rPr>
          <w:b w:val="0"/>
          <w:i w:val="0"/>
        </w:rPr>
        <w:t xml:space="preserve">WG represents that block billing “will not be used” and that it complies with the OCG “in all respects.” In 2024, however, Lexera reduced WG’s gross fees by </w:t>
      </w:r>
      <w:r>
        <w:rPr>
          <w:b/>
          <w:i w:val="0"/>
        </w:rPr>
        <w:t>$55,650, or 10.7% of the $518,000 gross</w:t>
      </w:r>
      <w:r>
        <w:rPr>
          <w:b w:val="0"/>
          <w:i w:val="0"/>
        </w:rPr>
        <w:t>. The reductions were for block billing ($22,400), vague descriptions ($12,850), excessive time ($9,200), administrative tasks at attorney rates ($7,100) and other OCG violations ($4,100). WG’s 2024 “under budget” result (-4.7%) exists only net of these audit cuts. Gross billed, $518,000, exceeded the net budget of $485,000 by $33,000. The 2024 budget itself appears to have “budgeted” $55,150 of audit reductions, which suggests WG expected non-compliance.</w:t>
      </w:r>
    </w:p>
    <w:p>
      <w:pPr>
        <w:spacing w:after="40"/>
      </w:pPr>
      <w:r>
        <w:rPr>
          <w:b/>
        </w:rPr>
        <w:t xml:space="preserve">Financial impact. </w:t>
      </w:r>
      <w:r>
        <w:rPr>
          <w:b w:val="0"/>
          <w:i w:val="0"/>
        </w:rPr>
        <w:t>Pattern risk: a similar 10.7% reduction rate on a $1.7–$1.8 million fee budget would mean about $180,000–$195,000 of non-compliant billing.</w:t>
      </w:r>
    </w:p>
    <w:p>
      <w:pPr>
        <w:spacing w:after="160"/>
      </w:pPr>
      <w:r>
        <w:rPr>
          <w:b/>
        </w:rPr>
        <w:t xml:space="preserve">Required action. </w:t>
      </w:r>
      <w:r>
        <w:rPr>
          <w:b w:val="0"/>
          <w:i w:val="0"/>
        </w:rPr>
        <w:t>Consider requiring a corrective action plan (OCG 1.3) covering timekeeper training on UTBMS, single-task entries and non-billable tasks. Reserve audit rights under 8.4 for January–April 2025 invoices.</w:t>
      </w:r>
    </w:p>
    <w:p>
      <w:pPr>
        <w:pStyle w:val="Heading2"/>
      </w:pPr>
      <w:r>
        <w:t>F. Documentary Inconsistencies and Data Quality</w:t>
      </w:r>
    </w:p>
    <w:p>
      <w:pPr>
        <w:pStyle w:val="Heading3"/>
      </w:pPr>
      <w:r>
        <w:t>F-1  Inconsistencies across the budget, emails and workbook</w:t>
      </w:r>
    </w:p>
    <w:p>
      <w:pPr>
        <w:spacing w:after="40"/>
      </w:pPr>
      <w:r>
        <w:rPr>
          <w:b/>
        </w:rPr>
        <w:t xml:space="preserve">Severity: </w:t>
      </w:r>
      <w:r>
        <w:t xml:space="preserve">Low     </w:t>
      </w:r>
      <w:r>
        <w:rPr>
          <w:b/>
        </w:rPr>
        <w:t xml:space="preserve">OCG provision(s): </w:t>
      </w:r>
      <w:r>
        <w:t>5.2, 6.2, 2.1</w:t>
      </w:r>
    </w:p>
    <w:p>
      <w:pPr>
        <w:spacing w:after="40"/>
      </w:pPr>
      <w:r>
        <w:rPr>
          <w:b/>
        </w:rPr>
        <w:t xml:space="preserve">Finding. </w:t>
      </w:r>
      <w:r>
        <w:rPr>
          <w:b w:val="0"/>
          <w:i w:val="0"/>
        </w:rPr>
        <w:t>The following should be corrected so that the budget can be relied on as a binding commitment:</w:t>
      </w:r>
    </w:p>
    <w:p>
      <w:pPr>
        <w:spacing w:after="160"/>
      </w:pPr>
      <w:r>
        <w:rPr>
          <w:b/>
        </w:rPr>
        <w:t xml:space="preserve">Required action. </w:t>
      </w:r>
      <w:r>
        <w:rPr>
          <w:b w:val="0"/>
          <w:i w:val="0"/>
        </w:rPr>
        <w:t>Require WG to correct each item in a revised submission.</w:t>
      </w:r>
    </w:p>
    <w:p>
      <w:pPr>
        <w:pStyle w:val="ListBullet"/>
        <w:spacing w:after="40"/>
      </w:pPr>
      <w:r>
        <w:rPr>
          <w:b/>
          <w:i w:val="0"/>
        </w:rPr>
        <w:t>Paralegal name:</w:t>
      </w:r>
      <w:r>
        <w:rPr>
          <w:b w:val="0"/>
          <w:i w:val="0"/>
        </w:rPr>
        <w:t xml:space="preserve"> “Margaret Hsu” (email subject line; workbook Notes 1–2, 12) vs. “Margaret Hu” / “Ms. Hu” (email body; budget throughout).</w:t>
      </w:r>
    </w:p>
    <w:p>
      <w:pPr>
        <w:pStyle w:val="ListBullet"/>
        <w:spacing w:after="40"/>
      </w:pPr>
      <w:r>
        <w:rPr>
          <w:b/>
          <w:i w:val="0"/>
        </w:rPr>
        <w:t>Rate baselines:</w:t>
      </w:r>
      <w:r>
        <w:rPr>
          <w:b w:val="0"/>
          <w:i w:val="0"/>
        </w:rPr>
        <w:t xml:space="preserve"> Yoon $410 (notice, workbook) vs. $415 (budget App. A); Novak $360 (workbook) vs. $365 (notice, App. A); Hu “2024 rate” of $215 with no 2024 service. Percentages stated (Okeke 4.5%, Hu 4.7%, Yoon 2.4%) are inaccurate or rounded.</w:t>
      </w:r>
    </w:p>
    <w:p>
      <w:pPr>
        <w:pStyle w:val="ListBullet"/>
        <w:spacing w:after="40"/>
      </w:pPr>
      <w:r>
        <w:rPr>
          <w:b/>
          <w:i w:val="0"/>
        </w:rPr>
        <w:t>Paralegal staffing statement:</w:t>
      </w:r>
      <w:r>
        <w:rPr>
          <w:b w:val="0"/>
          <w:i w:val="0"/>
        </w:rPr>
        <w:t xml:space="preserve"> The December 15, 2024 email says no paralegal was assigned, but Lisa Ferrante (Senior Paralegal, $195) billed through December 2024 and left January 15, 2025. The budget describes Hu as providing “additional” support, while the workbook calls her Ferrante’s replacement.</w:t>
      </w:r>
    </w:p>
    <w:p>
      <w:pPr>
        <w:pStyle w:val="ListBullet"/>
        <w:spacing w:after="40"/>
      </w:pPr>
      <w:r>
        <w:rPr>
          <w:b/>
          <w:i w:val="0"/>
        </w:rPr>
        <w:t>Firm address:</w:t>
      </w:r>
      <w:r>
        <w:rPr>
          <w:b w:val="0"/>
          <w:i w:val="0"/>
        </w:rPr>
        <w:t xml:space="preserve"> “200 South Tryon Street” (budget cover and signature block) vs. “215 South Tryon Street” (both WG emails).</w:t>
      </w:r>
    </w:p>
    <w:p>
      <w:pPr>
        <w:pStyle w:val="ListBullet"/>
        <w:spacing w:after="40"/>
      </w:pPr>
      <w:r>
        <w:rPr>
          <w:b/>
          <w:i w:val="0"/>
        </w:rPr>
        <w:t>Croft telephone:</w:t>
      </w:r>
      <w:r>
        <w:rPr>
          <w:b w:val="0"/>
          <w:i w:val="0"/>
        </w:rPr>
        <w:t xml:space="preserve"> (704) 555-0173 (budget) vs. direct (704) 555-8214 (email).</w:t>
      </w:r>
    </w:p>
    <w:p>
      <w:pPr>
        <w:pStyle w:val="ListBullet"/>
        <w:spacing w:after="40"/>
      </w:pPr>
      <w:r>
        <w:rPr>
          <w:b/>
          <w:i w:val="0"/>
        </w:rPr>
        <w:t>Trial duration:</w:t>
      </w:r>
      <w:r>
        <w:rPr>
          <w:b w:val="0"/>
          <w:i w:val="0"/>
        </w:rPr>
        <w:t xml:space="preserve"> “8 to 10 business days” vs. conclusion “on or about April 30, 2026” (19 business days after April 6).</w:t>
      </w:r>
    </w:p>
    <w:p>
      <w:pPr>
        <w:pStyle w:val="ListBullet"/>
        <w:spacing w:after="40"/>
      </w:pPr>
      <w:r>
        <w:rPr>
          <w:b/>
          <w:i w:val="0"/>
        </w:rPr>
        <w:t>Section 7 statement</w:t>
      </w:r>
      <w:r>
        <w:rPr>
          <w:b w:val="0"/>
          <w:i w:val="0"/>
        </w:rPr>
        <w:t xml:space="preserve"> that the allocation “reconcile[s]” with Section 3: this is true of hours only, not fees (C-1).</w:t>
      </w:r>
    </w:p>
    <w:p>
      <w:pPr>
        <w:pStyle w:val="ListBullet"/>
        <w:spacing w:after="40"/>
      </w:pPr>
      <w:r>
        <w:rPr>
          <w:b/>
          <w:i w:val="0"/>
        </w:rPr>
        <w:t>2024 workbook does not reconcile:</w:t>
      </w:r>
      <w:r>
        <w:rPr>
          <w:b w:val="0"/>
          <w:i w:val="0"/>
        </w:rPr>
        <w:t xml:space="preserve"> the Phase Detail parent-level total is 788 actual hours / $348,150 (budget 825 hours / $362,000), while the Timekeeper Detail shows 988 hours / $462,350 net. The “Including L300” row (1,025 / $485,000; 988 / $462,350) double-counts the L310–L330 sub-phases on the budget side and does not foot on the actual side. The workbook also uses a non-standard “L800” code, which is not among the Appendix A codes (6.2). As a result, WG’s prior-year phase reporting cannot be relied on as a baseline.</w:t>
      </w:r>
    </w:p>
    <w:p>
      <w:pPr>
        <w:pStyle w:val="ListBullet"/>
        <w:spacing w:after="40"/>
      </w:pPr>
      <w:r>
        <w:rPr>
          <w:b/>
          <w:i w:val="0"/>
        </w:rPr>
        <w:t>Budget timing:</w:t>
      </w:r>
      <w:r>
        <w:rPr>
          <w:b w:val="0"/>
          <w:i w:val="0"/>
        </w:rPr>
        <w:t xml:space="preserve"> WG’s December 2024 email anticipated a budget “covering the May 2025 through trial period in early Q2 2025”; it was submitted May 12, 2025, after the period began.</w:t>
      </w:r>
    </w:p>
    <w:p>
      <w:pPr>
        <w:pStyle w:val="Heading1"/>
      </w:pPr>
      <w:r>
        <w:t>IV. Items Reviewed and Found Compliant (or Not at Issue)</w:t>
      </w:r>
    </w:p>
    <w:p>
      <w:pPr>
        <w:pStyle w:val="ListBullet"/>
        <w:spacing w:after="40"/>
      </w:pPr>
      <w:r>
        <w:rPr>
          <w:b w:val="0"/>
          <w:i w:val="0"/>
        </w:rPr>
        <w:t>Staffing efficiency ratio: 46.67% for the budget period; about 45.9% cumulative with 2024 actuals (40% minimum, OCG 4.4). It remains compliant even if Yoon and Novak trial attendance hours are reduced (for example, 1,250 / 2,850 = 43.9%).</w:t>
      </w:r>
    </w:p>
    <w:p>
      <w:pPr>
        <w:pStyle w:val="ListBullet"/>
        <w:spacing w:after="40"/>
      </w:pPr>
      <w:r>
        <w:rPr>
          <w:b w:val="0"/>
          <w:i w:val="0"/>
        </w:rPr>
        <w:t>Diversity: Ms. Okeke at 32.67% of attorney hours satisfies the 15% significant-role test (OCG 4.5). Diversity details should be reported quarterly, with voluntary disclosure respected.</w:t>
      </w:r>
    </w:p>
    <w:p>
      <w:pPr>
        <w:pStyle w:val="ListBullet"/>
        <w:spacing w:after="40"/>
      </w:pPr>
      <w:r>
        <w:rPr>
          <w:b w:val="0"/>
          <w:i w:val="0"/>
        </w:rPr>
        <w:t>Partner count: one approved partner (Croft). Whitaker would be the second and is within the two-partner ceiling, but approval is required (B-2).</w:t>
      </w:r>
    </w:p>
    <w:p>
      <w:pPr>
        <w:pStyle w:val="ListBullet"/>
        <w:spacing w:after="40"/>
      </w:pPr>
      <w:r>
        <w:rPr>
          <w:b w:val="0"/>
          <w:i w:val="0"/>
        </w:rPr>
        <w:t>Arithmetic: the expense table foots to $688,500; the staffing table and phase allocation hours each foot to 3,740; each timekeeper’s fees equal hours times stated rate; the attorney-hour total of 3,000 is correct.</w:t>
      </w:r>
    </w:p>
    <w:p>
      <w:pPr>
        <w:pStyle w:val="ListBullet"/>
        <w:spacing w:after="40"/>
      </w:pPr>
      <w:r>
        <w:rPr>
          <w:b w:val="0"/>
          <w:i w:val="0"/>
        </w:rPr>
        <w:t>No success fees, premiums or contingency elements are included (OCG 3.4). The budget uses UTBMS phase codes, apart from the missing L100 and the improper L700 (OCG 5.1 and 6.2).</w:t>
      </w:r>
    </w:p>
    <w:p>
      <w:pPr>
        <w:pStyle w:val="ListBullet"/>
        <w:spacing w:after="40"/>
      </w:pPr>
      <w:r>
        <w:rPr>
          <w:b w:val="0"/>
          <w:i w:val="0"/>
        </w:rPr>
        <w:t>Court reporter ($42,000) and filing fees ($8,500) appear reasonable against 2024 actuals ($14,200 for three depositions; $5,875 in court costs), subject to documentation under 7.6.</w:t>
      </w:r>
    </w:p>
    <w:p>
      <w:pPr>
        <w:pStyle w:val="Heading1"/>
      </w:pPr>
      <w:r>
        <w:t>V. Financial Impact and OCG-Compliant Restatement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448"/>
            <w:shd w:val="clear" w:color="auto" w:fill="1F3A5F"/>
          </w:tcPr>
          <w:p>
            <w:r/>
            <w:r>
              <w:rPr>
                <w:b/>
                <w:color w:val="FFFFFF"/>
                <w:sz w:val="16"/>
              </w:rPr>
              <w:t>Line</w:t>
            </w:r>
          </w:p>
        </w:tc>
        <w:tc>
          <w:tcPr>
            <w:tcW w:type="dxa" w:w="1728"/>
            <w:shd w:val="clear" w:color="auto" w:fill="1F3A5F"/>
          </w:tcPr>
          <w:p>
            <w:r/>
            <w:r>
              <w:rPr>
                <w:b/>
                <w:color w:val="FFFFFF"/>
                <w:sz w:val="16"/>
              </w:rPr>
              <w:t>As submitted</w:t>
            </w:r>
          </w:p>
        </w:tc>
        <w:tc>
          <w:tcPr>
            <w:tcW w:type="dxa" w:w="1656"/>
            <w:shd w:val="clear" w:color="auto" w:fill="1F3A5F"/>
          </w:tcPr>
          <w:p>
            <w:r/>
            <w:r>
              <w:rPr>
                <w:b/>
                <w:color w:val="FFFFFF"/>
                <w:sz w:val="16"/>
              </w:rPr>
              <w:t>OCG-compliant (3% / caps)</w:t>
            </w:r>
          </w:p>
        </w:tc>
        <w:tc>
          <w:tcPr>
            <w:tcW w:type="dxa" w:w="1800"/>
            <w:shd w:val="clear" w:color="auto" w:fill="1F3A5F"/>
          </w:tcPr>
          <w:p>
            <w:r/>
            <w:r>
              <w:rPr>
                <w:b/>
                <w:color w:val="FFFFFF"/>
                <w:sz w:val="16"/>
              </w:rPr>
              <w:t>OCG-compliant (2025 increases denied)</w:t>
            </w:r>
          </w:p>
        </w:tc>
        <w:tc>
          <w:tcPr>
            <w:tcW w:type="dxa" w:w="2448"/>
            <w:shd w:val="clear" w:color="auto" w:fill="1F3A5F"/>
          </w:tcPr>
          <w:p>
            <w:r/>
            <w:r>
              <w:rPr>
                <w:b/>
                <w:color w:val="FFFFFF"/>
                <w:sz w:val="16"/>
              </w:rPr>
              <w:t>Notes</w:t>
            </w:r>
          </w:p>
        </w:tc>
      </w:tr>
      <w:tr>
        <w:tc>
          <w:tcPr>
            <w:tcW w:type="dxa" w:w="2448"/>
          </w:tcPr>
          <w:p>
            <w:r/>
            <w:r>
              <w:rPr>
                <w:b w:val="0"/>
                <w:i w:val="0"/>
                <w:sz w:val="16"/>
              </w:rPr>
              <w:t>Fees per phase table (Sec. 2)</w:t>
            </w:r>
          </w:p>
        </w:tc>
        <w:tc>
          <w:tcPr>
            <w:tcW w:type="dxa" w:w="1728"/>
          </w:tcPr>
          <w:p>
            <w:r/>
            <w:r>
              <w:rPr>
                <w:b w:val="0"/>
                <w:i w:val="0"/>
                <w:sz w:val="16"/>
              </w:rPr>
              <w:t>$1,708,950</w:t>
            </w:r>
          </w:p>
        </w:tc>
        <w:tc>
          <w:tcPr>
            <w:tcW w:type="dxa" w:w="1656"/>
          </w:tcPr>
          <w:p>
            <w:r/>
            <w:r>
              <w:rPr>
                <w:b w:val="0"/>
                <w:i w:val="0"/>
                <w:sz w:val="16"/>
              </w:rPr>
              <w:t>–</w:t>
            </w:r>
          </w:p>
        </w:tc>
        <w:tc>
          <w:tcPr>
            <w:tcW w:type="dxa" w:w="1800"/>
          </w:tcPr>
          <w:p>
            <w:r/>
            <w:r>
              <w:rPr>
                <w:b w:val="0"/>
                <w:i w:val="0"/>
                <w:sz w:val="16"/>
              </w:rPr>
              <w:t>–</w:t>
            </w:r>
          </w:p>
        </w:tc>
        <w:tc>
          <w:tcPr>
            <w:tcW w:type="dxa" w:w="2448"/>
          </w:tcPr>
          <w:p>
            <w:r/>
            <w:r>
              <w:rPr>
                <w:b w:val="0"/>
                <w:i w:val="0"/>
                <w:sz w:val="16"/>
              </w:rPr>
              <w:t>Does not reconcile (C-1)</w:t>
            </w:r>
          </w:p>
        </w:tc>
      </w:tr>
      <w:tr>
        <w:tc>
          <w:tcPr>
            <w:tcW w:type="dxa" w:w="2448"/>
          </w:tcPr>
          <w:p>
            <w:r/>
            <w:r>
              <w:rPr>
                <w:b w:val="0"/>
                <w:i w:val="0"/>
                <w:sz w:val="16"/>
              </w:rPr>
              <w:t>Fees per staffing build (hours x rates)</w:t>
            </w:r>
          </w:p>
        </w:tc>
        <w:tc>
          <w:tcPr>
            <w:tcW w:type="dxa" w:w="1728"/>
          </w:tcPr>
          <w:p>
            <w:r/>
            <w:r>
              <w:rPr>
                <w:b w:val="0"/>
                <w:i w:val="0"/>
                <w:sz w:val="16"/>
              </w:rPr>
              <w:t>$1,825,000</w:t>
            </w:r>
          </w:p>
        </w:tc>
        <w:tc>
          <w:tcPr>
            <w:tcW w:type="dxa" w:w="1656"/>
          </w:tcPr>
          <w:p>
            <w:r/>
            <w:r>
              <w:rPr>
                <w:b w:val="0"/>
                <w:i w:val="0"/>
                <w:sz w:val="16"/>
              </w:rPr>
              <w:t>$1,761,910</w:t>
            </w:r>
          </w:p>
        </w:tc>
        <w:tc>
          <w:tcPr>
            <w:tcW w:type="dxa" w:w="1800"/>
          </w:tcPr>
          <w:p>
            <w:r/>
            <w:r>
              <w:rPr>
                <w:b w:val="0"/>
                <w:i w:val="0"/>
                <w:sz w:val="16"/>
              </w:rPr>
              <w:t>$1,745,500</w:t>
            </w:r>
          </w:p>
        </w:tc>
        <w:tc>
          <w:tcPr>
            <w:tcW w:type="dxa" w:w="2448"/>
          </w:tcPr>
          <w:p>
            <w:r/>
            <w:r>
              <w:rPr>
                <w:b w:val="0"/>
                <w:i w:val="0"/>
                <w:sz w:val="16"/>
              </w:rPr>
              <w:t>A-1 to A-3</w:t>
            </w:r>
          </w:p>
        </w:tc>
      </w:tr>
      <w:tr>
        <w:tc>
          <w:tcPr>
            <w:tcW w:type="dxa" w:w="2448"/>
          </w:tcPr>
          <w:p>
            <w:r/>
            <w:r>
              <w:rPr>
                <w:b w:val="0"/>
                <w:i w:val="0"/>
                <w:sz w:val="16"/>
              </w:rPr>
              <w:t>Less: L700 reserve</w:t>
            </w:r>
          </w:p>
        </w:tc>
        <w:tc>
          <w:tcPr>
            <w:tcW w:type="dxa" w:w="1728"/>
          </w:tcPr>
          <w:p>
            <w:r/>
            <w:r>
              <w:rPr>
                <w:b w:val="0"/>
                <w:i w:val="0"/>
                <w:sz w:val="16"/>
              </w:rPr>
              <w:t>(incl.)</w:t>
            </w:r>
          </w:p>
        </w:tc>
        <w:tc>
          <w:tcPr>
            <w:tcW w:type="dxa" w:w="1656"/>
          </w:tcPr>
          <w:p>
            <w:r/>
            <w:r>
              <w:rPr>
                <w:b w:val="0"/>
                <w:i w:val="0"/>
                <w:sz w:val="16"/>
              </w:rPr>
              <w:t>($91,308)</w:t>
            </w:r>
          </w:p>
        </w:tc>
        <w:tc>
          <w:tcPr>
            <w:tcW w:type="dxa" w:w="1800"/>
          </w:tcPr>
          <w:p>
            <w:r/>
            <w:r>
              <w:rPr>
                <w:b w:val="0"/>
                <w:i w:val="0"/>
                <w:sz w:val="16"/>
              </w:rPr>
              <w:t>($90,600)</w:t>
            </w:r>
          </w:p>
        </w:tc>
        <w:tc>
          <w:tcPr>
            <w:tcW w:type="dxa" w:w="2448"/>
          </w:tcPr>
          <w:p>
            <w:r/>
            <w:r>
              <w:rPr>
                <w:b w:val="0"/>
                <w:i w:val="0"/>
                <w:sz w:val="16"/>
              </w:rPr>
              <w:t>C-3</w:t>
            </w:r>
          </w:p>
        </w:tc>
      </w:tr>
      <w:tr>
        <w:tc>
          <w:tcPr>
            <w:tcW w:type="dxa" w:w="2448"/>
          </w:tcPr>
          <w:p>
            <w:r/>
            <w:r>
              <w:rPr>
                <w:b/>
                <w:i w:val="0"/>
                <w:sz w:val="16"/>
              </w:rPr>
              <w:t>Restated fees</w:t>
            </w:r>
          </w:p>
        </w:tc>
        <w:tc>
          <w:tcPr>
            <w:tcW w:type="dxa" w:w="1728"/>
          </w:tcPr>
          <w:p>
            <w:r/>
            <w:r>
              <w:rPr>
                <w:b/>
                <w:i w:val="0"/>
                <w:sz w:val="16"/>
              </w:rPr>
              <w:t>$1,825,000</w:t>
            </w:r>
          </w:p>
        </w:tc>
        <w:tc>
          <w:tcPr>
            <w:tcW w:type="dxa" w:w="1656"/>
          </w:tcPr>
          <w:p>
            <w:r/>
            <w:r>
              <w:rPr>
                <w:b/>
                <w:i w:val="0"/>
                <w:sz w:val="16"/>
              </w:rPr>
              <w:t>$1,670,602</w:t>
            </w:r>
          </w:p>
        </w:tc>
        <w:tc>
          <w:tcPr>
            <w:tcW w:type="dxa" w:w="1800"/>
          </w:tcPr>
          <w:p>
            <w:r/>
            <w:r>
              <w:rPr>
                <w:b/>
                <w:i w:val="0"/>
                <w:sz w:val="16"/>
              </w:rPr>
              <w:t>$1,654,900</w:t>
            </w:r>
          </w:p>
        </w:tc>
        <w:tc>
          <w:tcPr>
            <w:tcW w:type="dxa" w:w="2448"/>
          </w:tcPr>
          <w:p>
            <w:r/>
            <w:r>
              <w:rPr>
                <w:b w:val="0"/>
                <w:i w:val="0"/>
                <w:sz w:val="16"/>
              </w:rPr>
              <w:t>Hu 740 hrs ($148,000) still subject to 4.3 approval</w:t>
            </w:r>
          </w:p>
        </w:tc>
      </w:tr>
      <w:tr>
        <w:tc>
          <w:tcPr>
            <w:tcW w:type="dxa" w:w="2448"/>
          </w:tcPr>
          <w:p>
            <w:r/>
            <w:r>
              <w:rPr>
                <w:b w:val="0"/>
                <w:i w:val="0"/>
                <w:sz w:val="16"/>
              </w:rPr>
              <w:t>Expenses as submitted</w:t>
            </w:r>
          </w:p>
        </w:tc>
        <w:tc>
          <w:tcPr>
            <w:tcW w:type="dxa" w:w="1728"/>
          </w:tcPr>
          <w:p>
            <w:r/>
            <w:r>
              <w:rPr>
                <w:b w:val="0"/>
                <w:i w:val="0"/>
                <w:sz w:val="16"/>
              </w:rPr>
              <w:t>$688,500</w:t>
            </w:r>
          </w:p>
        </w:tc>
        <w:tc>
          <w:tcPr>
            <w:tcW w:type="dxa" w:w="1656"/>
          </w:tcPr>
          <w:p>
            <w:r/>
            <w:r>
              <w:rPr>
                <w:b w:val="0"/>
                <w:i w:val="0"/>
                <w:sz w:val="16"/>
              </w:rPr>
              <w:t>$688,500</w:t>
            </w:r>
          </w:p>
        </w:tc>
        <w:tc>
          <w:tcPr>
            <w:tcW w:type="dxa" w:w="1800"/>
          </w:tcPr>
          <w:p>
            <w:r/>
            <w:r>
              <w:rPr>
                <w:b w:val="0"/>
                <w:i w:val="0"/>
                <w:sz w:val="16"/>
              </w:rPr>
              <w:t>$688,500</w:t>
            </w:r>
          </w:p>
        </w:tc>
        <w:tc>
          <w:tcPr>
            <w:tcW w:type="dxa" w:w="2448"/>
          </w:tcPr>
          <w:p>
            <w:r/>
          </w:p>
        </w:tc>
      </w:tr>
      <w:tr>
        <w:tc>
          <w:tcPr>
            <w:tcW w:type="dxa" w:w="2448"/>
          </w:tcPr>
          <w:p>
            <w:r/>
            <w:r>
              <w:rPr>
                <w:b w:val="0"/>
                <w:i w:val="0"/>
                <w:sz w:val="16"/>
              </w:rPr>
              <w:t>Less: internal copying</w:t>
            </w:r>
          </w:p>
        </w:tc>
        <w:tc>
          <w:tcPr>
            <w:tcW w:type="dxa" w:w="1728"/>
          </w:tcPr>
          <w:p>
            <w:r/>
            <w:r>
              <w:rPr>
                <w:b w:val="0"/>
                <w:i w:val="0"/>
                <w:sz w:val="16"/>
              </w:rPr>
              <w:t>–</w:t>
            </w:r>
          </w:p>
        </w:tc>
        <w:tc>
          <w:tcPr>
            <w:tcW w:type="dxa" w:w="1656"/>
          </w:tcPr>
          <w:p>
            <w:r/>
            <w:r>
              <w:rPr>
                <w:b w:val="0"/>
                <w:i w:val="0"/>
                <w:sz w:val="16"/>
              </w:rPr>
              <w:t>($15,000)</w:t>
            </w:r>
          </w:p>
        </w:tc>
        <w:tc>
          <w:tcPr>
            <w:tcW w:type="dxa" w:w="1800"/>
          </w:tcPr>
          <w:p>
            <w:r/>
            <w:r>
              <w:rPr>
                <w:b w:val="0"/>
                <w:i w:val="0"/>
                <w:sz w:val="16"/>
              </w:rPr>
              <w:t>($15,000)</w:t>
            </w:r>
          </w:p>
        </w:tc>
        <w:tc>
          <w:tcPr>
            <w:tcW w:type="dxa" w:w="2448"/>
          </w:tcPr>
          <w:p>
            <w:r/>
            <w:r>
              <w:rPr>
                <w:b w:val="0"/>
                <w:i w:val="0"/>
                <w:sz w:val="16"/>
              </w:rPr>
              <w:t>D-4</w:t>
            </w:r>
          </w:p>
        </w:tc>
      </w:tr>
      <w:tr>
        <w:tc>
          <w:tcPr>
            <w:tcW w:type="dxa" w:w="2448"/>
          </w:tcPr>
          <w:p>
            <w:r/>
            <w:r>
              <w:rPr>
                <w:b/>
                <w:i w:val="0"/>
                <w:sz w:val="16"/>
              </w:rPr>
              <w:t>Restated expenses</w:t>
            </w:r>
          </w:p>
        </w:tc>
        <w:tc>
          <w:tcPr>
            <w:tcW w:type="dxa" w:w="1728"/>
          </w:tcPr>
          <w:p>
            <w:r/>
            <w:r>
              <w:rPr>
                <w:b/>
                <w:i w:val="0"/>
                <w:sz w:val="16"/>
              </w:rPr>
              <w:t>$688,500</w:t>
            </w:r>
          </w:p>
        </w:tc>
        <w:tc>
          <w:tcPr>
            <w:tcW w:type="dxa" w:w="1656"/>
          </w:tcPr>
          <w:p>
            <w:r/>
            <w:r>
              <w:rPr>
                <w:b/>
                <w:i w:val="0"/>
                <w:sz w:val="16"/>
              </w:rPr>
              <w:t>$673,500</w:t>
            </w:r>
          </w:p>
        </w:tc>
        <w:tc>
          <w:tcPr>
            <w:tcW w:type="dxa" w:w="1800"/>
          </w:tcPr>
          <w:p>
            <w:r/>
            <w:r>
              <w:rPr>
                <w:b/>
                <w:i w:val="0"/>
                <w:sz w:val="16"/>
              </w:rPr>
              <w:t>$673,500</w:t>
            </w:r>
          </w:p>
        </w:tc>
        <w:tc>
          <w:tcPr>
            <w:tcW w:type="dxa" w:w="2448"/>
          </w:tcPr>
          <w:p>
            <w:r/>
            <w:r>
              <w:rPr>
                <w:b w:val="0"/>
                <w:i w:val="0"/>
                <w:sz w:val="16"/>
              </w:rPr>
              <w:t>Business-class differential also to be removed (D-5)</w:t>
            </w:r>
          </w:p>
        </w:tc>
      </w:tr>
      <w:tr>
        <w:tc>
          <w:tcPr>
            <w:tcW w:type="dxa" w:w="2448"/>
          </w:tcPr>
          <w:p>
            <w:r/>
            <w:r>
              <w:rPr>
                <w:b/>
                <w:i w:val="0"/>
                <w:sz w:val="16"/>
              </w:rPr>
              <w:t>Total</w:t>
            </w:r>
          </w:p>
        </w:tc>
        <w:tc>
          <w:tcPr>
            <w:tcW w:type="dxa" w:w="1728"/>
          </w:tcPr>
          <w:p>
            <w:r/>
            <w:r>
              <w:rPr>
                <w:b/>
                <w:i w:val="0"/>
                <w:sz w:val="16"/>
              </w:rPr>
              <w:t>$2,397,450 stated / $2,513,500 actual</w:t>
            </w:r>
          </w:p>
        </w:tc>
        <w:tc>
          <w:tcPr>
            <w:tcW w:type="dxa" w:w="1656"/>
          </w:tcPr>
          <w:p>
            <w:r/>
            <w:r>
              <w:rPr>
                <w:b/>
                <w:i w:val="0"/>
                <w:sz w:val="16"/>
              </w:rPr>
              <w:t>$2,344,102</w:t>
            </w:r>
          </w:p>
        </w:tc>
        <w:tc>
          <w:tcPr>
            <w:tcW w:type="dxa" w:w="1800"/>
          </w:tcPr>
          <w:p>
            <w:r/>
            <w:r>
              <w:rPr>
                <w:b/>
                <w:i w:val="0"/>
                <w:sz w:val="16"/>
              </w:rPr>
              <w:t>$2,328,400</w:t>
            </w:r>
          </w:p>
        </w:tc>
        <w:tc>
          <w:tcPr>
            <w:tcW w:type="dxa" w:w="2448"/>
          </w:tcPr>
          <w:p>
            <w:r/>
          </w:p>
        </w:tc>
      </w:tr>
      <w:tr>
        <w:tc>
          <w:tcPr>
            <w:tcW w:type="dxa" w:w="2448"/>
          </w:tcPr>
          <w:p>
            <w:r/>
            <w:r>
              <w:rPr>
                <w:b w:val="0"/>
                <w:i w:val="0"/>
                <w:sz w:val="16"/>
              </w:rPr>
              <w:t>Of which contingent on separate pre-approval</w:t>
            </w:r>
          </w:p>
        </w:tc>
        <w:tc>
          <w:tcPr>
            <w:tcW w:type="dxa" w:w="1728"/>
          </w:tcPr>
          <w:p>
            <w:r/>
            <w:r>
              <w:rPr>
                <w:b w:val="0"/>
                <w:i w:val="0"/>
                <w:sz w:val="16"/>
              </w:rPr>
              <w:t>–</w:t>
            </w:r>
          </w:p>
        </w:tc>
        <w:tc>
          <w:tcPr>
            <w:tcW w:type="dxa" w:w="1656"/>
          </w:tcPr>
          <w:p>
            <w:r/>
            <w:r>
              <w:rPr>
                <w:b w:val="0"/>
                <w:i w:val="0"/>
                <w:sz w:val="16"/>
              </w:rPr>
              <w:t>$555,000</w:t>
            </w:r>
          </w:p>
        </w:tc>
        <w:tc>
          <w:tcPr>
            <w:tcW w:type="dxa" w:w="1800"/>
          </w:tcPr>
          <w:p>
            <w:r/>
            <w:r>
              <w:rPr>
                <w:b w:val="0"/>
                <w:i w:val="0"/>
                <w:sz w:val="16"/>
              </w:rPr>
              <w:t>$555,000</w:t>
            </w:r>
          </w:p>
        </w:tc>
        <w:tc>
          <w:tcPr>
            <w:tcW w:type="dxa" w:w="2448"/>
          </w:tcPr>
          <w:p>
            <w:r/>
            <w:r>
              <w:rPr>
                <w:b w:val="0"/>
                <w:i w:val="0"/>
                <w:sz w:val="16"/>
              </w:rPr>
              <w:t>Clearpoint $285k; experts $175k; Silvermark $95k</w:t>
            </w:r>
          </w:p>
        </w:tc>
      </w:tr>
      <w:tr>
        <w:tc>
          <w:tcPr>
            <w:tcW w:type="dxa" w:w="2448"/>
          </w:tcPr>
          <w:p>
            <w:r/>
            <w:r>
              <w:rPr>
                <w:b w:val="0"/>
                <w:i w:val="0"/>
                <w:sz w:val="16"/>
              </w:rPr>
              <w:t>Further at-risk items not removed above</w:t>
            </w:r>
          </w:p>
        </w:tc>
        <w:tc>
          <w:tcPr>
            <w:tcW w:type="dxa" w:w="1728"/>
          </w:tcPr>
          <w:p>
            <w:r/>
            <w:r>
              <w:rPr>
                <w:b w:val="0"/>
                <w:i w:val="0"/>
                <w:sz w:val="16"/>
              </w:rPr>
              <w:t>–</w:t>
            </w:r>
          </w:p>
        </w:tc>
        <w:tc>
          <w:tcPr>
            <w:tcW w:type="dxa" w:w="1656"/>
          </w:tcPr>
          <w:p>
            <w:r/>
            <w:r>
              <w:rPr>
                <w:b w:val="0"/>
                <w:i w:val="0"/>
                <w:sz w:val="16"/>
              </w:rPr>
              <w:t>$61,750</w:t>
            </w:r>
          </w:p>
        </w:tc>
        <w:tc>
          <w:tcPr>
            <w:tcW w:type="dxa" w:w="1800"/>
          </w:tcPr>
          <w:p>
            <w:r/>
            <w:r>
              <w:rPr>
                <w:b w:val="0"/>
                <w:i w:val="0"/>
                <w:sz w:val="16"/>
              </w:rPr>
              <w:t>$61,750</w:t>
            </w:r>
          </w:p>
        </w:tc>
        <w:tc>
          <w:tcPr>
            <w:tcW w:type="dxa" w:w="2448"/>
          </w:tcPr>
          <w:p>
            <w:r/>
            <w:r>
              <w:rPr>
                <w:b w:val="0"/>
                <w:i w:val="0"/>
                <w:sz w:val="16"/>
              </w:rPr>
              <w:t>Yoon/Novak trial attendance (B-3); plus Whitaker $43.5k–$49.5k unbudgeted (B-2)</w:t>
            </w:r>
          </w:p>
        </w:tc>
      </w:tr>
    </w:tbl>
    <w:p>
      <w:pPr>
        <w:spacing w:after="40"/>
      </w:pPr>
    </w:p>
    <w:p>
      <w:pPr>
        <w:spacing w:after="80"/>
      </w:pPr>
      <w:r>
        <w:rPr>
          <w:b/>
          <w:i w:val="0"/>
        </w:rPr>
        <w:t>Per-timekeeper rate compliance (budget-period hours):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368"/>
            <w:shd w:val="clear" w:color="auto" w:fill="1F3A5F"/>
          </w:tcPr>
          <w:p>
            <w:r/>
            <w:r>
              <w:rPr>
                <w:b/>
                <w:color w:val="FFFFFF"/>
                <w:sz w:val="16"/>
              </w:rPr>
              <w:t>Timekeeper</w:t>
            </w:r>
          </w:p>
        </w:tc>
        <w:tc>
          <w:tcPr>
            <w:tcW w:type="dxa" w:w="1584"/>
            <w:shd w:val="clear" w:color="auto" w:fill="1F3A5F"/>
          </w:tcPr>
          <w:p>
            <w:r/>
            <w:r>
              <w:rPr>
                <w:b/>
                <w:color w:val="FFFFFF"/>
                <w:sz w:val="16"/>
              </w:rPr>
              <w:t>Category / OCG cap</w:t>
            </w:r>
          </w:p>
        </w:tc>
        <w:tc>
          <w:tcPr>
            <w:tcW w:type="dxa" w:w="1512"/>
            <w:shd w:val="clear" w:color="auto" w:fill="1F3A5F"/>
          </w:tcPr>
          <w:p>
            <w:r/>
            <w:r>
              <w:rPr>
                <w:b/>
                <w:color w:val="FFFFFF"/>
                <w:sz w:val="16"/>
              </w:rPr>
              <w:t>2024 approved rate</w:t>
            </w:r>
          </w:p>
        </w:tc>
        <w:tc>
          <w:tcPr>
            <w:tcW w:type="dxa" w:w="936"/>
            <w:shd w:val="clear" w:color="auto" w:fill="1F3A5F"/>
          </w:tcPr>
          <w:p>
            <w:r/>
            <w:r>
              <w:rPr>
                <w:b/>
                <w:color w:val="FFFFFF"/>
                <w:sz w:val="16"/>
              </w:rPr>
              <w:t>Proposed 2025</w:t>
            </w:r>
          </w:p>
        </w:tc>
        <w:tc>
          <w:tcPr>
            <w:tcW w:type="dxa" w:w="1224"/>
            <w:shd w:val="clear" w:color="auto" w:fill="1F3A5F"/>
          </w:tcPr>
          <w:p>
            <w:r/>
            <w:r>
              <w:rPr>
                <w:b/>
                <w:color w:val="FFFFFF"/>
                <w:sz w:val="16"/>
              </w:rPr>
              <w:t>Max. permitted (3% &amp; cap)</w:t>
            </w:r>
          </w:p>
        </w:tc>
        <w:tc>
          <w:tcPr>
            <w:tcW w:type="dxa" w:w="936"/>
            <w:shd w:val="clear" w:color="auto" w:fill="1F3A5F"/>
          </w:tcPr>
          <w:p>
            <w:r/>
            <w:r>
              <w:rPr>
                <w:b/>
                <w:color w:val="FFFFFF"/>
                <w:sz w:val="16"/>
              </w:rPr>
              <w:t>Proposed increase</w:t>
            </w:r>
          </w:p>
        </w:tc>
        <w:tc>
          <w:tcPr>
            <w:tcW w:type="dxa" w:w="720"/>
            <w:shd w:val="clear" w:color="auto" w:fill="1F3A5F"/>
          </w:tcPr>
          <w:p>
            <w:r/>
            <w:r>
              <w:rPr>
                <w:b/>
                <w:color w:val="FFFFFF"/>
                <w:sz w:val="16"/>
              </w:rPr>
              <w:t>Hours</w:t>
            </w:r>
          </w:p>
        </w:tc>
        <w:tc>
          <w:tcPr>
            <w:tcW w:type="dxa" w:w="1080"/>
            <w:shd w:val="clear" w:color="auto" w:fill="1F3A5F"/>
          </w:tcPr>
          <w:p>
            <w:r/>
            <w:r>
              <w:rPr>
                <w:b/>
                <w:color w:val="FFFFFF"/>
                <w:sz w:val="16"/>
              </w:rPr>
              <w:t>Overcharge vs. max.</w:t>
            </w:r>
          </w:p>
        </w:tc>
      </w:tr>
      <w:tr>
        <w:tc>
          <w:tcPr>
            <w:tcW w:type="dxa" w:w="1368"/>
          </w:tcPr>
          <w:p>
            <w:r/>
            <w:r>
              <w:rPr>
                <w:b w:val="0"/>
                <w:i w:val="0"/>
                <w:sz w:val="16"/>
              </w:rPr>
              <w:t>Nathaniel Croft</w:t>
            </w:r>
          </w:p>
        </w:tc>
        <w:tc>
          <w:tcPr>
            <w:tcW w:type="dxa" w:w="1584"/>
          </w:tcPr>
          <w:p>
            <w:r/>
            <w:r>
              <w:rPr>
                <w:b w:val="0"/>
                <w:i w:val="0"/>
                <w:sz w:val="16"/>
              </w:rPr>
              <w:t>Equity Partner / $825</w:t>
            </w:r>
          </w:p>
        </w:tc>
        <w:tc>
          <w:tcPr>
            <w:tcW w:type="dxa" w:w="1512"/>
          </w:tcPr>
          <w:p>
            <w:r/>
            <w:r>
              <w:rPr>
                <w:b w:val="0"/>
                <w:i w:val="0"/>
                <w:sz w:val="16"/>
              </w:rPr>
              <w:t>$825</w:t>
            </w:r>
          </w:p>
        </w:tc>
        <w:tc>
          <w:tcPr>
            <w:tcW w:type="dxa" w:w="936"/>
          </w:tcPr>
          <w:p>
            <w:r/>
            <w:r>
              <w:rPr>
                <w:b w:val="0"/>
                <w:i w:val="0"/>
                <w:sz w:val="16"/>
              </w:rPr>
              <w:t>$850</w:t>
            </w:r>
          </w:p>
        </w:tc>
        <w:tc>
          <w:tcPr>
            <w:tcW w:type="dxa" w:w="1224"/>
          </w:tcPr>
          <w:p>
            <w:r/>
            <w:r>
              <w:rPr>
                <w:b w:val="0"/>
                <w:i w:val="0"/>
                <w:sz w:val="16"/>
              </w:rPr>
              <w:t>$825</w:t>
            </w:r>
          </w:p>
        </w:tc>
        <w:tc>
          <w:tcPr>
            <w:tcW w:type="dxa" w:w="936"/>
          </w:tcPr>
          <w:p>
            <w:r/>
            <w:r>
              <w:rPr>
                <w:b w:val="0"/>
                <w:i w:val="0"/>
                <w:sz w:val="16"/>
              </w:rPr>
              <w:t>3.03%</w:t>
            </w:r>
          </w:p>
        </w:tc>
        <w:tc>
          <w:tcPr>
            <w:tcW w:type="dxa" w:w="720"/>
          </w:tcPr>
          <w:p>
            <w:r/>
            <w:r>
              <w:rPr>
                <w:b w:val="0"/>
                <w:i w:val="0"/>
                <w:sz w:val="16"/>
              </w:rPr>
              <w:t>620</w:t>
            </w:r>
          </w:p>
        </w:tc>
        <w:tc>
          <w:tcPr>
            <w:tcW w:type="dxa" w:w="1080"/>
          </w:tcPr>
          <w:p>
            <w:r/>
            <w:r>
              <w:rPr>
                <w:b w:val="0"/>
                <w:i w:val="0"/>
                <w:sz w:val="16"/>
              </w:rPr>
              <w:t>$15,500</w:t>
            </w:r>
          </w:p>
        </w:tc>
      </w:tr>
      <w:tr>
        <w:tc>
          <w:tcPr>
            <w:tcW w:type="dxa" w:w="1368"/>
          </w:tcPr>
          <w:p>
            <w:r/>
            <w:r>
              <w:rPr>
                <w:b w:val="0"/>
                <w:i w:val="0"/>
                <w:sz w:val="16"/>
              </w:rPr>
              <w:t>Samara Okeke</w:t>
            </w:r>
          </w:p>
        </w:tc>
        <w:tc>
          <w:tcPr>
            <w:tcW w:type="dxa" w:w="1584"/>
          </w:tcPr>
          <w:p>
            <w:r/>
            <w:r>
              <w:rPr>
                <w:b w:val="0"/>
                <w:i w:val="0"/>
                <w:sz w:val="16"/>
              </w:rPr>
              <w:t>Senior Assoc. (8th yr) / $550</w:t>
            </w:r>
          </w:p>
        </w:tc>
        <w:tc>
          <w:tcPr>
            <w:tcW w:type="dxa" w:w="1512"/>
          </w:tcPr>
          <w:p>
            <w:r/>
            <w:r>
              <w:rPr>
                <w:b w:val="0"/>
                <w:i w:val="0"/>
                <w:sz w:val="16"/>
              </w:rPr>
              <w:t>$550</w:t>
            </w:r>
          </w:p>
        </w:tc>
        <w:tc>
          <w:tcPr>
            <w:tcW w:type="dxa" w:w="936"/>
          </w:tcPr>
          <w:p>
            <w:r/>
            <w:r>
              <w:rPr>
                <w:b w:val="0"/>
                <w:i w:val="0"/>
                <w:sz w:val="16"/>
              </w:rPr>
              <w:t>$575</w:t>
            </w:r>
          </w:p>
        </w:tc>
        <w:tc>
          <w:tcPr>
            <w:tcW w:type="dxa" w:w="1224"/>
          </w:tcPr>
          <w:p>
            <w:r/>
            <w:r>
              <w:rPr>
                <w:b w:val="0"/>
                <w:i w:val="0"/>
                <w:sz w:val="16"/>
              </w:rPr>
              <w:t>$550</w:t>
            </w:r>
          </w:p>
        </w:tc>
        <w:tc>
          <w:tcPr>
            <w:tcW w:type="dxa" w:w="936"/>
          </w:tcPr>
          <w:p>
            <w:r/>
            <w:r>
              <w:rPr>
                <w:b w:val="0"/>
                <w:i w:val="0"/>
                <w:sz w:val="16"/>
              </w:rPr>
              <w:t>4.55%</w:t>
            </w:r>
          </w:p>
        </w:tc>
        <w:tc>
          <w:tcPr>
            <w:tcW w:type="dxa" w:w="720"/>
          </w:tcPr>
          <w:p>
            <w:r/>
            <w:r>
              <w:rPr>
                <w:b w:val="0"/>
                <w:i w:val="0"/>
                <w:sz w:val="16"/>
              </w:rPr>
              <w:t>980</w:t>
            </w:r>
          </w:p>
        </w:tc>
        <w:tc>
          <w:tcPr>
            <w:tcW w:type="dxa" w:w="1080"/>
          </w:tcPr>
          <w:p>
            <w:r/>
            <w:r>
              <w:rPr>
                <w:b w:val="0"/>
                <w:i w:val="0"/>
                <w:sz w:val="16"/>
              </w:rPr>
              <w:t>$24,500</w:t>
            </w:r>
          </w:p>
        </w:tc>
      </w:tr>
      <w:tr>
        <w:tc>
          <w:tcPr>
            <w:tcW w:type="dxa" w:w="1368"/>
          </w:tcPr>
          <w:p>
            <w:r/>
            <w:r>
              <w:rPr>
                <w:b w:val="0"/>
                <w:i w:val="0"/>
                <w:sz w:val="16"/>
              </w:rPr>
              <w:t>Derrick Yoon</w:t>
            </w:r>
          </w:p>
        </w:tc>
        <w:tc>
          <w:tcPr>
            <w:tcW w:type="dxa" w:w="1584"/>
          </w:tcPr>
          <w:p>
            <w:r/>
            <w:r>
              <w:rPr>
                <w:b w:val="0"/>
                <w:i w:val="0"/>
                <w:sz w:val="16"/>
              </w:rPr>
              <w:t>Mid-Level (4th yr) / $425</w:t>
            </w:r>
          </w:p>
        </w:tc>
        <w:tc>
          <w:tcPr>
            <w:tcW w:type="dxa" w:w="1512"/>
          </w:tcPr>
          <w:p>
            <w:r/>
            <w:r>
              <w:rPr>
                <w:b w:val="0"/>
                <w:i w:val="0"/>
                <w:sz w:val="16"/>
              </w:rPr>
              <w:t>$410 (App. A says $415)</w:t>
            </w:r>
          </w:p>
        </w:tc>
        <w:tc>
          <w:tcPr>
            <w:tcW w:type="dxa" w:w="936"/>
          </w:tcPr>
          <w:p>
            <w:r/>
            <w:r>
              <w:rPr>
                <w:b w:val="0"/>
                <w:i w:val="0"/>
                <w:sz w:val="16"/>
              </w:rPr>
              <w:t>$425</w:t>
            </w:r>
          </w:p>
        </w:tc>
        <w:tc>
          <w:tcPr>
            <w:tcW w:type="dxa" w:w="1224"/>
          </w:tcPr>
          <w:p>
            <w:r/>
            <w:r>
              <w:rPr>
                <w:b w:val="0"/>
                <w:i w:val="0"/>
                <w:sz w:val="16"/>
              </w:rPr>
              <w:t>$422.30</w:t>
            </w:r>
          </w:p>
        </w:tc>
        <w:tc>
          <w:tcPr>
            <w:tcW w:type="dxa" w:w="936"/>
          </w:tcPr>
          <w:p>
            <w:r/>
            <w:r>
              <w:rPr>
                <w:b w:val="0"/>
                <w:i w:val="0"/>
                <w:sz w:val="16"/>
              </w:rPr>
              <w:t>3.66%</w:t>
            </w:r>
          </w:p>
        </w:tc>
        <w:tc>
          <w:tcPr>
            <w:tcW w:type="dxa" w:w="720"/>
          </w:tcPr>
          <w:p>
            <w:r/>
            <w:r>
              <w:rPr>
                <w:b w:val="0"/>
                <w:i w:val="0"/>
                <w:sz w:val="16"/>
              </w:rPr>
              <w:t>860</w:t>
            </w:r>
          </w:p>
        </w:tc>
        <w:tc>
          <w:tcPr>
            <w:tcW w:type="dxa" w:w="1080"/>
          </w:tcPr>
          <w:p>
            <w:r/>
            <w:r>
              <w:rPr>
                <w:b w:val="0"/>
                <w:i w:val="0"/>
                <w:sz w:val="16"/>
              </w:rPr>
              <w:t>$2,322</w:t>
            </w:r>
          </w:p>
        </w:tc>
      </w:tr>
      <w:tr>
        <w:tc>
          <w:tcPr>
            <w:tcW w:type="dxa" w:w="1368"/>
          </w:tcPr>
          <w:p>
            <w:r/>
            <w:r>
              <w:rPr>
                <w:b w:val="0"/>
                <w:i w:val="0"/>
                <w:sz w:val="16"/>
              </w:rPr>
              <w:t>Tara Novak</w:t>
            </w:r>
          </w:p>
        </w:tc>
        <w:tc>
          <w:tcPr>
            <w:tcW w:type="dxa" w:w="1584"/>
          </w:tcPr>
          <w:p>
            <w:r/>
            <w:r>
              <w:rPr>
                <w:b w:val="0"/>
                <w:i w:val="0"/>
                <w:sz w:val="16"/>
              </w:rPr>
              <w:t>Junior (2nd yr) / $375</w:t>
            </w:r>
          </w:p>
        </w:tc>
        <w:tc>
          <w:tcPr>
            <w:tcW w:type="dxa" w:w="1512"/>
          </w:tcPr>
          <w:p>
            <w:r/>
            <w:r>
              <w:rPr>
                <w:b w:val="0"/>
                <w:i w:val="0"/>
                <w:sz w:val="16"/>
              </w:rPr>
              <w:t>$360 (notice/App. A say $365)</w:t>
            </w:r>
          </w:p>
        </w:tc>
        <w:tc>
          <w:tcPr>
            <w:tcW w:type="dxa" w:w="936"/>
          </w:tcPr>
          <w:p>
            <w:r/>
            <w:r>
              <w:rPr>
                <w:b w:val="0"/>
                <w:i w:val="0"/>
                <w:sz w:val="16"/>
              </w:rPr>
              <w:t>$375</w:t>
            </w:r>
          </w:p>
        </w:tc>
        <w:tc>
          <w:tcPr>
            <w:tcW w:type="dxa" w:w="1224"/>
          </w:tcPr>
          <w:p>
            <w:r/>
            <w:r>
              <w:rPr>
                <w:b w:val="0"/>
                <w:i w:val="0"/>
                <w:sz w:val="16"/>
              </w:rPr>
              <w:t>$370.80</w:t>
            </w:r>
          </w:p>
        </w:tc>
        <w:tc>
          <w:tcPr>
            <w:tcW w:type="dxa" w:w="936"/>
          </w:tcPr>
          <w:p>
            <w:r/>
            <w:r>
              <w:rPr>
                <w:b w:val="0"/>
                <w:i w:val="0"/>
                <w:sz w:val="16"/>
              </w:rPr>
              <w:t>4.17%</w:t>
            </w:r>
          </w:p>
        </w:tc>
        <w:tc>
          <w:tcPr>
            <w:tcW w:type="dxa" w:w="720"/>
          </w:tcPr>
          <w:p>
            <w:r/>
            <w:r>
              <w:rPr>
                <w:b w:val="0"/>
                <w:i w:val="0"/>
                <w:sz w:val="16"/>
              </w:rPr>
              <w:t>540</w:t>
            </w:r>
          </w:p>
        </w:tc>
        <w:tc>
          <w:tcPr>
            <w:tcW w:type="dxa" w:w="1080"/>
          </w:tcPr>
          <w:p>
            <w:r/>
            <w:r>
              <w:rPr>
                <w:b w:val="0"/>
                <w:i w:val="0"/>
                <w:sz w:val="16"/>
              </w:rPr>
              <w:t>$2,268</w:t>
            </w:r>
          </w:p>
        </w:tc>
      </w:tr>
      <w:tr>
        <w:tc>
          <w:tcPr>
            <w:tcW w:type="dxa" w:w="1368"/>
          </w:tcPr>
          <w:p>
            <w:r/>
            <w:r>
              <w:rPr>
                <w:b w:val="0"/>
                <w:i w:val="0"/>
                <w:sz w:val="16"/>
              </w:rPr>
              <w:t>Margaret Hu/Hsu</w:t>
            </w:r>
          </w:p>
        </w:tc>
        <w:tc>
          <w:tcPr>
            <w:tcW w:type="dxa" w:w="1584"/>
          </w:tcPr>
          <w:p>
            <w:r/>
            <w:r>
              <w:rPr>
                <w:b w:val="0"/>
                <w:i w:val="0"/>
                <w:sz w:val="16"/>
              </w:rPr>
              <w:t>Paralegal / $200</w:t>
            </w:r>
          </w:p>
        </w:tc>
        <w:tc>
          <w:tcPr>
            <w:tcW w:type="dxa" w:w="1512"/>
          </w:tcPr>
          <w:p>
            <w:r/>
            <w:r>
              <w:rPr>
                <w:b w:val="0"/>
                <w:i w:val="0"/>
                <w:sz w:val="16"/>
              </w:rPr>
              <w:t>None (new timekeeper; App. A says $215)</w:t>
            </w:r>
          </w:p>
        </w:tc>
        <w:tc>
          <w:tcPr>
            <w:tcW w:type="dxa" w:w="936"/>
          </w:tcPr>
          <w:p>
            <w:r/>
            <w:r>
              <w:rPr>
                <w:b w:val="0"/>
                <w:i w:val="0"/>
                <w:sz w:val="16"/>
              </w:rPr>
              <w:t>$225</w:t>
            </w:r>
          </w:p>
        </w:tc>
        <w:tc>
          <w:tcPr>
            <w:tcW w:type="dxa" w:w="1224"/>
          </w:tcPr>
          <w:p>
            <w:r/>
            <w:r>
              <w:rPr>
                <w:b w:val="0"/>
                <w:i w:val="0"/>
                <w:sz w:val="16"/>
              </w:rPr>
              <w:t>$200 (if approved)</w:t>
            </w:r>
          </w:p>
        </w:tc>
        <w:tc>
          <w:tcPr>
            <w:tcW w:type="dxa" w:w="936"/>
          </w:tcPr>
          <w:p>
            <w:r/>
            <w:r>
              <w:rPr>
                <w:b w:val="0"/>
                <w:i w:val="0"/>
                <w:sz w:val="16"/>
              </w:rPr>
              <w:t>n/a</w:t>
            </w:r>
          </w:p>
        </w:tc>
        <w:tc>
          <w:tcPr>
            <w:tcW w:type="dxa" w:w="720"/>
          </w:tcPr>
          <w:p>
            <w:r/>
            <w:r>
              <w:rPr>
                <w:b w:val="0"/>
                <w:i w:val="0"/>
                <w:sz w:val="16"/>
              </w:rPr>
              <w:t>740</w:t>
            </w:r>
          </w:p>
        </w:tc>
        <w:tc>
          <w:tcPr>
            <w:tcW w:type="dxa" w:w="1080"/>
          </w:tcPr>
          <w:p>
            <w:r/>
            <w:r>
              <w:rPr>
                <w:b w:val="0"/>
                <w:i w:val="0"/>
                <w:sz w:val="16"/>
              </w:rPr>
              <w:t>$18,500</w:t>
            </w:r>
          </w:p>
        </w:tc>
      </w:tr>
      <w:tr>
        <w:tc>
          <w:tcPr>
            <w:tcW w:type="dxa" w:w="1368"/>
          </w:tcPr>
          <w:p>
            <w:r/>
            <w:r>
              <w:rPr>
                <w:b/>
                <w:i w:val="0"/>
                <w:sz w:val="16"/>
              </w:rPr>
              <w:t>Total</w:t>
            </w:r>
          </w:p>
        </w:tc>
        <w:tc>
          <w:tcPr>
            <w:tcW w:type="dxa" w:w="1584"/>
          </w:tcPr>
          <w:p>
            <w:r/>
          </w:p>
        </w:tc>
        <w:tc>
          <w:tcPr>
            <w:tcW w:type="dxa" w:w="1512"/>
          </w:tcPr>
          <w:p>
            <w:r/>
          </w:p>
        </w:tc>
        <w:tc>
          <w:tcPr>
            <w:tcW w:type="dxa" w:w="936"/>
          </w:tcPr>
          <w:p>
            <w:r/>
          </w:p>
        </w:tc>
        <w:tc>
          <w:tcPr>
            <w:tcW w:type="dxa" w:w="1224"/>
          </w:tcPr>
          <w:p>
            <w:r/>
          </w:p>
        </w:tc>
        <w:tc>
          <w:tcPr>
            <w:tcW w:type="dxa" w:w="936"/>
          </w:tcPr>
          <w:p>
            <w:r/>
          </w:p>
        </w:tc>
        <w:tc>
          <w:tcPr>
            <w:tcW w:type="dxa" w:w="720"/>
          </w:tcPr>
          <w:p>
            <w:r/>
            <w:r>
              <w:rPr>
                <w:b/>
                <w:i w:val="0"/>
                <w:sz w:val="16"/>
              </w:rPr>
              <w:t>3,740</w:t>
            </w:r>
          </w:p>
        </w:tc>
        <w:tc>
          <w:tcPr>
            <w:tcW w:type="dxa" w:w="1080"/>
          </w:tcPr>
          <w:p>
            <w:r/>
            <w:r>
              <w:rPr>
                <w:b/>
                <w:i w:val="0"/>
                <w:sz w:val="16"/>
              </w:rPr>
              <w:t>$63,090</w:t>
            </w:r>
          </w:p>
        </w:tc>
      </w:tr>
    </w:tbl>
    <w:p>
      <w:pPr>
        <w:spacing w:after="40"/>
      </w:pPr>
    </w:p>
    <w:p>
      <w:pPr>
        <w:pStyle w:val="Heading1"/>
      </w:pPr>
      <w:r>
        <w:t>VI. Recommended Response to Whitfield Garrett</w:t>
      </w:r>
    </w:p>
    <w:p>
      <w:pPr>
        <w:spacing w:after="80"/>
      </w:pPr>
      <w:r>
        <w:rPr>
          <w:b w:val="0"/>
          <w:i w:val="0"/>
        </w:rPr>
        <w:t>We recommend that the GC return the budget for revision with a written response that:</w:t>
      </w:r>
    </w:p>
    <w:p>
      <w:pPr>
        <w:pStyle w:val="ListNumber"/>
        <w:spacing w:after="40"/>
      </w:pPr>
      <w:r>
        <w:rPr>
          <w:b w:val="0"/>
          <w:i w:val="0"/>
        </w:rPr>
        <w:t>States that the budget is not approved because it does not reconcile (OCG 5.2) and contains an unauthorized L700 reserve (OCG 5.4), and requests a revised budget within 10 business days.</w:t>
      </w:r>
    </w:p>
    <w:p>
      <w:pPr>
        <w:pStyle w:val="ListNumber"/>
        <w:spacing w:after="40"/>
      </w:pPr>
      <w:r>
        <w:rPr>
          <w:b w:val="0"/>
          <w:i w:val="0"/>
        </w:rPr>
        <w:t>Gives the GC’s decision on 2025 rates: either denial of the untimely increases (2024 approved rates continue) or approval limited to Croft $825, Okeke $550, Yoon $422.30 and Novak $370.80. Directs that January–April 2025 invoices be corrected and credited to the approved rates.</w:t>
      </w:r>
    </w:p>
    <w:p>
      <w:pPr>
        <w:pStyle w:val="ListNumber"/>
        <w:spacing w:after="40"/>
      </w:pPr>
      <w:r>
        <w:rPr>
          <w:b w:val="0"/>
          <w:i w:val="0"/>
        </w:rPr>
        <w:t>Advises that Margaret Hu/Hsu is not an approved timekeeper. Her time from April 28, 2025 until written approval will not be paid. Any approval requires a complete 4.3 notice and a rate of no more than $200.</w:t>
      </w:r>
    </w:p>
    <w:p>
      <w:pPr>
        <w:pStyle w:val="ListNumber"/>
        <w:spacing w:after="40"/>
      </w:pPr>
      <w:r>
        <w:rPr>
          <w:b w:val="0"/>
          <w:i w:val="0"/>
        </w:rPr>
        <w:t>Requires a single reconciled fee build (timekeeper by phase, times approved rates) with an L100 line, Appendix A codes only, corrected Appendix A rate history, and Whitaker either removed or properly noticed and included.</w:t>
      </w:r>
    </w:p>
    <w:p>
      <w:pPr>
        <w:pStyle w:val="ListNumber"/>
        <w:spacing w:after="40"/>
      </w:pPr>
      <w:r>
        <w:rPr>
          <w:b w:val="0"/>
          <w:i w:val="0"/>
        </w:rPr>
        <w:t>Requires L600 restaffed to two attending attorneys and deposition staffing at one attorney, absent specific advance approvals. Requires cite-checking and administrative tasks to be removed from attorney and paralegal billable scope.</w:t>
      </w:r>
    </w:p>
    <w:p>
      <w:pPr>
        <w:pStyle w:val="ListNumber"/>
        <w:spacing w:after="40"/>
      </w:pPr>
      <w:r>
        <w:rPr>
          <w:b w:val="0"/>
          <w:i w:val="0"/>
        </w:rPr>
        <w:t>Removes internal copying ($15,000) and business-class fares. Requires an itemized travel schedule within OCG caps.</w:t>
      </w:r>
    </w:p>
    <w:p>
      <w:pPr>
        <w:pStyle w:val="ListNumber"/>
        <w:spacing w:after="40"/>
      </w:pPr>
      <w:r>
        <w:rPr>
          <w:b w:val="0"/>
          <w:i w:val="0"/>
        </w:rPr>
        <w:t>Confirms that budget approval does not authorize the Clearpoint ($285,000), expert ($90,000 and $85,000) or Silvermark ($95,000) spend. Separate 7.2, 7.3 and 7.7 submissions are required, and Clearpoint requires competitive bids or a GC-approved sole-source justification.</w:t>
      </w:r>
    </w:p>
    <w:p>
      <w:pPr>
        <w:pStyle w:val="ListNumber"/>
        <w:spacing w:after="40"/>
      </w:pPr>
      <w:r>
        <w:rPr>
          <w:b w:val="0"/>
          <w:i w:val="0"/>
        </w:rPr>
        <w:t>Requires January–April 2025 actuals and budget-to-actual comparisons by phase, cumulative staffing and diversity metrics, and a corrected 2024 phase report.</w:t>
      </w:r>
    </w:p>
    <w:p>
      <w:pPr>
        <w:pStyle w:val="ListNumber"/>
        <w:spacing w:after="40"/>
      </w:pPr>
      <w:r>
        <w:rPr>
          <w:b w:val="0"/>
          <w:i w:val="0"/>
        </w:rPr>
        <w:t>Requires correction of Section 8 (payment terms, LEDES and e-billing, Lexera’s role, removal of the “to the extent practicable” qualifier) and an unqualified conflicts certification covering Suncrest Foods Corp.</w:t>
      </w:r>
    </w:p>
    <w:p>
      <w:pPr>
        <w:pStyle w:val="ListNumber"/>
        <w:spacing w:after="40"/>
      </w:pPr>
      <w:r>
        <w:rPr>
          <w:b w:val="0"/>
          <w:i w:val="0"/>
        </w:rPr>
        <w:t>Requests a corrective action plan addressing the 2024 Lexera reductions, and instructs Lexera to apply the caps, the 4.3 non-payment rule and the 6.5 attendance limits to all invoices.</w:t>
      </w:r>
    </w:p>
    <w:p>
      <w:pPr>
        <w:spacing w:after="80"/>
      </w:pPr>
    </w:p>
    <w:p>
      <w:pPr>
        <w:spacing w:after="80"/>
      </w:pPr>
      <w:r>
        <w:rPr>
          <w:b w:val="0"/>
          <w:i/>
        </w:rPr>
        <w:t>Open GC decision points: (1) whether to deny the 2025 increases as untimely or allow them up to 3% and the caps; (2) whether to approve a paralegal at all and from what date; (3) whether to authorize a second partner; (4) whether to approve a sole-source justification for Clearpoint or require bids; and (5) whether a mock trial is warranted at the proposed scale.</w:t>
      </w:r>
    </w:p>
    <w:p>
      <w:pPr>
        <w:spacing w:after="80"/>
      </w:pPr>
      <w:r>
        <w:rPr>
          <w:b w:val="0"/>
          <w:i/>
          <w:sz w:val="18"/>
        </w:rPr>
        <w:t>This memorandum is based solely on the five documents listed above. We have not reviewed the engagement letter, any rate schedule amendments, January–April 2025 invoices, or any GC approvals that may exist outside those materials. If any such approvals were granted in writing by the GC, the related findings should be revisited.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