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HAWTHORNE &amp; SABLE LLP</w:t>
      </w:r>
    </w:p>
    <w:p>
      <w:pPr>
        <w:jc w:val="center"/>
      </w:pPr>
      <w:r>
        <w:rPr>
          <w:b/>
          <w:i w:val="0"/>
          <w:sz w:val="18"/>
        </w:rPr>
        <w:t>PRIVILEGED &amp; CONFIDENTIAL | ATTORNEY-CLIENT COMMUNICATION | ATTORNEY WORK PRODUCT</w:t>
      </w:r>
    </w:p>
    <w:p>
      <w:pPr>
        <w:jc w:val="center"/>
      </w:pPr>
      <w:r>
        <w:rPr>
          <w:b/>
          <w:i w:val="0"/>
          <w:sz w:val="28"/>
        </w:rPr>
        <w:t>MEMORANDUM</w:t>
      </w:r>
    </w:p>
    <w:tbl>
      <w:tblPr>
        <w:tblW w:type="auto" w:w="0"/>
        <w:tblLayout w:type="fixed"/>
        <w:tblLook w:firstColumn="1" w:firstRow="1" w:lastColumn="0" w:lastRow="0" w:noHBand="0" w:noVBand="1" w:val="04A0"/>
      </w:tblPr>
      <w:tblGrid>
        <w:gridCol w:w="4824"/>
        <w:gridCol w:w="4824"/>
      </w:tblGrid>
      <w:tr>
        <w:tc>
          <w:tcPr>
            <w:tcW w:type="dxa" w:w="1296"/>
          </w:tcPr>
          <w:p>
            <w:r/>
            <w:r>
              <w:rPr>
                <w:b/>
              </w:rPr>
              <w:t>TO:</w:t>
            </w:r>
          </w:p>
        </w:tc>
        <w:tc>
          <w:tcPr>
            <w:tcW w:type="dxa" w:w="8352"/>
          </w:tcPr>
          <w:p>
            <w:r/>
            <w:r>
              <w:t>Margaret Chen, Partner; for onward discussion with Whitmore Capital Partners LLC (Acquisitions Team; David Whitmore and Rebecca Tanaka, Investment Committee)</w:t>
            </w:r>
          </w:p>
        </w:tc>
      </w:tr>
      <w:tr>
        <w:tc>
          <w:tcPr>
            <w:tcW w:type="dxa" w:w="1296"/>
          </w:tcPr>
          <w:p>
            <w:r/>
            <w:r>
              <w:rPr>
                <w:b/>
              </w:rPr>
              <w:t>FROM:</w:t>
            </w:r>
          </w:p>
        </w:tc>
        <w:tc>
          <w:tcPr>
            <w:tcW w:type="dxa" w:w="8352"/>
          </w:tcPr>
          <w:p>
            <w:r/>
            <w:r>
              <w:t>Hawthorne &amp; Sable LLP real estate deal team</w:t>
            </w:r>
          </w:p>
        </w:tc>
      </w:tr>
      <w:tr>
        <w:tc>
          <w:tcPr>
            <w:tcW w:type="dxa" w:w="1296"/>
          </w:tcPr>
          <w:p>
            <w:r/>
            <w:r>
              <w:rPr>
                <w:b/>
              </w:rPr>
              <w:t>CC:</w:t>
            </w:r>
          </w:p>
        </w:tc>
        <w:tc>
          <w:tcPr>
            <w:tcW w:type="dxa" w:w="8352"/>
          </w:tcPr>
          <w:p>
            <w:r/>
            <w:r>
              <w:t>Kyle Prater, Senior Associate</w:t>
            </w:r>
          </w:p>
        </w:tc>
      </w:tr>
      <w:tr>
        <w:tc>
          <w:tcPr>
            <w:tcW w:type="dxa" w:w="1296"/>
          </w:tcPr>
          <w:p>
            <w:r/>
            <w:r>
              <w:rPr>
                <w:b/>
              </w:rPr>
              <w:t>DATE:</w:t>
            </w:r>
          </w:p>
        </w:tc>
        <w:tc>
          <w:tcPr>
            <w:tcW w:type="dxa" w:w="8352"/>
          </w:tcPr>
          <w:p>
            <w:r/>
            <w:r>
              <w:t>November 2024 (prepared on receipt of Seller's markup transmitted November 1, 2024)</w:t>
            </w:r>
          </w:p>
        </w:tc>
      </w:tr>
      <w:tr>
        <w:tc>
          <w:tcPr>
            <w:tcW w:type="dxa" w:w="1296"/>
          </w:tcPr>
          <w:p>
            <w:r/>
            <w:r>
              <w:rPr>
                <w:b/>
              </w:rPr>
              <w:t>RE:</w:t>
            </w:r>
          </w:p>
        </w:tc>
        <w:tc>
          <w:tcPr>
            <w:tcW w:type="dxa" w:w="8352"/>
          </w:tcPr>
          <w:p>
            <w:r/>
            <w:r>
              <w:t>The Ellington at Briarwood (4700 Briarwood Commons Drive, Charlotte, NC 28270): prioritized issues list on Seller's (Ridgeline Beatty LLP) markup of Buyer's form Purchase and Sale Agreement circulated October 21, 2024</w:t>
            </w:r>
          </w:p>
        </w:tc>
      </w:tr>
    </w:tbl>
    <w:p>
      <w:pPr>
        <w:spacing w:after="40"/>
        <w:pBdr>
          <w:bottom w:val="single" w:sz="8" w:space="1" w:color="1F2A44"/>
        </w:pBdr>
      </w:pPr>
    </w:p>
    <w:p>
      <w:pPr>
        <w:pStyle w:val="Heading1"/>
      </w:pPr>
      <w:r>
        <w:t>I. Bottom Line</w:t>
      </w:r>
    </w:p>
    <w:p>
      <w:pPr>
        <w:jc w:val="both"/>
      </w:pPr>
      <w:r>
        <w:rPr>
          <w:b w:val="0"/>
        </w:rPr>
        <w:t xml:space="preserve">The transmittal describes the markup as "balanced, market-standard" with "clean-up and stylistic edits" and some "refined" representations. It is not. Read against our October 21 form and the October 28, 2024 IC memorandum, the markup reverses nearly every core risk-allocation term the Investment Committee approved. It turns a refundable, financing-protected deposit into an uncapped, all-cash closing obligation. It also strips away most of Buyer's post-closing recourse and pre-closing protections. We recommend that Whitmore </w:t>
      </w:r>
      <w:r>
        <w:rPr>
          <w:b/>
        </w:rPr>
        <w:t>not sign</w:t>
      </w:r>
      <w:r>
        <w:rPr>
          <w:b w:val="0"/>
        </w:rPr>
        <w:t xml:space="preserve"> on these terms, and that we </w:t>
      </w:r>
      <w:r>
        <w:rPr>
          <w:b/>
        </w:rPr>
        <w:t>not</w:t>
      </w:r>
      <w:r>
        <w:rPr>
          <w:b w:val="0"/>
        </w:rPr>
        <w:t xml:space="preserve"> treat November 4, 2024 as a realistic Effective Date.</w:t>
      </w:r>
    </w:p>
    <w:p>
      <w:r>
        <w:rPr>
          <w:b/>
        </w:rPr>
        <w:t>The ten points that matter most:</w:t>
      </w:r>
    </w:p>
    <w:p>
      <w:pPr>
        <w:ind w:left="360"/>
        <w:jc w:val="both"/>
      </w:pPr>
      <w:r>
        <w:rPr>
          <w:b/>
        </w:rPr>
        <w:t>1. Financing contingency deleted (tracked).</w:t>
      </w:r>
      <w:r>
        <w:rPr>
          <w:b w:val="0"/>
        </w:rPr>
        <w:t xml:space="preserve"> The markup goes further than deleting it: Buyer must close "regardless of whether Buyer has obtained a loan commitment." The IC memo calls the contingency "non-negotiable" (§5.3). About 65% of the price ($37,180,000) is debt-funded, and Fund III has no authority to close all-cash.</w:t>
      </w:r>
    </w:p>
    <w:p>
      <w:pPr>
        <w:ind w:left="360"/>
        <w:jc w:val="both"/>
      </w:pPr>
      <w:r>
        <w:rPr>
          <w:b/>
        </w:rPr>
        <w:t>2. Earnest Money goes hard at the end of due diligence for any reason other than Seller default (tracked).</w:t>
      </w:r>
      <w:r>
        <w:rPr>
          <w:b w:val="0"/>
        </w:rPr>
        <w:t xml:space="preserve"> Failure of financing "shall not entitle Buyer to a refund." This is the exact change the IC memo says would "materially alter the risk profile" (§5.1).</w:t>
      </w:r>
    </w:p>
    <w:p>
      <w:pPr>
        <w:ind w:left="360"/>
        <w:jc w:val="both"/>
      </w:pPr>
      <w:r>
        <w:rPr>
          <w:b/>
        </w:rPr>
        <w:t>3. Buyer's exposure on default becomes uncapped (tracked).</w:t>
      </w:r>
      <w:r>
        <w:rPr>
          <w:b w:val="0"/>
        </w:rPr>
        <w:t xml:space="preserve"> The $1,500,000 deposit becomes a "minimum, and not a maximum" measure of damages. Seller adds specific performance and actual and consequential damages, and the consequential-damages waiver now runs only in Seller's favor. Combined with items 1 and 2, Fund III could be sued to compel an all-cash close of $57.2 million.</w:t>
      </w:r>
    </w:p>
    <w:p>
      <w:pPr>
        <w:ind w:left="360"/>
        <w:jc w:val="both"/>
      </w:pPr>
      <w:r>
        <w:rPr>
          <w:b/>
        </w:rPr>
        <w:t>4. Due Diligence Period cut from 30 to 21 days (tracked).</w:t>
      </w:r>
      <w:r>
        <w:rPr>
          <w:b w:val="0"/>
        </w:rPr>
        <w:t xml:space="preserve"> It would expire Monday, November 25, 2024 (Thanksgiving week), and the $750,000 Additional Deposit would be accelerated to that date.</w:t>
      </w:r>
    </w:p>
    <w:p>
      <w:pPr>
        <w:ind w:left="360"/>
        <w:jc w:val="both"/>
      </w:pPr>
      <w:r>
        <w:rPr>
          <w:b/>
        </w:rPr>
        <w:t>5. Seller's representations are close to illusory (tracked and untracked).</w:t>
      </w:r>
      <w:r>
        <w:rPr>
          <w:b w:val="0"/>
        </w:rPr>
        <w:t xml:space="preserve"> The knowledge standard becomes "actual knowledge . . . without any duty of investigation or inquiry" of a manager whom Seller's counsel describes as having "limited direct involvement." Survival drops from 12 months to 3 months. There is a new $500,000 cap (0.87% of price), a waiver of anything "that could have been discovered" in diligence, and several representations have been deleted without tracking.</w:t>
      </w:r>
    </w:p>
    <w:p>
      <w:pPr>
        <w:ind w:left="360"/>
        <w:jc w:val="both"/>
      </w:pPr>
      <w:r>
        <w:rPr>
          <w:b/>
        </w:rPr>
        <w:t>6. Seller indemnification article (Form Article XV) deleted entirely, without tracking.</w:t>
      </w:r>
      <w:r>
        <w:rPr>
          <w:b w:val="0"/>
        </w:rPr>
        <w:t xml:space="preserve"> This removes the pre-closing liability indemnity and the environmental remediation indemnity, which had no time limit.</w:t>
      </w:r>
    </w:p>
    <w:p>
      <w:pPr>
        <w:ind w:left="360"/>
        <w:jc w:val="both"/>
      </w:pPr>
      <w:r>
        <w:rPr>
          <w:b/>
        </w:rPr>
        <w:t>7. All pre-closing operating covenants deleted (Form §7.2; tracked).</w:t>
      </w:r>
      <w:r>
        <w:rPr>
          <w:b w:val="0"/>
        </w:rPr>
        <w:t xml:space="preserve"> This happens over a 60-to-90-day gap period. A new condition qualifier ("to the extent not deleted or modified hereby") makes the closing condition toothless.</w:t>
      </w:r>
    </w:p>
    <w:p>
      <w:pPr>
        <w:ind w:left="360"/>
        <w:jc w:val="both"/>
      </w:pPr>
      <w:r>
        <w:rPr>
          <w:b/>
        </w:rPr>
        <w:t>8. Assignment barred without Seller's consent "in its sole and absolute discretion" (tracked).</w:t>
      </w:r>
      <w:r>
        <w:rPr>
          <w:b w:val="0"/>
        </w:rPr>
        <w:t xml:space="preserve"> That blocks the planned assignment to a single-purpose entity that Palisade National Bank and Fund III's structuring require.</w:t>
      </w:r>
    </w:p>
    <w:p>
      <w:pPr>
        <w:ind w:left="360"/>
        <w:jc w:val="both"/>
      </w:pPr>
      <w:r>
        <w:rPr>
          <w:b/>
        </w:rPr>
        <w:t>9. Title: Seller gets a walk right (tracked) and no longer has to pay off its own mortgage liens (untracked).</w:t>
      </w:r>
      <w:r>
        <w:rPr>
          <w:b w:val="0"/>
        </w:rPr>
        <w:t xml:space="preserve"> In a rising market, this gives Seller a free option to terminate.</w:t>
      </w:r>
    </w:p>
    <w:p>
      <w:pPr>
        <w:ind w:left="360"/>
        <w:jc w:val="both"/>
      </w:pPr>
      <w:r>
        <w:rPr>
          <w:b/>
        </w:rPr>
        <w:t>10. The markup is not a true redline of our form.</w:t>
      </w:r>
      <w:r>
        <w:rPr>
          <w:b w:val="0"/>
        </w:rPr>
        <w:t xml:space="preserve"> Its "original" text is a different, retyped base document, so many substantive changes appear nowhere as tracked changes. The revision metadata is generic (author "Author", dated January 1, 2024). The document header is dated November 8, 2024, which conflicts with the November 1 email. We must work from our own comparison against the October 21 form (Section II) and should ask Ridgeline Beatty for a true comparison.</w:t>
      </w:r>
    </w:p>
    <w:p>
      <w:pPr>
        <w:jc w:val="both"/>
      </w:pPr>
      <w:r>
        <w:rPr>
          <w:b/>
        </w:rPr>
        <w:t>IC authority.</w:t>
      </w:r>
      <w:r>
        <w:rPr>
          <w:b w:val="0"/>
        </w:rPr>
        <w:t xml:space="preserve"> At least eight IC conditions are directly affected (see Section III). These include the four that IC §8 expressly says require supplemental authorization: the financing contingency, deposit refundability, survival and scope of representations, and assignment. The Acquisitions Team cannot accept any of these as drafted, or any meaningful compromise on them, without returning to the IC first.</w:t>
      </w:r>
    </w:p>
    <w:p>
      <w:pPr>
        <w:jc w:val="both"/>
      </w:pPr>
      <w:r>
        <w:rPr>
          <w:b/>
        </w:rPr>
        <w:t>Recommended posture.</w:t>
      </w:r>
      <w:r>
        <w:rPr>
          <w:b w:val="0"/>
        </w:rPr>
        <w:t xml:space="preserve"> Reject the Tier 1 items outright and return our form with targeted concessions on lower-priority points (Section VII). Ask Seller's counsel to re-run the comparison against the October 21 form before the next turn. Reset the Effective Date and every hard-coded date to the actual signing date.</w:t>
      </w:r>
    </w:p>
    <w:p>
      <w:pPr>
        <w:pStyle w:val="Heading1"/>
      </w:pPr>
      <w:r>
        <w:t>II. Threshold Problem: The Markup Is Not a Redline of Our Form</w:t>
      </w:r>
    </w:p>
    <w:p>
      <w:pPr>
        <w:jc w:val="both"/>
      </w:pPr>
      <w:r>
        <w:rPr>
          <w:b w:val="0"/>
        </w:rPr>
        <w:t xml:space="preserve">The document has 158 tracked insertions and 157 tracked deletions. But the deleted ("original") text is </w:t>
      </w:r>
      <w:r>
        <w:rPr>
          <w:b/>
        </w:rPr>
        <w:t>not</w:t>
      </w:r>
      <w:r>
        <w:rPr>
          <w:b w:val="0"/>
        </w:rPr>
        <w:t xml:space="preserve"> our October 21 form. Seller's counsel produced a retyped agreement with a different structure (16 articles renumbered; for example, Assignment is Article 13 instead of XIV, and Default is Article 12 instead of XIII). They then tracked changes against that new base. The result is that many substantive departures from our form appear as clean, untracked text. Specifically:</w:t>
      </w:r>
    </w:p>
    <w:p>
      <w:pPr>
        <w:pStyle w:val="ListBullet"/>
        <w:spacing w:after="60"/>
      </w:pPr>
      <w:r>
        <w:rPr>
          <w:b/>
        </w:rPr>
        <w:t>Provisions dropped without any tracked deletion:</w:t>
      </w:r>
      <w:r>
        <w:rPr>
          <w:b w:val="0"/>
        </w:rPr>
        <w:t xml:space="preserve"> Form §2.2 (the paragraph protecting representations, covenants and indemnities from the as-is clause), §3.3(b)–(c) (refund events after due diligence and the failure-to-deposit mechanics), §4.3 (closing costs), §6.3(b) (mandatory cure of monetary liens, the $50,000 cure commitment, and supplemental objections), §8.3 (no liability cap), the §9.2 closing paragraph (Buyer's right to terminate with a refund when a condition fails), the §9.2(f)–(g) conditions (no new title matters; estoppel), Article XV (indemnification in full), §16.10 survival and investor disclosure, and the §16.11 business-day roll-forward.</w:t>
      </w:r>
    </w:p>
    <w:p>
      <w:pPr>
        <w:pStyle w:val="ListBullet"/>
        <w:spacing w:after="60"/>
      </w:pPr>
      <w:r>
        <w:rPr>
          <w:b/>
        </w:rPr>
        <w:t>Terms changed without tracking:</w:t>
      </w:r>
      <w:r>
        <w:rPr>
          <w:b w:val="0"/>
        </w:rPr>
        <w:t xml:space="preserve"> Seller-default remedies (cost reimbursement cut from $250,000 to $50,000; remedies made "sole and exclusive"; a 60-day deadline to sue for specific performance; damages capped). Also: deletion of the cure period for Buyer default, deletion of the inspection-indemnity carve-out for "mere discovery of pre-existing conditions," estoppel timing (10 to 5 business days), the Extension Fee payee and refund, arbitration replaced by litigation with a jury waiver, a new Buyer OFAC representation, the Exhibit A legal description, Bill of Sale title warranty, notice addresses (Seller 1400 to 1410 South Tryon; Hawthorne 191 to 195 Peachtree and a new email domain), and several Seller representations narrowed or deleted (see Issue 5).</w:t>
      </w:r>
    </w:p>
    <w:p>
      <w:pPr>
        <w:pStyle w:val="ListBullet"/>
        <w:spacing w:after="60"/>
      </w:pPr>
      <w:r>
        <w:rPr>
          <w:b/>
        </w:rPr>
        <w:t>Unreliable metadata:</w:t>
      </w:r>
      <w:r>
        <w:rPr>
          <w:b w:val="0"/>
        </w:rPr>
        <w:t xml:space="preserve"> every revision carries the generic author "Author" and the date January 1, 2024. The header reads "Seller's Counsel Markup . . . November 8, 2024," while the transmittal email is dated November 1, 2024 (and both are after or near the targeted November 4 Effective Date and November 7 Initial Deposit date).</w:t>
      </w:r>
    </w:p>
    <w:p>
      <w:pPr>
        <w:jc w:val="both"/>
      </w:pPr>
      <w:r>
        <w:rPr>
          <w:b/>
        </w:rPr>
        <w:t>Recommendation:</w:t>
      </w:r>
      <w:r>
        <w:rPr>
          <w:b w:val="0"/>
        </w:rPr>
        <w:t xml:space="preserve"> (a) Tell Mr. Beatty in writing that we are responding against our October 21 form and that any change not shown against that form is not agreed. (b) Ask for a true comparison against our form. (c) Prepare our responsive draft on our form, not on Seller's retyped document. The issues below are identified by comparing the markup to our form, regardless of whether the change was tracked. The "Tracked?" column flags the difference.</w:t>
      </w:r>
    </w:p>
    <w:p>
      <w:pPr>
        <w:pStyle w:val="Heading1"/>
      </w:pPr>
      <w:r>
        <w:t>III. Investment Committee Authority Check</w:t>
      </w:r>
    </w:p>
    <w:p>
      <w:pPr>
        <w:jc w:val="both"/>
      </w:pPr>
      <w:r>
        <w:rPr>
          <w:b w:val="0"/>
        </w:rPr>
        <w:t>IC §8 approved the deal "on substantially the terms described," and says any material deviation requires supplemental IC authorization before execution. The markup's effect on each approval condition: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448"/>
            <w:shd w:val="clear" w:color="auto" w:fill="1F2A44"/>
          </w:tcPr>
          <w:p>
            <w:r/>
            <w:r>
              <w:rPr>
                <w:b/>
                <w:color w:val="FFFFFF"/>
                <w:sz w:val="17"/>
              </w:rPr>
              <w:t>IC condition (IC memo §8)</w:t>
            </w:r>
          </w:p>
        </w:tc>
        <w:tc>
          <w:tcPr>
            <w:tcW w:type="dxa" w:w="2232"/>
            <w:shd w:val="clear" w:color="auto" w:fill="1F2A44"/>
          </w:tcPr>
          <w:p>
            <w:r/>
            <w:r>
              <w:rPr>
                <w:b/>
                <w:color w:val="FFFFFF"/>
                <w:sz w:val="17"/>
              </w:rPr>
              <w:t>Buyer form</w:t>
            </w:r>
          </w:p>
        </w:tc>
        <w:tc>
          <w:tcPr>
            <w:tcW w:type="dxa" w:w="2664"/>
            <w:shd w:val="clear" w:color="auto" w:fill="1F2A44"/>
          </w:tcPr>
          <w:p>
            <w:r/>
            <w:r>
              <w:rPr>
                <w:b/>
                <w:color w:val="FFFFFF"/>
                <w:sz w:val="17"/>
              </w:rPr>
              <w:t>Seller markup</w:t>
            </w:r>
          </w:p>
        </w:tc>
        <w:tc>
          <w:tcPr>
            <w:tcW w:type="dxa" w:w="2304"/>
            <w:shd w:val="clear" w:color="auto" w:fill="1F2A44"/>
          </w:tcPr>
          <w:p>
            <w:r/>
            <w:r>
              <w:rPr>
                <w:b/>
                <w:color w:val="FFFFFF"/>
                <w:sz w:val="17"/>
              </w:rPr>
              <w:t>Status</w:t>
            </w:r>
          </w:p>
        </w:tc>
      </w:tr>
      <w:tr>
        <w:tc>
          <w:tcPr>
            <w:tcW w:type="dxa" w:w="2448"/>
            <w:shd w:val="clear" w:color="auto" w:fill="F8D7DA"/>
          </w:tcPr>
          <w:p>
            <w:pPr>
              <w:spacing w:after="20"/>
            </w:pPr>
            <w:r/>
            <w:r>
              <w:rPr>
                <w:b w:val="0"/>
                <w:sz w:val="17"/>
              </w:rPr>
              <w:t>1(a) 30-day Due Diligence Period with full termination right</w:t>
            </w:r>
          </w:p>
        </w:tc>
        <w:tc>
          <w:tcPr>
            <w:tcW w:type="dxa" w:w="2232"/>
          </w:tcPr>
          <w:p>
            <w:pPr>
              <w:spacing w:after="20"/>
            </w:pPr>
            <w:r/>
            <w:r>
              <w:rPr>
                <w:b w:val="0"/>
                <w:sz w:val="17"/>
              </w:rPr>
              <w:t>30 days; expires Dec 4, 2024 (Form §5.1)</w:t>
            </w:r>
          </w:p>
        </w:tc>
        <w:tc>
          <w:tcPr>
            <w:tcW w:type="dxa" w:w="2664"/>
          </w:tcPr>
          <w:p>
            <w:pPr>
              <w:spacing w:after="20"/>
            </w:pPr>
            <w:r/>
            <w:r>
              <w:rPr>
                <w:b w:val="0"/>
                <w:sz w:val="17"/>
              </w:rPr>
              <w:t>21 days; expires Nov 25, 2024 (Mkp §1.1)</w:t>
            </w:r>
          </w:p>
        </w:tc>
        <w:tc>
          <w:tcPr>
            <w:tcW w:type="dxa" w:w="2304"/>
          </w:tcPr>
          <w:p>
            <w:pPr>
              <w:spacing w:after="20"/>
            </w:pPr>
            <w:r/>
            <w:r>
              <w:rPr>
                <w:b/>
                <w:sz w:val="17"/>
              </w:rPr>
              <w:t>Breached – IC approval needed to concede</w:t>
            </w:r>
          </w:p>
        </w:tc>
      </w:tr>
      <w:tr>
        <w:tc>
          <w:tcPr>
            <w:tcW w:type="dxa" w:w="2448"/>
            <w:shd w:val="clear" w:color="auto" w:fill="F8D7DA"/>
          </w:tcPr>
          <w:p>
            <w:pPr>
              <w:spacing w:after="20"/>
            </w:pPr>
            <w:r/>
            <w:r>
              <w:rPr>
                <w:b w:val="0"/>
                <w:sz w:val="17"/>
              </w:rPr>
              <w:t>1(b) 45-day financing contingency with full refund</w:t>
            </w:r>
          </w:p>
        </w:tc>
        <w:tc>
          <w:tcPr>
            <w:tcW w:type="dxa" w:w="2232"/>
          </w:tcPr>
          <w:p>
            <w:pPr>
              <w:spacing w:after="20"/>
            </w:pPr>
            <w:r/>
            <w:r>
              <w:rPr>
                <w:b w:val="0"/>
                <w:sz w:val="17"/>
              </w:rPr>
              <w:t>Form §5.3; refund; §9.2 condition</w:t>
            </w:r>
          </w:p>
        </w:tc>
        <w:tc>
          <w:tcPr>
            <w:tcW w:type="dxa" w:w="2664"/>
          </w:tcPr>
          <w:p>
            <w:pPr>
              <w:spacing w:after="20"/>
            </w:pPr>
            <w:r/>
            <w:r>
              <w:rPr>
                <w:b w:val="0"/>
                <w:sz w:val="17"/>
              </w:rPr>
              <w:t>Deleted; Buyer must close without financing (Mkp §5.3)</w:t>
            </w:r>
          </w:p>
        </w:tc>
        <w:tc>
          <w:tcPr>
            <w:tcW w:type="dxa" w:w="2304"/>
          </w:tcPr>
          <w:p>
            <w:pPr>
              <w:spacing w:after="20"/>
            </w:pPr>
            <w:r/>
            <w:r>
              <w:rPr>
                <w:b/>
                <w:sz w:val="17"/>
              </w:rPr>
              <w:t>Breached – IC says "non-negotiable"</w:t>
            </w:r>
          </w:p>
        </w:tc>
      </w:tr>
      <w:tr>
        <w:tc>
          <w:tcPr>
            <w:tcW w:type="dxa" w:w="2448"/>
            <w:shd w:val="clear" w:color="auto" w:fill="F8D7DA"/>
          </w:tcPr>
          <w:p>
            <w:pPr>
              <w:spacing w:after="20"/>
            </w:pPr>
            <w:r/>
            <w:r>
              <w:rPr>
                <w:b w:val="0"/>
                <w:sz w:val="17"/>
              </w:rPr>
              <w:t>1(c) Deposit fully refundable in due diligence and on financing termination</w:t>
            </w:r>
          </w:p>
        </w:tc>
        <w:tc>
          <w:tcPr>
            <w:tcW w:type="dxa" w:w="2232"/>
          </w:tcPr>
          <w:p>
            <w:pPr>
              <w:spacing w:after="20"/>
            </w:pPr>
            <w:r/>
            <w:r>
              <w:rPr>
                <w:b w:val="0"/>
                <w:sz w:val="17"/>
              </w:rPr>
              <w:t>Form §3.3(a)–(b)</w:t>
            </w:r>
          </w:p>
        </w:tc>
        <w:tc>
          <w:tcPr>
            <w:tcW w:type="dxa" w:w="2664"/>
          </w:tcPr>
          <w:p>
            <w:pPr>
              <w:spacing w:after="20"/>
            </w:pPr>
            <w:r/>
            <w:r>
              <w:rPr>
                <w:b w:val="0"/>
                <w:sz w:val="17"/>
              </w:rPr>
              <w:t>Hard after due diligence except for Seller default (Mkp §3.3)</w:t>
            </w:r>
          </w:p>
        </w:tc>
        <w:tc>
          <w:tcPr>
            <w:tcW w:type="dxa" w:w="2304"/>
          </w:tcPr>
          <w:p>
            <w:pPr>
              <w:spacing w:after="20"/>
            </w:pPr>
            <w:r/>
            <w:r>
              <w:rPr>
                <w:b/>
                <w:sz w:val="17"/>
              </w:rPr>
              <w:t>Breached</w:t>
            </w:r>
          </w:p>
        </w:tc>
      </w:tr>
      <w:tr>
        <w:tc>
          <w:tcPr>
            <w:tcW w:type="dxa" w:w="2448"/>
            <w:shd w:val="clear" w:color="auto" w:fill="F8D7DA"/>
          </w:tcPr>
          <w:p>
            <w:pPr>
              <w:spacing w:after="20"/>
            </w:pPr>
            <w:r/>
            <w:r>
              <w:rPr>
                <w:b w:val="0"/>
                <w:sz w:val="17"/>
              </w:rPr>
              <w:t>1(d) 12-month survival of Seller representations</w:t>
            </w:r>
          </w:p>
        </w:tc>
        <w:tc>
          <w:tcPr>
            <w:tcW w:type="dxa" w:w="2232"/>
          </w:tcPr>
          <w:p>
            <w:pPr>
              <w:spacing w:after="20"/>
            </w:pPr>
            <w:r/>
            <w:r>
              <w:rPr>
                <w:b w:val="0"/>
                <w:sz w:val="17"/>
              </w:rPr>
              <w:t>12 months; no cap (Form §§8.2–8.3)</w:t>
            </w:r>
          </w:p>
        </w:tc>
        <w:tc>
          <w:tcPr>
            <w:tcW w:type="dxa" w:w="2664"/>
          </w:tcPr>
          <w:p>
            <w:pPr>
              <w:spacing w:after="20"/>
            </w:pPr>
            <w:r/>
            <w:r>
              <w:rPr>
                <w:b w:val="0"/>
                <w:sz w:val="17"/>
              </w:rPr>
              <w:t>3 months; $500,000 cap; actual-knowledge-only qualifier; waiver (Mkp §§6.2, 6.4)</w:t>
            </w:r>
          </w:p>
        </w:tc>
        <w:tc>
          <w:tcPr>
            <w:tcW w:type="dxa" w:w="2304"/>
          </w:tcPr>
          <w:p>
            <w:pPr>
              <w:spacing w:after="20"/>
            </w:pPr>
            <w:r/>
            <w:r>
              <w:rPr>
                <w:b/>
                <w:sz w:val="17"/>
              </w:rPr>
              <w:t>Breached (survival and scope)</w:t>
            </w:r>
          </w:p>
        </w:tc>
      </w:tr>
      <w:tr>
        <w:tc>
          <w:tcPr>
            <w:tcW w:type="dxa" w:w="2448"/>
            <w:shd w:val="clear" w:color="auto" w:fill="F8D7DA"/>
          </w:tcPr>
          <w:p>
            <w:pPr>
              <w:spacing w:after="20"/>
            </w:pPr>
            <w:r/>
            <w:r>
              <w:rPr>
                <w:b w:val="0"/>
                <w:sz w:val="17"/>
              </w:rPr>
              <w:t>1(e) Pre-closing operating covenants (ordinary course; consent to leases and contracts)</w:t>
            </w:r>
          </w:p>
        </w:tc>
        <w:tc>
          <w:tcPr>
            <w:tcW w:type="dxa" w:w="2232"/>
          </w:tcPr>
          <w:p>
            <w:pPr>
              <w:spacing w:after="20"/>
            </w:pPr>
            <w:r/>
            <w:r>
              <w:rPr>
                <w:b w:val="0"/>
                <w:sz w:val="17"/>
              </w:rPr>
              <w:t>Form §7.2(a)–(h)</w:t>
            </w:r>
          </w:p>
        </w:tc>
        <w:tc>
          <w:tcPr>
            <w:tcW w:type="dxa" w:w="2664"/>
          </w:tcPr>
          <w:p>
            <w:pPr>
              <w:spacing w:after="20"/>
            </w:pPr>
            <w:r/>
            <w:r>
              <w:rPr>
                <w:b w:val="0"/>
                <w:sz w:val="17"/>
              </w:rPr>
              <w:t>Deleted in full (Mkp §7.2)</w:t>
            </w:r>
          </w:p>
        </w:tc>
        <w:tc>
          <w:tcPr>
            <w:tcW w:type="dxa" w:w="2304"/>
          </w:tcPr>
          <w:p>
            <w:pPr>
              <w:spacing w:after="20"/>
            </w:pPr>
            <w:r/>
            <w:r>
              <w:rPr>
                <w:b/>
                <w:sz w:val="17"/>
              </w:rPr>
              <w:t>Breached</w:t>
            </w:r>
          </w:p>
        </w:tc>
      </w:tr>
      <w:tr>
        <w:tc>
          <w:tcPr>
            <w:tcW w:type="dxa" w:w="2448"/>
            <w:shd w:val="clear" w:color="auto" w:fill="F8D7DA"/>
          </w:tcPr>
          <w:p>
            <w:pPr>
              <w:spacing w:after="20"/>
            </w:pPr>
            <w:r/>
            <w:r>
              <w:rPr>
                <w:b w:val="0"/>
                <w:sz w:val="17"/>
              </w:rPr>
              <w:t>1(f) Affiliate assignment without consent</w:t>
            </w:r>
          </w:p>
        </w:tc>
        <w:tc>
          <w:tcPr>
            <w:tcW w:type="dxa" w:w="2232"/>
          </w:tcPr>
          <w:p>
            <w:pPr>
              <w:spacing w:after="20"/>
            </w:pPr>
            <w:r/>
            <w:r>
              <w:rPr>
                <w:b w:val="0"/>
                <w:sz w:val="17"/>
              </w:rPr>
              <w:t>Form §14.1(a)</w:t>
            </w:r>
          </w:p>
        </w:tc>
        <w:tc>
          <w:tcPr>
            <w:tcW w:type="dxa" w:w="2664"/>
          </w:tcPr>
          <w:p>
            <w:pPr>
              <w:spacing w:after="20"/>
            </w:pPr>
            <w:r/>
            <w:r>
              <w:rPr>
                <w:b w:val="0"/>
                <w:sz w:val="17"/>
              </w:rPr>
              <w:t>Consent in Seller's sole discretion (Mkp §13.1)</w:t>
            </w:r>
          </w:p>
        </w:tc>
        <w:tc>
          <w:tcPr>
            <w:tcW w:type="dxa" w:w="2304"/>
          </w:tcPr>
          <w:p>
            <w:pPr>
              <w:spacing w:after="20"/>
            </w:pPr>
            <w:r/>
            <w:r>
              <w:rPr>
                <w:b/>
                <w:sz w:val="17"/>
              </w:rPr>
              <w:t>Breached</w:t>
            </w:r>
          </w:p>
        </w:tc>
      </w:tr>
      <w:tr>
        <w:tc>
          <w:tcPr>
            <w:tcW w:type="dxa" w:w="2448"/>
            <w:shd w:val="clear" w:color="auto" w:fill="F8D7DA"/>
          </w:tcPr>
          <w:p>
            <w:pPr>
              <w:spacing w:after="20"/>
            </w:pPr>
            <w:r/>
            <w:r>
              <w:rPr>
                <w:b w:val="0"/>
                <w:sz w:val="17"/>
              </w:rPr>
              <w:t>5. Little Oaks estoppel</w:t>
            </w:r>
          </w:p>
        </w:tc>
        <w:tc>
          <w:tcPr>
            <w:tcW w:type="dxa" w:w="2232"/>
          </w:tcPr>
          <w:p>
            <w:pPr>
              <w:spacing w:after="20"/>
            </w:pPr>
            <w:r/>
            <w:r>
              <w:rPr>
                <w:b w:val="0"/>
                <w:sz w:val="17"/>
              </w:rPr>
              <w:t>Condition to closing; Seller estoppel as backstop (Form §§7.3, 9.2(g))</w:t>
            </w:r>
          </w:p>
        </w:tc>
        <w:tc>
          <w:tcPr>
            <w:tcW w:type="dxa" w:w="2664"/>
          </w:tcPr>
          <w:p>
            <w:pPr>
              <w:spacing w:after="20"/>
            </w:pPr>
            <w:r/>
            <w:r>
              <w:rPr>
                <w:b w:val="0"/>
                <w:sz w:val="17"/>
              </w:rPr>
              <w:t>Efforts only; no condition; no backstop (Mkp §7.2)</w:t>
            </w:r>
          </w:p>
        </w:tc>
        <w:tc>
          <w:tcPr>
            <w:tcW w:type="dxa" w:w="2304"/>
          </w:tcPr>
          <w:p>
            <w:pPr>
              <w:spacing w:after="20"/>
            </w:pPr>
            <w:r/>
            <w:r>
              <w:rPr>
                <w:b/>
                <w:sz w:val="17"/>
              </w:rPr>
              <w:t>Weakened</w:t>
            </w:r>
          </w:p>
        </w:tc>
      </w:tr>
      <w:tr>
        <w:tc>
          <w:tcPr>
            <w:tcW w:type="dxa" w:w="2448"/>
            <w:shd w:val="clear" w:color="auto" w:fill="F8D7DA"/>
          </w:tcPr>
          <w:p>
            <w:pPr>
              <w:spacing w:after="20"/>
            </w:pPr>
            <w:r/>
            <w:r>
              <w:rPr>
                <w:b w:val="0"/>
                <w:sz w:val="17"/>
              </w:rPr>
              <w:t>IC §5.7: Buyer's maximum at-risk capital = $1.5M deposit as liquidated damages</w:t>
            </w:r>
          </w:p>
        </w:tc>
        <w:tc>
          <w:tcPr>
            <w:tcW w:type="dxa" w:w="2232"/>
          </w:tcPr>
          <w:p>
            <w:pPr>
              <w:spacing w:after="20"/>
            </w:pPr>
            <w:r/>
            <w:r>
              <w:rPr>
                <w:b w:val="0"/>
                <w:sz w:val="17"/>
              </w:rPr>
              <w:t>Form §13.2</w:t>
            </w:r>
          </w:p>
        </w:tc>
        <w:tc>
          <w:tcPr>
            <w:tcW w:type="dxa" w:w="2664"/>
          </w:tcPr>
          <w:p>
            <w:pPr>
              <w:spacing w:after="20"/>
            </w:pPr>
            <w:r/>
            <w:r>
              <w:rPr>
                <w:b w:val="0"/>
                <w:sz w:val="17"/>
              </w:rPr>
              <w:t>Deposit is a "minimum"; all remedies (Mkp §12.1)</w:t>
            </w:r>
          </w:p>
        </w:tc>
        <w:tc>
          <w:tcPr>
            <w:tcW w:type="dxa" w:w="2304"/>
          </w:tcPr>
          <w:p>
            <w:pPr>
              <w:spacing w:after="20"/>
            </w:pPr>
            <w:r/>
            <w:r>
              <w:rPr>
                <w:b/>
                <w:sz w:val="17"/>
              </w:rPr>
              <w:t>Breached</w:t>
            </w:r>
          </w:p>
        </w:tc>
      </w:tr>
      <w:tr>
        <w:tc>
          <w:tcPr>
            <w:tcW w:type="dxa" w:w="2448"/>
            <w:shd w:val="clear" w:color="auto" w:fill="F8D7DA"/>
          </w:tcPr>
          <w:p>
            <w:pPr>
              <w:spacing w:after="20"/>
            </w:pPr>
            <w:r/>
            <w:r>
              <w:rPr>
                <w:b w:val="0"/>
                <w:sz w:val="17"/>
              </w:rPr>
              <w:t>IC §5.5 / §6: Seller indemnity for pre-closing litigation and environmental remediation</w:t>
            </w:r>
          </w:p>
        </w:tc>
        <w:tc>
          <w:tcPr>
            <w:tcW w:type="dxa" w:w="2232"/>
          </w:tcPr>
          <w:p>
            <w:pPr>
              <w:spacing w:after="20"/>
            </w:pPr>
            <w:r/>
            <w:r>
              <w:rPr>
                <w:b w:val="0"/>
                <w:sz w:val="17"/>
              </w:rPr>
              <w:t>Form Art. XV</w:t>
            </w:r>
          </w:p>
        </w:tc>
        <w:tc>
          <w:tcPr>
            <w:tcW w:type="dxa" w:w="2664"/>
          </w:tcPr>
          <w:p>
            <w:pPr>
              <w:spacing w:after="20"/>
            </w:pPr>
            <w:r/>
            <w:r>
              <w:rPr>
                <w:b w:val="0"/>
                <w:sz w:val="17"/>
              </w:rPr>
              <w:t>Deleted (untracked)</w:t>
            </w:r>
          </w:p>
        </w:tc>
        <w:tc>
          <w:tcPr>
            <w:tcW w:type="dxa" w:w="2304"/>
          </w:tcPr>
          <w:p>
            <w:pPr>
              <w:spacing w:after="20"/>
            </w:pPr>
            <w:r/>
            <w:r>
              <w:rPr>
                <w:b/>
                <w:sz w:val="17"/>
              </w:rPr>
              <w:t>Breached</w:t>
            </w:r>
          </w:p>
        </w:tc>
      </w:tr>
    </w:tbl>
    <w:p>
      <w:pPr>
        <w:spacing w:after="40"/>
      </w:pPr>
    </w:p>
    <w:p>
      <w:pPr>
        <w:pStyle w:val="Heading1"/>
      </w:pPr>
      <w:r>
        <w:t>IV. Prioritized Issues List</w:t>
      </w:r>
    </w:p>
    <w:p>
      <w:pPr>
        <w:jc w:val="both"/>
      </w:pPr>
      <w:r>
        <w:rPr>
          <w:b w:val="0"/>
          <w:sz w:val="20"/>
        </w:rPr>
        <w:t xml:space="preserve">Priority key. </w:t>
      </w:r>
      <w:r>
        <w:rPr>
          <w:b/>
          <w:sz w:val="20"/>
        </w:rPr>
        <w:t>Tier 1 (Critical):</w:t>
      </w:r>
      <w:r>
        <w:rPr>
          <w:b w:val="0"/>
          <w:sz w:val="20"/>
        </w:rPr>
        <w:t xml:space="preserve"> deal-breakers, or IC authorization required; reject. </w:t>
      </w:r>
      <w:r>
        <w:rPr>
          <w:b/>
          <w:sz w:val="20"/>
        </w:rPr>
        <w:t>Tier 2 (High):</w:t>
      </w:r>
      <w:r>
        <w:rPr>
          <w:b w:val="0"/>
          <w:sz w:val="20"/>
        </w:rPr>
        <w:t xml:space="preserve"> material economic or risk shift; insist on our form or a close variant. </w:t>
      </w:r>
      <w:r>
        <w:rPr>
          <w:b/>
          <w:sz w:val="20"/>
        </w:rPr>
        <w:t>Tier 3 (Moderate):</w:t>
      </w:r>
      <w:r>
        <w:rPr>
          <w:b w:val="0"/>
          <w:sz w:val="20"/>
        </w:rPr>
        <w:t xml:space="preserve"> important but negotiable or diligence-driven. </w:t>
      </w:r>
      <w:r>
        <w:rPr>
          <w:b/>
          <w:sz w:val="20"/>
        </w:rPr>
        <w:t>Tier 4 (Clean-up):</w:t>
      </w:r>
      <w:r>
        <w:rPr>
          <w:b w:val="0"/>
          <w:sz w:val="20"/>
        </w:rPr>
        <w:t xml:space="preserve"> drafting and conforming. "T" = tracked change; "U" = untracked departure from our form. Form § references are to our October 21 form; "Mkp §" references are to Seller's markup.</w:t>
      </w:r>
    </w:p>
    <w:p>
      <w:pPr>
        <w:pStyle w:val="Heading2"/>
      </w:pPr>
      <w:r>
        <w:t>Tier 1: Critical (reject; IC authorization required to concede)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2A44"/>
          </w:tcPr>
          <w:p>
            <w:r/>
            <w:r>
              <w:rPr>
                <w:b/>
                <w:color w:val="FFFFFF"/>
                <w:sz w:val="17"/>
              </w:rPr>
              <w:t>#</w:t>
            </w:r>
          </w:p>
        </w:tc>
        <w:tc>
          <w:tcPr>
            <w:tcW w:type="dxa" w:w="1656"/>
            <w:shd w:val="clear" w:color="auto" w:fill="1F2A44"/>
          </w:tcPr>
          <w:p>
            <w:r/>
            <w:r>
              <w:rPr>
                <w:b/>
                <w:color w:val="FFFFFF"/>
                <w:sz w:val="17"/>
              </w:rPr>
              <w:t>Issue (Form § / Mkp §)</w:t>
            </w:r>
          </w:p>
        </w:tc>
        <w:tc>
          <w:tcPr>
            <w:tcW w:type="dxa" w:w="2520"/>
            <w:shd w:val="clear" w:color="auto" w:fill="1F2A44"/>
          </w:tcPr>
          <w:p>
            <w:r/>
            <w:r>
              <w:rPr>
                <w:b/>
                <w:color w:val="FFFFFF"/>
                <w:sz w:val="17"/>
              </w:rPr>
              <w:t>What Seller did</w:t>
            </w:r>
          </w:p>
        </w:tc>
        <w:tc>
          <w:tcPr>
            <w:tcW w:type="dxa" w:w="2520"/>
            <w:shd w:val="clear" w:color="auto" w:fill="1F2A44"/>
          </w:tcPr>
          <w:p>
            <w:r/>
            <w:r>
              <w:rPr>
                <w:b/>
                <w:color w:val="FFFFFF"/>
                <w:sz w:val="17"/>
              </w:rPr>
              <w:t>Why it matters to Buyer</w:t>
            </w:r>
          </w:p>
        </w:tc>
        <w:tc>
          <w:tcPr>
            <w:tcW w:type="dxa" w:w="2520"/>
            <w:shd w:val="clear" w:color="auto" w:fill="1F2A44"/>
          </w:tcPr>
          <w:p>
            <w:r/>
            <w:r>
              <w:rPr>
                <w:b/>
                <w:color w:val="FFFFFF"/>
                <w:sz w:val="17"/>
              </w:rPr>
              <w:t>Recommended response</w:t>
            </w:r>
          </w:p>
        </w:tc>
      </w:tr>
      <w:tr>
        <w:tc>
          <w:tcPr>
            <w:tcW w:type="dxa" w:w="432"/>
            <w:shd w:val="clear" w:color="auto" w:fill="F8D7DA"/>
          </w:tcPr>
          <w:p>
            <w:pPr>
              <w:spacing w:after="20"/>
            </w:pPr>
            <w:r/>
            <w:r>
              <w:rPr>
                <w:b w:val="0"/>
                <w:sz w:val="17"/>
              </w:rPr>
              <w:t>1</w:t>
            </w:r>
          </w:p>
        </w:tc>
        <w:tc>
          <w:tcPr>
            <w:tcW w:type="dxa" w:w="1656"/>
          </w:tcPr>
          <w:p>
            <w:pPr>
              <w:spacing w:after="20"/>
            </w:pPr>
            <w:r/>
            <w:r>
              <w:rPr>
                <w:b/>
                <w:sz w:val="17"/>
              </w:rPr>
              <w:t>Financing contingency</w:t>
            </w:r>
          </w:p>
          <w:p>
            <w:pPr>
              <w:spacing w:after="20"/>
            </w:pPr>
            <w:r>
              <w:rPr>
                <w:b w:val="0"/>
                <w:sz w:val="17"/>
              </w:rPr>
              <w:t>Form §§5.3, 9.2; definitions</w:t>
            </w:r>
          </w:p>
          <w:p>
            <w:pPr>
              <w:spacing w:after="20"/>
            </w:pPr>
            <w:r>
              <w:rPr>
                <w:b w:val="0"/>
                <w:sz w:val="17"/>
              </w:rPr>
              <w:t>Mkp §§1.1, 5.3, 8.1(e), 3.3</w:t>
            </w:r>
          </w:p>
        </w:tc>
        <w:tc>
          <w:tcPr>
            <w:tcW w:type="dxa" w:w="2520"/>
          </w:tcPr>
          <w:p>
            <w:pPr>
              <w:spacing w:after="20"/>
            </w:pPr>
            <w:r/>
            <w:r>
              <w:rPr>
                <w:b w:val="0"/>
                <w:sz w:val="17"/>
              </w:rPr>
              <w:t>T: deleted the definition, §5.3 and condition 8.1(e). Inserted "Waiver of Financing Contingency": Buyer must close "regardless of whether Buyer has obtained a loan commitment"; unavailable financing "shall not excuse Buyer's performance." Mkp §3.3 also says financing failure does not support a refund.</w:t>
            </w:r>
          </w:p>
        </w:tc>
        <w:tc>
          <w:tcPr>
            <w:tcW w:type="dxa" w:w="2520"/>
          </w:tcPr>
          <w:p>
            <w:pPr>
              <w:spacing w:after="20"/>
            </w:pPr>
            <w:r/>
            <w:r>
              <w:rPr>
                <w:b w:val="0"/>
                <w:sz w:val="17"/>
              </w:rPr>
              <w:t>Palisade debt of $37,180,000 (65% LTV) is still subject to appraisal (Aldersgate), Phase I and the property condition assessment. A low appraisal cuts loan proceeds dollar-for-dollar at 65% of appraised value. Fund III is not authorized to close all-cash. Combined with Issues 2–3, a lender decline becomes a $1.5M loss at minimum and a specific-performance or damages claim at worst.</w:t>
            </w:r>
          </w:p>
        </w:tc>
        <w:tc>
          <w:tcPr>
            <w:tcW w:type="dxa" w:w="2520"/>
          </w:tcPr>
          <w:p>
            <w:pPr>
              <w:spacing w:after="20"/>
            </w:pPr>
            <w:r/>
            <w:r>
              <w:rPr>
                <w:b/>
                <w:sz w:val="17"/>
              </w:rPr>
              <w:t>Reject.</w:t>
            </w:r>
            <w:r>
              <w:rPr>
                <w:b w:val="0"/>
                <w:sz w:val="17"/>
              </w:rPr>
              <w:t xml:space="preserve"> Restore Form §5.3 (45 days to Dec 19, 2024 or reset date; good-faith efforts; full refund; deemed waiver; weekly status updates) and condition §9.2. Our form already offers Seller real protections (deemed waiver; evidence of efforts; loan application within 15 business days). Fallback, </w:t>
            </w:r>
            <w:r>
              <w:rPr>
                <w:b/>
                <w:sz w:val="17"/>
              </w:rPr>
              <w:t>only with IC approval</w:t>
            </w:r>
            <w:r>
              <w:rPr>
                <w:b w:val="0"/>
                <w:sz w:val="17"/>
              </w:rPr>
              <w:t>: shorten modestly (e.g., 40 days), tie it to the Palisade timetable, and give Seller a right to receive the declination letter.</w:t>
            </w:r>
          </w:p>
        </w:tc>
      </w:tr>
      <w:tr>
        <w:tc>
          <w:tcPr>
            <w:tcW w:type="dxa" w:w="432"/>
            <w:shd w:val="clear" w:color="auto" w:fill="F8D7DA"/>
          </w:tcPr>
          <w:p>
            <w:pPr>
              <w:spacing w:after="20"/>
            </w:pPr>
            <w:r/>
            <w:r>
              <w:rPr>
                <w:b w:val="0"/>
                <w:sz w:val="17"/>
              </w:rPr>
              <w:t>2</w:t>
            </w:r>
          </w:p>
        </w:tc>
        <w:tc>
          <w:tcPr>
            <w:tcW w:type="dxa" w:w="1656"/>
          </w:tcPr>
          <w:p>
            <w:pPr>
              <w:spacing w:after="20"/>
            </w:pPr>
            <w:r/>
            <w:r>
              <w:rPr>
                <w:b/>
                <w:sz w:val="17"/>
              </w:rPr>
              <w:t>Earnest Money refundability</w:t>
            </w:r>
          </w:p>
          <w:p>
            <w:pPr>
              <w:spacing w:after="20"/>
            </w:pPr>
            <w:r>
              <w:rPr>
                <w:b w:val="0"/>
                <w:sz w:val="17"/>
              </w:rPr>
              <w:t>Form §3.3(a)–(b), §9.2 final paragraph</w:t>
            </w:r>
          </w:p>
          <w:p>
            <w:pPr>
              <w:spacing w:after="20"/>
            </w:pPr>
            <w:r>
              <w:rPr>
                <w:b w:val="0"/>
                <w:sz w:val="17"/>
              </w:rPr>
              <w:t>Mkp §3.3</w:t>
            </w:r>
          </w:p>
        </w:tc>
        <w:tc>
          <w:tcPr>
            <w:tcW w:type="dxa" w:w="2520"/>
          </w:tcPr>
          <w:p>
            <w:pPr>
              <w:spacing w:after="20"/>
            </w:pPr>
            <w:r/>
            <w:r>
              <w:rPr>
                <w:b w:val="0"/>
                <w:sz w:val="17"/>
              </w:rPr>
              <w:t>T: entire $1.5M deposit becomes non-refundable at due-diligence expiry "except in the event of a default by Seller." Refunds for failure of conditions survive only for conditions "expressly set forth in Section 8.1." U: deleted our §9.2 paragraph giving Buyer a termination-and-refund right when a condition fails, so even §8.1 failures have no express refund mechanism. Title, casualty and condemnation refunds survive only in their own sections.</w:t>
            </w:r>
          </w:p>
        </w:tc>
        <w:tc>
          <w:tcPr>
            <w:tcW w:type="dxa" w:w="2520"/>
          </w:tcPr>
          <w:p>
            <w:pPr>
              <w:spacing w:after="20"/>
            </w:pPr>
            <w:r/>
            <w:r>
              <w:rPr>
                <w:b w:val="0"/>
                <w:sz w:val="17"/>
              </w:rPr>
              <w:t>Directly contrary to IC §5.1 ("any provision making the deposit hard . . . irrespective of the reason for non-closing . . . would materially alter the risk profile"). With due diligence at 21 days, $1.5M goes hard on Nov 25, 2024, 24 days before our financing deadline would have run.</w:t>
            </w:r>
          </w:p>
        </w:tc>
        <w:tc>
          <w:tcPr>
            <w:tcW w:type="dxa" w:w="2520"/>
          </w:tcPr>
          <w:p>
            <w:pPr>
              <w:spacing w:after="20"/>
            </w:pPr>
            <w:r/>
            <w:r>
              <w:rPr>
                <w:b/>
                <w:sz w:val="17"/>
              </w:rPr>
              <w:t>Reject.</w:t>
            </w:r>
            <w:r>
              <w:rPr>
                <w:b w:val="0"/>
                <w:sz w:val="17"/>
              </w:rPr>
              <w:t xml:space="preserve"> Restore Form §3.3(b) refund events (Seller default; failure of a §9.2 condition; casualty or condemnation; title; financing under §5.3) and the clarifying sentence that expiry of due diligence alone does not make the deposit hard. Restore the §9.2 termination/refund paragraph.</w:t>
            </w:r>
          </w:p>
        </w:tc>
      </w:tr>
      <w:tr>
        <w:tc>
          <w:tcPr>
            <w:tcW w:type="dxa" w:w="432"/>
            <w:shd w:val="clear" w:color="auto" w:fill="F8D7DA"/>
          </w:tcPr>
          <w:p>
            <w:pPr>
              <w:spacing w:after="20"/>
            </w:pPr>
            <w:r/>
            <w:r>
              <w:rPr>
                <w:b w:val="0"/>
                <w:sz w:val="17"/>
              </w:rPr>
              <w:t>3</w:t>
            </w:r>
          </w:p>
        </w:tc>
        <w:tc>
          <w:tcPr>
            <w:tcW w:type="dxa" w:w="1656"/>
          </w:tcPr>
          <w:p>
            <w:pPr>
              <w:spacing w:after="20"/>
            </w:pPr>
            <w:r/>
            <w:r>
              <w:rPr>
                <w:b/>
                <w:sz w:val="17"/>
              </w:rPr>
              <w:t>Buyer default remedies / liquidated damages</w:t>
            </w:r>
          </w:p>
          <w:p>
            <w:pPr>
              <w:spacing w:after="20"/>
            </w:pPr>
            <w:r>
              <w:rPr>
                <w:b w:val="0"/>
                <w:sz w:val="17"/>
              </w:rPr>
              <w:t>Form §13.2</w:t>
            </w:r>
          </w:p>
          <w:p>
            <w:pPr>
              <w:spacing w:after="20"/>
            </w:pPr>
            <w:r>
              <w:rPr>
                <w:b w:val="0"/>
                <w:sz w:val="17"/>
              </w:rPr>
              <w:t>Mkp §§12.1, 12.3</w:t>
            </w:r>
          </w:p>
        </w:tc>
        <w:tc>
          <w:tcPr>
            <w:tcW w:type="dxa" w:w="2520"/>
          </w:tcPr>
          <w:p>
            <w:pPr>
              <w:spacing w:after="20"/>
            </w:pPr>
            <w:r/>
            <w:r>
              <w:rPr>
                <w:b w:val="0"/>
                <w:sz w:val="17"/>
              </w:rPr>
              <w:t>T: liquidated damages are no longer Seller's sole remedy. Seller "reserves the right to pursue any and all other remedies . . . including . . . actual damages, specific performance, and consequential damages." The deposit becomes a "minimum, and not a maximum." §12.3 consequential-damages waiver made one-way (protects Seller only). U: no notice-and-cure period for Buyer default (Form: 10 business days); the waiver of claims against Buyer's affiliates and members is deleted; the Seller-initials block is deleted.</w:t>
            </w:r>
          </w:p>
        </w:tc>
        <w:tc>
          <w:tcPr>
            <w:tcW w:type="dxa" w:w="2520"/>
          </w:tcPr>
          <w:p>
            <w:pPr>
              <w:spacing w:after="20"/>
            </w:pPr>
            <w:r/>
            <w:r>
              <w:rPr>
                <w:b w:val="0"/>
                <w:sz w:val="17"/>
              </w:rPr>
              <w:t>Removes the cap the IC relied on (IC §5.7: "$1,500,000 represents Buyer's maximum at-risk capital"). Exposes Fund III to a suit to compel a $57.2M all-cash closing and to consequential damages. Calling the deposit a "minimum" while keeping "liquidated damages" is internally inconsistent and invites litigation over whether the clause is an enforceable liquidated-damages provision or an unenforceable penalty. That uncertainty cuts against both sides.</w:t>
            </w:r>
          </w:p>
        </w:tc>
        <w:tc>
          <w:tcPr>
            <w:tcW w:type="dxa" w:w="2520"/>
          </w:tcPr>
          <w:p>
            <w:pPr>
              <w:spacing w:after="20"/>
            </w:pPr>
            <w:r/>
            <w:r>
              <w:rPr>
                <w:b/>
                <w:sz w:val="17"/>
              </w:rPr>
              <w:t>Reject.</w:t>
            </w:r>
            <w:r>
              <w:rPr>
                <w:b w:val="0"/>
                <w:sz w:val="17"/>
              </w:rPr>
              <w:t xml:space="preserve"> Restore Form §13.2 in full: liquidated damages as sole and exclusive remedy, waiver of specific performance and actual/consequential damages, protection of non-recourse parties, 10-business-day cure, initials. Restore mutual consequential-damages waiver (excluding the carve-outs in Form §13.2(i)–(iv)).</w:t>
            </w:r>
          </w:p>
        </w:tc>
      </w:tr>
      <w:tr>
        <w:tc>
          <w:tcPr>
            <w:tcW w:type="dxa" w:w="432"/>
            <w:shd w:val="clear" w:color="auto" w:fill="F8D7DA"/>
          </w:tcPr>
          <w:p>
            <w:pPr>
              <w:spacing w:after="20"/>
            </w:pPr>
            <w:r/>
            <w:r>
              <w:rPr>
                <w:b w:val="0"/>
                <w:sz w:val="17"/>
              </w:rPr>
              <w:t>4</w:t>
            </w:r>
          </w:p>
        </w:tc>
        <w:tc>
          <w:tcPr>
            <w:tcW w:type="dxa" w:w="1656"/>
          </w:tcPr>
          <w:p>
            <w:pPr>
              <w:spacing w:after="20"/>
            </w:pPr>
            <w:r/>
            <w:r>
              <w:rPr>
                <w:b/>
                <w:sz w:val="17"/>
              </w:rPr>
              <w:t>Due Diligence Period</w:t>
            </w:r>
          </w:p>
          <w:p>
            <w:pPr>
              <w:spacing w:after="20"/>
            </w:pPr>
            <w:r>
              <w:rPr>
                <w:b w:val="0"/>
                <w:sz w:val="17"/>
              </w:rPr>
              <w:t>Form §§1 (def.), 5.1</w:t>
            </w:r>
          </w:p>
          <w:p>
            <w:pPr>
              <w:spacing w:after="20"/>
            </w:pPr>
            <w:r>
              <w:rPr>
                <w:b w:val="0"/>
                <w:sz w:val="17"/>
              </w:rPr>
              <w:t>Mkp §§1.1, 5.1, 3.2</w:t>
            </w:r>
          </w:p>
        </w:tc>
        <w:tc>
          <w:tcPr>
            <w:tcW w:type="dxa" w:w="2520"/>
          </w:tcPr>
          <w:p>
            <w:pPr>
              <w:spacing w:after="20"/>
            </w:pPr>
            <w:r/>
            <w:r>
              <w:rPr>
                <w:b w:val="0"/>
                <w:sz w:val="17"/>
              </w:rPr>
              <w:t>T: 30 to 21 calendar days, so expiry moves from Wed. Dec 4 to Mon. Nov 25, 2024 (Thanksgiving week). The Additional Deposit is accelerated to the same date. U: Buyer's right to enter occupied units (Form §5.1) and the invasive-testing consent standard ("not unreasonably withheld") are deleted.</w:t>
            </w:r>
          </w:p>
        </w:tc>
        <w:tc>
          <w:tcPr>
            <w:tcW w:type="dxa" w:w="2520"/>
          </w:tcPr>
          <w:p>
            <w:pPr>
              <w:spacing w:after="20"/>
            </w:pPr>
            <w:r/>
            <w:r>
              <w:rPr>
                <w:b w:val="0"/>
                <w:sz w:val="17"/>
              </w:rPr>
              <w:t>Scope is 312 units in 14 buildings; Phase I (and possible Phase II); property condition assessment; roof and structure; residential and commercial lease audit; T-12 verification ($3,417,600 NOI); zoning; title and survey. Unit-level inspection of the 208 unrenovated units is the core of the value-add underwriting (renovation budget; $295/month premium). Seller deliveries are not due until 5 business days after signing, so 21 days leaves about 2 working weeks.</w:t>
            </w:r>
          </w:p>
        </w:tc>
        <w:tc>
          <w:tcPr>
            <w:tcW w:type="dxa" w:w="2520"/>
          </w:tcPr>
          <w:p>
            <w:pPr>
              <w:spacing w:after="20"/>
            </w:pPr>
            <w:r/>
            <w:r>
              <w:rPr>
                <w:b/>
                <w:sz w:val="17"/>
              </w:rPr>
              <w:t>Reject</w:t>
            </w:r>
            <w:r>
              <w:rPr>
                <w:b w:val="0"/>
                <w:sz w:val="17"/>
              </w:rPr>
              <w:t xml:space="preserve"> (IC 1(a)). Keep 30 days. Add that if Seller's §5.2 deliveries are late, the period extends day-for-day. Restore occupied-unit access through the property manager and the invasive-testing consent standard.</w:t>
            </w:r>
          </w:p>
        </w:tc>
      </w:tr>
      <w:tr>
        <w:tc>
          <w:tcPr>
            <w:tcW w:type="dxa" w:w="432"/>
            <w:shd w:val="clear" w:color="auto" w:fill="F8D7DA"/>
          </w:tcPr>
          <w:p>
            <w:pPr>
              <w:spacing w:after="20"/>
            </w:pPr>
            <w:r/>
            <w:r>
              <w:rPr>
                <w:b w:val="0"/>
                <w:sz w:val="17"/>
              </w:rPr>
              <w:t>5</w:t>
            </w:r>
          </w:p>
        </w:tc>
        <w:tc>
          <w:tcPr>
            <w:tcW w:type="dxa" w:w="1656"/>
          </w:tcPr>
          <w:p>
            <w:pPr>
              <w:spacing w:after="20"/>
            </w:pPr>
            <w:r/>
            <w:r>
              <w:rPr>
                <w:b/>
                <w:sz w:val="17"/>
              </w:rPr>
              <w:t>Seller representations: knowledge, scope, survival, cap, waiver</w:t>
            </w:r>
          </w:p>
          <w:p>
            <w:pPr>
              <w:spacing w:after="20"/>
            </w:pPr>
            <w:r>
              <w:rPr>
                <w:b w:val="0"/>
                <w:sz w:val="17"/>
              </w:rPr>
              <w:t>Form §§1 ("Seller's Knowledge"), 2.2, 8.1–8.3</w:t>
            </w:r>
          </w:p>
          <w:p>
            <w:pPr>
              <w:spacing w:after="20"/>
            </w:pPr>
            <w:r>
              <w:rPr>
                <w:b w:val="0"/>
                <w:sz w:val="17"/>
              </w:rPr>
              <w:t>Mkp §§1.1, 6.1, 6.2, 6.4</w:t>
            </w:r>
          </w:p>
        </w:tc>
        <w:tc>
          <w:tcPr>
            <w:tcW w:type="dxa" w:w="2520"/>
          </w:tcPr>
          <w:p>
            <w:pPr>
              <w:spacing w:after="20"/>
            </w:pPr>
            <w:r/>
            <w:r>
              <w:rPr>
                <w:b w:val="0"/>
                <w:sz w:val="17"/>
              </w:rPr>
              <w:t>T: knowledge narrowed to "actual knowledge of Jonathan Aldecott . . . without any duty of investigation or inquiry," and repeated in §6.1(d), (f), (g), (h). Survival cut from 12 to 3 months (to Apr. 3, 2025). New $500,000 aggregate cap. No consequential damages. New §6.4 non-reliance and waiver of "any claim . . . for matters that could have been discovered" in due diligence; the knowledge qualifier applies "notwithstanding any other provision."</w:t>
            </w:r>
          </w:p>
          <w:p>
            <w:pPr>
              <w:spacing w:after="20"/>
            </w:pPr>
            <w:r>
              <w:rPr>
                <w:b w:val="0"/>
                <w:sz w:val="17"/>
              </w:rPr>
              <w:t xml:space="preserve">U: deleted Form §8.3 (no cap) and the Form §2.2 paragraph protecting reps from the as-is clause. Narrowed or deleted reps: (a) member approval by Aldecott Family Holdings LP; (c) conveyance of good and marketable title; (d) lease copies true and complete, no other occupancy agreements, security deposits, notices to vacate; (g) USTs, NPL listing, pending environmental claims; (h) ADA/FHA and written violation notices; (j) special assessments; (l) </w:t>
            </w:r>
            <w:r>
              <w:rPr>
                <w:b/>
                <w:sz w:val="17"/>
              </w:rPr>
              <w:t>no options/ROFR (deleted)</w:t>
            </w:r>
            <w:r>
              <w:rPr>
                <w:b w:val="0"/>
                <w:sz w:val="17"/>
              </w:rPr>
              <w:t xml:space="preserve">; (m) pending insurance claims; (o) </w:t>
            </w:r>
            <w:r>
              <w:rPr>
                <w:b/>
                <w:sz w:val="17"/>
              </w:rPr>
              <w:t>renovation code compliance, permits and licensed contractors (deleted)</w:t>
            </w:r>
            <w:r>
              <w:rPr>
                <w:b w:val="0"/>
                <w:sz w:val="17"/>
              </w:rPr>
              <w:t>; Form §5.2 statement that deliveries are true, correct and complete.</w:t>
            </w:r>
          </w:p>
        </w:tc>
        <w:tc>
          <w:tcPr>
            <w:tcW w:type="dxa" w:w="2520"/>
          </w:tcPr>
          <w:p>
            <w:pPr>
              <w:spacing w:after="20"/>
            </w:pPr>
            <w:r/>
            <w:r>
              <w:rPr>
                <w:b w:val="0"/>
                <w:sz w:val="17"/>
              </w:rPr>
              <w:t>The knowledge person is a passive manager whose counsel says the family has "limited direct involvement" and relies on a third-party manager, so the reps would cover almost nothing. The discoverability waiver lets Seller defend nearly any claim by arguing Buyer's consultants could have found the problem. Three months does not cover even one full post-closing operating quarter, tax re-billing, or year-end reconciliation. A $500,000 cap is 0.87% of price. The deleted renovation rep goes to the heart of the value-add thesis (104 units renovated 2019–2021; quality and permitting of that work drives the projected rent premium). IC §8 lists "significant reduction in the survival period or scope" as requiring IC authorization.</w:t>
            </w:r>
          </w:p>
        </w:tc>
        <w:tc>
          <w:tcPr>
            <w:tcW w:type="dxa" w:w="2520"/>
          </w:tcPr>
          <w:p>
            <w:pPr>
              <w:spacing w:after="20"/>
            </w:pPr>
            <w:r/>
            <w:r>
              <w:rPr>
                <w:b/>
                <w:sz w:val="17"/>
              </w:rPr>
              <w:t>Reject.</w:t>
            </w:r>
            <w:r>
              <w:rPr>
                <w:b w:val="0"/>
                <w:sz w:val="17"/>
              </w:rPr>
              <w:t xml:space="preserve"> Restore the Form knowledge definition: actual knowledge of Mr. Aldecott after reasonable inquiry of the property manager, plus deemed knowledge. Better still, add the on-site community manager and the management company's regional manager as knowledge parties. Restore all Form §8.1 reps (especially (d), (l), (o)), 12-month survival, Form §8.3 and the §2.2 carve-back. Delete the §6.4 waiver. At most, accept a narrow anti-sandbagging clause limited to matters actually known to named Buyer personnel before Closing. If a cap must be traded (IC approval), set it at a market-level percentage of price, well above $500,000, carved out for fraud, title, authority, FIRPTA, brokers, the certified rent roll and Seller indemnities, with a modest deductible.</w:t>
            </w:r>
          </w:p>
        </w:tc>
      </w:tr>
      <w:tr>
        <w:tc>
          <w:tcPr>
            <w:tcW w:type="dxa" w:w="432"/>
            <w:shd w:val="clear" w:color="auto" w:fill="F8D7DA"/>
          </w:tcPr>
          <w:p>
            <w:pPr>
              <w:spacing w:after="20"/>
            </w:pPr>
            <w:r/>
            <w:r>
              <w:rPr>
                <w:b w:val="0"/>
                <w:sz w:val="17"/>
              </w:rPr>
              <w:t>6</w:t>
            </w:r>
          </w:p>
        </w:tc>
        <w:tc>
          <w:tcPr>
            <w:tcW w:type="dxa" w:w="1656"/>
          </w:tcPr>
          <w:p>
            <w:pPr>
              <w:spacing w:after="20"/>
            </w:pPr>
            <w:r/>
            <w:r>
              <w:rPr>
                <w:b/>
                <w:sz w:val="17"/>
              </w:rPr>
              <w:t>Seller indemnification</w:t>
            </w:r>
          </w:p>
          <w:p>
            <w:pPr>
              <w:spacing w:after="20"/>
            </w:pPr>
            <w:r>
              <w:rPr>
                <w:b w:val="0"/>
                <w:sz w:val="17"/>
              </w:rPr>
              <w:t>Form Art. XV; Form §2.2(c)</w:t>
            </w:r>
          </w:p>
          <w:p>
            <w:pPr>
              <w:spacing w:after="20"/>
            </w:pPr>
            <w:r>
              <w:rPr>
                <w:b w:val="0"/>
                <w:sz w:val="17"/>
              </w:rPr>
              <w:t>Mkp: none</w:t>
            </w:r>
          </w:p>
        </w:tc>
        <w:tc>
          <w:tcPr>
            <w:tcW w:type="dxa" w:w="2520"/>
          </w:tcPr>
          <w:p>
            <w:pPr>
              <w:spacing w:after="20"/>
            </w:pPr>
            <w:r/>
            <w:r>
              <w:rPr>
                <w:b w:val="0"/>
                <w:sz w:val="17"/>
              </w:rPr>
              <w:t>U: Article XV deleted in its entirety: Seller indemnity for rep and covenant breaches, pre-closing operation liabilities (pre-closing litigation, tenant and personal-injury claims), and environmental remediation for pre-closing conditions (no time limit). Only the narrow Assignment-of-Leases indemnity (Exhibit E) remains. Exhibit F (Assignment of Contracts) has no Assignor indemnity.</w:t>
            </w:r>
          </w:p>
        </w:tc>
        <w:tc>
          <w:tcPr>
            <w:tcW w:type="dxa" w:w="2520"/>
          </w:tcPr>
          <w:p>
            <w:pPr>
              <w:spacing w:after="20"/>
            </w:pPr>
            <w:r/>
            <w:r>
              <w:rPr>
                <w:b w:val="0"/>
                <w:sz w:val="17"/>
              </w:rPr>
              <w:t>The IC memo (§§5.5, 6 Environmental Risk) relies on Seller bearing pre-closing litigation and remediation liabilities. Without Article XV, Buyer inherits pre-closing tort, tenant and vendor claims, and environmental conditions not caught by a Phase I.</w:t>
            </w:r>
          </w:p>
        </w:tc>
        <w:tc>
          <w:tcPr>
            <w:tcW w:type="dxa" w:w="2520"/>
          </w:tcPr>
          <w:p>
            <w:pPr>
              <w:spacing w:after="20"/>
            </w:pPr>
            <w:r/>
            <w:r>
              <w:rPr>
                <w:b/>
                <w:sz w:val="17"/>
              </w:rPr>
              <w:t>Reject; restore Article XV</w:t>
            </w:r>
            <w:r>
              <w:rPr>
                <w:b w:val="0"/>
                <w:sz w:val="17"/>
              </w:rPr>
              <w:t>, including the uncapped, unlimited-duration environmental indemnity. Fallback (IC consult): environmental indemnity survival of 5–7 years, plus pre-closing operation indemnity of 12–24 months outside any rep cap. Restore the mutual indemnities in Exhibits E and F.</w:t>
            </w:r>
          </w:p>
        </w:tc>
      </w:tr>
      <w:tr>
        <w:tc>
          <w:tcPr>
            <w:tcW w:type="dxa" w:w="432"/>
            <w:shd w:val="clear" w:color="auto" w:fill="F8D7DA"/>
          </w:tcPr>
          <w:p>
            <w:pPr>
              <w:spacing w:after="20"/>
            </w:pPr>
            <w:r/>
            <w:r>
              <w:rPr>
                <w:b w:val="0"/>
                <w:sz w:val="17"/>
              </w:rPr>
              <w:t>7</w:t>
            </w:r>
          </w:p>
        </w:tc>
        <w:tc>
          <w:tcPr>
            <w:tcW w:type="dxa" w:w="1656"/>
          </w:tcPr>
          <w:p>
            <w:pPr>
              <w:spacing w:after="20"/>
            </w:pPr>
            <w:r/>
            <w:r>
              <w:rPr>
                <w:b/>
                <w:sz w:val="17"/>
              </w:rPr>
              <w:t>Pre-closing operating covenants</w:t>
            </w:r>
          </w:p>
          <w:p>
            <w:pPr>
              <w:spacing w:after="20"/>
            </w:pPr>
            <w:r>
              <w:rPr>
                <w:b w:val="0"/>
                <w:sz w:val="17"/>
              </w:rPr>
              <w:t>Form §7.2(a)–(h)</w:t>
            </w:r>
          </w:p>
          <w:p>
            <w:pPr>
              <w:spacing w:after="20"/>
            </w:pPr>
            <w:r>
              <w:rPr>
                <w:b w:val="0"/>
                <w:sz w:val="17"/>
              </w:rPr>
              <w:t>Mkp §§7.2, 8.1(b)</w:t>
            </w:r>
          </w:p>
        </w:tc>
        <w:tc>
          <w:tcPr>
            <w:tcW w:type="dxa" w:w="2520"/>
          </w:tcPr>
          <w:p>
            <w:pPr>
              <w:spacing w:after="20"/>
            </w:pPr>
            <w:r/>
            <w:r>
              <w:rPr>
                <w:b w:val="0"/>
                <w:sz w:val="17"/>
              </w:rPr>
              <w:t>T: entire covenant deleted: ordinary course, insurance, no new or modified leases or contracts without consent, no liens, maintenance, compliance, notices. Seller also inserted into condition 8.1(b) "to the extent not deleted or modified hereby." Only a rep that Seller "will maintain" insurance (§6.1(j)) remains.</w:t>
            </w:r>
          </w:p>
        </w:tc>
        <w:tc>
          <w:tcPr>
            <w:tcW w:type="dxa" w:w="2520"/>
          </w:tcPr>
          <w:p>
            <w:pPr>
              <w:spacing w:after="20"/>
            </w:pPr>
            <w:r/>
            <w:r>
              <w:rPr>
                <w:b w:val="0"/>
                <w:sz w:val="17"/>
              </w:rPr>
              <w:t>The 60-day gap (up to 90 days with extensions) is unprotected. Seller could sign below-market or long-term leases, amend or terminate the Little Oaks lease ($70,400/yr NNN, expires Dec. 31, 2027), sign long-term vendor contracts, defer maintenance, let occupancy slide, or encumber the Property. This contradicts the transmittal's own assurance that Seller will continue to manage "in the ordinary course." IC condition 1(e).</w:t>
            </w:r>
          </w:p>
        </w:tc>
        <w:tc>
          <w:tcPr>
            <w:tcW w:type="dxa" w:w="2520"/>
          </w:tcPr>
          <w:p>
            <w:pPr>
              <w:spacing w:after="20"/>
            </w:pPr>
            <w:r/>
            <w:r>
              <w:rPr>
                <w:b/>
                <w:sz w:val="17"/>
              </w:rPr>
              <w:t>Reject; restore Form §7.2 in full.</w:t>
            </w:r>
            <w:r>
              <w:rPr>
                <w:b w:val="0"/>
                <w:sz w:val="17"/>
              </w:rPr>
              <w:t xml:space="preserve"> Point out that if Seller truly intends ordinary-course operation, the covenant costs it nothing. Possible concession: deemed consent if Buyer does not respond within 3 business days, and freedom to sign market-rate residential leases of 12 months or less (already in Form §7.2(c)). Delete the 8.1(b) qualifier.</w:t>
            </w:r>
          </w:p>
        </w:tc>
      </w:tr>
      <w:tr>
        <w:tc>
          <w:tcPr>
            <w:tcW w:type="dxa" w:w="432"/>
            <w:shd w:val="clear" w:color="auto" w:fill="F8D7DA"/>
          </w:tcPr>
          <w:p>
            <w:pPr>
              <w:spacing w:after="20"/>
            </w:pPr>
            <w:r/>
            <w:r>
              <w:rPr>
                <w:b w:val="0"/>
                <w:sz w:val="17"/>
              </w:rPr>
              <w:t>8</w:t>
            </w:r>
          </w:p>
        </w:tc>
        <w:tc>
          <w:tcPr>
            <w:tcW w:type="dxa" w:w="1656"/>
          </w:tcPr>
          <w:p>
            <w:pPr>
              <w:spacing w:after="20"/>
            </w:pPr>
            <w:r/>
            <w:r>
              <w:rPr>
                <w:b/>
                <w:sz w:val="17"/>
              </w:rPr>
              <w:t>Assignment</w:t>
            </w:r>
          </w:p>
          <w:p>
            <w:pPr>
              <w:spacing w:after="20"/>
            </w:pPr>
            <w:r>
              <w:rPr>
                <w:b w:val="0"/>
                <w:sz w:val="17"/>
              </w:rPr>
              <w:t>Form §14.1; Mkp §§1.1 ("Buyer"), 13.1, 16.6, Exh. C</w:t>
            </w:r>
          </w:p>
        </w:tc>
        <w:tc>
          <w:tcPr>
            <w:tcW w:type="dxa" w:w="2520"/>
          </w:tcPr>
          <w:p>
            <w:pPr>
              <w:spacing w:after="20"/>
            </w:pPr>
            <w:r/>
            <w:r>
              <w:rPr>
                <w:b w:val="0"/>
                <w:sz w:val="17"/>
              </w:rPr>
              <w:t>T: no assignment without Seller consent "in its sole and absolute discretion"; non-consented assignment void. "Buyer" and the successors clause are limited to "permitted assigns."</w:t>
            </w:r>
          </w:p>
        </w:tc>
        <w:tc>
          <w:tcPr>
            <w:tcW w:type="dxa" w:w="2520"/>
          </w:tcPr>
          <w:p>
            <w:pPr>
              <w:spacing w:after="20"/>
            </w:pPr>
            <w:r/>
            <w:r>
              <w:rPr>
                <w:b w:val="0"/>
                <w:sz w:val="17"/>
              </w:rPr>
              <w:t>Fund III closes through a newly formed single-purpose entity (lender requirement; liability isolation). Seller would hold a veto it could use to renegotiate price or terms on the eve of Closing. IC condition 1(f).</w:t>
            </w:r>
          </w:p>
        </w:tc>
        <w:tc>
          <w:tcPr>
            <w:tcW w:type="dxa" w:w="2520"/>
          </w:tcPr>
          <w:p>
            <w:pPr>
              <w:spacing w:after="20"/>
            </w:pPr>
            <w:r/>
            <w:r>
              <w:rPr>
                <w:b/>
                <w:sz w:val="17"/>
              </w:rPr>
              <w:t>Reject; restore Form §14.1</w:t>
            </w:r>
            <w:r>
              <w:rPr>
                <w:b w:val="0"/>
                <w:sz w:val="17"/>
              </w:rPr>
              <w:t xml:space="preserve"> (affiliate/SPE assignment without consent on 5 business days' notice; third-party assignment with consent not unreasonably withheld; Buyer not released). We can accept a written assumption by the assignee and Buyer remaining liable through Closing (already in our form).</w:t>
            </w:r>
          </w:p>
        </w:tc>
      </w:tr>
    </w:tbl>
    <w:p>
      <w:pPr>
        <w:spacing w:after="40"/>
      </w:pPr>
    </w:p>
    <w:p>
      <w:pPr>
        <w:pStyle w:val="Heading2"/>
      </w:pPr>
      <w:r>
        <w:t>Tier 2: High (insist on our form or a close variant)</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2A44"/>
          </w:tcPr>
          <w:p>
            <w:r/>
            <w:r>
              <w:rPr>
                <w:b/>
                <w:color w:val="FFFFFF"/>
                <w:sz w:val="17"/>
              </w:rPr>
              <w:t>#</w:t>
            </w:r>
          </w:p>
        </w:tc>
        <w:tc>
          <w:tcPr>
            <w:tcW w:type="dxa" w:w="1656"/>
            <w:shd w:val="clear" w:color="auto" w:fill="1F2A44"/>
          </w:tcPr>
          <w:p>
            <w:r/>
            <w:r>
              <w:rPr>
                <w:b/>
                <w:color w:val="FFFFFF"/>
                <w:sz w:val="17"/>
              </w:rPr>
              <w:t>Issue (Form § / Mkp §)</w:t>
            </w:r>
          </w:p>
        </w:tc>
        <w:tc>
          <w:tcPr>
            <w:tcW w:type="dxa" w:w="2520"/>
            <w:shd w:val="clear" w:color="auto" w:fill="1F2A44"/>
          </w:tcPr>
          <w:p>
            <w:r/>
            <w:r>
              <w:rPr>
                <w:b/>
                <w:color w:val="FFFFFF"/>
                <w:sz w:val="17"/>
              </w:rPr>
              <w:t>What Seller did</w:t>
            </w:r>
          </w:p>
        </w:tc>
        <w:tc>
          <w:tcPr>
            <w:tcW w:type="dxa" w:w="2520"/>
            <w:shd w:val="clear" w:color="auto" w:fill="1F2A44"/>
          </w:tcPr>
          <w:p>
            <w:r/>
            <w:r>
              <w:rPr>
                <w:b/>
                <w:color w:val="FFFFFF"/>
                <w:sz w:val="17"/>
              </w:rPr>
              <w:t>Why it matters to Buyer</w:t>
            </w:r>
          </w:p>
        </w:tc>
        <w:tc>
          <w:tcPr>
            <w:tcW w:type="dxa" w:w="2520"/>
            <w:shd w:val="clear" w:color="auto" w:fill="1F2A44"/>
          </w:tcPr>
          <w:p>
            <w:r/>
            <w:r>
              <w:rPr>
                <w:b/>
                <w:color w:val="FFFFFF"/>
                <w:sz w:val="17"/>
              </w:rPr>
              <w:t>Recommended response</w:t>
            </w:r>
          </w:p>
        </w:tc>
      </w:tr>
      <w:tr>
        <w:tc>
          <w:tcPr>
            <w:tcW w:type="dxa" w:w="432"/>
            <w:shd w:val="clear" w:color="auto" w:fill="FFE5B4"/>
          </w:tcPr>
          <w:p>
            <w:pPr>
              <w:spacing w:after="20"/>
            </w:pPr>
            <w:r/>
            <w:r>
              <w:rPr>
                <w:b w:val="0"/>
                <w:sz w:val="17"/>
              </w:rPr>
              <w:t>9</w:t>
            </w:r>
          </w:p>
        </w:tc>
        <w:tc>
          <w:tcPr>
            <w:tcW w:type="dxa" w:w="1656"/>
          </w:tcPr>
          <w:p>
            <w:pPr>
              <w:spacing w:after="20"/>
            </w:pPr>
            <w:r/>
            <w:r>
              <w:rPr>
                <w:b/>
                <w:sz w:val="17"/>
              </w:rPr>
              <w:t>Title objections and cure</w:t>
            </w:r>
          </w:p>
          <w:p>
            <w:pPr>
              <w:spacing w:after="20"/>
            </w:pPr>
            <w:r>
              <w:rPr>
                <w:b w:val="0"/>
                <w:sz w:val="17"/>
              </w:rPr>
              <w:t>Form §6.3</w:t>
            </w:r>
          </w:p>
          <w:p>
            <w:pPr>
              <w:spacing w:after="20"/>
            </w:pPr>
            <w:r>
              <w:rPr>
                <w:b w:val="0"/>
                <w:sz w:val="17"/>
              </w:rPr>
              <w:t>Mkp §4.3</w:t>
            </w:r>
          </w:p>
        </w:tc>
        <w:tc>
          <w:tcPr>
            <w:tcW w:type="dxa" w:w="2520"/>
          </w:tcPr>
          <w:p>
            <w:pPr>
              <w:spacing w:after="20"/>
            </w:pPr>
            <w:r/>
            <w:r>
              <w:rPr>
                <w:b w:val="0"/>
                <w:sz w:val="17"/>
              </w:rPr>
              <w:t>T: Seller may "in its sole discretion" terminate the agreement if it is "unable or unwilling" to cure any objection. The cure period changes from 15 business days to 15 calendar days. U: deleted Seller's unconditional obligation to remove deeds of trust and other monetary liens and post-signing encumbrances; deleted the $50,000 cure commitment, Buyer's supplemental objections right, and the statement that Seller cannot terminate over title.</w:t>
            </w:r>
          </w:p>
        </w:tc>
        <w:tc>
          <w:tcPr>
            <w:tcW w:type="dxa" w:w="2520"/>
          </w:tcPr>
          <w:p>
            <w:pPr>
              <w:spacing w:after="20"/>
            </w:pPr>
            <w:r/>
            <w:r>
              <w:rPr>
                <w:b w:val="0"/>
                <w:sz w:val="17"/>
              </w:rPr>
              <w:t>Seller could refuse to pay off its own mortgage and then terminate. Any Buyer objection becomes a free exit for Seller if the market rises or a better offer appears. Gap-period title matters have no objection mechanism.</w:t>
            </w:r>
          </w:p>
        </w:tc>
        <w:tc>
          <w:tcPr>
            <w:tcW w:type="dxa" w:w="2520"/>
          </w:tcPr>
          <w:p>
            <w:pPr>
              <w:spacing w:after="20"/>
            </w:pPr>
            <w:r/>
            <w:r>
              <w:rPr>
                <w:b/>
                <w:sz w:val="17"/>
              </w:rPr>
              <w:t>Reject the Seller termination right.</w:t>
            </w:r>
            <w:r>
              <w:rPr>
                <w:b w:val="0"/>
                <w:sz w:val="17"/>
              </w:rPr>
              <w:t xml:space="preserve"> Restore Form §6.3(b)–(c): mandatory removal of monetary liens and Seller-created encumbrances; $50,000 cure effort; supplemental objections; Buyer-only election. Could accept 15 business days becoming 20 calendar days if timing requires.</w:t>
            </w:r>
          </w:p>
        </w:tc>
      </w:tr>
      <w:tr>
        <w:tc>
          <w:tcPr>
            <w:tcW w:type="dxa" w:w="432"/>
            <w:shd w:val="clear" w:color="auto" w:fill="FFE5B4"/>
          </w:tcPr>
          <w:p>
            <w:pPr>
              <w:spacing w:after="20"/>
            </w:pPr>
            <w:r/>
            <w:r>
              <w:rPr>
                <w:b w:val="0"/>
                <w:sz w:val="17"/>
              </w:rPr>
              <w:t>10</w:t>
            </w:r>
          </w:p>
        </w:tc>
        <w:tc>
          <w:tcPr>
            <w:tcW w:type="dxa" w:w="1656"/>
          </w:tcPr>
          <w:p>
            <w:pPr>
              <w:spacing w:after="20"/>
            </w:pPr>
            <w:r/>
            <w:r>
              <w:rPr>
                <w:b/>
                <w:sz w:val="17"/>
              </w:rPr>
              <w:t>Seller default remedies</w:t>
            </w:r>
          </w:p>
          <w:p>
            <w:pPr>
              <w:spacing w:after="20"/>
            </w:pPr>
            <w:r>
              <w:rPr>
                <w:b w:val="0"/>
                <w:sz w:val="17"/>
              </w:rPr>
              <w:t>Form §13.1</w:t>
            </w:r>
          </w:p>
          <w:p>
            <w:pPr>
              <w:spacing w:after="20"/>
            </w:pPr>
            <w:r>
              <w:rPr>
                <w:b w:val="0"/>
                <w:sz w:val="17"/>
              </w:rPr>
              <w:t>Mkp §12.2</w:t>
            </w:r>
          </w:p>
        </w:tc>
        <w:tc>
          <w:tcPr>
            <w:tcW w:type="dxa" w:w="2520"/>
          </w:tcPr>
          <w:p>
            <w:pPr>
              <w:spacing w:after="20"/>
            </w:pPr>
            <w:r/>
            <w:r>
              <w:rPr>
                <w:b w:val="0"/>
                <w:sz w:val="17"/>
              </w:rPr>
              <w:t xml:space="preserve">U: Buyer's remedies made "sole and exclusive." Cost reimbursement cut from $250,000 to </w:t>
            </w:r>
            <w:r>
              <w:rPr>
                <w:b/>
                <w:sz w:val="17"/>
              </w:rPr>
              <w:t>$50,000</w:t>
            </w:r>
            <w:r>
              <w:rPr>
                <w:b w:val="0"/>
                <w:sz w:val="17"/>
              </w:rPr>
              <w:t>. Specific performance must be "commenced within sixty (60) days after the scheduled Closing Date." Actual damages capped at the Purchase Price. Remedies no longer cumulative. T: §12.3 bars only Buyer from consequential damages.</w:t>
            </w:r>
          </w:p>
        </w:tc>
        <w:tc>
          <w:tcPr>
            <w:tcW w:type="dxa" w:w="2520"/>
          </w:tcPr>
          <w:p>
            <w:pPr>
              <w:spacing w:after="20"/>
            </w:pPr>
            <w:r/>
            <w:r>
              <w:rPr>
                <w:b w:val="0"/>
                <w:sz w:val="17"/>
              </w:rPr>
              <w:t>IC §5.7 assumed $250,000 reimbursement and specific performance. Third-party reports, legal fees and lender deposits on a $57.2M deal can easily exceed $50,000. The 60-day suit window, combined with the new 30-day mediation precondition (Issue 17), can be used up before suit is possible.</w:t>
            </w:r>
          </w:p>
        </w:tc>
        <w:tc>
          <w:tcPr>
            <w:tcW w:type="dxa" w:w="2520"/>
          </w:tcPr>
          <w:p>
            <w:pPr>
              <w:spacing w:after="20"/>
            </w:pPr>
            <w:r/>
            <w:r>
              <w:rPr>
                <w:b w:val="0"/>
                <w:sz w:val="17"/>
              </w:rPr>
              <w:t>Restore Form §13.1 (cure, cumulative remedies, $250,000 reimbursement, specific performance, actual damages). If Seller insists on a specific-performance window, accept no less than 90 days, tolled during any mediation, and add a willful-default damages remedy (e.g., Seller conveys to a third party).</w:t>
            </w:r>
          </w:p>
        </w:tc>
      </w:tr>
      <w:tr>
        <w:tc>
          <w:tcPr>
            <w:tcW w:type="dxa" w:w="432"/>
            <w:shd w:val="clear" w:color="auto" w:fill="FFE5B4"/>
          </w:tcPr>
          <w:p>
            <w:pPr>
              <w:spacing w:after="20"/>
            </w:pPr>
            <w:r/>
            <w:r>
              <w:rPr>
                <w:b w:val="0"/>
                <w:sz w:val="17"/>
              </w:rPr>
              <w:t>11</w:t>
            </w:r>
          </w:p>
        </w:tc>
        <w:tc>
          <w:tcPr>
            <w:tcW w:type="dxa" w:w="1656"/>
          </w:tcPr>
          <w:p>
            <w:pPr>
              <w:spacing w:after="20"/>
            </w:pPr>
            <w:r/>
            <w:r>
              <w:rPr>
                <w:b/>
                <w:sz w:val="17"/>
              </w:rPr>
              <w:t>Prorations and post-closing true-up</w:t>
            </w:r>
          </w:p>
          <w:p>
            <w:pPr>
              <w:spacing w:after="20"/>
            </w:pPr>
            <w:r>
              <w:rPr>
                <w:b w:val="0"/>
                <w:sz w:val="17"/>
              </w:rPr>
              <w:t>Form §§11.1–11.2</w:t>
            </w:r>
          </w:p>
          <w:p>
            <w:pPr>
              <w:spacing w:after="20"/>
            </w:pPr>
            <w:r>
              <w:rPr>
                <w:b w:val="0"/>
                <w:sz w:val="17"/>
              </w:rPr>
              <w:t>Mkp §§10.1–10.2</w:t>
            </w:r>
          </w:p>
        </w:tc>
        <w:tc>
          <w:tcPr>
            <w:tcW w:type="dxa" w:w="2520"/>
          </w:tcPr>
          <w:p>
            <w:pPr>
              <w:spacing w:after="20"/>
            </w:pPr>
            <w:r/>
            <w:r>
              <w:rPr>
                <w:b w:val="0"/>
                <w:sz w:val="17"/>
              </w:rPr>
              <w:t xml:space="preserve">T: accrual proration replaced with a </w:t>
            </w:r>
            <w:r>
              <w:rPr>
                <w:b/>
                <w:sz w:val="17"/>
              </w:rPr>
              <w:t>cash method</w:t>
            </w:r>
            <w:r>
              <w:rPr>
                <w:b w:val="0"/>
                <w:sz w:val="17"/>
              </w:rPr>
              <w:t>. Seller keeps "all rents . . . collected through and including the Closing Date"; expenses are allocated by when they are "due and payable." True-up deleted; prorations are "final." U: no credits for prepaid rents or security deposits (Form §11.1(f)–(g)); no tax re-proration; no Little Oaks NNN/CAM reconciliation.</w:t>
            </w:r>
          </w:p>
        </w:tc>
        <w:tc>
          <w:tcPr>
            <w:tcW w:type="dxa" w:w="2520"/>
          </w:tcPr>
          <w:p>
            <w:pPr>
              <w:spacing w:after="20"/>
            </w:pPr>
            <w:r/>
            <w:r>
              <w:rPr>
                <w:b w:val="0"/>
                <w:sz w:val="17"/>
              </w:rPr>
              <w:t>With a Friday, Jan. 3, 2025 Closing, January rent (mostly collected Jan. 1–3) would stay with Seller. On T-12 EGI of $6,192,000 (about $516,000/month), Buyer would forgo up to about $480,000. Under our form, Seller is entitled only to Jan. 1–2 (about $33,000). Buyer would also pay pre-closing expenses billed after Closing, lose the security-deposit credit (Buyer becomes liable to tenants for deposits it never received), and lose tax and estimate true-ups.</w:t>
            </w:r>
          </w:p>
        </w:tc>
        <w:tc>
          <w:tcPr>
            <w:tcW w:type="dxa" w:w="2520"/>
          </w:tcPr>
          <w:p>
            <w:pPr>
              <w:spacing w:after="20"/>
            </w:pPr>
            <w:r/>
            <w:r>
              <w:rPr>
                <w:b/>
                <w:sz w:val="17"/>
              </w:rPr>
              <w:t>Reject.</w:t>
            </w:r>
            <w:r>
              <w:rPr>
                <w:b w:val="0"/>
                <w:sz w:val="17"/>
              </w:rPr>
              <w:t xml:space="preserve"> Restore Form §11.1 (accrual as of 11:59 p.m. the day before Closing; credits for prepaid rents and security deposits) and §11.2 (90-day true-up; delinquent-rent waterfall). The only point in Seller's version that helps Buyer (Buyer keeps post-closing delinquent collections) is worth far less than what Buyer gives up.</w:t>
            </w:r>
          </w:p>
        </w:tc>
      </w:tr>
      <w:tr>
        <w:tc>
          <w:tcPr>
            <w:tcW w:type="dxa" w:w="432"/>
            <w:shd w:val="clear" w:color="auto" w:fill="FFE5B4"/>
          </w:tcPr>
          <w:p>
            <w:pPr>
              <w:spacing w:after="20"/>
            </w:pPr>
            <w:r/>
            <w:r>
              <w:rPr>
                <w:b w:val="0"/>
                <w:sz w:val="17"/>
              </w:rPr>
              <w:t>12</w:t>
            </w:r>
          </w:p>
        </w:tc>
        <w:tc>
          <w:tcPr>
            <w:tcW w:type="dxa" w:w="1656"/>
          </w:tcPr>
          <w:p>
            <w:pPr>
              <w:spacing w:after="20"/>
            </w:pPr>
            <w:r/>
            <w:r>
              <w:rPr>
                <w:b/>
                <w:sz w:val="17"/>
              </w:rPr>
              <w:t>Casualty and condemnation</w:t>
            </w:r>
          </w:p>
          <w:p>
            <w:pPr>
              <w:spacing w:after="20"/>
            </w:pPr>
            <w:r>
              <w:rPr>
                <w:b w:val="0"/>
                <w:sz w:val="17"/>
              </w:rPr>
              <w:t>Form §§12.1–12.2</w:t>
            </w:r>
          </w:p>
          <w:p>
            <w:pPr>
              <w:spacing w:after="20"/>
            </w:pPr>
            <w:r>
              <w:rPr>
                <w:b w:val="0"/>
                <w:sz w:val="17"/>
              </w:rPr>
              <w:t>Mkp §§11.1–11.2</w:t>
            </w:r>
          </w:p>
        </w:tc>
        <w:tc>
          <w:tcPr>
            <w:tcW w:type="dxa" w:w="2520"/>
          </w:tcPr>
          <w:p>
            <w:pPr>
              <w:spacing w:after="20"/>
            </w:pPr>
            <w:r/>
            <w:r>
              <w:rPr>
                <w:b w:val="0"/>
                <w:sz w:val="17"/>
              </w:rPr>
              <w:t xml:space="preserve">T: casualty termination threshold raised from $2,000,000 to </w:t>
            </w:r>
            <w:r>
              <w:rPr>
                <w:b/>
                <w:sz w:val="17"/>
              </w:rPr>
              <w:t>$5,000,000</w:t>
            </w:r>
            <w:r>
              <w:rPr>
                <w:b w:val="0"/>
                <w:sz w:val="17"/>
              </w:rPr>
              <w:t xml:space="preserve"> (8.7% of price). (The "10% of value" test Seller deleted was in its retyped base, not our form.) U: deleted the independent-estimator mechanism (Form §12.1(d)), so Seller's "good-faith estimate" controls; deleted the price reduction for uninsured losses; deleted the $500,000 value prong of the condemnation "material portion" test (an amenity-impairment prong was added).</w:t>
            </w:r>
          </w:p>
        </w:tc>
        <w:tc>
          <w:tcPr>
            <w:tcW w:type="dxa" w:w="2520"/>
          </w:tcPr>
          <w:p>
            <w:pPr>
              <w:spacing w:after="20"/>
            </w:pPr>
            <w:r/>
            <w:r>
              <w:rPr>
                <w:b w:val="0"/>
                <w:sz w:val="17"/>
              </w:rPr>
              <w:t>A $4.9M fire loss at a 2004-vintage garden property could knock out a building during lease-up and the renovation program, and Buyer would have to close and take only insurance proceeds plus the deductible. Underinsurance risk shifts to Buyer. The lender may also be unwilling to fund over a large unrestored casualty.</w:t>
            </w:r>
          </w:p>
        </w:tc>
        <w:tc>
          <w:tcPr>
            <w:tcW w:type="dxa" w:w="2520"/>
          </w:tcPr>
          <w:p>
            <w:pPr>
              <w:spacing w:after="20"/>
            </w:pPr>
            <w:r/>
            <w:r>
              <w:rPr>
                <w:b w:val="0"/>
                <w:sz w:val="17"/>
              </w:rPr>
              <w:t>Restore $2,000,000 and the independent estimator, plus a credit for uninsured or underinsured loss. Add Buyer approval of any insurance settlement (partly retained in Mkp §11.1). Condemnation: keep Seller's amenity prong (helpful to Buyer) and restore the $500,000 value prong.</w:t>
            </w:r>
          </w:p>
        </w:tc>
      </w:tr>
      <w:tr>
        <w:tc>
          <w:tcPr>
            <w:tcW w:type="dxa" w:w="432"/>
            <w:shd w:val="clear" w:color="auto" w:fill="FFE5B4"/>
          </w:tcPr>
          <w:p>
            <w:pPr>
              <w:spacing w:after="20"/>
            </w:pPr>
            <w:r/>
            <w:r>
              <w:rPr>
                <w:b w:val="0"/>
                <w:sz w:val="17"/>
              </w:rPr>
              <w:t>13</w:t>
            </w:r>
          </w:p>
        </w:tc>
        <w:tc>
          <w:tcPr>
            <w:tcW w:type="dxa" w:w="1656"/>
          </w:tcPr>
          <w:p>
            <w:pPr>
              <w:spacing w:after="20"/>
            </w:pPr>
            <w:r/>
            <w:r>
              <w:rPr>
                <w:b/>
                <w:sz w:val="17"/>
              </w:rPr>
              <w:t>Little Oaks estoppel</w:t>
            </w:r>
          </w:p>
          <w:p>
            <w:pPr>
              <w:spacing w:after="20"/>
            </w:pPr>
            <w:r>
              <w:rPr>
                <w:b w:val="0"/>
                <w:sz w:val="17"/>
              </w:rPr>
              <w:t>Form §§7.3, 9.2(g), Exh. F</w:t>
            </w:r>
          </w:p>
          <w:p>
            <w:pPr>
              <w:spacing w:after="20"/>
            </w:pPr>
            <w:r>
              <w:rPr>
                <w:b w:val="0"/>
                <w:sz w:val="17"/>
              </w:rPr>
              <w:t>Mkp §§7.2 (renumbered), 9.3(k)</w:t>
            </w:r>
          </w:p>
        </w:tc>
        <w:tc>
          <w:tcPr>
            <w:tcW w:type="dxa" w:w="2520"/>
          </w:tcPr>
          <w:p>
            <w:pPr>
              <w:spacing w:after="20"/>
            </w:pPr>
            <w:r/>
            <w:r>
              <w:rPr>
                <w:b w:val="0"/>
                <w:sz w:val="17"/>
              </w:rPr>
              <w:t>U: delivery cut from 10 to 5 business days before Closing. Seller-executed backstop estoppel deleted. Estoppel is no longer a closing condition. Required content drops confirmation of options, ROFR/ROFO and lease amendments. Combined with deletion of the no-options rep (Issue 5).</w:t>
            </w:r>
          </w:p>
        </w:tc>
        <w:tc>
          <w:tcPr>
            <w:tcW w:type="dxa" w:w="2520"/>
          </w:tcPr>
          <w:p>
            <w:pPr>
              <w:spacing w:after="20"/>
            </w:pPr>
            <w:r/>
            <w:r>
              <w:rPr>
                <w:b w:val="0"/>
                <w:sz w:val="17"/>
              </w:rPr>
              <w:t>IC condition 5 requires a Little Oaks estoppel. The lender will require one. Five business days leaves no time to resolve discrepancies. A daycare ROFR or purchase option would be a title and use risk.</w:t>
            </w:r>
          </w:p>
        </w:tc>
        <w:tc>
          <w:tcPr>
            <w:tcW w:type="dxa" w:w="2520"/>
          </w:tcPr>
          <w:p>
            <w:pPr>
              <w:spacing w:after="20"/>
            </w:pPr>
            <w:r/>
            <w:r>
              <w:rPr>
                <w:b w:val="0"/>
                <w:sz w:val="17"/>
              </w:rPr>
              <w:t>Restore Form §7.3 and §9.2(g): 10 business days; Seller-certified backstop covered by the reps; closing condition; Exhibit F form including options/ROFR. Seller's concession that residential estoppels are not a condition is acceptable.</w:t>
            </w:r>
          </w:p>
        </w:tc>
      </w:tr>
      <w:tr>
        <w:tc>
          <w:tcPr>
            <w:tcW w:type="dxa" w:w="432"/>
            <w:shd w:val="clear" w:color="auto" w:fill="FFE5B4"/>
          </w:tcPr>
          <w:p>
            <w:pPr>
              <w:spacing w:after="20"/>
            </w:pPr>
            <w:r/>
            <w:r>
              <w:rPr>
                <w:b w:val="0"/>
                <w:sz w:val="17"/>
              </w:rPr>
              <w:t>14</w:t>
            </w:r>
          </w:p>
        </w:tc>
        <w:tc>
          <w:tcPr>
            <w:tcW w:type="dxa" w:w="1656"/>
          </w:tcPr>
          <w:p>
            <w:pPr>
              <w:spacing w:after="20"/>
            </w:pPr>
            <w:r/>
            <w:r>
              <w:rPr>
                <w:b/>
                <w:sz w:val="17"/>
              </w:rPr>
              <w:t>Buyer's closing conditions; MAC</w:t>
            </w:r>
          </w:p>
          <w:p>
            <w:pPr>
              <w:spacing w:after="20"/>
            </w:pPr>
            <w:r>
              <w:rPr>
                <w:b w:val="0"/>
                <w:sz w:val="17"/>
              </w:rPr>
              <w:t>Form §9.2</w:t>
            </w:r>
          </w:p>
          <w:p>
            <w:pPr>
              <w:spacing w:after="20"/>
            </w:pPr>
            <w:r>
              <w:rPr>
                <w:b w:val="0"/>
                <w:sz w:val="17"/>
              </w:rPr>
              <w:t>Mkp §8.1</w:t>
            </w:r>
          </w:p>
        </w:tc>
        <w:tc>
          <w:tcPr>
            <w:tcW w:type="dxa" w:w="2520"/>
          </w:tcPr>
          <w:p>
            <w:pPr>
              <w:spacing w:after="20"/>
            </w:pPr>
            <w:r/>
            <w:r>
              <w:rPr>
                <w:b w:val="0"/>
                <w:sz w:val="17"/>
              </w:rPr>
              <w:t>U: MAC narrowed to "physical condition . . . or financial performance" (Form: also environmental condition, financial condition and operating performance) and qualified by "(including without limitation no material reduction in occupancy below 90%)." No-new-title-matters condition deleted. Termination/refund paragraph deleted (see Issue 2).</w:t>
            </w:r>
          </w:p>
        </w:tc>
        <w:tc>
          <w:tcPr>
            <w:tcW w:type="dxa" w:w="2520"/>
          </w:tcPr>
          <w:p>
            <w:pPr>
              <w:spacing w:after="20"/>
            </w:pPr>
            <w:r/>
            <w:r>
              <w:rPr>
                <w:b w:val="0"/>
                <w:sz w:val="17"/>
              </w:rPr>
              <w:t>The 90% parenthetical could be read as a safe harbor: occupancy could fall from 93.6% (292 units) to 90% (about 281 units) without a MAC. Environmental MAC lost.</w:t>
            </w:r>
          </w:p>
        </w:tc>
        <w:tc>
          <w:tcPr>
            <w:tcW w:type="dxa" w:w="2520"/>
          </w:tcPr>
          <w:p>
            <w:pPr>
              <w:spacing w:after="20"/>
            </w:pPr>
            <w:r/>
            <w:r>
              <w:rPr>
                <w:b w:val="0"/>
                <w:sz w:val="17"/>
              </w:rPr>
              <w:t>Restore Form §9.2(a)–(g) and the termination/refund paragraph. If we keep an occupancy test, frame it as an additional per se failure (e.g., occupancy below 92% or below the Effective Date rent roll by more than X units) that "shall not limit" the general MAC.</w:t>
            </w:r>
          </w:p>
        </w:tc>
      </w:tr>
      <w:tr>
        <w:tc>
          <w:tcPr>
            <w:tcW w:type="dxa" w:w="432"/>
            <w:shd w:val="clear" w:color="auto" w:fill="FFE5B4"/>
          </w:tcPr>
          <w:p>
            <w:pPr>
              <w:spacing w:after="20"/>
            </w:pPr>
            <w:r/>
            <w:r>
              <w:rPr>
                <w:b w:val="0"/>
                <w:sz w:val="17"/>
              </w:rPr>
              <w:t>15</w:t>
            </w:r>
          </w:p>
        </w:tc>
        <w:tc>
          <w:tcPr>
            <w:tcW w:type="dxa" w:w="1656"/>
          </w:tcPr>
          <w:p>
            <w:pPr>
              <w:spacing w:after="20"/>
            </w:pPr>
            <w:r/>
            <w:r>
              <w:rPr>
                <w:b/>
                <w:sz w:val="17"/>
              </w:rPr>
              <w:t>Closing costs</w:t>
            </w:r>
          </w:p>
          <w:p>
            <w:pPr>
              <w:spacing w:after="20"/>
            </w:pPr>
            <w:r>
              <w:rPr>
                <w:b w:val="0"/>
                <w:sz w:val="17"/>
              </w:rPr>
              <w:t>Form §4.3</w:t>
            </w:r>
          </w:p>
          <w:p>
            <w:pPr>
              <w:spacing w:after="20"/>
            </w:pPr>
            <w:r>
              <w:rPr>
                <w:b w:val="0"/>
                <w:sz w:val="17"/>
              </w:rPr>
              <w:t>Mkp: none</w:t>
            </w:r>
          </w:p>
        </w:tc>
        <w:tc>
          <w:tcPr>
            <w:tcW w:type="dxa" w:w="2520"/>
          </w:tcPr>
          <w:p>
            <w:pPr>
              <w:spacing w:after="20"/>
            </w:pPr>
            <w:r/>
            <w:r>
              <w:rPr>
                <w:b w:val="0"/>
                <w:sz w:val="17"/>
              </w:rPr>
              <w:t>U: the whole allocation is deleted (Seller: NC excise tax, payoff and release of liens, half of escrow fees, title curative; Buyer: owner's premium, survey, recording, financing costs; each side its own counsel).</w:t>
            </w:r>
          </w:p>
        </w:tc>
        <w:tc>
          <w:tcPr>
            <w:tcW w:type="dxa" w:w="2520"/>
          </w:tcPr>
          <w:p>
            <w:pPr>
              <w:spacing w:after="20"/>
            </w:pPr>
            <w:r/>
            <w:r>
              <w:rPr>
                <w:b w:val="0"/>
                <w:sz w:val="17"/>
              </w:rPr>
              <w:t xml:space="preserve">Silence invites dispute at Closing. NC excise tax at $1 per $500 is about </w:t>
            </w:r>
            <w:r>
              <w:rPr>
                <w:b/>
                <w:sz w:val="17"/>
              </w:rPr>
              <w:t>$114,400</w:t>
            </w:r>
            <w:r>
              <w:rPr>
                <w:b w:val="0"/>
                <w:sz w:val="17"/>
              </w:rPr>
              <w:t xml:space="preserve"> and is customarily Seller's cost. Payoff and release costs are not addressed.</w:t>
            </w:r>
          </w:p>
        </w:tc>
        <w:tc>
          <w:tcPr>
            <w:tcW w:type="dxa" w:w="2520"/>
          </w:tcPr>
          <w:p>
            <w:pPr>
              <w:spacing w:after="20"/>
            </w:pPr>
            <w:r/>
            <w:r>
              <w:rPr>
                <w:b w:val="0"/>
                <w:sz w:val="17"/>
              </w:rPr>
              <w:t>Restore Form §4.3 verbatim.</w:t>
            </w:r>
          </w:p>
        </w:tc>
      </w:tr>
      <w:tr>
        <w:tc>
          <w:tcPr>
            <w:tcW w:type="dxa" w:w="432"/>
            <w:shd w:val="clear" w:color="auto" w:fill="FFE5B4"/>
          </w:tcPr>
          <w:p>
            <w:pPr>
              <w:spacing w:after="20"/>
            </w:pPr>
            <w:r/>
            <w:r>
              <w:rPr>
                <w:b w:val="0"/>
                <w:sz w:val="17"/>
              </w:rPr>
              <w:t>16</w:t>
            </w:r>
          </w:p>
        </w:tc>
        <w:tc>
          <w:tcPr>
            <w:tcW w:type="dxa" w:w="1656"/>
          </w:tcPr>
          <w:p>
            <w:pPr>
              <w:spacing w:after="20"/>
            </w:pPr>
            <w:r/>
            <w:r>
              <w:rPr>
                <w:b/>
                <w:sz w:val="17"/>
              </w:rPr>
              <w:t>Extension Fees</w:t>
            </w:r>
          </w:p>
          <w:p>
            <w:pPr>
              <w:spacing w:after="20"/>
            </w:pPr>
            <w:r>
              <w:rPr>
                <w:b w:val="0"/>
                <w:sz w:val="17"/>
              </w:rPr>
              <w:t>Form §4.4</w:t>
            </w:r>
          </w:p>
          <w:p>
            <w:pPr>
              <w:spacing w:after="20"/>
            </w:pPr>
            <w:r>
              <w:rPr>
                <w:b w:val="0"/>
                <w:sz w:val="17"/>
              </w:rPr>
              <w:t>Mkp §9.2</w:t>
            </w:r>
          </w:p>
        </w:tc>
        <w:tc>
          <w:tcPr>
            <w:tcW w:type="dxa" w:w="2520"/>
          </w:tcPr>
          <w:p>
            <w:pPr>
              <w:spacing w:after="20"/>
            </w:pPr>
            <w:r/>
            <w:r>
              <w:rPr>
                <w:b w:val="0"/>
                <w:sz w:val="17"/>
              </w:rPr>
              <w:t>U: Fee is paid to the Escrow Agent and is "non-refundable" with no exception. Our form required return of fees on Seller default (and credit at Closing, which Seller kept). Notice now goes to Seller only.</w:t>
            </w:r>
          </w:p>
        </w:tc>
        <w:tc>
          <w:tcPr>
            <w:tcW w:type="dxa" w:w="2520"/>
          </w:tcPr>
          <w:p>
            <w:pPr>
              <w:spacing w:after="20"/>
            </w:pPr>
            <w:r/>
            <w:r>
              <w:rPr>
                <w:b w:val="0"/>
                <w:sz w:val="17"/>
              </w:rPr>
              <w:t>Up to $200,000 forfeited even if Seller's default causes the failed Closing. The Jan. 18, 2025 (Saturday) and Feb. 2, 2025 (Sunday) extension dates fall on non-business days (see Issue 26).</w:t>
            </w:r>
          </w:p>
        </w:tc>
        <w:tc>
          <w:tcPr>
            <w:tcW w:type="dxa" w:w="2520"/>
          </w:tcPr>
          <w:p>
            <w:pPr>
              <w:spacing w:after="20"/>
            </w:pPr>
            <w:r/>
            <w:r>
              <w:rPr>
                <w:b w:val="0"/>
                <w:sz w:val="17"/>
              </w:rPr>
              <w:t>Restore the refund on Seller default, failure of a Buyer condition, or casualty/condemnation termination. Holding the fee in escrow is acceptable (and safer) if it is released to Seller only per the agreement.</w:t>
            </w:r>
          </w:p>
        </w:tc>
      </w:tr>
      <w:tr>
        <w:tc>
          <w:tcPr>
            <w:tcW w:type="dxa" w:w="432"/>
            <w:shd w:val="clear" w:color="auto" w:fill="FFE5B4"/>
          </w:tcPr>
          <w:p>
            <w:pPr>
              <w:spacing w:after="20"/>
            </w:pPr>
            <w:r/>
            <w:r>
              <w:rPr>
                <w:b w:val="0"/>
                <w:sz w:val="17"/>
              </w:rPr>
              <w:t>17</w:t>
            </w:r>
          </w:p>
        </w:tc>
        <w:tc>
          <w:tcPr>
            <w:tcW w:type="dxa" w:w="1656"/>
          </w:tcPr>
          <w:p>
            <w:pPr>
              <w:spacing w:after="20"/>
            </w:pPr>
            <w:r/>
            <w:r>
              <w:rPr>
                <w:b/>
                <w:sz w:val="17"/>
              </w:rPr>
              <w:t>Dispute resolution</w:t>
            </w:r>
          </w:p>
          <w:p>
            <w:pPr>
              <w:spacing w:after="20"/>
            </w:pPr>
            <w:r>
              <w:rPr>
                <w:b w:val="0"/>
                <w:sz w:val="17"/>
              </w:rPr>
              <w:t>Form §16.15 (arbitration)</w:t>
            </w:r>
          </w:p>
          <w:p>
            <w:pPr>
              <w:spacing w:after="20"/>
            </w:pPr>
            <w:r>
              <w:rPr>
                <w:b w:val="0"/>
                <w:sz w:val="17"/>
              </w:rPr>
              <w:t>Mkp §§15.2–15.4</w:t>
            </w:r>
          </w:p>
        </w:tc>
        <w:tc>
          <w:tcPr>
            <w:tcW w:type="dxa" w:w="2520"/>
          </w:tcPr>
          <w:p>
            <w:pPr>
              <w:spacing w:after="20"/>
            </w:pPr>
            <w:r/>
            <w:r>
              <w:rPr>
                <w:b w:val="0"/>
                <w:sz w:val="17"/>
              </w:rPr>
              <w:t>T: added mandatory pre-suit mediation (up to 30 days, plus 10 business days to pick a mediator), with a carve-out only for "emergency injunctive or other equitable relief." U: AAA arbitration deleted; replaced with exclusive Mecklenburg County courts and a jury waiver.</w:t>
            </w:r>
          </w:p>
        </w:tc>
        <w:tc>
          <w:tcPr>
            <w:tcW w:type="dxa" w:w="2520"/>
          </w:tcPr>
          <w:p>
            <w:pPr>
              <w:spacing w:after="20"/>
            </w:pPr>
            <w:r/>
            <w:r>
              <w:rPr>
                <w:b w:val="0"/>
                <w:sz w:val="17"/>
              </w:rPr>
              <w:t>Litigation in court is acceptable in principle (and specific performance plus lis pendens are cleaner in court). But mandatory mediation delays enforcement and interacts with the 60-day specific-performance window (Issue 10). It is unclear whether a specific-performance action is "emergency" relief.</w:t>
            </w:r>
          </w:p>
        </w:tc>
        <w:tc>
          <w:tcPr>
            <w:tcW w:type="dxa" w:w="2520"/>
          </w:tcPr>
          <w:p>
            <w:pPr>
              <w:spacing w:after="20"/>
            </w:pPr>
            <w:r/>
            <w:r>
              <w:rPr>
                <w:b w:val="0"/>
                <w:sz w:val="17"/>
              </w:rPr>
              <w:t>Accept court litigation and the jury waiver (subject to client preference) if mediation is made optional or non-blocking. At minimum, carve out specific performance, lis pendens, deposit disputes and claims near a limitations/survival deadline; toll all deadlines during mediation.</w:t>
            </w:r>
          </w:p>
        </w:tc>
      </w:tr>
      <w:tr>
        <w:tc>
          <w:tcPr>
            <w:tcW w:type="dxa" w:w="432"/>
            <w:shd w:val="clear" w:color="auto" w:fill="FFE5B4"/>
          </w:tcPr>
          <w:p>
            <w:pPr>
              <w:spacing w:after="20"/>
            </w:pPr>
            <w:r/>
            <w:r>
              <w:rPr>
                <w:b w:val="0"/>
                <w:sz w:val="17"/>
              </w:rPr>
              <w:t>18</w:t>
            </w:r>
          </w:p>
        </w:tc>
        <w:tc>
          <w:tcPr>
            <w:tcW w:type="dxa" w:w="1656"/>
          </w:tcPr>
          <w:p>
            <w:pPr>
              <w:spacing w:after="20"/>
            </w:pPr>
            <w:r/>
            <w:r>
              <w:rPr>
                <w:b/>
                <w:sz w:val="17"/>
              </w:rPr>
              <w:t>Inspection access and indemnity</w:t>
            </w:r>
          </w:p>
          <w:p>
            <w:pPr>
              <w:spacing w:after="20"/>
            </w:pPr>
            <w:r>
              <w:rPr>
                <w:b w:val="0"/>
                <w:sz w:val="17"/>
              </w:rPr>
              <w:t>Form §5.1</w:t>
            </w:r>
          </w:p>
          <w:p>
            <w:pPr>
              <w:spacing w:after="20"/>
            </w:pPr>
            <w:r>
              <w:rPr>
                <w:b w:val="0"/>
                <w:sz w:val="17"/>
              </w:rPr>
              <w:t>Mkp §7.1</w:t>
            </w:r>
          </w:p>
        </w:tc>
        <w:tc>
          <w:tcPr>
            <w:tcW w:type="dxa" w:w="2520"/>
          </w:tcPr>
          <w:p>
            <w:pPr>
              <w:spacing w:after="20"/>
            </w:pPr>
            <w:r/>
            <w:r>
              <w:rPr>
                <w:b w:val="0"/>
                <w:sz w:val="17"/>
              </w:rPr>
              <w:t>U: the carve-out from Buyer's inspection indemnity for "the mere discovery of pre-existing conditions" is deleted. Occupied-unit access and the invasive-testing consent standard are deleted (see Issue 4). Restoration obligation is broadened.</w:t>
            </w:r>
          </w:p>
        </w:tc>
        <w:tc>
          <w:tcPr>
            <w:tcW w:type="dxa" w:w="2520"/>
          </w:tcPr>
          <w:p>
            <w:pPr>
              <w:spacing w:after="20"/>
            </w:pPr>
            <w:r/>
            <w:r>
              <w:rPr>
                <w:b w:val="0"/>
                <w:sz w:val="17"/>
              </w:rPr>
              <w:t>Without the carve-out, Seller could argue Buyer must indemnify against loss in value or remediation costs revealed by a Phase I/II finding.</w:t>
            </w:r>
          </w:p>
        </w:tc>
        <w:tc>
          <w:tcPr>
            <w:tcW w:type="dxa" w:w="2520"/>
          </w:tcPr>
          <w:p>
            <w:pPr>
              <w:spacing w:after="20"/>
            </w:pPr>
            <w:r/>
            <w:r>
              <w:rPr>
                <w:b w:val="0"/>
                <w:sz w:val="17"/>
              </w:rPr>
              <w:t>Restore the carve-out and the Form §5.1 access provisions. Accept the insurance requirements (same as our form).</w:t>
            </w:r>
          </w:p>
        </w:tc>
      </w:tr>
    </w:tbl>
    <w:p>
      <w:pPr>
        <w:spacing w:after="40"/>
      </w:pPr>
    </w:p>
    <w:p>
      <w:pPr>
        <w:pStyle w:val="Heading2"/>
      </w:pPr>
      <w:r>
        <w:t>Tier 3: Moderate (negotiable or diligence-driven)</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2A44"/>
          </w:tcPr>
          <w:p>
            <w:r/>
            <w:r>
              <w:rPr>
                <w:b/>
                <w:color w:val="FFFFFF"/>
                <w:sz w:val="17"/>
              </w:rPr>
              <w:t>#</w:t>
            </w:r>
          </w:p>
        </w:tc>
        <w:tc>
          <w:tcPr>
            <w:tcW w:type="dxa" w:w="1656"/>
            <w:shd w:val="clear" w:color="auto" w:fill="1F2A44"/>
          </w:tcPr>
          <w:p>
            <w:r/>
            <w:r>
              <w:rPr>
                <w:b/>
                <w:color w:val="FFFFFF"/>
                <w:sz w:val="17"/>
              </w:rPr>
              <w:t>Issue (Form § / Mkp §)</w:t>
            </w:r>
          </w:p>
        </w:tc>
        <w:tc>
          <w:tcPr>
            <w:tcW w:type="dxa" w:w="2520"/>
            <w:shd w:val="clear" w:color="auto" w:fill="1F2A44"/>
          </w:tcPr>
          <w:p>
            <w:r/>
            <w:r>
              <w:rPr>
                <w:b/>
                <w:color w:val="FFFFFF"/>
                <w:sz w:val="17"/>
              </w:rPr>
              <w:t>What Seller did</w:t>
            </w:r>
          </w:p>
        </w:tc>
        <w:tc>
          <w:tcPr>
            <w:tcW w:type="dxa" w:w="2520"/>
            <w:shd w:val="clear" w:color="auto" w:fill="1F2A44"/>
          </w:tcPr>
          <w:p>
            <w:r/>
            <w:r>
              <w:rPr>
                <w:b/>
                <w:color w:val="FFFFFF"/>
                <w:sz w:val="17"/>
              </w:rPr>
              <w:t>Why it matters to Buyer</w:t>
            </w:r>
          </w:p>
        </w:tc>
        <w:tc>
          <w:tcPr>
            <w:tcW w:type="dxa" w:w="2520"/>
            <w:shd w:val="clear" w:color="auto" w:fill="1F2A44"/>
          </w:tcPr>
          <w:p>
            <w:r/>
            <w:r>
              <w:rPr>
                <w:b/>
                <w:color w:val="FFFFFF"/>
                <w:sz w:val="17"/>
              </w:rPr>
              <w:t>Recommended response</w:t>
            </w:r>
          </w:p>
        </w:tc>
      </w:tr>
      <w:tr>
        <w:tc>
          <w:tcPr>
            <w:tcW w:type="dxa" w:w="432"/>
            <w:shd w:val="clear" w:color="auto" w:fill="FFF3CD"/>
          </w:tcPr>
          <w:p>
            <w:pPr>
              <w:spacing w:after="20"/>
            </w:pPr>
            <w:r/>
            <w:r>
              <w:rPr>
                <w:b w:val="0"/>
                <w:sz w:val="17"/>
              </w:rPr>
              <w:t>19</w:t>
            </w:r>
          </w:p>
        </w:tc>
        <w:tc>
          <w:tcPr>
            <w:tcW w:type="dxa" w:w="1656"/>
          </w:tcPr>
          <w:p>
            <w:pPr>
              <w:spacing w:after="20"/>
            </w:pPr>
            <w:r/>
            <w:r>
              <w:rPr>
                <w:b/>
                <w:sz w:val="17"/>
              </w:rPr>
              <w:t>Seller due-diligence deliveries</w:t>
            </w:r>
          </w:p>
          <w:p>
            <w:pPr>
              <w:spacing w:after="20"/>
            </w:pPr>
            <w:r>
              <w:rPr>
                <w:b w:val="0"/>
                <w:sz w:val="17"/>
              </w:rPr>
              <w:t>Form §5.2</w:t>
            </w:r>
          </w:p>
          <w:p>
            <w:pPr>
              <w:spacing w:after="20"/>
            </w:pPr>
            <w:r>
              <w:rPr>
                <w:b w:val="0"/>
                <w:sz w:val="17"/>
              </w:rPr>
              <w:t>Mkp §5.2</w:t>
            </w:r>
          </w:p>
        </w:tc>
        <w:tc>
          <w:tcPr>
            <w:tcW w:type="dxa" w:w="2520"/>
          </w:tcPr>
          <w:p>
            <w:pPr>
              <w:spacing w:after="20"/>
            </w:pPr>
            <w:r/>
            <w:r>
              <w:rPr>
                <w:b w:val="0"/>
                <w:sz w:val="17"/>
              </w:rPr>
              <w:t>U: list cut from 14 to 12 categories. Dropped: loss runs and 3-year claims history; pending tax appeals; environmental agency correspondence, asbestos, lead and mold reports; HOA or master association documents; personal property inventory; renovation contractor invoices, scopes and warranties. Dropped the "true, correct, and complete" standard and the date certain (Form: Nov. 11, 2024). Added: certified rent roll; tenant correspondence.</w:t>
            </w:r>
          </w:p>
        </w:tc>
        <w:tc>
          <w:tcPr>
            <w:tcW w:type="dxa" w:w="2520"/>
          </w:tcPr>
          <w:p>
            <w:pPr>
              <w:spacing w:after="20"/>
            </w:pPr>
            <w:r/>
            <w:r>
              <w:rPr>
                <w:b w:val="0"/>
                <w:sz w:val="17"/>
              </w:rPr>
              <w:t>These are the documents needed to underwrite insurance, environmental and renovation risk in a shortened period. The loss of the renovation warranties and invoices compounds the deleted renovation rep.</w:t>
            </w:r>
          </w:p>
        </w:tc>
        <w:tc>
          <w:tcPr>
            <w:tcW w:type="dxa" w:w="2520"/>
          </w:tcPr>
          <w:p>
            <w:pPr>
              <w:spacing w:after="20"/>
            </w:pPr>
            <w:r/>
            <w:r>
              <w:rPr>
                <w:b w:val="0"/>
                <w:sz w:val="17"/>
              </w:rPr>
              <w:t>Restore the Form list and standard. Keep Seller's additions. Tie due-diligence expiry to complete delivery (Issue 4).</w:t>
            </w:r>
          </w:p>
        </w:tc>
      </w:tr>
      <w:tr>
        <w:tc>
          <w:tcPr>
            <w:tcW w:type="dxa" w:w="432"/>
            <w:shd w:val="clear" w:color="auto" w:fill="FFF3CD"/>
          </w:tcPr>
          <w:p>
            <w:pPr>
              <w:spacing w:after="20"/>
            </w:pPr>
            <w:r/>
            <w:r>
              <w:rPr>
                <w:b w:val="0"/>
                <w:sz w:val="17"/>
              </w:rPr>
              <w:t>20</w:t>
            </w:r>
          </w:p>
        </w:tc>
        <w:tc>
          <w:tcPr>
            <w:tcW w:type="dxa" w:w="1656"/>
          </w:tcPr>
          <w:p>
            <w:pPr>
              <w:spacing w:after="20"/>
            </w:pPr>
            <w:r/>
            <w:r>
              <w:rPr>
                <w:b/>
                <w:sz w:val="17"/>
              </w:rPr>
              <w:t>Closing deliveries and ancillary forms</w:t>
            </w:r>
          </w:p>
          <w:p>
            <w:pPr>
              <w:spacing w:after="20"/>
            </w:pPr>
            <w:r>
              <w:rPr>
                <w:b w:val="0"/>
                <w:sz w:val="17"/>
              </w:rPr>
              <w:t>Form §10.1, Exhs. C–E</w:t>
            </w:r>
          </w:p>
          <w:p>
            <w:pPr>
              <w:spacing w:after="20"/>
            </w:pPr>
            <w:r>
              <w:rPr>
                <w:b w:val="0"/>
                <w:sz w:val="17"/>
              </w:rPr>
              <w:t>Mkp §9.3, Exhs. D–F</w:t>
            </w:r>
          </w:p>
        </w:tc>
        <w:tc>
          <w:tcPr>
            <w:tcW w:type="dxa" w:w="2520"/>
          </w:tcPr>
          <w:p>
            <w:pPr>
              <w:spacing w:after="20"/>
            </w:pPr>
            <w:r/>
            <w:r>
              <w:rPr>
                <w:b w:val="0"/>
                <w:sz w:val="17"/>
              </w:rPr>
              <w:t>U: dropped evidence of Seller's authority (NC good-standing certificate; consent of Aldecott Family Holdings LP) and the gap indemnity. Bill of Sale (Exh. D) drops Seller's warranty of good title to personal property free of liens. Assignment of Contracts (Exh. F) drops the mutual indemnity. Deed (Exh. C) recites $10 consideration and conveys to "permitted assignee."</w:t>
            </w:r>
          </w:p>
        </w:tc>
        <w:tc>
          <w:tcPr>
            <w:tcW w:type="dxa" w:w="2520"/>
          </w:tcPr>
          <w:p>
            <w:pPr>
              <w:spacing w:after="20"/>
            </w:pPr>
            <w:r/>
            <w:r>
              <w:rPr>
                <w:b w:val="0"/>
                <w:sz w:val="17"/>
              </w:rPr>
              <w:t>The title company will require authority and gap documents anyway. Without the personal-property title warranty, leased or financed equipment (for example, the package-locker system) could be subject to third-party claims.</w:t>
            </w:r>
          </w:p>
        </w:tc>
        <w:tc>
          <w:tcPr>
            <w:tcW w:type="dxa" w:w="2520"/>
          </w:tcPr>
          <w:p>
            <w:pPr>
              <w:spacing w:after="20"/>
            </w:pPr>
            <w:r/>
            <w:r>
              <w:rPr>
                <w:b w:val="0"/>
                <w:sz w:val="17"/>
              </w:rPr>
              <w:t>Restore Form §10.1(f), (k) and the Exhibit C/D/E language. Add: termination of the existing management agreement and any non-assumed service contracts at Seller's cost; Seller's closing certificate re-making the reps (bring-down).</w:t>
            </w:r>
          </w:p>
        </w:tc>
      </w:tr>
      <w:tr>
        <w:tc>
          <w:tcPr>
            <w:tcW w:type="dxa" w:w="432"/>
            <w:shd w:val="clear" w:color="auto" w:fill="FFF3CD"/>
          </w:tcPr>
          <w:p>
            <w:pPr>
              <w:spacing w:after="20"/>
            </w:pPr>
            <w:r/>
            <w:r>
              <w:rPr>
                <w:b w:val="0"/>
                <w:sz w:val="17"/>
              </w:rPr>
              <w:t>21</w:t>
            </w:r>
          </w:p>
        </w:tc>
        <w:tc>
          <w:tcPr>
            <w:tcW w:type="dxa" w:w="1656"/>
          </w:tcPr>
          <w:p>
            <w:pPr>
              <w:spacing w:after="20"/>
            </w:pPr>
            <w:r/>
            <w:r>
              <w:rPr>
                <w:b/>
                <w:sz w:val="17"/>
              </w:rPr>
              <w:t>FIRPTA: disregarded-entity issue</w:t>
            </w:r>
          </w:p>
          <w:p>
            <w:pPr>
              <w:spacing w:after="20"/>
            </w:pPr>
            <w:r>
              <w:rPr>
                <w:b w:val="0"/>
                <w:sz w:val="17"/>
              </w:rPr>
              <w:t>Form §8.1(k), Exh. G</w:t>
            </w:r>
          </w:p>
          <w:p>
            <w:pPr>
              <w:spacing w:after="20"/>
            </w:pPr>
            <w:r>
              <w:rPr>
                <w:b w:val="0"/>
                <w:sz w:val="17"/>
              </w:rPr>
              <w:t>Mkp §6.1(k), Exh. H</w:t>
            </w:r>
          </w:p>
        </w:tc>
        <w:tc>
          <w:tcPr>
            <w:tcW w:type="dxa" w:w="2520"/>
          </w:tcPr>
          <w:p>
            <w:pPr>
              <w:spacing w:after="20"/>
            </w:pPr>
            <w:r/>
            <w:r>
              <w:rPr>
                <w:b w:val="0"/>
                <w:sz w:val="17"/>
              </w:rPr>
              <w:t xml:space="preserve">U: Mkp Exh. H is given by Briarwood Ventures LLC with EIN 83-2947156. (Our form also has the LLC certify that it is </w:t>
            </w:r>
            <w:r>
              <w:rPr>
                <w:b/>
                <w:sz w:val="17"/>
              </w:rPr>
              <w:t>not</w:t>
            </w:r>
            <w:r>
              <w:rPr>
                <w:b w:val="0"/>
                <w:sz w:val="17"/>
              </w:rPr>
              <w:t xml:space="preserve"> a disregarded entity.)</w:t>
            </w:r>
          </w:p>
        </w:tc>
        <w:tc>
          <w:tcPr>
            <w:tcW w:type="dxa" w:w="2520"/>
          </w:tcPr>
          <w:p>
            <w:pPr>
              <w:spacing w:after="20"/>
            </w:pPr>
            <w:r/>
            <w:r>
              <w:rPr>
                <w:b w:val="0"/>
                <w:sz w:val="17"/>
              </w:rPr>
              <w:t>Briarwood's sole member is Aldecott Family Holdings LP. A single-member LLC is a disregarded entity by default unless it elected corporate treatment. If so, the LP is the "transferor" and must give the certification. A defective certification exposes Buyer to withholding liability (up to 15% of amount realized).</w:t>
            </w:r>
          </w:p>
        </w:tc>
        <w:tc>
          <w:tcPr>
            <w:tcW w:type="dxa" w:w="2520"/>
          </w:tcPr>
          <w:p>
            <w:pPr>
              <w:spacing w:after="20"/>
            </w:pPr>
            <w:r/>
            <w:r>
              <w:rPr>
                <w:b w:val="0"/>
                <w:sz w:val="17"/>
              </w:rPr>
              <w:t>Diligence: confirm Briarwood's tax classification. If disregarded, the certification should be given by Aldecott Family Holdings LP, and our own Exhibit G should be conformed.</w:t>
            </w:r>
          </w:p>
        </w:tc>
      </w:tr>
      <w:tr>
        <w:tc>
          <w:tcPr>
            <w:tcW w:type="dxa" w:w="432"/>
            <w:shd w:val="clear" w:color="auto" w:fill="FFF3CD"/>
          </w:tcPr>
          <w:p>
            <w:pPr>
              <w:spacing w:after="20"/>
            </w:pPr>
            <w:r/>
            <w:r>
              <w:rPr>
                <w:b w:val="0"/>
                <w:sz w:val="17"/>
              </w:rPr>
              <w:t>22</w:t>
            </w:r>
          </w:p>
        </w:tc>
        <w:tc>
          <w:tcPr>
            <w:tcW w:type="dxa" w:w="1656"/>
          </w:tcPr>
          <w:p>
            <w:pPr>
              <w:spacing w:after="20"/>
            </w:pPr>
            <w:r/>
            <w:r>
              <w:rPr>
                <w:b/>
                <w:sz w:val="17"/>
              </w:rPr>
              <w:t>Legal description and personal property</w:t>
            </w:r>
          </w:p>
          <w:p>
            <w:pPr>
              <w:spacing w:after="20"/>
            </w:pPr>
            <w:r>
              <w:rPr>
                <w:b w:val="0"/>
                <w:sz w:val="17"/>
              </w:rPr>
              <w:t>Form Exh. A; Mkp Exhs. A–B</w:t>
            </w:r>
          </w:p>
        </w:tc>
        <w:tc>
          <w:tcPr>
            <w:tcW w:type="dxa" w:w="2520"/>
          </w:tcPr>
          <w:p>
            <w:pPr>
              <w:spacing w:after="20"/>
            </w:pPr>
            <w:r/>
            <w:r>
              <w:rPr>
                <w:b w:val="0"/>
                <w:sz w:val="17"/>
              </w:rPr>
              <w:t>U: Seller replaced our legal description (Lot 1, Briarwood Commons Subdivision plat; rectangular metes and bounds of about 22.8 acres) with a different metes-and-bounds description following an unnamed tributary, based on a 2019 Carolina Land Surveying plat (Plat Book 312, Page 847). Exh. B lists the package lockers as "Parcel Pending or similar"; the IC memo describes Amazon Hub lockers.</w:t>
            </w:r>
          </w:p>
        </w:tc>
        <w:tc>
          <w:tcPr>
            <w:tcW w:type="dxa" w:w="2520"/>
          </w:tcPr>
          <w:p>
            <w:pPr>
              <w:spacing w:after="20"/>
            </w:pPr>
            <w:r/>
            <w:r>
              <w:rPr>
                <w:b w:val="0"/>
                <w:sz w:val="17"/>
              </w:rPr>
              <w:t>The legal description defines what is conveyed and insured. A mismatch with the vesting deed, title commitment or new ALTA survey is a title risk. Equipment may be leased or vendor-owned.</w:t>
            </w:r>
          </w:p>
        </w:tc>
        <w:tc>
          <w:tcPr>
            <w:tcW w:type="dxa" w:w="2520"/>
          </w:tcPr>
          <w:p>
            <w:pPr>
              <w:spacing w:after="20"/>
            </w:pPr>
            <w:r/>
            <w:r>
              <w:rPr>
                <w:b w:val="0"/>
                <w:sz w:val="17"/>
              </w:rPr>
              <w:t>Do not accept until Trident and our surveyor confirm against the vesting deed and the survey. Confirm which personal property is owned versus leased; schedule exclusions.</w:t>
            </w:r>
          </w:p>
        </w:tc>
      </w:tr>
      <w:tr>
        <w:tc>
          <w:tcPr>
            <w:tcW w:type="dxa" w:w="432"/>
            <w:shd w:val="clear" w:color="auto" w:fill="FFF3CD"/>
          </w:tcPr>
          <w:p>
            <w:pPr>
              <w:spacing w:after="20"/>
            </w:pPr>
            <w:r/>
            <w:r>
              <w:rPr>
                <w:b w:val="0"/>
                <w:sz w:val="17"/>
              </w:rPr>
              <w:t>23</w:t>
            </w:r>
          </w:p>
        </w:tc>
        <w:tc>
          <w:tcPr>
            <w:tcW w:type="dxa" w:w="1656"/>
          </w:tcPr>
          <w:p>
            <w:pPr>
              <w:spacing w:after="20"/>
            </w:pPr>
            <w:r/>
            <w:r>
              <w:rPr>
                <w:b/>
                <w:sz w:val="17"/>
              </w:rPr>
              <w:t>Notices</w:t>
            </w:r>
          </w:p>
          <w:p>
            <w:pPr>
              <w:spacing w:after="20"/>
            </w:pPr>
            <w:r>
              <w:rPr>
                <w:b w:val="0"/>
                <w:sz w:val="17"/>
              </w:rPr>
              <w:t>Form §16.1; Mkp §14.1</w:t>
            </w:r>
          </w:p>
        </w:tc>
        <w:tc>
          <w:tcPr>
            <w:tcW w:type="dxa" w:w="2520"/>
          </w:tcPr>
          <w:p>
            <w:pPr>
              <w:spacing w:after="20"/>
            </w:pPr>
            <w:r/>
            <w:r>
              <w:rPr>
                <w:b w:val="0"/>
                <w:sz w:val="17"/>
              </w:rPr>
              <w:t xml:space="preserve">T: Seller suite 710 to 720; added Mr. Beatty's email. U: Seller street 1400 to </w:t>
            </w:r>
            <w:r>
              <w:rPr>
                <w:b/>
                <w:sz w:val="17"/>
              </w:rPr>
              <w:t>1410</w:t>
            </w:r>
            <w:r>
              <w:rPr>
                <w:b w:val="0"/>
                <w:sz w:val="17"/>
              </w:rPr>
              <w:t xml:space="preserve"> South Tryon (also in Exh. H). Hawthorne address 191 to </w:t>
            </w:r>
            <w:r>
              <w:rPr>
                <w:b/>
                <w:sz w:val="17"/>
              </w:rPr>
              <w:t>195</w:t>
            </w:r>
            <w:r>
              <w:rPr>
                <w:b w:val="0"/>
                <w:sz w:val="17"/>
              </w:rPr>
              <w:t xml:space="preserve"> Peachtree Street NE and email mchen@hawthorne-sable.com to </w:t>
            </w:r>
            <w:r>
              <w:rPr>
                <w:b/>
                <w:sz w:val="17"/>
              </w:rPr>
              <w:t>mchen@hawthorneandsable.com</w:t>
            </w:r>
            <w:r>
              <w:rPr>
                <w:b w:val="0"/>
                <w:sz w:val="17"/>
              </w:rPr>
              <w:t>. Email notice is effective only on "confirmed receipt" with a same-day courier copy (Form: on transmission, with follow-up within 1 business day).</w:t>
            </w:r>
          </w:p>
        </w:tc>
        <w:tc>
          <w:tcPr>
            <w:tcW w:type="dxa" w:w="2520"/>
          </w:tcPr>
          <w:p>
            <w:pPr>
              <w:spacing w:after="20"/>
            </w:pPr>
            <w:r/>
            <w:r>
              <w:rPr>
                <w:b w:val="0"/>
                <w:sz w:val="17"/>
              </w:rPr>
              <w:t>The transmittal says Seller "updated the notice addresses for both parties." The IC memo and transmittal use 195 Peachtree and the hawthorneandsable.com domain, so the markup may be correcting our form, but this must be confirmed rather than assumed. A "confirmed receipt" standard creates uncertainty for time-critical notices (due-diligence or financing termination at 5:00 p.m.).</w:t>
            </w:r>
          </w:p>
        </w:tc>
        <w:tc>
          <w:tcPr>
            <w:tcW w:type="dxa" w:w="2520"/>
          </w:tcPr>
          <w:p>
            <w:pPr>
              <w:spacing w:after="20"/>
            </w:pPr>
            <w:r/>
            <w:r>
              <w:rPr>
                <w:b w:val="0"/>
                <w:sz w:val="17"/>
              </w:rPr>
              <w:t>Confirm all addresses directly with each party and firm IT (and correct our form if needed). Restore the Form email-delivery rule.</w:t>
            </w:r>
          </w:p>
        </w:tc>
      </w:tr>
      <w:tr>
        <w:tc>
          <w:tcPr>
            <w:tcW w:type="dxa" w:w="432"/>
            <w:shd w:val="clear" w:color="auto" w:fill="FFF3CD"/>
          </w:tcPr>
          <w:p>
            <w:pPr>
              <w:spacing w:after="20"/>
            </w:pPr>
            <w:r/>
            <w:r>
              <w:rPr>
                <w:b w:val="0"/>
                <w:sz w:val="17"/>
              </w:rPr>
              <w:t>24</w:t>
            </w:r>
          </w:p>
        </w:tc>
        <w:tc>
          <w:tcPr>
            <w:tcW w:type="dxa" w:w="1656"/>
          </w:tcPr>
          <w:p>
            <w:pPr>
              <w:spacing w:after="20"/>
            </w:pPr>
            <w:r/>
            <w:r>
              <w:rPr>
                <w:b/>
                <w:sz w:val="17"/>
              </w:rPr>
              <w:t>Buyer representations</w:t>
            </w:r>
          </w:p>
          <w:p>
            <w:pPr>
              <w:spacing w:after="20"/>
            </w:pPr>
            <w:r>
              <w:rPr>
                <w:b w:val="0"/>
                <w:sz w:val="17"/>
              </w:rPr>
              <w:t>Form §8.4; Mkp §6.3</w:t>
            </w:r>
          </w:p>
        </w:tc>
        <w:tc>
          <w:tcPr>
            <w:tcW w:type="dxa" w:w="2520"/>
          </w:tcPr>
          <w:p>
            <w:pPr>
              <w:spacing w:after="20"/>
            </w:pPr>
            <w:r/>
            <w:r>
              <w:rPr>
                <w:b w:val="0"/>
                <w:sz w:val="17"/>
              </w:rPr>
              <w:t>U: added an OFAC/AML rep covering Buyer and all "principals, partners, members, or affiliates." Buyer must be qualified in NC as of the Effective Date (Form: by Closing). Buyer's financial-capacity rep was dropped, which helps Buyer.</w:t>
            </w:r>
          </w:p>
        </w:tc>
        <w:tc>
          <w:tcPr>
            <w:tcW w:type="dxa" w:w="2520"/>
          </w:tcPr>
          <w:p>
            <w:pPr>
              <w:spacing w:after="20"/>
            </w:pPr>
            <w:r/>
            <w:r>
              <w:rPr>
                <w:b w:val="0"/>
                <w:sz w:val="17"/>
              </w:rPr>
              <w:t>A flat OFAC rep reaching every indirect investor in a $425M fund cannot be verified.</w:t>
            </w:r>
          </w:p>
        </w:tc>
        <w:tc>
          <w:tcPr>
            <w:tcW w:type="dxa" w:w="2520"/>
          </w:tcPr>
          <w:p>
            <w:pPr>
              <w:spacing w:after="20"/>
            </w:pPr>
            <w:r/>
            <w:r>
              <w:rPr>
                <w:b w:val="0"/>
                <w:sz w:val="17"/>
              </w:rPr>
              <w:t>Accept the OFAC rep limited to Buyer and its direct owners, or to Buyer's knowledge for indirect holders. Confirm Whitmore's NC qualification or revert to "by Closing."</w:t>
            </w:r>
          </w:p>
        </w:tc>
      </w:tr>
      <w:tr>
        <w:tc>
          <w:tcPr>
            <w:tcW w:type="dxa" w:w="432"/>
            <w:shd w:val="clear" w:color="auto" w:fill="FFF3CD"/>
          </w:tcPr>
          <w:p>
            <w:pPr>
              <w:spacing w:after="20"/>
            </w:pPr>
            <w:r/>
            <w:r>
              <w:rPr>
                <w:b w:val="0"/>
                <w:sz w:val="17"/>
              </w:rPr>
              <w:t>25</w:t>
            </w:r>
          </w:p>
        </w:tc>
        <w:tc>
          <w:tcPr>
            <w:tcW w:type="dxa" w:w="1656"/>
          </w:tcPr>
          <w:p>
            <w:pPr>
              <w:spacing w:after="20"/>
            </w:pPr>
            <w:r/>
            <w:r>
              <w:rPr>
                <w:b/>
                <w:sz w:val="17"/>
              </w:rPr>
              <w:t>Confidentiality</w:t>
            </w:r>
          </w:p>
          <w:p>
            <w:pPr>
              <w:spacing w:after="20"/>
            </w:pPr>
            <w:r>
              <w:rPr>
                <w:b w:val="0"/>
                <w:sz w:val="17"/>
              </w:rPr>
              <w:t>Form §16.10; Mkp §16.10</w:t>
            </w:r>
          </w:p>
        </w:tc>
        <w:tc>
          <w:tcPr>
            <w:tcW w:type="dxa" w:w="2520"/>
          </w:tcPr>
          <w:p>
            <w:pPr>
              <w:spacing w:after="20"/>
            </w:pPr>
            <w:r/>
            <w:r>
              <w:rPr>
                <w:b w:val="0"/>
                <w:sz w:val="17"/>
              </w:rPr>
              <w:t>U: removed permitted disclosure to "investors" and the 2-year post-termination survival.</w:t>
            </w:r>
          </w:p>
        </w:tc>
        <w:tc>
          <w:tcPr>
            <w:tcW w:type="dxa" w:w="2520"/>
          </w:tcPr>
          <w:p>
            <w:pPr>
              <w:spacing w:after="20"/>
            </w:pPr>
            <w:r/>
            <w:r>
              <w:rPr>
                <w:b w:val="0"/>
                <w:sz w:val="17"/>
              </w:rPr>
              <w:t>Fund III must report to the IC and limited partners.</w:t>
            </w:r>
          </w:p>
        </w:tc>
        <w:tc>
          <w:tcPr>
            <w:tcW w:type="dxa" w:w="2520"/>
          </w:tcPr>
          <w:p>
            <w:pPr>
              <w:spacing w:after="20"/>
            </w:pPr>
            <w:r/>
            <w:r>
              <w:rPr>
                <w:b w:val="0"/>
                <w:sz w:val="17"/>
              </w:rPr>
              <w:t>Restore "investors" (and prospective co-investors and lenders) and the survival period.</w:t>
            </w:r>
          </w:p>
        </w:tc>
      </w:tr>
    </w:tbl>
    <w:p>
      <w:pPr>
        <w:spacing w:after="40"/>
      </w:pPr>
    </w:p>
    <w:p>
      <w:pPr>
        <w:pStyle w:val="Heading2"/>
      </w:pPr>
      <w:r>
        <w:t>Tier 4: Drafting, dates and clean-up</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2A44"/>
          </w:tcPr>
          <w:p>
            <w:r/>
            <w:r>
              <w:rPr>
                <w:b/>
                <w:color w:val="FFFFFF"/>
                <w:sz w:val="17"/>
              </w:rPr>
              <w:t>#</w:t>
            </w:r>
          </w:p>
        </w:tc>
        <w:tc>
          <w:tcPr>
            <w:tcW w:type="dxa" w:w="1656"/>
            <w:shd w:val="clear" w:color="auto" w:fill="1F2A44"/>
          </w:tcPr>
          <w:p>
            <w:r/>
            <w:r>
              <w:rPr>
                <w:b/>
                <w:color w:val="FFFFFF"/>
                <w:sz w:val="17"/>
              </w:rPr>
              <w:t>Issue (Form § / Mkp §)</w:t>
            </w:r>
          </w:p>
        </w:tc>
        <w:tc>
          <w:tcPr>
            <w:tcW w:type="dxa" w:w="2520"/>
            <w:shd w:val="clear" w:color="auto" w:fill="1F2A44"/>
          </w:tcPr>
          <w:p>
            <w:r/>
            <w:r>
              <w:rPr>
                <w:b/>
                <w:color w:val="FFFFFF"/>
                <w:sz w:val="17"/>
              </w:rPr>
              <w:t>What Seller did</w:t>
            </w:r>
          </w:p>
        </w:tc>
        <w:tc>
          <w:tcPr>
            <w:tcW w:type="dxa" w:w="2520"/>
            <w:shd w:val="clear" w:color="auto" w:fill="1F2A44"/>
          </w:tcPr>
          <w:p>
            <w:r/>
            <w:r>
              <w:rPr>
                <w:b/>
                <w:color w:val="FFFFFF"/>
                <w:sz w:val="17"/>
              </w:rPr>
              <w:t>Why it matters to Buyer</w:t>
            </w:r>
          </w:p>
        </w:tc>
        <w:tc>
          <w:tcPr>
            <w:tcW w:type="dxa" w:w="2520"/>
            <w:shd w:val="clear" w:color="auto" w:fill="1F2A44"/>
          </w:tcPr>
          <w:p>
            <w:r/>
            <w:r>
              <w:rPr>
                <w:b/>
                <w:color w:val="FFFFFF"/>
                <w:sz w:val="17"/>
              </w:rPr>
              <w:t>Recommended response</w:t>
            </w:r>
          </w:p>
        </w:tc>
      </w:tr>
      <w:tr>
        <w:tc>
          <w:tcPr>
            <w:tcW w:type="dxa" w:w="432"/>
            <w:shd w:val="clear" w:color="auto" w:fill="E2EFDA"/>
          </w:tcPr>
          <w:p>
            <w:pPr>
              <w:spacing w:after="20"/>
            </w:pPr>
            <w:r/>
            <w:r>
              <w:rPr>
                <w:b w:val="0"/>
                <w:sz w:val="17"/>
              </w:rPr>
              <w:t>26</w:t>
            </w:r>
          </w:p>
        </w:tc>
        <w:tc>
          <w:tcPr>
            <w:tcW w:type="dxa" w:w="1656"/>
          </w:tcPr>
          <w:p>
            <w:pPr>
              <w:spacing w:after="20"/>
            </w:pPr>
            <w:r/>
            <w:r>
              <w:rPr>
                <w:b/>
                <w:sz w:val="17"/>
              </w:rPr>
              <w:t>Dates and business-day mechanics</w:t>
            </w:r>
          </w:p>
          <w:p>
            <w:pPr>
              <w:spacing w:after="20"/>
            </w:pPr>
            <w:r>
              <w:rPr>
                <w:b w:val="0"/>
                <w:sz w:val="17"/>
              </w:rPr>
              <w:t>Form §§1, 4.4, 5.2, 7.4, 16.11</w:t>
            </w:r>
          </w:p>
          <w:p>
            <w:pPr>
              <w:spacing w:after="20"/>
            </w:pPr>
            <w:r>
              <w:rPr>
                <w:b w:val="0"/>
                <w:sz w:val="17"/>
              </w:rPr>
              <w:t>Mkp §§7.3, 9.2, 16.8</w:t>
            </w:r>
          </w:p>
        </w:tc>
        <w:tc>
          <w:tcPr>
            <w:tcW w:type="dxa" w:w="2520"/>
          </w:tcPr>
          <w:p>
            <w:pPr>
              <w:spacing w:after="20"/>
            </w:pPr>
            <w:r/>
            <w:r>
              <w:rPr>
                <w:b w:val="0"/>
                <w:sz w:val="17"/>
              </w:rPr>
              <w:t xml:space="preserve">U: deleted the Form §16.11 roll-forward to the next business day. Hard-coded dates do not work: the Jan. 18, 2025 extension date is a Saturday and Feb. 2, 2025 is a Sunday. The rent-roll date "Dec. 29, 2024" is a Sunday and is not 5 business days before Jan. 3 (that date is about Dec. 26, given the Dec. 25 and Jan. 1 holidays). Nov. 11, 2024 is Veterans Day, a bank holiday under the "business day" definition. </w:t>
            </w:r>
            <w:r>
              <w:rPr>
                <w:b/>
                <w:sz w:val="17"/>
              </w:rPr>
              <w:t>Our own form contains the same Dec. 29 and Nov. 11 errors.</w:t>
            </w:r>
          </w:p>
        </w:tc>
        <w:tc>
          <w:tcPr>
            <w:tcW w:type="dxa" w:w="2520"/>
          </w:tcPr>
          <w:p>
            <w:pPr>
              <w:spacing w:after="20"/>
            </w:pPr>
            <w:r/>
            <w:r>
              <w:rPr>
                <w:b w:val="0"/>
                <w:sz w:val="17"/>
              </w:rPr>
              <w:t>Seller signed nothing by Nov. 4 (its header is dated Nov. 8), so every hard-coded date tied to a Nov. 4 Effective Date (Nov. 7 deposit, Dec. 4 due diligence, Dec. 19 financing, Jan. 3 Closing) will be wrong at signing.</w:t>
            </w:r>
          </w:p>
        </w:tc>
        <w:tc>
          <w:tcPr>
            <w:tcW w:type="dxa" w:w="2520"/>
          </w:tcPr>
          <w:p>
            <w:pPr>
              <w:spacing w:after="20"/>
            </w:pPr>
            <w:r/>
            <w:r>
              <w:rPr>
                <w:b w:val="0"/>
                <w:sz w:val="17"/>
              </w:rPr>
              <w:t>Restore the roll-forward. Express all deadlines as periods running from the actual Effective Date, with a closing-date schedule exhibit. Fix the Dec. 29 and Nov. 11 references in our own form.</w:t>
            </w:r>
          </w:p>
        </w:tc>
      </w:tr>
      <w:tr>
        <w:tc>
          <w:tcPr>
            <w:tcW w:type="dxa" w:w="432"/>
            <w:shd w:val="clear" w:color="auto" w:fill="E2EFDA"/>
          </w:tcPr>
          <w:p>
            <w:pPr>
              <w:spacing w:after="20"/>
            </w:pPr>
            <w:r/>
            <w:r>
              <w:rPr>
                <w:b w:val="0"/>
                <w:sz w:val="17"/>
              </w:rPr>
              <w:t>27</w:t>
            </w:r>
          </w:p>
        </w:tc>
        <w:tc>
          <w:tcPr>
            <w:tcW w:type="dxa" w:w="1656"/>
          </w:tcPr>
          <w:p>
            <w:pPr>
              <w:spacing w:after="20"/>
            </w:pPr>
            <w:r/>
            <w:r>
              <w:rPr>
                <w:b/>
                <w:sz w:val="17"/>
              </w:rPr>
              <w:t>"Shall" to "will" global change</w:t>
            </w:r>
          </w:p>
          <w:p>
            <w:pPr>
              <w:spacing w:after="20"/>
            </w:pPr>
            <w:r>
              <w:rPr>
                <w:b w:val="0"/>
                <w:sz w:val="17"/>
              </w:rPr>
              <w:t>Throughout (T)</w:t>
            </w:r>
          </w:p>
        </w:tc>
        <w:tc>
          <w:tcPr>
            <w:tcW w:type="dxa" w:w="2520"/>
          </w:tcPr>
          <w:p>
            <w:pPr>
              <w:spacing w:after="20"/>
            </w:pPr>
            <w:r/>
            <w:r>
              <w:rPr>
                <w:b w:val="0"/>
                <w:sz w:val="17"/>
              </w:rPr>
              <w:t>T: about 140 instances changed. The new Seller-favorable provisions (Mkp §§3.3, 5.3, 6.2 cap, 6.4, 10.2, 12.3, 13.1) use "shall."</w:t>
            </w:r>
          </w:p>
        </w:tc>
        <w:tc>
          <w:tcPr>
            <w:tcW w:type="dxa" w:w="2520"/>
          </w:tcPr>
          <w:p>
            <w:pPr>
              <w:spacing w:after="20"/>
            </w:pPr>
            <w:r/>
            <w:r>
              <w:rPr>
                <w:b w:val="0"/>
                <w:sz w:val="17"/>
              </w:rPr>
              <w:t>Described as stylistic, but it creates inconsistent usage that invites argument that Seller's "will" obligations are softer than Buyer's "shall" obligations.</w:t>
            </w:r>
          </w:p>
        </w:tc>
        <w:tc>
          <w:tcPr>
            <w:tcW w:type="dxa" w:w="2520"/>
          </w:tcPr>
          <w:p>
            <w:pPr>
              <w:spacing w:after="20"/>
            </w:pPr>
            <w:r/>
            <w:r>
              <w:rPr>
                <w:b w:val="0"/>
                <w:sz w:val="17"/>
              </w:rPr>
              <w:t>Reject the global change. Keep "shall" for all obligations.</w:t>
            </w:r>
          </w:p>
        </w:tc>
      </w:tr>
      <w:tr>
        <w:tc>
          <w:tcPr>
            <w:tcW w:type="dxa" w:w="432"/>
            <w:shd w:val="clear" w:color="auto" w:fill="E2EFDA"/>
          </w:tcPr>
          <w:p>
            <w:pPr>
              <w:spacing w:after="20"/>
            </w:pPr>
            <w:r/>
            <w:r>
              <w:rPr>
                <w:b w:val="0"/>
                <w:sz w:val="17"/>
              </w:rPr>
              <w:t>28</w:t>
            </w:r>
          </w:p>
        </w:tc>
        <w:tc>
          <w:tcPr>
            <w:tcW w:type="dxa" w:w="1656"/>
          </w:tcPr>
          <w:p>
            <w:pPr>
              <w:spacing w:after="20"/>
            </w:pPr>
            <w:r/>
            <w:r>
              <w:rPr>
                <w:b/>
                <w:sz w:val="17"/>
              </w:rPr>
              <w:t>Numbering, cross-references, artifacts</w:t>
            </w:r>
          </w:p>
        </w:tc>
        <w:tc>
          <w:tcPr>
            <w:tcW w:type="dxa" w:w="2520"/>
          </w:tcPr>
          <w:p>
            <w:pPr>
              <w:spacing w:after="20"/>
            </w:pPr>
            <w:r/>
            <w:r>
              <w:rPr>
                <w:b w:val="0"/>
                <w:sz w:val="17"/>
              </w:rPr>
              <w:t>Duplicate "Section 7.2" (operating covenants heading and renumbered estoppel). §9.3(g)/(k) cross-references re-pointed. Headings contain bracketed "[DELETED]/[ADDED]" text. Stray deleted "shall" runs at the end of §7.1. §3.3 refers to conditions in "Section 8.1"; §1.1 refers to "Article 13."</w:t>
            </w:r>
          </w:p>
        </w:tc>
        <w:tc>
          <w:tcPr>
            <w:tcW w:type="dxa" w:w="2520"/>
          </w:tcPr>
          <w:p>
            <w:pPr>
              <w:spacing w:after="20"/>
            </w:pPr>
            <w:r/>
            <w:r>
              <w:rPr>
                <w:b w:val="0"/>
                <w:sz w:val="17"/>
              </w:rPr>
              <w:t>A clean conformed document will be needed. Errors can change meaning (for example, which section is "Section 7.2").</w:t>
            </w:r>
          </w:p>
        </w:tc>
        <w:tc>
          <w:tcPr>
            <w:tcW w:type="dxa" w:w="2520"/>
          </w:tcPr>
          <w:p>
            <w:pPr>
              <w:spacing w:after="20"/>
            </w:pPr>
            <w:r/>
            <w:r>
              <w:rPr>
                <w:b w:val="0"/>
                <w:sz w:val="17"/>
              </w:rPr>
              <w:t>Conform at our next turn on our own form.</w:t>
            </w:r>
          </w:p>
        </w:tc>
      </w:tr>
      <w:tr>
        <w:tc>
          <w:tcPr>
            <w:tcW w:type="dxa" w:w="432"/>
            <w:shd w:val="clear" w:color="auto" w:fill="E2EFDA"/>
          </w:tcPr>
          <w:p>
            <w:pPr>
              <w:spacing w:after="20"/>
            </w:pPr>
            <w:r/>
            <w:r>
              <w:rPr>
                <w:b w:val="0"/>
                <w:sz w:val="17"/>
              </w:rPr>
              <w:t>29</w:t>
            </w:r>
          </w:p>
        </w:tc>
        <w:tc>
          <w:tcPr>
            <w:tcW w:type="dxa" w:w="1656"/>
          </w:tcPr>
          <w:p>
            <w:pPr>
              <w:spacing w:after="20"/>
            </w:pPr>
            <w:r/>
            <w:r>
              <w:rPr>
                <w:b/>
                <w:sz w:val="17"/>
              </w:rPr>
              <w:t>Deposit wiring protocol</w:t>
            </w:r>
          </w:p>
          <w:p>
            <w:pPr>
              <w:spacing w:after="20"/>
            </w:pPr>
            <w:r>
              <w:rPr>
                <w:b w:val="0"/>
                <w:sz w:val="17"/>
              </w:rPr>
              <w:t>(transmittal)</w:t>
            </w:r>
          </w:p>
        </w:tc>
        <w:tc>
          <w:tcPr>
            <w:tcW w:type="dxa" w:w="2520"/>
          </w:tcPr>
          <w:p>
            <w:pPr>
              <w:spacing w:after="20"/>
            </w:pPr>
            <w:r/>
            <w:r>
              <w:rPr>
                <w:b w:val="0"/>
                <w:sz w:val="17"/>
              </w:rPr>
              <w:t>Mr. Beatty says he will circulate Trident wiring instructions "under separate cover."</w:t>
            </w:r>
          </w:p>
        </w:tc>
        <w:tc>
          <w:tcPr>
            <w:tcW w:type="dxa" w:w="2520"/>
          </w:tcPr>
          <w:p>
            <w:pPr>
              <w:spacing w:after="20"/>
            </w:pPr>
            <w:r/>
            <w:r>
              <w:rPr>
                <w:b w:val="0"/>
                <w:sz w:val="17"/>
              </w:rPr>
              <w:t>Wire instructions sent by a party's counsel by email are a known wire-fraud vector. A $750,000 deposit is a meaningful target.</w:t>
            </w:r>
          </w:p>
        </w:tc>
        <w:tc>
          <w:tcPr>
            <w:tcW w:type="dxa" w:w="2520"/>
          </w:tcPr>
          <w:p>
            <w:pPr>
              <w:spacing w:after="20"/>
            </w:pPr>
            <w:r/>
            <w:r>
              <w:rPr>
                <w:b w:val="0"/>
                <w:sz w:val="17"/>
              </w:rPr>
              <w:t>Obtain instructions only from Trident (Maria Fontaine) and verify by phone to a known number before funding. Mkp §3.1 language (account designated by the Escrow Officer) is acceptable.</w:t>
            </w:r>
          </w:p>
        </w:tc>
      </w:tr>
    </w:tbl>
    <w:p>
      <w:pPr>
        <w:spacing w:after="40"/>
      </w:pPr>
    </w:p>
    <w:p>
      <w:pPr>
        <w:pStyle w:val="Heading1"/>
      </w:pPr>
      <w:r>
        <w:t>V. How the Changes Work Together: Buyer's Exposure Under the Markup</w:t>
      </w:r>
    </w:p>
    <w:p>
      <w:pPr>
        <w:jc w:val="both"/>
      </w:pPr>
      <w:r>
        <w:rPr>
          <w:b w:val="0"/>
        </w:rPr>
        <w:t>Taken one at a time, some of the changes might look negotiable. Together, they change who carries the deal risk. The scenario below illustrates this, assuming the markup were signed on November 4, 2024:</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1F2A44"/>
          </w:tcPr>
          <w:p>
            <w:r/>
            <w:r>
              <w:rPr>
                <w:b/>
                <w:color w:val="FFFFFF"/>
                <w:sz w:val="17"/>
              </w:rPr>
              <w:t>Date</w:t>
            </w:r>
          </w:p>
        </w:tc>
        <w:tc>
          <w:tcPr>
            <w:tcW w:type="dxa" w:w="4608"/>
            <w:shd w:val="clear" w:color="auto" w:fill="1F2A44"/>
          </w:tcPr>
          <w:p>
            <w:r/>
            <w:r>
              <w:rPr>
                <w:b/>
                <w:color w:val="FFFFFF"/>
                <w:sz w:val="17"/>
              </w:rPr>
              <w:t>Event under the markup</w:t>
            </w:r>
          </w:p>
        </w:tc>
        <w:tc>
          <w:tcPr>
            <w:tcW w:type="dxa" w:w="3456"/>
            <w:shd w:val="clear" w:color="auto" w:fill="1F2A44"/>
          </w:tcPr>
          <w:p>
            <w:r/>
            <w:r>
              <w:rPr>
                <w:b/>
                <w:color w:val="FFFFFF"/>
                <w:sz w:val="17"/>
              </w:rPr>
              <w:t>Buyer position under our form</w:t>
            </w:r>
          </w:p>
        </w:tc>
      </w:tr>
      <w:tr>
        <w:tc>
          <w:tcPr>
            <w:tcW w:type="dxa" w:w="1584"/>
          </w:tcPr>
          <w:p>
            <w:pPr>
              <w:spacing w:after="20"/>
            </w:pPr>
            <w:r/>
            <w:r>
              <w:rPr>
                <w:b w:val="0"/>
                <w:sz w:val="17"/>
              </w:rPr>
              <w:t>Mon. Nov. 25, 2024</w:t>
            </w:r>
          </w:p>
        </w:tc>
        <w:tc>
          <w:tcPr>
            <w:tcW w:type="dxa" w:w="4608"/>
          </w:tcPr>
          <w:p>
            <w:pPr>
              <w:spacing w:after="20"/>
            </w:pPr>
            <w:r/>
            <w:r>
              <w:rPr>
                <w:b w:val="0"/>
                <w:sz w:val="17"/>
              </w:rPr>
              <w:t>Due diligence expires (day 21); the $750,000 Additional Deposit is due; the entire $1.5M goes hard (Mkp §§1.1, 3.2, 3.3). The Phase I, property condition report and Palisade appraisal may not be complete.</w:t>
            </w:r>
          </w:p>
        </w:tc>
        <w:tc>
          <w:tcPr>
            <w:tcW w:type="dxa" w:w="3456"/>
          </w:tcPr>
          <w:p>
            <w:pPr>
              <w:spacing w:after="20"/>
            </w:pPr>
            <w:r/>
            <w:r>
              <w:rPr>
                <w:b w:val="0"/>
                <w:sz w:val="17"/>
              </w:rPr>
              <w:t>Due diligence runs to Wed. Dec. 4; deposit refundable on financing failure through Dec. 19.</w:t>
            </w:r>
          </w:p>
        </w:tc>
      </w:tr>
      <w:tr>
        <w:tc>
          <w:tcPr>
            <w:tcW w:type="dxa" w:w="1584"/>
          </w:tcPr>
          <w:p>
            <w:pPr>
              <w:spacing w:after="20"/>
            </w:pPr>
            <w:r/>
            <w:r>
              <w:rPr>
                <w:b w:val="0"/>
                <w:sz w:val="17"/>
              </w:rPr>
              <w:t>Dec. 2024</w:t>
            </w:r>
          </w:p>
        </w:tc>
        <w:tc>
          <w:tcPr>
            <w:tcW w:type="dxa" w:w="4608"/>
          </w:tcPr>
          <w:p>
            <w:pPr>
              <w:spacing w:after="20"/>
            </w:pPr>
            <w:r/>
            <w:r>
              <w:rPr>
                <w:b w:val="0"/>
                <w:sz w:val="17"/>
              </w:rPr>
              <w:t>Aldersgate appraisal comes in below $57.2M, so the Palisade loan shrinks (65% of appraised value) or is declined. Buyer has no exit (Mkp §5.3).</w:t>
            </w:r>
          </w:p>
        </w:tc>
        <w:tc>
          <w:tcPr>
            <w:tcW w:type="dxa" w:w="3456"/>
          </w:tcPr>
          <w:p>
            <w:pPr>
              <w:spacing w:after="20"/>
            </w:pPr>
            <w:r/>
            <w:r>
              <w:rPr>
                <w:b w:val="0"/>
                <w:sz w:val="17"/>
              </w:rPr>
              <w:t>Buyer may terminate by Dec. 19 and recover $1.5M (Form §5.3(c)).</w:t>
            </w:r>
          </w:p>
        </w:tc>
      </w:tr>
      <w:tr>
        <w:tc>
          <w:tcPr>
            <w:tcW w:type="dxa" w:w="1584"/>
          </w:tcPr>
          <w:p>
            <w:pPr>
              <w:spacing w:after="20"/>
            </w:pPr>
            <w:r/>
            <w:r>
              <w:rPr>
                <w:b w:val="0"/>
                <w:sz w:val="17"/>
              </w:rPr>
              <w:t>Jan. 3, 2025</w:t>
            </w:r>
          </w:p>
        </w:tc>
        <w:tc>
          <w:tcPr>
            <w:tcW w:type="dxa" w:w="4608"/>
          </w:tcPr>
          <w:p>
            <w:pPr>
              <w:spacing w:after="20"/>
            </w:pPr>
            <w:r/>
            <w:r>
              <w:rPr>
                <w:b w:val="0"/>
                <w:sz w:val="17"/>
              </w:rPr>
              <w:t>Buyer cannot close. Seller keeps $1.5M as a "minimum," and may sue for specific performance, actual damages and consequential damages (Mkp §12.1). Seller's own exposure if it defaults is capped at $50,000 in costs, with a 60-day window to sue (Mkp §12.2).</w:t>
            </w:r>
          </w:p>
        </w:tc>
        <w:tc>
          <w:tcPr>
            <w:tcW w:type="dxa" w:w="3456"/>
          </w:tcPr>
          <w:p>
            <w:pPr>
              <w:spacing w:after="20"/>
            </w:pPr>
            <w:r/>
            <w:r>
              <w:rPr>
                <w:b w:val="0"/>
                <w:sz w:val="17"/>
              </w:rPr>
              <w:t>Seller's sole remedy is $1.5M liquidated damages (Form §13.2), and only for a true Buyer default.</w:t>
            </w:r>
          </w:p>
        </w:tc>
      </w:tr>
      <w:tr>
        <w:tc>
          <w:tcPr>
            <w:tcW w:type="dxa" w:w="1584"/>
          </w:tcPr>
          <w:p>
            <w:pPr>
              <w:spacing w:after="20"/>
            </w:pPr>
            <w:r/>
            <w:r>
              <w:rPr>
                <w:b w:val="0"/>
                <w:sz w:val="17"/>
              </w:rPr>
              <w:t>If Buyer closes</w:t>
            </w:r>
          </w:p>
        </w:tc>
        <w:tc>
          <w:tcPr>
            <w:tcW w:type="dxa" w:w="4608"/>
          </w:tcPr>
          <w:p>
            <w:pPr>
              <w:spacing w:after="20"/>
            </w:pPr>
            <w:r/>
            <w:r>
              <w:rPr>
                <w:b w:val="0"/>
                <w:sz w:val="17"/>
              </w:rPr>
              <w:t>Seller keeps January rents collected by Jan. 3 (up to about $480,000). Reps survive only to Apr. 3, 2025, are capped at $500,000, are limited to Mr. Aldecott's uninvestigated actual knowledge, and are waived for discoverable matters. There is no indemnity for pre-closing claims or environmental conditions.</w:t>
            </w:r>
          </w:p>
        </w:tc>
        <w:tc>
          <w:tcPr>
            <w:tcW w:type="dxa" w:w="3456"/>
          </w:tcPr>
          <w:p>
            <w:pPr>
              <w:spacing w:after="20"/>
            </w:pPr>
            <w:r/>
            <w:r>
              <w:rPr>
                <w:b w:val="0"/>
                <w:sz w:val="17"/>
              </w:rPr>
              <w:t>Accrual proration; 12-month uncapped reps; Article XV indemnity, with the environmental indemnity having no time limit.</w:t>
            </w:r>
          </w:p>
        </w:tc>
      </w:tr>
    </w:tbl>
    <w:p>
      <w:pPr>
        <w:spacing w:after="40"/>
      </w:pPr>
    </w:p>
    <w:p>
      <w:pPr>
        <w:pStyle w:val="Heading1"/>
      </w:pPr>
      <w:r>
        <w:t>VI. Transmittal Characterizations Compared With the Markup</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456"/>
            <w:shd w:val="clear" w:color="auto" w:fill="1F2A44"/>
          </w:tcPr>
          <w:p>
            <w:r/>
            <w:r>
              <w:rPr>
                <w:b/>
                <w:color w:val="FFFFFF"/>
                <w:sz w:val="17"/>
              </w:rPr>
              <w:t>Transmittal statement (T. Beatty, Nov. 1, 2024)</w:t>
            </w:r>
          </w:p>
        </w:tc>
        <w:tc>
          <w:tcPr>
            <w:tcW w:type="dxa" w:w="6192"/>
            <w:shd w:val="clear" w:color="auto" w:fill="1F2A44"/>
          </w:tcPr>
          <w:p>
            <w:r/>
            <w:r>
              <w:rPr>
                <w:b/>
                <w:color w:val="FFFFFF"/>
                <w:sz w:val="17"/>
              </w:rPr>
              <w:t>What the markup actually does</w:t>
            </w:r>
          </w:p>
        </w:tc>
      </w:tr>
      <w:tr>
        <w:tc>
          <w:tcPr>
            <w:tcW w:type="dxa" w:w="3456"/>
          </w:tcPr>
          <w:p>
            <w:pPr>
              <w:spacing w:after="20"/>
            </w:pPr>
            <w:r/>
            <w:r>
              <w:rPr>
                <w:b w:val="0"/>
                <w:sz w:val="17"/>
              </w:rPr>
              <w:t>"Balanced, market-standard revisions . . . most . . . should be noncontroversial"</w:t>
            </w:r>
          </w:p>
        </w:tc>
        <w:tc>
          <w:tcPr>
            <w:tcW w:type="dxa" w:w="6192"/>
          </w:tcPr>
          <w:p>
            <w:pPr>
              <w:spacing w:after="20"/>
            </w:pPr>
            <w:r/>
            <w:r>
              <w:rPr>
                <w:b w:val="0"/>
                <w:sz w:val="17"/>
              </w:rPr>
              <w:t>Eliminates financing protection, makes the deposit hard, removes the liquidated-damages cap, deletes the operating covenants and indemnity article, and gives Seller assignment and title walk rights. None of this is balanced: every change shifts risk to Buyer.</w:t>
            </w:r>
          </w:p>
        </w:tc>
      </w:tr>
      <w:tr>
        <w:tc>
          <w:tcPr>
            <w:tcW w:type="dxa" w:w="3456"/>
          </w:tcPr>
          <w:p>
            <w:pPr>
              <w:spacing w:after="20"/>
            </w:pPr>
            <w:r/>
            <w:r>
              <w:rPr>
                <w:b w:val="0"/>
                <w:sz w:val="17"/>
              </w:rPr>
              <w:t>"Clean-up and stylistic edits . . . tightened up a few provisions for consistency"</w:t>
            </w:r>
          </w:p>
        </w:tc>
        <w:tc>
          <w:tcPr>
            <w:tcW w:type="dxa" w:w="6192"/>
          </w:tcPr>
          <w:p>
            <w:pPr>
              <w:spacing w:after="20"/>
            </w:pPr>
            <w:r/>
            <w:r>
              <w:rPr>
                <w:b w:val="0"/>
                <w:sz w:val="17"/>
              </w:rPr>
              <w:t>Re-based on a retyped document, with many substantive changes left untracked (Section II). The "shall" to "will" change is applied unevenly (Issue 27).</w:t>
            </w:r>
          </w:p>
        </w:tc>
      </w:tr>
      <w:tr>
        <w:tc>
          <w:tcPr>
            <w:tcW w:type="dxa" w:w="3456"/>
          </w:tcPr>
          <w:p>
            <w:pPr>
              <w:spacing w:after="20"/>
            </w:pPr>
            <w:r/>
            <w:r>
              <w:rPr>
                <w:b w:val="0"/>
                <w:sz w:val="17"/>
              </w:rPr>
              <w:t>"Updated the notice addresses for both parties"</w:t>
            </w:r>
          </w:p>
        </w:tc>
        <w:tc>
          <w:tcPr>
            <w:tcW w:type="dxa" w:w="6192"/>
          </w:tcPr>
          <w:p>
            <w:pPr>
              <w:spacing w:after="20"/>
            </w:pPr>
            <w:r/>
            <w:r>
              <w:rPr>
                <w:b w:val="0"/>
                <w:sz w:val="17"/>
              </w:rPr>
              <w:t>Changed Buyer's counsel's street address and email domain without tracking, and Seller's street number without tracking (Issue 23).</w:t>
            </w:r>
          </w:p>
        </w:tc>
      </w:tr>
      <w:tr>
        <w:tc>
          <w:tcPr>
            <w:tcW w:type="dxa" w:w="3456"/>
          </w:tcPr>
          <w:p>
            <w:pPr>
              <w:spacing w:after="20"/>
            </w:pPr>
            <w:r/>
            <w:r>
              <w:rPr>
                <w:b w:val="0"/>
                <w:sz w:val="17"/>
              </w:rPr>
              <w:t>Mediation added "as a good-faith mechanism that benefits both sides"</w:t>
            </w:r>
          </w:p>
        </w:tc>
        <w:tc>
          <w:tcPr>
            <w:tcW w:type="dxa" w:w="6192"/>
          </w:tcPr>
          <w:p>
            <w:pPr>
              <w:spacing w:after="20"/>
            </w:pPr>
            <w:r/>
            <w:r>
              <w:rPr>
                <w:b w:val="0"/>
                <w:sz w:val="17"/>
              </w:rPr>
              <w:t>Delays Buyer's enforcement and interacts with the new 60-day specific-performance deadline (Issues 10, 17).</w:t>
            </w:r>
          </w:p>
        </w:tc>
      </w:tr>
      <w:tr>
        <w:tc>
          <w:tcPr>
            <w:tcW w:type="dxa" w:w="3456"/>
          </w:tcPr>
          <w:p>
            <w:pPr>
              <w:spacing w:after="20"/>
            </w:pPr>
            <w:r/>
            <w:r>
              <w:rPr>
                <w:b w:val="0"/>
                <w:sz w:val="17"/>
              </w:rPr>
              <w:t>Reps "refined" to reflect a "passive holding entity"</w:t>
            </w:r>
          </w:p>
        </w:tc>
        <w:tc>
          <w:tcPr>
            <w:tcW w:type="dxa" w:w="6192"/>
          </w:tcPr>
          <w:p>
            <w:pPr>
              <w:spacing w:after="20"/>
            </w:pPr>
            <w:r/>
            <w:r>
              <w:rPr>
                <w:b w:val="0"/>
                <w:sz w:val="17"/>
              </w:rPr>
              <w:t>Knowledge limited to an uninvestigated, passive manager; key reps deleted; 3-month survival; $500,000 cap; waiver of discoverable matters (Issue 5). A passive owner is a reason to extend knowledge to the property manager, not to eliminate inquiry.</w:t>
            </w:r>
          </w:p>
        </w:tc>
      </w:tr>
      <w:tr>
        <w:tc>
          <w:tcPr>
            <w:tcW w:type="dxa" w:w="3456"/>
          </w:tcPr>
          <w:p>
            <w:pPr>
              <w:spacing w:after="20"/>
            </w:pPr>
            <w:r/>
            <w:r>
              <w:rPr>
                <w:b w:val="0"/>
                <w:sz w:val="17"/>
              </w:rPr>
              <w:t>"No concern about the status of the Property between now and . . . Closing"</w:t>
            </w:r>
          </w:p>
        </w:tc>
        <w:tc>
          <w:tcPr>
            <w:tcW w:type="dxa" w:w="6192"/>
          </w:tcPr>
          <w:p>
            <w:pPr>
              <w:spacing w:after="20"/>
            </w:pPr>
            <w:r/>
            <w:r>
              <w:rPr>
                <w:b w:val="0"/>
                <w:sz w:val="17"/>
              </w:rPr>
              <w:t>Deletes every pre-closing operating covenant (Issue 7). If Seller means it, it should accept the covenants.</w:t>
            </w:r>
          </w:p>
        </w:tc>
      </w:tr>
    </w:tbl>
    <w:p>
      <w:pPr>
        <w:spacing w:after="40"/>
      </w:pPr>
    </w:p>
    <w:p>
      <w:pPr>
        <w:pStyle w:val="Heading1"/>
      </w:pPr>
      <w:r>
        <w:t>VII. Recommended Negotiating Position</w:t>
      </w:r>
    </w:p>
    <w:p>
      <w:pPr>
        <w:pStyle w:val="Heading3"/>
      </w:pPr>
      <w:r>
        <w:t>A. Non-negotiable without new IC authority (reject)</w:t>
      </w:r>
    </w:p>
    <w:p>
      <w:pPr>
        <w:pStyle w:val="ListBullet"/>
        <w:spacing w:after="60"/>
      </w:pPr>
      <w:r>
        <w:rPr>
          <w:b w:val="0"/>
        </w:rPr>
        <w:t>Financing contingency (Issue 1); deposit refundability (Issue 2); liquidated damages as Seller's sole remedy (Issue 3); 30-day due diligence (Issue 4); Seller reps, survival and no cap (Issue 5); Article XV indemnity (Issue 6); operating covenants (Issue 7); affiliate/SPE assignment (Issue 8).</w:t>
      </w:r>
    </w:p>
    <w:p>
      <w:pPr>
        <w:pStyle w:val="ListBullet"/>
        <w:spacing w:after="60"/>
      </w:pPr>
      <w:r>
        <w:rPr>
          <w:b w:val="0"/>
        </w:rPr>
        <w:t>Also hold firm on: no Seller title termination right and mandatory lien payoff (Issue 9); accrual prorations with true-up (Issue 11); closing-cost allocation (Issue 15).</w:t>
      </w:r>
    </w:p>
    <w:p>
      <w:pPr>
        <w:pStyle w:val="Heading3"/>
      </w:pPr>
      <w:r>
        <w:t>B. Trading currency (acceptable concessions to offer)</w:t>
      </w:r>
    </w:p>
    <w:p>
      <w:pPr>
        <w:pStyle w:val="ListBullet"/>
        <w:spacing w:after="60"/>
      </w:pPr>
      <w:r>
        <w:rPr>
          <w:b w:val="0"/>
        </w:rPr>
        <w:t>Court litigation in Mecklenburg County with a mutual jury waiver instead of AAA arbitration, provided mediation is optional or carved out and deadlines are tolled (Issue 17).</w:t>
      </w:r>
    </w:p>
    <w:p>
      <w:pPr>
        <w:pStyle w:val="ListBullet"/>
        <w:spacing w:after="60"/>
      </w:pPr>
      <w:r>
        <w:rPr>
          <w:b w:val="0"/>
        </w:rPr>
        <w:t>Seller's added amenity-impairment prong in the condemnation definition; residential estoppels not a closing condition.</w:t>
      </w:r>
    </w:p>
    <w:p>
      <w:pPr>
        <w:pStyle w:val="ListBullet"/>
        <w:spacing w:after="60"/>
      </w:pPr>
      <w:r>
        <w:rPr>
          <w:b w:val="0"/>
        </w:rPr>
        <w:t>Extension Fees held by the Escrow Agent (with refund on Seller default).</w:t>
      </w:r>
    </w:p>
    <w:p>
      <w:pPr>
        <w:pStyle w:val="ListBullet"/>
        <w:spacing w:after="60"/>
      </w:pPr>
      <w:r>
        <w:rPr>
          <w:b w:val="0"/>
        </w:rPr>
        <w:t>OFAC rep limited to Buyer and its direct owners; deletion of Buyer's financial-capacity rep (already favorable to Buyer).</w:t>
      </w:r>
    </w:p>
    <w:p>
      <w:pPr>
        <w:pStyle w:val="ListBullet"/>
        <w:spacing w:after="60"/>
      </w:pPr>
      <w:r>
        <w:rPr>
          <w:b w:val="0"/>
        </w:rPr>
        <w:t>Deemed consent (3–5 business days) for operating-covenant approvals; flexibility on routine residential leasing.</w:t>
      </w:r>
    </w:p>
    <w:p>
      <w:pPr>
        <w:pStyle w:val="ListBullet"/>
        <w:spacing w:after="60"/>
      </w:pPr>
      <w:r>
        <w:rPr>
          <w:b w:val="0"/>
        </w:rPr>
        <w:t>Title cure period of 20 calendar days (in place of 15 business days), if Seller wants calendar-day mechanics.</w:t>
      </w:r>
    </w:p>
    <w:p>
      <w:pPr>
        <w:pStyle w:val="ListBullet"/>
        <w:spacing w:after="60"/>
      </w:pPr>
      <w:r>
        <w:rPr>
          <w:b w:val="0"/>
        </w:rPr>
        <w:t>Seller's added deliverables (certified rent roll at signing; tenant correspondence).</w:t>
      </w:r>
    </w:p>
    <w:p>
      <w:pPr>
        <w:pStyle w:val="Heading3"/>
      </w:pPr>
      <w:r>
        <w:t>C. Possible fallbacks (only with supplemental IC authorization)</w:t>
      </w:r>
    </w:p>
    <w:p>
      <w:pPr>
        <w:pStyle w:val="ListBullet"/>
        <w:spacing w:after="60"/>
      </w:pPr>
      <w:r>
        <w:rPr>
          <w:b w:val="0"/>
        </w:rPr>
        <w:t>A modestly shorter financing contingency tied to the Palisade timetable (e.g., 40 days), with deemed waiver and lender-declination evidence.</w:t>
      </w:r>
    </w:p>
    <w:p>
      <w:pPr>
        <w:pStyle w:val="ListBullet"/>
        <w:spacing w:after="60"/>
      </w:pPr>
      <w:r>
        <w:rPr>
          <w:b w:val="0"/>
        </w:rPr>
        <w:t>A rep cap at a market-level percentage of price (well above $500,000) with customary carve-outs, plus a survival period of no less than 9–12 months.</w:t>
      </w:r>
    </w:p>
    <w:p>
      <w:pPr>
        <w:pStyle w:val="ListBullet"/>
        <w:spacing w:after="60"/>
      </w:pPr>
      <w:r>
        <w:rPr>
          <w:b w:val="0"/>
        </w:rPr>
        <w:t>An environmental indemnity limited to a defined survival period (e.g., 5–7 years) instead of unlimited duration.</w:t>
      </w:r>
    </w:p>
    <w:p>
      <w:pPr>
        <w:pStyle w:val="ListBullet"/>
        <w:spacing w:after="60"/>
      </w:pPr>
      <w:r>
        <w:rPr>
          <w:b w:val="0"/>
        </w:rPr>
        <w:t xml:space="preserve">Making a limited portion of the Initial Deposit (e.g., $100,000–$250,000) non-refundable and applicable to the price once the </w:t>
      </w:r>
      <w:r>
        <w:rPr>
          <w:b/>
        </w:rPr>
        <w:t>financing</w:t>
      </w:r>
      <w:r>
        <w:rPr>
          <w:b w:val="0"/>
        </w:rPr>
        <w:t xml:space="preserve"> period expires (not at due-diligence expiry), with the balance remaining refundable on the Form §3.3(b) events.</w:t>
      </w:r>
    </w:p>
    <w:p>
      <w:pPr>
        <w:pStyle w:val="Heading1"/>
      </w:pPr>
      <w:r>
        <w:t>VIII. Recommended Next Steps</w:t>
      </w:r>
    </w:p>
    <w:p>
      <w:pPr>
        <w:pStyle w:val="ListNumber"/>
        <w:spacing w:after="60"/>
      </w:pPr>
      <w:r>
        <w:rPr>
          <w:b/>
        </w:rPr>
        <w:t>Client call (Acquisitions Team).</w:t>
      </w:r>
      <w:r>
        <w:rPr>
          <w:b w:val="0"/>
        </w:rPr>
        <w:t xml:space="preserve"> Walk through Tier 1. Confirm the team will not concede any IC item without supplemental IC authorization (IC §8). Decide whether to give the IC an interim update now.</w:t>
      </w:r>
    </w:p>
    <w:p>
      <w:pPr>
        <w:pStyle w:val="ListNumber"/>
        <w:spacing w:after="60"/>
      </w:pPr>
      <w:r>
        <w:rPr>
          <w:b/>
        </w:rPr>
        <w:t>Reset the timeline.</w:t>
      </w:r>
      <w:r>
        <w:rPr>
          <w:b w:val="0"/>
        </w:rPr>
        <w:t xml:space="preserve"> Tell Seller that a November 4 Effective Date is not achievable. Re-key all deadlines to the actual signing date (Issue 26).</w:t>
      </w:r>
    </w:p>
    <w:p>
      <w:pPr>
        <w:pStyle w:val="ListNumber"/>
        <w:spacing w:after="60"/>
      </w:pPr>
      <w:r>
        <w:rPr>
          <w:b/>
        </w:rPr>
        <w:t>Respond to Ridgeline Beatty.</w:t>
      </w:r>
      <w:r>
        <w:rPr>
          <w:b w:val="0"/>
        </w:rPr>
        <w:t xml:space="preserve"> Send a short cover note with this issues list (client-facing version, without internal fallbacks). State that our response is against the October 21 form, that untracked changes are not accepted, and ask for a true comparison. Propose a call with Mr. Beatty (and Mr. Aldecott, as offered) focused on Tier 1.</w:t>
      </w:r>
    </w:p>
    <w:p>
      <w:pPr>
        <w:pStyle w:val="ListNumber"/>
        <w:spacing w:after="60"/>
      </w:pPr>
      <w:r>
        <w:rPr>
          <w:b/>
        </w:rPr>
        <w:t>Prepare our responsive draft</w:t>
      </w:r>
      <w:r>
        <w:rPr>
          <w:b w:val="0"/>
        </w:rPr>
        <w:t xml:space="preserve"> on our form, adopting only the concessions in Section VII.B, and fix our own form's date errors (Nov. 11; Dec. 29) and confirm our notice details.</w:t>
      </w:r>
    </w:p>
    <w:p>
      <w:pPr>
        <w:pStyle w:val="ListNumber"/>
        <w:spacing w:after="60"/>
      </w:pPr>
      <w:r>
        <w:rPr>
          <w:b/>
        </w:rPr>
        <w:t>Lender coordination.</w:t>
      </w:r>
      <w:r>
        <w:rPr>
          <w:b w:val="0"/>
        </w:rPr>
        <w:t xml:space="preserve"> Get from Palisade National Bank (Susan Delacroix) a realistic commitment timeline (appraisal, Phase I, property condition assessment) to support the 45-day contingency in negotiations.</w:t>
      </w:r>
    </w:p>
    <w:p>
      <w:pPr>
        <w:pStyle w:val="ListNumber"/>
        <w:spacing w:after="60"/>
      </w:pPr>
      <w:r>
        <w:rPr>
          <w:b/>
        </w:rPr>
        <w:t>Diligence confirmations.</w:t>
      </w:r>
      <w:r>
        <w:rPr>
          <w:b w:val="0"/>
        </w:rPr>
        <w:t xml:space="preserve"> (a) Trident and our surveyor: reconcile the Exhibit A legal description and confirm existing deeds of trust and payoff. (b) Seller tax classification for FIRPTA. (c) Little Oaks lease: date (markup says March 15, 2022), options, ROFR. (d) Owned versus leased personal property. (e) Notice addresses and email domains.</w:t>
      </w:r>
    </w:p>
    <w:p>
      <w:pPr>
        <w:pStyle w:val="ListNumber"/>
        <w:spacing w:after="60"/>
      </w:pPr>
      <w:r>
        <w:rPr>
          <w:b/>
        </w:rPr>
        <w:t>Deposit funding.</w:t>
      </w:r>
      <w:r>
        <w:rPr>
          <w:b w:val="0"/>
        </w:rPr>
        <w:t xml:space="preserve"> Wire only on instructions obtained directly from Trident and verified by phone (Issue 29).</w:t>
      </w:r>
    </w:p>
    <w:p>
      <w:pPr>
        <w:pStyle w:val="Heading1"/>
      </w:pPr>
      <w:r>
        <w:t>Appendix A: Section Concordance (Buyer Form vs. Seller Markup)</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880"/>
            <w:shd w:val="clear" w:color="auto" w:fill="1F2A44"/>
          </w:tcPr>
          <w:p>
            <w:r/>
            <w:r>
              <w:rPr>
                <w:b/>
                <w:color w:val="FFFFFF"/>
                <w:sz w:val="17"/>
              </w:rPr>
              <w:t>Subject</w:t>
            </w:r>
          </w:p>
        </w:tc>
        <w:tc>
          <w:tcPr>
            <w:tcW w:type="dxa" w:w="3312"/>
            <w:shd w:val="clear" w:color="auto" w:fill="1F2A44"/>
          </w:tcPr>
          <w:p>
            <w:r/>
            <w:r>
              <w:rPr>
                <w:b/>
                <w:color w:val="FFFFFF"/>
                <w:sz w:val="17"/>
              </w:rPr>
              <w:t>Buyer form</w:t>
            </w:r>
          </w:p>
        </w:tc>
        <w:tc>
          <w:tcPr>
            <w:tcW w:type="dxa" w:w="3456"/>
            <w:shd w:val="clear" w:color="auto" w:fill="1F2A44"/>
          </w:tcPr>
          <w:p>
            <w:r/>
            <w:r>
              <w:rPr>
                <w:b/>
                <w:color w:val="FFFFFF"/>
                <w:sz w:val="17"/>
              </w:rPr>
              <w:t>Seller markup</w:t>
            </w:r>
          </w:p>
        </w:tc>
      </w:tr>
      <w:tr>
        <w:tc>
          <w:tcPr>
            <w:tcW w:type="dxa" w:w="2880"/>
          </w:tcPr>
          <w:p>
            <w:pPr>
              <w:spacing w:after="20"/>
            </w:pPr>
            <w:r/>
            <w:r>
              <w:rPr>
                <w:b w:val="0"/>
                <w:sz w:val="17"/>
              </w:rPr>
              <w:t>Definitions</w:t>
            </w:r>
          </w:p>
        </w:tc>
        <w:tc>
          <w:tcPr>
            <w:tcW w:type="dxa" w:w="3312"/>
          </w:tcPr>
          <w:p>
            <w:pPr>
              <w:spacing w:after="20"/>
            </w:pPr>
            <w:r/>
            <w:r>
              <w:rPr>
                <w:b w:val="0"/>
                <w:sz w:val="17"/>
              </w:rPr>
              <w:t>Art. I</w:t>
            </w:r>
          </w:p>
        </w:tc>
        <w:tc>
          <w:tcPr>
            <w:tcW w:type="dxa" w:w="3456"/>
          </w:tcPr>
          <w:p>
            <w:pPr>
              <w:spacing w:after="20"/>
            </w:pPr>
            <w:r/>
            <w:r>
              <w:rPr>
                <w:b w:val="0"/>
                <w:sz w:val="17"/>
              </w:rPr>
              <w:t>Art. 1 (§1.1; §1.2 interpretation)</w:t>
            </w:r>
          </w:p>
        </w:tc>
      </w:tr>
      <w:tr>
        <w:tc>
          <w:tcPr>
            <w:tcW w:type="dxa" w:w="2880"/>
          </w:tcPr>
          <w:p>
            <w:pPr>
              <w:spacing w:after="20"/>
            </w:pPr>
            <w:r/>
            <w:r>
              <w:rPr>
                <w:b w:val="0"/>
                <w:sz w:val="17"/>
              </w:rPr>
              <w:t>Property / as-is</w:t>
            </w:r>
          </w:p>
        </w:tc>
        <w:tc>
          <w:tcPr>
            <w:tcW w:type="dxa" w:w="3312"/>
          </w:tcPr>
          <w:p>
            <w:pPr>
              <w:spacing w:after="20"/>
            </w:pPr>
            <w:r/>
            <w:r>
              <w:rPr>
                <w:b w:val="0"/>
                <w:sz w:val="17"/>
              </w:rPr>
              <w:t>Art. II (§2.1; §2.2 as-is with carve-back)</w:t>
            </w:r>
          </w:p>
        </w:tc>
        <w:tc>
          <w:tcPr>
            <w:tcW w:type="dxa" w:w="3456"/>
          </w:tcPr>
          <w:p>
            <w:pPr>
              <w:spacing w:after="20"/>
            </w:pPr>
            <w:r/>
            <w:r>
              <w:rPr>
                <w:b w:val="0"/>
                <w:sz w:val="17"/>
              </w:rPr>
              <w:t>§2.1; as-is moved to §6.4 (no carve-back)</w:t>
            </w:r>
          </w:p>
        </w:tc>
      </w:tr>
      <w:tr>
        <w:tc>
          <w:tcPr>
            <w:tcW w:type="dxa" w:w="2880"/>
          </w:tcPr>
          <w:p>
            <w:pPr>
              <w:spacing w:after="20"/>
            </w:pPr>
            <w:r/>
            <w:r>
              <w:rPr>
                <w:b w:val="0"/>
                <w:sz w:val="17"/>
              </w:rPr>
              <w:t>Purchase price / deposits</w:t>
            </w:r>
          </w:p>
        </w:tc>
        <w:tc>
          <w:tcPr>
            <w:tcW w:type="dxa" w:w="3312"/>
          </w:tcPr>
          <w:p>
            <w:pPr>
              <w:spacing w:after="20"/>
            </w:pPr>
            <w:r/>
            <w:r>
              <w:rPr>
                <w:b w:val="0"/>
                <w:sz w:val="17"/>
              </w:rPr>
              <w:t>Art. III (§§3.1–3.4)</w:t>
            </w:r>
          </w:p>
        </w:tc>
        <w:tc>
          <w:tcPr>
            <w:tcW w:type="dxa" w:w="3456"/>
          </w:tcPr>
          <w:p>
            <w:pPr>
              <w:spacing w:after="20"/>
            </w:pPr>
            <w:r/>
            <w:r>
              <w:rPr>
                <w:b w:val="0"/>
                <w:sz w:val="17"/>
              </w:rPr>
              <w:t>§§2.2–2.3; Art. 3 (§§3.1–3.4)</w:t>
            </w:r>
          </w:p>
        </w:tc>
      </w:tr>
      <w:tr>
        <w:tc>
          <w:tcPr>
            <w:tcW w:type="dxa" w:w="2880"/>
          </w:tcPr>
          <w:p>
            <w:pPr>
              <w:spacing w:after="20"/>
            </w:pPr>
            <w:r/>
            <w:r>
              <w:rPr>
                <w:b w:val="0"/>
                <w:sz w:val="17"/>
              </w:rPr>
              <w:t>Closing; closing costs; extensions</w:t>
            </w:r>
          </w:p>
        </w:tc>
        <w:tc>
          <w:tcPr>
            <w:tcW w:type="dxa" w:w="3312"/>
          </w:tcPr>
          <w:p>
            <w:pPr>
              <w:spacing w:after="20"/>
            </w:pPr>
            <w:r/>
            <w:r>
              <w:rPr>
                <w:b w:val="0"/>
                <w:sz w:val="17"/>
              </w:rPr>
              <w:t>Art. IV (§§4.1–4.4)</w:t>
            </w:r>
          </w:p>
        </w:tc>
        <w:tc>
          <w:tcPr>
            <w:tcW w:type="dxa" w:w="3456"/>
          </w:tcPr>
          <w:p>
            <w:pPr>
              <w:spacing w:after="20"/>
            </w:pPr>
            <w:r/>
            <w:r>
              <w:rPr>
                <w:b w:val="0"/>
                <w:sz w:val="17"/>
              </w:rPr>
              <w:t>Art. 9 (§§9.1–9.2); closing costs omitted</w:t>
            </w:r>
          </w:p>
        </w:tc>
      </w:tr>
      <w:tr>
        <w:tc>
          <w:tcPr>
            <w:tcW w:type="dxa" w:w="2880"/>
          </w:tcPr>
          <w:p>
            <w:pPr>
              <w:spacing w:after="20"/>
            </w:pPr>
            <w:r/>
            <w:r>
              <w:rPr>
                <w:b w:val="0"/>
                <w:sz w:val="17"/>
              </w:rPr>
              <w:t>Due diligence; deliveries; financing</w:t>
            </w:r>
          </w:p>
        </w:tc>
        <w:tc>
          <w:tcPr>
            <w:tcW w:type="dxa" w:w="3312"/>
          </w:tcPr>
          <w:p>
            <w:pPr>
              <w:spacing w:after="20"/>
            </w:pPr>
            <w:r/>
            <w:r>
              <w:rPr>
                <w:b w:val="0"/>
                <w:sz w:val="17"/>
              </w:rPr>
              <w:t>Art. V (§§5.1–5.4)</w:t>
            </w:r>
          </w:p>
        </w:tc>
        <w:tc>
          <w:tcPr>
            <w:tcW w:type="dxa" w:w="3456"/>
          </w:tcPr>
          <w:p>
            <w:pPr>
              <w:spacing w:after="20"/>
            </w:pPr>
            <w:r/>
            <w:r>
              <w:rPr>
                <w:b w:val="0"/>
                <w:sz w:val="17"/>
              </w:rPr>
              <w:t>Art. 5 (§§5.1–5.3); access in §7.1</w:t>
            </w:r>
          </w:p>
        </w:tc>
      </w:tr>
      <w:tr>
        <w:tc>
          <w:tcPr>
            <w:tcW w:type="dxa" w:w="2880"/>
          </w:tcPr>
          <w:p>
            <w:pPr>
              <w:spacing w:after="20"/>
            </w:pPr>
            <w:r/>
            <w:r>
              <w:rPr>
                <w:b w:val="0"/>
                <w:sz w:val="17"/>
              </w:rPr>
              <w:t>Title and survey</w:t>
            </w:r>
          </w:p>
        </w:tc>
        <w:tc>
          <w:tcPr>
            <w:tcW w:type="dxa" w:w="3312"/>
          </w:tcPr>
          <w:p>
            <w:pPr>
              <w:spacing w:after="20"/>
            </w:pPr>
            <w:r/>
            <w:r>
              <w:rPr>
                <w:b w:val="0"/>
                <w:sz w:val="17"/>
              </w:rPr>
              <w:t>Art. VI</w:t>
            </w:r>
          </w:p>
        </w:tc>
        <w:tc>
          <w:tcPr>
            <w:tcW w:type="dxa" w:w="3456"/>
          </w:tcPr>
          <w:p>
            <w:pPr>
              <w:spacing w:after="20"/>
            </w:pPr>
            <w:r/>
            <w:r>
              <w:rPr>
                <w:b w:val="0"/>
                <w:sz w:val="17"/>
              </w:rPr>
              <w:t>Art. 4</w:t>
            </w:r>
          </w:p>
        </w:tc>
      </w:tr>
      <w:tr>
        <w:tc>
          <w:tcPr>
            <w:tcW w:type="dxa" w:w="2880"/>
          </w:tcPr>
          <w:p>
            <w:pPr>
              <w:spacing w:after="20"/>
            </w:pPr>
            <w:r/>
            <w:r>
              <w:rPr>
                <w:b w:val="0"/>
                <w:sz w:val="17"/>
              </w:rPr>
              <w:t>Seller covenants; estoppel; rent roll</w:t>
            </w:r>
          </w:p>
        </w:tc>
        <w:tc>
          <w:tcPr>
            <w:tcW w:type="dxa" w:w="3312"/>
          </w:tcPr>
          <w:p>
            <w:pPr>
              <w:spacing w:after="20"/>
            </w:pPr>
            <w:r/>
            <w:r>
              <w:rPr>
                <w:b w:val="0"/>
                <w:sz w:val="17"/>
              </w:rPr>
              <w:t>Art. VII (§§7.1–7.4)</w:t>
            </w:r>
          </w:p>
        </w:tc>
        <w:tc>
          <w:tcPr>
            <w:tcW w:type="dxa" w:w="3456"/>
          </w:tcPr>
          <w:p>
            <w:pPr>
              <w:spacing w:after="20"/>
            </w:pPr>
            <w:r/>
            <w:r>
              <w:rPr>
                <w:b w:val="0"/>
                <w:sz w:val="17"/>
              </w:rPr>
              <w:t>Art. 7 (§7.2 deleted; estoppel §7.2; rent roll §7.3)</w:t>
            </w:r>
          </w:p>
        </w:tc>
      </w:tr>
      <w:tr>
        <w:tc>
          <w:tcPr>
            <w:tcW w:type="dxa" w:w="2880"/>
          </w:tcPr>
          <w:p>
            <w:pPr>
              <w:spacing w:after="20"/>
            </w:pPr>
            <w:r/>
            <w:r>
              <w:rPr>
                <w:b w:val="0"/>
                <w:sz w:val="17"/>
              </w:rPr>
              <w:t>Representations; survival; cap</w:t>
            </w:r>
          </w:p>
        </w:tc>
        <w:tc>
          <w:tcPr>
            <w:tcW w:type="dxa" w:w="3312"/>
          </w:tcPr>
          <w:p>
            <w:pPr>
              <w:spacing w:after="20"/>
            </w:pPr>
            <w:r/>
            <w:r>
              <w:rPr>
                <w:b w:val="0"/>
                <w:sz w:val="17"/>
              </w:rPr>
              <w:t>Art. VIII (§§8.1–8.4)</w:t>
            </w:r>
          </w:p>
        </w:tc>
        <w:tc>
          <w:tcPr>
            <w:tcW w:type="dxa" w:w="3456"/>
          </w:tcPr>
          <w:p>
            <w:pPr>
              <w:spacing w:after="20"/>
            </w:pPr>
            <w:r/>
            <w:r>
              <w:rPr>
                <w:b w:val="0"/>
                <w:sz w:val="17"/>
              </w:rPr>
              <w:t>Art. 6 (§§6.1–6.4)</w:t>
            </w:r>
          </w:p>
        </w:tc>
      </w:tr>
      <w:tr>
        <w:tc>
          <w:tcPr>
            <w:tcW w:type="dxa" w:w="2880"/>
          </w:tcPr>
          <w:p>
            <w:pPr>
              <w:spacing w:after="20"/>
            </w:pPr>
            <w:r/>
            <w:r>
              <w:rPr>
                <w:b w:val="0"/>
                <w:sz w:val="17"/>
              </w:rPr>
              <w:t>Closing conditions</w:t>
            </w:r>
          </w:p>
        </w:tc>
        <w:tc>
          <w:tcPr>
            <w:tcW w:type="dxa" w:w="3312"/>
          </w:tcPr>
          <w:p>
            <w:pPr>
              <w:spacing w:after="20"/>
            </w:pPr>
            <w:r/>
            <w:r>
              <w:rPr>
                <w:b w:val="0"/>
                <w:sz w:val="17"/>
              </w:rPr>
              <w:t>Art. IX</w:t>
            </w:r>
          </w:p>
        </w:tc>
        <w:tc>
          <w:tcPr>
            <w:tcW w:type="dxa" w:w="3456"/>
          </w:tcPr>
          <w:p>
            <w:pPr>
              <w:spacing w:after="20"/>
            </w:pPr>
            <w:r/>
            <w:r>
              <w:rPr>
                <w:b w:val="0"/>
                <w:sz w:val="17"/>
              </w:rPr>
              <w:t>Art. 8</w:t>
            </w:r>
          </w:p>
        </w:tc>
      </w:tr>
      <w:tr>
        <w:tc>
          <w:tcPr>
            <w:tcW w:type="dxa" w:w="2880"/>
          </w:tcPr>
          <w:p>
            <w:pPr>
              <w:spacing w:after="20"/>
            </w:pPr>
            <w:r/>
            <w:r>
              <w:rPr>
                <w:b w:val="0"/>
                <w:sz w:val="17"/>
              </w:rPr>
              <w:t>Closing deliveries</w:t>
            </w:r>
          </w:p>
        </w:tc>
        <w:tc>
          <w:tcPr>
            <w:tcW w:type="dxa" w:w="3312"/>
          </w:tcPr>
          <w:p>
            <w:pPr>
              <w:spacing w:after="20"/>
            </w:pPr>
            <w:r/>
            <w:r>
              <w:rPr>
                <w:b w:val="0"/>
                <w:sz w:val="17"/>
              </w:rPr>
              <w:t>Art. X</w:t>
            </w:r>
          </w:p>
        </w:tc>
        <w:tc>
          <w:tcPr>
            <w:tcW w:type="dxa" w:w="3456"/>
          </w:tcPr>
          <w:p>
            <w:pPr>
              <w:spacing w:after="20"/>
            </w:pPr>
            <w:r/>
            <w:r>
              <w:rPr>
                <w:b w:val="0"/>
                <w:sz w:val="17"/>
              </w:rPr>
              <w:t>§§9.3–9.4</w:t>
            </w:r>
          </w:p>
        </w:tc>
      </w:tr>
      <w:tr>
        <w:tc>
          <w:tcPr>
            <w:tcW w:type="dxa" w:w="2880"/>
          </w:tcPr>
          <w:p>
            <w:pPr>
              <w:spacing w:after="20"/>
            </w:pPr>
            <w:r/>
            <w:r>
              <w:rPr>
                <w:b w:val="0"/>
                <w:sz w:val="17"/>
              </w:rPr>
              <w:t>Prorations; true-up</w:t>
            </w:r>
          </w:p>
        </w:tc>
        <w:tc>
          <w:tcPr>
            <w:tcW w:type="dxa" w:w="3312"/>
          </w:tcPr>
          <w:p>
            <w:pPr>
              <w:spacing w:after="20"/>
            </w:pPr>
            <w:r/>
            <w:r>
              <w:rPr>
                <w:b w:val="0"/>
                <w:sz w:val="17"/>
              </w:rPr>
              <w:t>Art. XI</w:t>
            </w:r>
          </w:p>
        </w:tc>
        <w:tc>
          <w:tcPr>
            <w:tcW w:type="dxa" w:w="3456"/>
          </w:tcPr>
          <w:p>
            <w:pPr>
              <w:spacing w:after="20"/>
            </w:pPr>
            <w:r/>
            <w:r>
              <w:rPr>
                <w:b w:val="0"/>
                <w:sz w:val="17"/>
              </w:rPr>
              <w:t>Art. 10</w:t>
            </w:r>
          </w:p>
        </w:tc>
      </w:tr>
      <w:tr>
        <w:tc>
          <w:tcPr>
            <w:tcW w:type="dxa" w:w="2880"/>
          </w:tcPr>
          <w:p>
            <w:pPr>
              <w:spacing w:after="20"/>
            </w:pPr>
            <w:r/>
            <w:r>
              <w:rPr>
                <w:b w:val="0"/>
                <w:sz w:val="17"/>
              </w:rPr>
              <w:t>Casualty / condemnation</w:t>
            </w:r>
          </w:p>
        </w:tc>
        <w:tc>
          <w:tcPr>
            <w:tcW w:type="dxa" w:w="3312"/>
          </w:tcPr>
          <w:p>
            <w:pPr>
              <w:spacing w:after="20"/>
            </w:pPr>
            <w:r/>
            <w:r>
              <w:rPr>
                <w:b w:val="0"/>
                <w:sz w:val="17"/>
              </w:rPr>
              <w:t>Art. XII</w:t>
            </w:r>
          </w:p>
        </w:tc>
        <w:tc>
          <w:tcPr>
            <w:tcW w:type="dxa" w:w="3456"/>
          </w:tcPr>
          <w:p>
            <w:pPr>
              <w:spacing w:after="20"/>
            </w:pPr>
            <w:r/>
            <w:r>
              <w:rPr>
                <w:b w:val="0"/>
                <w:sz w:val="17"/>
              </w:rPr>
              <w:t>Art. 11</w:t>
            </w:r>
          </w:p>
        </w:tc>
      </w:tr>
      <w:tr>
        <w:tc>
          <w:tcPr>
            <w:tcW w:type="dxa" w:w="2880"/>
          </w:tcPr>
          <w:p>
            <w:pPr>
              <w:spacing w:after="20"/>
            </w:pPr>
            <w:r/>
            <w:r>
              <w:rPr>
                <w:b w:val="0"/>
                <w:sz w:val="17"/>
              </w:rPr>
              <w:t>Default and remedies</w:t>
            </w:r>
          </w:p>
        </w:tc>
        <w:tc>
          <w:tcPr>
            <w:tcW w:type="dxa" w:w="3312"/>
          </w:tcPr>
          <w:p>
            <w:pPr>
              <w:spacing w:after="20"/>
            </w:pPr>
            <w:r/>
            <w:r>
              <w:rPr>
                <w:b w:val="0"/>
                <w:sz w:val="17"/>
              </w:rPr>
              <w:t>Art. XIII</w:t>
            </w:r>
          </w:p>
        </w:tc>
        <w:tc>
          <w:tcPr>
            <w:tcW w:type="dxa" w:w="3456"/>
          </w:tcPr>
          <w:p>
            <w:pPr>
              <w:spacing w:after="20"/>
            </w:pPr>
            <w:r/>
            <w:r>
              <w:rPr>
                <w:b w:val="0"/>
                <w:sz w:val="17"/>
              </w:rPr>
              <w:t>Art. 12</w:t>
            </w:r>
          </w:p>
        </w:tc>
      </w:tr>
      <w:tr>
        <w:tc>
          <w:tcPr>
            <w:tcW w:type="dxa" w:w="2880"/>
          </w:tcPr>
          <w:p>
            <w:pPr>
              <w:spacing w:after="20"/>
            </w:pPr>
            <w:r/>
            <w:r>
              <w:rPr>
                <w:b w:val="0"/>
                <w:sz w:val="17"/>
              </w:rPr>
              <w:t>Assignment</w:t>
            </w:r>
          </w:p>
        </w:tc>
        <w:tc>
          <w:tcPr>
            <w:tcW w:type="dxa" w:w="3312"/>
          </w:tcPr>
          <w:p>
            <w:pPr>
              <w:spacing w:after="20"/>
            </w:pPr>
            <w:r/>
            <w:r>
              <w:rPr>
                <w:b w:val="0"/>
                <w:sz w:val="17"/>
              </w:rPr>
              <w:t>Art. XIV</w:t>
            </w:r>
          </w:p>
        </w:tc>
        <w:tc>
          <w:tcPr>
            <w:tcW w:type="dxa" w:w="3456"/>
          </w:tcPr>
          <w:p>
            <w:pPr>
              <w:spacing w:after="20"/>
            </w:pPr>
            <w:r/>
            <w:r>
              <w:rPr>
                <w:b w:val="0"/>
                <w:sz w:val="17"/>
              </w:rPr>
              <w:t>Art. 13</w:t>
            </w:r>
          </w:p>
        </w:tc>
      </w:tr>
      <w:tr>
        <w:tc>
          <w:tcPr>
            <w:tcW w:type="dxa" w:w="2880"/>
          </w:tcPr>
          <w:p>
            <w:pPr>
              <w:spacing w:after="20"/>
            </w:pPr>
            <w:r/>
            <w:r>
              <w:rPr>
                <w:b w:val="0"/>
                <w:sz w:val="17"/>
              </w:rPr>
              <w:t>Indemnification</w:t>
            </w:r>
          </w:p>
        </w:tc>
        <w:tc>
          <w:tcPr>
            <w:tcW w:type="dxa" w:w="3312"/>
          </w:tcPr>
          <w:p>
            <w:pPr>
              <w:spacing w:after="20"/>
            </w:pPr>
            <w:r/>
            <w:r>
              <w:rPr>
                <w:b w:val="0"/>
                <w:sz w:val="17"/>
              </w:rPr>
              <w:t>Art. XV</w:t>
            </w:r>
          </w:p>
        </w:tc>
        <w:tc>
          <w:tcPr>
            <w:tcW w:type="dxa" w:w="3456"/>
          </w:tcPr>
          <w:p>
            <w:pPr>
              <w:spacing w:after="20"/>
            </w:pPr>
            <w:r/>
            <w:r>
              <w:rPr>
                <w:b w:val="0"/>
                <w:sz w:val="17"/>
              </w:rPr>
              <w:t>Omitted</w:t>
            </w:r>
          </w:p>
        </w:tc>
      </w:tr>
      <w:tr>
        <w:tc>
          <w:tcPr>
            <w:tcW w:type="dxa" w:w="2880"/>
          </w:tcPr>
          <w:p>
            <w:pPr>
              <w:spacing w:after="20"/>
            </w:pPr>
            <w:r/>
            <w:r>
              <w:rPr>
                <w:b w:val="0"/>
                <w:sz w:val="17"/>
              </w:rPr>
              <w:t>Notices; governing law; disputes; misc.</w:t>
            </w:r>
          </w:p>
        </w:tc>
        <w:tc>
          <w:tcPr>
            <w:tcW w:type="dxa" w:w="3312"/>
          </w:tcPr>
          <w:p>
            <w:pPr>
              <w:spacing w:after="20"/>
            </w:pPr>
            <w:r/>
            <w:r>
              <w:rPr>
                <w:b w:val="0"/>
                <w:sz w:val="17"/>
              </w:rPr>
              <w:t>Art. XVI</w:t>
            </w:r>
          </w:p>
        </w:tc>
        <w:tc>
          <w:tcPr>
            <w:tcW w:type="dxa" w:w="3456"/>
          </w:tcPr>
          <w:p>
            <w:pPr>
              <w:spacing w:after="20"/>
            </w:pPr>
            <w:r/>
            <w:r>
              <w:rPr>
                <w:b w:val="0"/>
                <w:sz w:val="17"/>
              </w:rPr>
              <w:t>Arts. 14–16</w:t>
            </w:r>
          </w:p>
        </w:tc>
      </w:tr>
      <w:tr>
        <w:tc>
          <w:tcPr>
            <w:tcW w:type="dxa" w:w="2880"/>
          </w:tcPr>
          <w:p>
            <w:pPr>
              <w:spacing w:after="20"/>
            </w:pPr>
            <w:r/>
            <w:r>
              <w:rPr>
                <w:b w:val="0"/>
                <w:sz w:val="17"/>
              </w:rPr>
              <w:t>Exhibits</w:t>
            </w:r>
          </w:p>
        </w:tc>
        <w:tc>
          <w:tcPr>
            <w:tcW w:type="dxa" w:w="3312"/>
          </w:tcPr>
          <w:p>
            <w:pPr>
              <w:spacing w:after="20"/>
            </w:pPr>
            <w:r/>
            <w:r>
              <w:rPr>
                <w:b w:val="0"/>
                <w:sz w:val="17"/>
              </w:rPr>
              <w:t>A Legal; B Deed; C Bill of Sale; D Leases; E Contracts; F Estoppel; G FIRPTA</w:t>
            </w:r>
          </w:p>
        </w:tc>
        <w:tc>
          <w:tcPr>
            <w:tcW w:type="dxa" w:w="3456"/>
          </w:tcPr>
          <w:p>
            <w:pPr>
              <w:spacing w:after="20"/>
            </w:pPr>
            <w:r/>
            <w:r>
              <w:rPr>
                <w:b w:val="0"/>
                <w:sz w:val="17"/>
              </w:rPr>
              <w:t>A Legal; B Personal Property; C Deed; D Bill of Sale; E Leases; F Contracts; G Tenant Notice; H FIRPTA (no estoppel form)</w:t>
            </w:r>
          </w:p>
        </w:tc>
      </w:tr>
    </w:tbl>
    <w:p>
      <w:pPr>
        <w:spacing w:after="40"/>
      </w:pPr>
    </w:p>
    <w:p>
      <w:r>
        <w:rPr>
          <w:b w:val="0"/>
          <w:i/>
          <w:sz w:val="18"/>
        </w:rPr>
        <w:t>This memorandum is based on the Buyer form PSA (circulated October 21, 2024), Seller's markup (Ridgeline Beatty LLP), the transmittal email from Thomas Beatty dated November 1, 2024, and the Whitmore IC memorandum dated October 28, 2024. It does not reflect any title commitment, survey, lease or third-party report, none of which we have reviewed. Dollar estimates are approximations from the T-12 figures in the IC memorandum. They are for prioritization only.</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PSA Markup Issues Memo - The Ellington at Briarwood</dc:title>
  <dc:subject/>
  <dc:creator>Hawthorne &amp; Sable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