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6"/>
        </w:rPr>
        <w:t>PRIVILEGED &amp; CONFIDENTIAL — ATTORNEY-CLIENT COMMUNICATION / ATTORNEY WORK PRODUCT — DRAFT FOR CLIENT REVIEW</w:t>
      </w:r>
    </w:p>
    <w:p>
      <w:pPr>
        <w:spacing w:after="40"/>
        <w:jc w:val="center"/>
      </w:pPr>
      <w:r>
        <w:rPr>
          <w:b/>
          <w:i w:val="0"/>
          <w:sz w:val="32"/>
        </w:rPr>
        <w:t>PURCHASE AND SALE AGREEMENT — TERM SHEET AND ISSUES LIST</w:t>
      </w:r>
    </w:p>
    <w:p>
      <w:pPr>
        <w:spacing w:after="80"/>
        <w:jc w:val="center"/>
      </w:pPr>
      <w:r>
        <w:rPr>
          <w:b/>
          <w:i w:val="0"/>
          <w:sz w:val="22"/>
        </w:rPr>
        <w:t>Meridian Corporate Center — 11600, 11620 and 11640 Corporate Park Drive, Reston, Virginia 20191</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16"/>
            <w:shd w:val="clear" w:color="auto" w:fill="1F3A5F"/>
          </w:tcPr>
          <w:p>
            <w:r/>
            <w:r>
              <w:rPr>
                <w:b/>
                <w:color w:val="FFFFFF"/>
                <w:sz w:val="18"/>
              </w:rPr>
              <w:t>Item</w:t>
            </w:r>
          </w:p>
        </w:tc>
        <w:tc>
          <w:tcPr>
            <w:tcW w:type="dxa" w:w="7920"/>
            <w:shd w:val="clear" w:color="auto" w:fill="1F3A5F"/>
          </w:tcPr>
          <w:p>
            <w:r/>
            <w:r>
              <w:rPr>
                <w:b/>
                <w:color w:val="FFFFFF"/>
                <w:sz w:val="18"/>
              </w:rPr>
              <w:t>Detail</w:t>
            </w:r>
          </w:p>
        </w:tc>
      </w:tr>
      <w:tr>
        <w:tc>
          <w:tcPr>
            <w:tcW w:type="dxa" w:w="2016"/>
          </w:tcPr>
          <w:p>
            <w:pPr>
              <w:spacing w:after="20"/>
            </w:pPr>
            <w:r>
              <w:rPr>
                <w:sz w:val="18"/>
              </w:rPr>
            </w:r>
            <w:r>
              <w:rPr>
                <w:b w:val="0"/>
                <w:sz w:val="18"/>
              </w:rPr>
              <w:t>To</w:t>
            </w:r>
          </w:p>
        </w:tc>
        <w:tc>
          <w:tcPr>
            <w:tcW w:type="dxa" w:w="7920"/>
          </w:tcPr>
          <w:p>
            <w:pPr>
              <w:spacing w:after="20"/>
            </w:pPr>
            <w:r>
              <w:rPr>
                <w:sz w:val="18"/>
              </w:rPr>
            </w:r>
            <w:r>
              <w:rPr>
                <w:b w:val="0"/>
                <w:sz w:val="18"/>
              </w:rPr>
              <w:t>Rebecca Thornton, General Counsel, Calverley Capital Partners LLC (cc: David Kowalski; Priya Venkataraman)</w:t>
            </w:r>
          </w:p>
        </w:tc>
      </w:tr>
      <w:tr>
        <w:tc>
          <w:tcPr>
            <w:tcW w:type="dxa" w:w="2016"/>
          </w:tcPr>
          <w:p>
            <w:pPr>
              <w:spacing w:after="20"/>
            </w:pPr>
            <w:r>
              <w:rPr>
                <w:sz w:val="18"/>
              </w:rPr>
            </w:r>
            <w:r>
              <w:rPr>
                <w:b w:val="0"/>
                <w:sz w:val="18"/>
              </w:rPr>
              <w:t>From</w:t>
            </w:r>
          </w:p>
        </w:tc>
        <w:tc>
          <w:tcPr>
            <w:tcW w:type="dxa" w:w="7920"/>
          </w:tcPr>
          <w:p>
            <w:pPr>
              <w:spacing w:after="20"/>
            </w:pPr>
            <w:r>
              <w:rPr>
                <w:sz w:val="18"/>
              </w:rPr>
            </w:r>
            <w:r>
              <w:rPr>
                <w:b w:val="0"/>
                <w:sz w:val="18"/>
              </w:rPr>
              <w:t>Hargrave, Mitchell &amp; Stone LLP (Jonathan Hargrave / Leah Chen)</w:t>
            </w:r>
          </w:p>
        </w:tc>
      </w:tr>
      <w:tr>
        <w:tc>
          <w:tcPr>
            <w:tcW w:type="dxa" w:w="2016"/>
          </w:tcPr>
          <w:p>
            <w:pPr>
              <w:spacing w:after="20"/>
            </w:pPr>
            <w:r>
              <w:rPr>
                <w:sz w:val="18"/>
              </w:rPr>
            </w:r>
            <w:r>
              <w:rPr>
                <w:b w:val="0"/>
                <w:sz w:val="18"/>
              </w:rPr>
              <w:t>Date</w:t>
            </w:r>
          </w:p>
        </w:tc>
        <w:tc>
          <w:tcPr>
            <w:tcW w:type="dxa" w:w="7920"/>
          </w:tcPr>
          <w:p>
            <w:pPr>
              <w:spacing w:after="20"/>
            </w:pPr>
            <w:r>
              <w:rPr>
                <w:sz w:val="18"/>
              </w:rPr>
            </w:r>
            <w:r>
              <w:rPr>
                <w:b w:val="0"/>
                <w:sz w:val="18"/>
              </w:rPr>
              <w:t>October 14, 2024</w:t>
            </w:r>
          </w:p>
        </w:tc>
      </w:tr>
      <w:tr>
        <w:tc>
          <w:tcPr>
            <w:tcW w:type="dxa" w:w="2016"/>
          </w:tcPr>
          <w:p>
            <w:pPr>
              <w:spacing w:after="20"/>
            </w:pPr>
            <w:r>
              <w:rPr>
                <w:sz w:val="18"/>
              </w:rPr>
            </w:r>
            <w:r>
              <w:rPr>
                <w:b w:val="0"/>
                <w:sz w:val="18"/>
              </w:rPr>
              <w:t>Re</w:t>
            </w:r>
          </w:p>
        </w:tc>
        <w:tc>
          <w:tcPr>
            <w:tcW w:type="dxa" w:w="7920"/>
          </w:tcPr>
          <w:p>
            <w:pPr>
              <w:spacing w:after="20"/>
            </w:pPr>
            <w:r>
              <w:rPr>
                <w:sz w:val="18"/>
              </w:rPr>
            </w:r>
            <w:r>
              <w:rPr>
                <w:b w:val="0"/>
                <w:sz w:val="18"/>
              </w:rPr>
              <w:t>Extraction of material business and legal terms from the executed Purchase and Sale Agreement dated as of October 7, 2024 (the “PSA”), with flags and open issues for the Due Diligence Period</w:t>
            </w:r>
          </w:p>
        </w:tc>
      </w:tr>
      <w:tr>
        <w:tc>
          <w:tcPr>
            <w:tcW w:type="dxa" w:w="2016"/>
          </w:tcPr>
          <w:p>
            <w:pPr>
              <w:spacing w:after="20"/>
            </w:pPr>
            <w:r>
              <w:rPr>
                <w:sz w:val="18"/>
              </w:rPr>
            </w:r>
            <w:r>
              <w:rPr>
                <w:b w:val="0"/>
                <w:sz w:val="18"/>
              </w:rPr>
              <w:t>Documents reviewed</w:t>
            </w:r>
          </w:p>
        </w:tc>
        <w:tc>
          <w:tcPr>
            <w:tcW w:type="dxa" w:w="7920"/>
          </w:tcPr>
          <w:p>
            <w:pPr>
              <w:spacing w:after="20"/>
            </w:pPr>
            <w:r>
              <w:rPr>
                <w:sz w:val="18"/>
              </w:rPr>
            </w:r>
            <w:r>
              <w:rPr>
                <w:b w:val="0"/>
                <w:sz w:val="18"/>
              </w:rPr>
              <w:t>(1) Executed PSA, including Schedule 7.1(e) and Exhibits A–H; (2) Clearfield Environmental Consulting LLC Phase I ESA Executive Summary, Report No. CEC-2024-0812-MCC, dated August 15, 2024 (the “Phase I”); (3) R. Thornton instruction email dated October 9, 2024. We have not reviewed the full Phase I report, the Leases, the title commitment, the survey or any data-room materials; this term sheet should be updated as those are received.</w:t>
            </w:r>
          </w:p>
        </w:tc>
      </w:tr>
      <w:tr>
        <w:tc>
          <w:tcPr>
            <w:tcW w:type="dxa" w:w="2016"/>
          </w:tcPr>
          <w:p>
            <w:pPr>
              <w:spacing w:after="20"/>
            </w:pPr>
            <w:r>
              <w:rPr>
                <w:sz w:val="18"/>
              </w:rPr>
            </w:r>
            <w:r>
              <w:rPr>
                <w:b w:val="0"/>
                <w:sz w:val="18"/>
              </w:rPr>
              <w:t>Use / distribution</w:t>
            </w:r>
          </w:p>
        </w:tc>
        <w:tc>
          <w:tcPr>
            <w:tcW w:type="dxa" w:w="7920"/>
          </w:tcPr>
          <w:p>
            <w:pPr>
              <w:spacing w:after="20"/>
            </w:pPr>
            <w:r>
              <w:rPr>
                <w:sz w:val="18"/>
              </w:rPr>
            </w:r>
            <w:r>
              <w:rPr>
                <w:b w:val="0"/>
                <w:sz w:val="18"/>
              </w:rPr>
              <w:t xml:space="preserve">Parts I–III (Summary, Critical Dates, Term Sheet) are drafted so they can go to the Investment Committee and to Pinnacle National Bank. Part IV (Flags and Open Issues) and Part V (Amendment Requests) contain counsel’s legal analysis and negotiating strategy; sending them to the lender (or anyone outside the client group) may waive privilege and could reach Seller. </w:t>
            </w:r>
            <w:r>
              <w:rPr>
                <w:b/>
                <w:sz w:val="18"/>
              </w:rPr>
              <w:t>We recommend sending Pinnacle only Parts I–III and the Appendices, with the privileged parts removed.</w:t>
            </w:r>
            <w:r>
              <w:rPr>
                <w:b w:val="0"/>
                <w:sz w:val="18"/>
              </w:rPr>
              <w:t xml:space="preserve"> Also note PSA §15.8: lender disclosure is allowed only on a need-to-know basis and subject to confidentiality obligations.</w:t>
            </w:r>
          </w:p>
        </w:tc>
      </w:tr>
    </w:tbl>
    <w:p>
      <w:pPr>
        <w:spacing w:after="40"/>
      </w:pPr>
    </w:p>
    <w:p>
      <w:pPr>
        <w:pStyle w:val="Heading1"/>
      </w:pPr>
      <w:r>
        <w:t>Part I — Executive Summary</w:t>
      </w:r>
    </w:p>
    <w:p>
      <w:pPr>
        <w:spacing w:after="80"/>
      </w:pPr>
      <w:r>
        <w:rPr>
          <w:b w:val="0"/>
        </w:rPr>
        <w:t>The PSA is a fairly standard seller-favorable office acquisition agreement. Price is $87,750,000 (about $281/RSF). The total Deposit is $3,500,000, and the 45-day Due Diligence Period ends at 5:00 p.m. ET on November 21, 2024. Closing is scheduled for January 15, 2025. Our review found several problems the Investment Committee should know about before it approves going past the Due Diligence Period. Most of them can be fixed only by a PSA amendment, and that amendment has to be in place before 5:00 p.m. ET on November 21, 2024.</w:t>
      </w:r>
    </w:p>
    <w:p>
      <w:pPr>
        <w:pStyle w:val="ListBullet"/>
        <w:spacing w:after="40"/>
      </w:pPr>
      <w:r>
        <w:rPr>
          <w:b/>
        </w:rPr>
        <w:t>1. Buyer entity mismatch (Critical).</w:t>
      </w:r>
      <w:r>
        <w:rPr>
          <w:b w:val="0"/>
        </w:rPr>
        <w:t xml:space="preserve"> The PSA names </w:t>
      </w:r>
      <w:r>
        <w:rPr>
          <w:b/>
        </w:rPr>
        <w:t>Bridgewater Capital Partners LLC</w:t>
      </w:r>
      <w:r>
        <w:rPr>
          <w:b w:val="0"/>
        </w:rPr>
        <w:t xml:space="preserve"> (Delaware, formed March 14, 2019) as Buyer. However, the notice block (§15.2), the estoppel form (Ex. E), the Phase I client and reliance, and your instruction email all name </w:t>
      </w:r>
      <w:r>
        <w:rPr>
          <w:b/>
        </w:rPr>
        <w:t>Calverley Capital Partners LLC</w:t>
      </w:r>
      <w:r>
        <w:rPr>
          <w:b w:val="0"/>
        </w:rPr>
        <w:t>. The contracting entity has to be confirmed and the documents conformed (Flag 1).</w:t>
      </w:r>
    </w:p>
    <w:p>
      <w:pPr>
        <w:pStyle w:val="ListBullet"/>
        <w:spacing w:after="40"/>
      </w:pPr>
      <w:r>
        <w:rPr>
          <w:b/>
        </w:rPr>
        <w:t>2. The environmental indemnity is too small for the known REC (Critical).</w:t>
      </w:r>
      <w:r>
        <w:rPr>
          <w:b w:val="0"/>
        </w:rPr>
        <w:t xml:space="preserve"> The Phase I found a REC: a PCE plume from the former Reston Village Cleaners, with groundwater detected at up to 87 µg/L (17.4x the 5 µg/L standard), that may be migrating toward Building C. Clearfield puts typical remediation costs anywhere from several hundred thousand dollars to more than $5M, and more than $10M where vapor intrusion is involved. The Seller indemnity in §8.4 is capped at </w:t>
      </w:r>
      <w:r>
        <w:rPr>
          <w:b/>
        </w:rPr>
        <w:t>$3,000,000</w:t>
      </w:r>
      <w:r>
        <w:rPr>
          <w:b w:val="0"/>
        </w:rPr>
        <w:t xml:space="preserve"> (3.4% of price), lasts only </w:t>
      </w:r>
      <w:r>
        <w:rPr>
          <w:b/>
        </w:rPr>
        <w:t>36 months</w:t>
      </w:r>
      <w:r>
        <w:rPr>
          <w:b w:val="0"/>
        </w:rPr>
        <w:t xml:space="preserve"> (to January 15, 2028), and is given by a single-asset seller with no credit support. In addition, the Seller environmental representation in §7.1(k) excludes everything disclosed in the Phase I (Flags 2–4).</w:t>
      </w:r>
    </w:p>
    <w:p>
      <w:pPr>
        <w:pStyle w:val="ListBullet"/>
        <w:spacing w:after="40"/>
      </w:pPr>
      <w:r>
        <w:rPr>
          <w:b/>
        </w:rPr>
        <w:t>3. The Phase II cannot be finished inside the Due Diligence Period (Critical).</w:t>
      </w:r>
      <w:r>
        <w:rPr>
          <w:b w:val="0"/>
        </w:rPr>
        <w:t xml:space="preserve"> Clearfield needs 10–14 business days to mobilize and then 4–6 weeks after field work to produce results. Even if work is authorized now, results are unlikely before early-to-mid December 2024, which is after the November 21 expiration (Flag 5).</w:t>
      </w:r>
    </w:p>
    <w:p>
      <w:pPr>
        <w:pStyle w:val="ListBullet"/>
        <w:spacing w:after="40"/>
      </w:pPr>
      <w:r>
        <w:rPr>
          <w:b/>
        </w:rPr>
        <w:t>4. The $1,500,000 Additional Deposit is exposed if financing fails (Critical).</w:t>
      </w:r>
      <w:r>
        <w:rPr>
          <w:b w:val="0"/>
        </w:rPr>
        <w:t xml:space="preserve"> The Additional Deposit is due </w:t>
      </w:r>
      <w:r>
        <w:rPr>
          <w:b/>
        </w:rPr>
        <w:t>November 29, 2024</w:t>
      </w:r>
      <w:r>
        <w:rPr>
          <w:b w:val="0"/>
        </w:rPr>
        <w:t xml:space="preserve">, which is before the </w:t>
      </w:r>
      <w:r>
        <w:rPr>
          <w:b/>
        </w:rPr>
        <w:t>December 6, 2024</w:t>
      </w:r>
      <w:r>
        <w:rPr>
          <w:b w:val="0"/>
        </w:rPr>
        <w:t xml:space="preserve"> Financing Contingency Deadline. If Buyer terminates for failed financing, §10.2(b) returns only the </w:t>
      </w:r>
      <w:r>
        <w:rPr>
          <w:b/>
        </w:rPr>
        <w:t>Initial Deposit</w:t>
      </w:r>
      <w:r>
        <w:rPr>
          <w:b w:val="0"/>
        </w:rPr>
        <w:t xml:space="preserve">. So the deposits are </w:t>
      </w:r>
      <w:r>
        <w:rPr>
          <w:b/>
        </w:rPr>
        <w:t>not</w:t>
      </w:r>
      <w:r>
        <w:rPr>
          <w:b w:val="0"/>
        </w:rPr>
        <w:t xml:space="preserve"> fully protected: $1.5M is at risk. If Buyer misses the December 6 notice deadline, financing is deemed waived and the full $3.5M is at risk (Flag 6).</w:t>
      </w:r>
    </w:p>
    <w:p>
      <w:pPr>
        <w:pStyle w:val="ListBullet"/>
        <w:spacing w:after="40"/>
      </w:pPr>
      <w:r>
        <w:rPr>
          <w:b/>
        </w:rPr>
        <w:t>5. Estoppels and SNDAs (High).</w:t>
      </w:r>
      <w:r>
        <w:rPr>
          <w:b w:val="0"/>
        </w:rPr>
        <w:t xml:space="preserve"> Estoppels from tenants with 80% of leased square footage are a closing condition (§9.3). That means 206,512 of the 258,140 leased RSF, which requires at least the seven largest tenants. Valerian (24.2%) is not specifically required, there is no standard for what makes an estoppel acceptable, and the estoppel form is addressed to the wrong buyer entity. SNDAs are </w:t>
      </w:r>
      <w:r>
        <w:rPr>
          <w:b/>
        </w:rPr>
        <w:t>not</w:t>
      </w:r>
      <w:r>
        <w:rPr>
          <w:b w:val="0"/>
        </w:rPr>
        <w:t xml:space="preserve"> a closing condition (§9.4) even though Pinnacle will almost certainly require them (Flag 9–10).</w:t>
      </w:r>
    </w:p>
    <w:p>
      <w:pPr>
        <w:pStyle w:val="ListBullet"/>
        <w:spacing w:after="40"/>
      </w:pPr>
      <w:r>
        <w:rPr>
          <w:b/>
        </w:rPr>
        <w:t>6. Assignment to an SPE (High).</w:t>
      </w:r>
      <w:r>
        <w:rPr>
          <w:b w:val="0"/>
        </w:rPr>
        <w:t xml:space="preserve"> An assignment without consent is limited to a Bridgewater “affiliate” under a control test. Notice and a fully executed assignment must be delivered 10 business days before Closing (December 31, 2024 for a January 15 Closing). The original Buyer stays jointly and severally liable after Closing, including for indemnities. Deliverables and other documents need to be conformed to the assignee (Flag 11).</w:t>
      </w:r>
    </w:p>
    <w:p>
      <w:pPr>
        <w:pStyle w:val="ListBullet"/>
        <w:spacing w:after="40"/>
      </w:pPr>
      <w:r>
        <w:rPr>
          <w:b/>
        </w:rPr>
        <w:t>7. Other material gaps.</w:t>
      </w:r>
      <w:r>
        <w:rPr>
          <w:b w:val="0"/>
        </w:rPr>
        <w:t xml:space="preserve"> There are no interim operating covenants and no Buyer approval right over new leases. The first Closing extension is unilateral, either party can invoke it, and it has no notice deadline. The specific performance deadline conflicts with the mandatory mediation and arbitration process. Some rent roll income is overstated (Garrison &amp; Holt is not yet paying rent). There is significant lease rollover: about 60% of leased RSF expires by year-end 2027, and RedPoint can terminate as early as about April 2025. No property management agreement appears on Exhibit G. Notice e-mail addresses are inconsistent, which also creates a wire-fraud risk (Flags 7–8, 12–30).</w:t>
      </w:r>
    </w:p>
    <w:p>
      <w:pPr>
        <w:spacing w:after="80"/>
      </w:pPr>
      <w:r>
        <w:rPr>
          <w:b/>
        </w:rPr>
        <w:t>Bottom line:</w:t>
      </w:r>
      <w:r>
        <w:rPr>
          <w:b w:val="0"/>
        </w:rPr>
        <w:t xml:space="preserve"> As drafted, the PSA does </w:t>
      </w:r>
      <w:r>
        <w:rPr>
          <w:b/>
        </w:rPr>
        <w:t>not</w:t>
      </w:r>
      <w:r>
        <w:rPr>
          <w:b w:val="0"/>
        </w:rPr>
        <w:t xml:space="preserve"> fully protect the Deposit if financing fails, and it does </w:t>
      </w:r>
      <w:r>
        <w:rPr>
          <w:b/>
        </w:rPr>
        <w:t>not</w:t>
      </w:r>
      <w:r>
        <w:rPr>
          <w:b w:val="0"/>
        </w:rPr>
        <w:t xml:space="preserve"> give adequate protection for the REC identified in the Phase I. Before November 21, 2024, we recommend asking Seller for one of two things: (a) an extension of the Due Diligence Period of about 30–45 days, or an environmental (Phase II) contingency with a full refund of the Deposit; or (b) at a minimum, a Phase II-based termination right together with the changes to the deposit, environmental indemnity, estoppel, assignment and closing-extension provisions summarized in Part V.</w:t>
      </w:r>
    </w:p>
    <w:p>
      <w:pPr>
        <w:pStyle w:val="Heading1"/>
      </w:pPr>
      <w:r>
        <w:t>Part II — Critical Dates Calendar</w:t>
      </w:r>
    </w:p>
    <w:p>
      <w:pPr>
        <w:spacing w:after="80"/>
      </w:pPr>
      <w:r>
        <w:rPr>
          <w:b w:val="0"/>
        </w:rPr>
        <w:t xml:space="preserve">“Business day” is </w:t>
      </w:r>
      <w:r>
        <w:rPr>
          <w:b/>
        </w:rPr>
        <w:t>not defined</w:t>
      </w:r>
      <w:r>
        <w:rPr>
          <w:b w:val="0"/>
        </w:rPr>
        <w:t xml:space="preserve"> in the PSA (see Flag 22). The dates below exclude weekends and federal holidays, including Thanksgiving (November 28, 2024) and New Year’s Day (January 1, 2025), which matches how §3.3 treats Thanksgiving. Under §15.11, time is of the essence for all dates.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656"/>
            <w:shd w:val="clear" w:color="auto" w:fill="1F3A5F"/>
          </w:tcPr>
          <w:p>
            <w:r/>
            <w:r>
              <w:rPr>
                <w:b/>
                <w:color w:val="FFFFFF"/>
                <w:sz w:val="18"/>
              </w:rPr>
              <w:t>Date</w:t>
            </w:r>
          </w:p>
        </w:tc>
        <w:tc>
          <w:tcPr>
            <w:tcW w:type="dxa" w:w="3744"/>
            <w:shd w:val="clear" w:color="auto" w:fill="1F3A5F"/>
          </w:tcPr>
          <w:p>
            <w:r/>
            <w:r>
              <w:rPr>
                <w:b/>
                <w:color w:val="FFFFFF"/>
                <w:sz w:val="18"/>
              </w:rPr>
              <w:t>Event</w:t>
            </w:r>
          </w:p>
        </w:tc>
        <w:tc>
          <w:tcPr>
            <w:tcW w:type="dxa" w:w="1296"/>
            <w:shd w:val="clear" w:color="auto" w:fill="1F3A5F"/>
          </w:tcPr>
          <w:p>
            <w:r/>
            <w:r>
              <w:rPr>
                <w:b/>
                <w:color w:val="FFFFFF"/>
                <w:sz w:val="18"/>
              </w:rPr>
              <w:t>PSA Ref.</w:t>
            </w:r>
          </w:p>
        </w:tc>
        <w:tc>
          <w:tcPr>
            <w:tcW w:type="dxa" w:w="3240"/>
            <w:shd w:val="clear" w:color="auto" w:fill="1F3A5F"/>
          </w:tcPr>
          <w:p>
            <w:r/>
            <w:r>
              <w:rPr>
                <w:b/>
                <w:color w:val="FFFFFF"/>
                <w:sz w:val="18"/>
              </w:rPr>
              <w:t>Comment</w:t>
            </w:r>
          </w:p>
        </w:tc>
      </w:tr>
      <w:tr>
        <w:tc>
          <w:tcPr>
            <w:tcW w:type="dxa" w:w="1656"/>
          </w:tcPr>
          <w:p>
            <w:pPr>
              <w:spacing w:after="20"/>
            </w:pPr>
            <w:r>
              <w:rPr>
                <w:sz w:val="18"/>
              </w:rPr>
            </w:r>
            <w:r>
              <w:rPr>
                <w:b w:val="0"/>
                <w:sz w:val="18"/>
              </w:rPr>
              <w:t>Mon., Oct. 7, 2024</w:t>
            </w:r>
          </w:p>
        </w:tc>
        <w:tc>
          <w:tcPr>
            <w:tcW w:type="dxa" w:w="3744"/>
          </w:tcPr>
          <w:p>
            <w:pPr>
              <w:spacing w:after="20"/>
            </w:pPr>
            <w:r>
              <w:rPr>
                <w:sz w:val="18"/>
              </w:rPr>
            </w:r>
            <w:r>
              <w:rPr>
                <w:b w:val="0"/>
                <w:sz w:val="18"/>
              </w:rPr>
              <w:t>Effective Date; PSA executed</w:t>
            </w:r>
          </w:p>
        </w:tc>
        <w:tc>
          <w:tcPr>
            <w:tcW w:type="dxa" w:w="1296"/>
          </w:tcPr>
          <w:p>
            <w:pPr>
              <w:spacing w:after="20"/>
            </w:pPr>
            <w:r>
              <w:rPr>
                <w:sz w:val="18"/>
              </w:rPr>
            </w:r>
            <w:r>
              <w:rPr>
                <w:b w:val="0"/>
                <w:sz w:val="18"/>
              </w:rPr>
              <w:t>Preamble; §1.1</w:t>
            </w:r>
          </w:p>
        </w:tc>
        <w:tc>
          <w:tcPr>
            <w:tcW w:type="dxa" w:w="3240"/>
          </w:tcPr>
          <w:p>
            <w:pPr>
              <w:spacing w:after="20"/>
            </w:pPr>
            <w:r>
              <w:rPr>
                <w:sz w:val="18"/>
              </w:rPr>
            </w:r>
            <w:r>
              <w:rPr>
                <w:b w:val="0"/>
                <w:sz w:val="18"/>
              </w:rPr>
              <w:t>—</w:t>
            </w:r>
          </w:p>
        </w:tc>
      </w:tr>
      <w:tr>
        <w:tc>
          <w:tcPr>
            <w:tcW w:type="dxa" w:w="1656"/>
          </w:tcPr>
          <w:p>
            <w:pPr>
              <w:spacing w:after="20"/>
            </w:pPr>
            <w:r>
              <w:rPr>
                <w:sz w:val="18"/>
              </w:rPr>
            </w:r>
            <w:r>
              <w:rPr>
                <w:b w:val="0"/>
                <w:sz w:val="18"/>
              </w:rPr>
              <w:t>Thu., Oct. 10, 2024</w:t>
            </w:r>
          </w:p>
        </w:tc>
        <w:tc>
          <w:tcPr>
            <w:tcW w:type="dxa" w:w="3744"/>
          </w:tcPr>
          <w:p>
            <w:pPr>
              <w:spacing w:after="20"/>
            </w:pPr>
            <w:r>
              <w:rPr>
                <w:sz w:val="18"/>
              </w:rPr>
            </w:r>
            <w:r>
              <w:rPr>
                <w:b w:val="0"/>
                <w:sz w:val="18"/>
              </w:rPr>
              <w:t>Initial Deposit of $2,000,000 due to Escrow Agent (3 business days)</w:t>
            </w:r>
          </w:p>
        </w:tc>
        <w:tc>
          <w:tcPr>
            <w:tcW w:type="dxa" w:w="1296"/>
          </w:tcPr>
          <w:p>
            <w:pPr>
              <w:spacing w:after="20"/>
            </w:pPr>
            <w:r>
              <w:rPr>
                <w:sz w:val="18"/>
              </w:rPr>
            </w:r>
            <w:r>
              <w:rPr>
                <w:b w:val="0"/>
                <w:sz w:val="18"/>
              </w:rPr>
              <w:t>§1.1; §3.2</w:t>
            </w:r>
          </w:p>
        </w:tc>
        <w:tc>
          <w:tcPr>
            <w:tcW w:type="dxa" w:w="3240"/>
          </w:tcPr>
          <w:p>
            <w:pPr>
              <w:spacing w:after="20"/>
            </w:pPr>
            <w:r>
              <w:rPr>
                <w:sz w:val="18"/>
              </w:rPr>
            </w:r>
            <w:r>
              <w:rPr>
                <w:b w:val="0"/>
                <w:sz w:val="18"/>
              </w:rPr>
              <w:t>Confirm the wire was received, and confirm wiring instructions by phone with Jennifer Walsh (see Flag 27). Check which entity’s TIN was used.</w:t>
            </w:r>
          </w:p>
        </w:tc>
      </w:tr>
      <w:tr>
        <w:tc>
          <w:tcPr>
            <w:tcW w:type="dxa" w:w="1656"/>
          </w:tcPr>
          <w:p>
            <w:pPr>
              <w:spacing w:after="20"/>
            </w:pPr>
            <w:r>
              <w:rPr>
                <w:sz w:val="18"/>
              </w:rPr>
            </w:r>
            <w:r>
              <w:rPr>
                <w:b w:val="0"/>
                <w:sz w:val="18"/>
              </w:rPr>
              <w:t>Mon., Oct. 14, 2024</w:t>
            </w:r>
          </w:p>
        </w:tc>
        <w:tc>
          <w:tcPr>
            <w:tcW w:type="dxa" w:w="3744"/>
          </w:tcPr>
          <w:p>
            <w:pPr>
              <w:spacing w:after="20"/>
            </w:pPr>
            <w:r>
              <w:rPr>
                <w:sz w:val="18"/>
              </w:rPr>
            </w:r>
            <w:r>
              <w:rPr>
                <w:b w:val="0"/>
                <w:sz w:val="18"/>
              </w:rPr>
              <w:t>Seller document deliveries due (5 business days after Effective Date)</w:t>
            </w:r>
          </w:p>
        </w:tc>
        <w:tc>
          <w:tcPr>
            <w:tcW w:type="dxa" w:w="1296"/>
          </w:tcPr>
          <w:p>
            <w:pPr>
              <w:spacing w:after="20"/>
            </w:pPr>
            <w:r>
              <w:rPr>
                <w:sz w:val="18"/>
              </w:rPr>
            </w:r>
            <w:r>
              <w:rPr>
                <w:b w:val="0"/>
                <w:sz w:val="18"/>
              </w:rPr>
              <w:t>§4.2</w:t>
            </w:r>
          </w:p>
        </w:tc>
        <w:tc>
          <w:tcPr>
            <w:tcW w:type="dxa" w:w="3240"/>
          </w:tcPr>
          <w:p>
            <w:pPr>
              <w:spacing w:after="20"/>
            </w:pPr>
            <w:r>
              <w:rPr>
                <w:sz w:val="18"/>
              </w:rPr>
            </w:r>
            <w:r>
              <w:rPr>
                <w:b w:val="0"/>
                <w:sz w:val="18"/>
              </w:rPr>
              <w:t>Oct. 14 is Columbus Day, so if federal holidays are excluded the deadline is arguably Oct. 15. Confirm the data room is complete.</w:t>
            </w:r>
          </w:p>
        </w:tc>
      </w:tr>
      <w:tr>
        <w:tc>
          <w:tcPr>
            <w:tcW w:type="dxa" w:w="1656"/>
          </w:tcPr>
          <w:p>
            <w:pPr>
              <w:spacing w:after="20"/>
            </w:pPr>
            <w:r>
              <w:rPr>
                <w:sz w:val="18"/>
              </w:rPr>
            </w:r>
            <w:r>
              <w:rPr>
                <w:b w:val="0"/>
                <w:sz w:val="18"/>
              </w:rPr>
              <w:t>Thu., Nov. 14, 2024</w:t>
            </w:r>
          </w:p>
        </w:tc>
        <w:tc>
          <w:tcPr>
            <w:tcW w:type="dxa" w:w="3744"/>
          </w:tcPr>
          <w:p>
            <w:pPr>
              <w:spacing w:after="20"/>
            </w:pPr>
            <w:r>
              <w:rPr>
                <w:sz w:val="18"/>
              </w:rPr>
            </w:r>
            <w:r>
              <w:rPr>
                <w:b w:val="0"/>
                <w:sz w:val="18"/>
              </w:rPr>
              <w:t>Title Objection Deadline (38 days); unobjected matters are deemed Permitted Exceptions</w:t>
            </w:r>
          </w:p>
        </w:tc>
        <w:tc>
          <w:tcPr>
            <w:tcW w:type="dxa" w:w="1296"/>
          </w:tcPr>
          <w:p>
            <w:pPr>
              <w:spacing w:after="20"/>
            </w:pPr>
            <w:r>
              <w:rPr>
                <w:sz w:val="18"/>
              </w:rPr>
            </w:r>
            <w:r>
              <w:rPr>
                <w:b w:val="0"/>
                <w:sz w:val="18"/>
              </w:rPr>
              <w:t>§1.1; §5.2</w:t>
            </w:r>
          </w:p>
        </w:tc>
        <w:tc>
          <w:tcPr>
            <w:tcW w:type="dxa" w:w="3240"/>
          </w:tcPr>
          <w:p>
            <w:pPr>
              <w:spacing w:after="20"/>
            </w:pPr>
            <w:r>
              <w:rPr>
                <w:sz w:val="18"/>
              </w:rPr>
            </w:r>
            <w:r>
              <w:rPr>
                <w:b w:val="0"/>
                <w:sz w:val="18"/>
              </w:rPr>
              <w:t>Order the commitment and the ALTA/NSPS survey immediately.</w:t>
            </w:r>
          </w:p>
        </w:tc>
      </w:tr>
      <w:tr>
        <w:tc>
          <w:tcPr>
            <w:tcW w:type="dxa" w:w="1656"/>
          </w:tcPr>
          <w:p>
            <w:pPr>
              <w:spacing w:after="20"/>
            </w:pPr>
            <w:r>
              <w:rPr>
                <w:sz w:val="18"/>
              </w:rPr>
            </w:r>
            <w:r>
              <w:rPr>
                <w:b w:val="0"/>
                <w:sz w:val="18"/>
              </w:rPr>
              <w:t>Thu., Nov. 21, 2024, 5:00 p.m. ET</w:t>
            </w:r>
          </w:p>
        </w:tc>
        <w:tc>
          <w:tcPr>
            <w:tcW w:type="dxa" w:w="3744"/>
          </w:tcPr>
          <w:p>
            <w:pPr>
              <w:spacing w:after="20"/>
            </w:pPr>
            <w:r>
              <w:rPr>
                <w:sz w:val="18"/>
              </w:rPr>
            </w:r>
            <w:r>
              <w:rPr>
                <w:b/>
                <w:sz w:val="18"/>
              </w:rPr>
              <w:t>Due Diligence Period expires (45 days).</w:t>
            </w:r>
            <w:r>
              <w:rPr>
                <w:b w:val="0"/>
                <w:sz w:val="18"/>
              </w:rPr>
              <w:t xml:space="preserve"> Last moment to terminate for any reason; on termination the Initial Deposit is returned within 5 business days</w:t>
            </w:r>
          </w:p>
        </w:tc>
        <w:tc>
          <w:tcPr>
            <w:tcW w:type="dxa" w:w="1296"/>
          </w:tcPr>
          <w:p>
            <w:pPr>
              <w:spacing w:after="20"/>
            </w:pPr>
            <w:r>
              <w:rPr>
                <w:sz w:val="18"/>
              </w:rPr>
            </w:r>
            <w:r>
              <w:rPr>
                <w:b w:val="0"/>
                <w:sz w:val="18"/>
              </w:rPr>
              <w:t>§1.1; §4.1; §4.4; §10.1</w:t>
            </w:r>
          </w:p>
        </w:tc>
        <w:tc>
          <w:tcPr>
            <w:tcW w:type="dxa" w:w="3240"/>
          </w:tcPr>
          <w:p>
            <w:pPr>
              <w:spacing w:after="20"/>
            </w:pPr>
            <w:r>
              <w:rPr>
                <w:sz w:val="18"/>
              </w:rPr>
            </w:r>
            <w:r>
              <w:rPr>
                <w:b w:val="0"/>
                <w:sz w:val="18"/>
              </w:rPr>
              <w:t>Any PSA amendment (DD extension, environmental fixes) must be signed before this time.</w:t>
            </w:r>
          </w:p>
        </w:tc>
      </w:tr>
      <w:tr>
        <w:tc>
          <w:tcPr>
            <w:tcW w:type="dxa" w:w="1656"/>
          </w:tcPr>
          <w:p>
            <w:pPr>
              <w:spacing w:after="20"/>
            </w:pPr>
            <w:r>
              <w:rPr>
                <w:sz w:val="18"/>
              </w:rPr>
            </w:r>
            <w:r>
              <w:rPr>
                <w:b w:val="0"/>
                <w:sz w:val="18"/>
              </w:rPr>
              <w:t>Fri., Nov. 29, 2024</w:t>
            </w:r>
          </w:p>
        </w:tc>
        <w:tc>
          <w:tcPr>
            <w:tcW w:type="dxa" w:w="3744"/>
          </w:tcPr>
          <w:p>
            <w:pPr>
              <w:spacing w:after="20"/>
            </w:pPr>
            <w:r>
              <w:rPr>
                <w:sz w:val="18"/>
              </w:rPr>
            </w:r>
            <w:r>
              <w:rPr>
                <w:b/>
                <w:sz w:val="18"/>
              </w:rPr>
              <w:t>Additional Deposit of $1,500,000 due</w:t>
            </w:r>
            <w:r>
              <w:rPr>
                <w:b w:val="0"/>
                <w:sz w:val="18"/>
              </w:rPr>
              <w:t xml:space="preserve"> (5 business days after DD expiration, Thanksgiving excluded); the total Deposit becomes $3,500,000</w:t>
            </w:r>
          </w:p>
        </w:tc>
        <w:tc>
          <w:tcPr>
            <w:tcW w:type="dxa" w:w="1296"/>
          </w:tcPr>
          <w:p>
            <w:pPr>
              <w:spacing w:after="20"/>
            </w:pPr>
            <w:r>
              <w:rPr>
                <w:sz w:val="18"/>
              </w:rPr>
            </w:r>
            <w:r>
              <w:rPr>
                <w:b w:val="0"/>
                <w:sz w:val="18"/>
              </w:rPr>
              <w:t>§1.1; §3.3; §4.4</w:t>
            </w:r>
          </w:p>
        </w:tc>
        <w:tc>
          <w:tcPr>
            <w:tcW w:type="dxa" w:w="3240"/>
          </w:tcPr>
          <w:p>
            <w:pPr>
              <w:spacing w:after="20"/>
            </w:pPr>
            <w:r>
              <w:rPr>
                <w:sz w:val="18"/>
              </w:rPr>
            </w:r>
            <w:r>
              <w:rPr>
                <w:b w:val="0"/>
                <w:sz w:val="18"/>
              </w:rPr>
              <w:t>Falls before the Financing Contingency Deadline (Flag 6).</w:t>
            </w:r>
          </w:p>
        </w:tc>
      </w:tr>
      <w:tr>
        <w:tc>
          <w:tcPr>
            <w:tcW w:type="dxa" w:w="1656"/>
          </w:tcPr>
          <w:p>
            <w:pPr>
              <w:spacing w:after="20"/>
            </w:pPr>
            <w:r>
              <w:rPr>
                <w:sz w:val="18"/>
              </w:rPr>
            </w:r>
            <w:r>
              <w:rPr>
                <w:b w:val="0"/>
                <w:sz w:val="18"/>
              </w:rPr>
              <w:t>Fri., Dec. 6, 2024 (approx.)</w:t>
            </w:r>
          </w:p>
        </w:tc>
        <w:tc>
          <w:tcPr>
            <w:tcW w:type="dxa" w:w="3744"/>
          </w:tcPr>
          <w:p>
            <w:pPr>
              <w:spacing w:after="20"/>
            </w:pPr>
            <w:r>
              <w:rPr>
                <w:sz w:val="18"/>
              </w:rPr>
            </w:r>
            <w:r>
              <w:rPr>
                <w:b w:val="0"/>
                <w:sz w:val="18"/>
              </w:rPr>
              <w:t>Seller cure-election notice due (15 business days after objection, if objections are delivered Nov. 14)</w:t>
            </w:r>
          </w:p>
        </w:tc>
        <w:tc>
          <w:tcPr>
            <w:tcW w:type="dxa" w:w="1296"/>
          </w:tcPr>
          <w:p>
            <w:pPr>
              <w:spacing w:after="20"/>
            </w:pPr>
            <w:r>
              <w:rPr>
                <w:sz w:val="18"/>
              </w:rPr>
            </w:r>
            <w:r>
              <w:rPr>
                <w:b w:val="0"/>
                <w:sz w:val="18"/>
              </w:rPr>
              <w:t>§5.3</w:t>
            </w:r>
          </w:p>
        </w:tc>
        <w:tc>
          <w:tcPr>
            <w:tcW w:type="dxa" w:w="3240"/>
          </w:tcPr>
          <w:p>
            <w:pPr>
              <w:spacing w:after="20"/>
            </w:pPr>
            <w:r>
              <w:rPr>
                <w:sz w:val="18"/>
              </w:rPr>
            </w:r>
            <w:r>
              <w:rPr>
                <w:b w:val="0"/>
                <w:sz w:val="18"/>
              </w:rPr>
              <w:t>Falls after the DD Period expires and after the Additional Deposit is posted.</w:t>
            </w:r>
          </w:p>
        </w:tc>
      </w:tr>
      <w:tr>
        <w:tc>
          <w:tcPr>
            <w:tcW w:type="dxa" w:w="1656"/>
          </w:tcPr>
          <w:p>
            <w:pPr>
              <w:spacing w:after="20"/>
            </w:pPr>
            <w:r>
              <w:rPr>
                <w:sz w:val="18"/>
              </w:rPr>
            </w:r>
            <w:r>
              <w:rPr>
                <w:b w:val="0"/>
                <w:sz w:val="18"/>
              </w:rPr>
              <w:t>Fri., Dec. 6, 2024, 5:00 p.m. ET</w:t>
            </w:r>
          </w:p>
        </w:tc>
        <w:tc>
          <w:tcPr>
            <w:tcW w:type="dxa" w:w="3744"/>
          </w:tcPr>
          <w:p>
            <w:pPr>
              <w:spacing w:after="20"/>
            </w:pPr>
            <w:r>
              <w:rPr>
                <w:sz w:val="18"/>
              </w:rPr>
            </w:r>
            <w:r>
              <w:rPr>
                <w:b/>
                <w:sz w:val="18"/>
              </w:rPr>
              <w:t>Financing Contingency Deadline (60 days).</w:t>
            </w:r>
            <w:r>
              <w:rPr>
                <w:b w:val="0"/>
                <w:sz w:val="18"/>
              </w:rPr>
              <w:t xml:space="preserve"> Termination notice must be delivered by this time or the contingency is irrevocably waived</w:t>
            </w:r>
          </w:p>
        </w:tc>
        <w:tc>
          <w:tcPr>
            <w:tcW w:type="dxa" w:w="1296"/>
          </w:tcPr>
          <w:p>
            <w:pPr>
              <w:spacing w:after="20"/>
            </w:pPr>
            <w:r>
              <w:rPr>
                <w:sz w:val="18"/>
              </w:rPr>
            </w:r>
            <w:r>
              <w:rPr>
                <w:b w:val="0"/>
                <w:sz w:val="18"/>
              </w:rPr>
              <w:t>§1.1; §10.2</w:t>
            </w:r>
          </w:p>
        </w:tc>
        <w:tc>
          <w:tcPr>
            <w:tcW w:type="dxa" w:w="3240"/>
          </w:tcPr>
          <w:p>
            <w:pPr>
              <w:spacing w:after="20"/>
            </w:pPr>
            <w:r>
              <w:rPr>
                <w:sz w:val="18"/>
              </w:rPr>
            </w:r>
            <w:r>
              <w:rPr>
                <w:b w:val="0"/>
                <w:sz w:val="18"/>
              </w:rPr>
              <w:t>Only the Initial Deposit is refunded on a financing termination.</w:t>
            </w:r>
          </w:p>
        </w:tc>
      </w:tr>
      <w:tr>
        <w:tc>
          <w:tcPr>
            <w:tcW w:type="dxa" w:w="1656"/>
          </w:tcPr>
          <w:p>
            <w:pPr>
              <w:spacing w:after="20"/>
            </w:pPr>
            <w:r>
              <w:rPr>
                <w:sz w:val="18"/>
              </w:rPr>
            </w:r>
            <w:r>
              <w:rPr>
                <w:b w:val="0"/>
                <w:sz w:val="18"/>
              </w:rPr>
              <w:t>Fri., Dec. 20, 2024 (approx.)</w:t>
            </w:r>
          </w:p>
        </w:tc>
        <w:tc>
          <w:tcPr>
            <w:tcW w:type="dxa" w:w="3744"/>
          </w:tcPr>
          <w:p>
            <w:pPr>
              <w:spacing w:after="20"/>
            </w:pPr>
            <w:r>
              <w:rPr>
                <w:sz w:val="18"/>
              </w:rPr>
            </w:r>
            <w:r>
              <w:rPr>
                <w:b w:val="0"/>
                <w:sz w:val="18"/>
              </w:rPr>
              <w:t>Buyer waive-or-terminate election on uncured objections (10 business days after Seller notice); full Deposit refunded on termination</w:t>
            </w:r>
          </w:p>
        </w:tc>
        <w:tc>
          <w:tcPr>
            <w:tcW w:type="dxa" w:w="1296"/>
          </w:tcPr>
          <w:p>
            <w:pPr>
              <w:spacing w:after="20"/>
            </w:pPr>
            <w:r>
              <w:rPr>
                <w:sz w:val="18"/>
              </w:rPr>
            </w:r>
            <w:r>
              <w:rPr>
                <w:b w:val="0"/>
                <w:sz w:val="18"/>
              </w:rPr>
              <w:t>§5.3</w:t>
            </w:r>
          </w:p>
        </w:tc>
        <w:tc>
          <w:tcPr>
            <w:tcW w:type="dxa" w:w="3240"/>
          </w:tcPr>
          <w:p>
            <w:pPr>
              <w:spacing w:after="20"/>
            </w:pPr>
            <w:r>
              <w:rPr>
                <w:sz w:val="18"/>
              </w:rPr>
            </w:r>
            <w:r>
              <w:rPr>
                <w:b w:val="0"/>
                <w:sz w:val="18"/>
              </w:rPr>
              <w:t>This title termination right outlasts the DD Period.</w:t>
            </w:r>
          </w:p>
        </w:tc>
      </w:tr>
      <w:tr>
        <w:tc>
          <w:tcPr>
            <w:tcW w:type="dxa" w:w="1656"/>
          </w:tcPr>
          <w:p>
            <w:pPr>
              <w:spacing w:after="20"/>
            </w:pPr>
            <w:r>
              <w:rPr>
                <w:sz w:val="18"/>
              </w:rPr>
            </w:r>
            <w:r>
              <w:rPr>
                <w:b w:val="0"/>
                <w:sz w:val="18"/>
              </w:rPr>
              <w:t>Tue., Dec. 31, 2024</w:t>
            </w:r>
          </w:p>
        </w:tc>
        <w:tc>
          <w:tcPr>
            <w:tcW w:type="dxa" w:w="3744"/>
          </w:tcPr>
          <w:p>
            <w:pPr>
              <w:spacing w:after="20"/>
            </w:pPr>
            <w:r>
              <w:rPr>
                <w:sz w:val="18"/>
              </w:rPr>
            </w:r>
            <w:r>
              <w:rPr>
                <w:b w:val="0"/>
                <w:sz w:val="18"/>
              </w:rPr>
              <w:t>(a) Seller must deliver estoppels covering at least 80% of leased SF (10 business days before Closing); (b) deadline for notice of affiliate assignment and delivery of the executed assignment (10 business days before Closing)</w:t>
            </w:r>
          </w:p>
        </w:tc>
        <w:tc>
          <w:tcPr>
            <w:tcW w:type="dxa" w:w="1296"/>
          </w:tcPr>
          <w:p>
            <w:pPr>
              <w:spacing w:after="20"/>
            </w:pPr>
            <w:r>
              <w:rPr>
                <w:sz w:val="18"/>
              </w:rPr>
            </w:r>
            <w:r>
              <w:rPr>
                <w:b w:val="0"/>
                <w:sz w:val="18"/>
              </w:rPr>
              <w:t>§9.3; §14.3(a)</w:t>
            </w:r>
          </w:p>
        </w:tc>
        <w:tc>
          <w:tcPr>
            <w:tcW w:type="dxa" w:w="3240"/>
          </w:tcPr>
          <w:p>
            <w:pPr>
              <w:spacing w:after="20"/>
            </w:pPr>
            <w:r>
              <w:rPr>
                <w:sz w:val="18"/>
              </w:rPr>
            </w:r>
            <w:r>
              <w:rPr>
                <w:b w:val="0"/>
                <w:sz w:val="18"/>
              </w:rPr>
              <w:t>Holiday period. The date moves if Closing is extended.</w:t>
            </w:r>
          </w:p>
        </w:tc>
      </w:tr>
      <w:tr>
        <w:tc>
          <w:tcPr>
            <w:tcW w:type="dxa" w:w="1656"/>
          </w:tcPr>
          <w:p>
            <w:pPr>
              <w:spacing w:after="20"/>
            </w:pPr>
            <w:r>
              <w:rPr>
                <w:sz w:val="18"/>
              </w:rPr>
            </w:r>
            <w:r>
              <w:rPr>
                <w:b w:val="0"/>
                <w:sz w:val="18"/>
              </w:rPr>
              <w:t>Wed., Jan. 15, 2025</w:t>
            </w:r>
          </w:p>
        </w:tc>
        <w:tc>
          <w:tcPr>
            <w:tcW w:type="dxa" w:w="3744"/>
          </w:tcPr>
          <w:p>
            <w:pPr>
              <w:spacing w:after="20"/>
            </w:pPr>
            <w:r>
              <w:rPr>
                <w:sz w:val="18"/>
              </w:rPr>
            </w:r>
            <w:r>
              <w:rPr>
                <w:b/>
                <w:sz w:val="18"/>
              </w:rPr>
              <w:t>Scheduled Closing Date</w:t>
            </w:r>
            <w:r>
              <w:rPr>
                <w:b w:val="0"/>
                <w:sz w:val="18"/>
              </w:rPr>
              <w:t xml:space="preserve"> (100 days). Prorations run as of 11:59 p.m. ET on Jan. 14, 2025</w:t>
            </w:r>
          </w:p>
        </w:tc>
        <w:tc>
          <w:tcPr>
            <w:tcW w:type="dxa" w:w="1296"/>
          </w:tcPr>
          <w:p>
            <w:pPr>
              <w:spacing w:after="20"/>
            </w:pPr>
            <w:r>
              <w:rPr>
                <w:sz w:val="18"/>
              </w:rPr>
            </w:r>
            <w:r>
              <w:rPr>
                <w:b w:val="0"/>
                <w:sz w:val="18"/>
              </w:rPr>
              <w:t>§1.1; §6.1; §13.1</w:t>
            </w:r>
          </w:p>
        </w:tc>
        <w:tc>
          <w:tcPr>
            <w:tcW w:type="dxa" w:w="3240"/>
          </w:tcPr>
          <w:p>
            <w:pPr>
              <w:spacing w:after="20"/>
            </w:pPr>
            <w:r>
              <w:rPr>
                <w:sz w:val="18"/>
              </w:rPr>
            </w:r>
            <w:r>
              <w:rPr>
                <w:b w:val="0"/>
                <w:sz w:val="18"/>
              </w:rPr>
              <w:t>Closing at Commonwealth Title, Reston, or by escrow/mail-away.</w:t>
            </w:r>
          </w:p>
        </w:tc>
      </w:tr>
      <w:tr>
        <w:tc>
          <w:tcPr>
            <w:tcW w:type="dxa" w:w="1656"/>
          </w:tcPr>
          <w:p>
            <w:pPr>
              <w:spacing w:after="20"/>
            </w:pPr>
            <w:r>
              <w:rPr>
                <w:sz w:val="18"/>
              </w:rPr>
            </w:r>
            <w:r>
              <w:rPr>
                <w:b w:val="0"/>
                <w:sz w:val="18"/>
              </w:rPr>
              <w:t>Up to Thu., Jan. 30, 2025</w:t>
            </w:r>
          </w:p>
        </w:tc>
        <w:tc>
          <w:tcPr>
            <w:tcW w:type="dxa" w:w="3744"/>
          </w:tcPr>
          <w:p>
            <w:pPr>
              <w:spacing w:after="20"/>
            </w:pPr>
            <w:r>
              <w:rPr>
                <w:sz w:val="18"/>
              </w:rPr>
            </w:r>
            <w:r>
              <w:rPr>
                <w:b w:val="0"/>
                <w:sz w:val="18"/>
              </w:rPr>
              <w:t>Buyer option to extend Closing up to 15 days if estoppels are not delivered</w:t>
            </w:r>
          </w:p>
        </w:tc>
        <w:tc>
          <w:tcPr>
            <w:tcW w:type="dxa" w:w="1296"/>
          </w:tcPr>
          <w:p>
            <w:pPr>
              <w:spacing w:after="20"/>
            </w:pPr>
            <w:r>
              <w:rPr>
                <w:sz w:val="18"/>
              </w:rPr>
            </w:r>
            <w:r>
              <w:rPr>
                <w:b w:val="0"/>
                <w:sz w:val="18"/>
              </w:rPr>
              <w:t>§9.3</w:t>
            </w:r>
          </w:p>
        </w:tc>
        <w:tc>
          <w:tcPr>
            <w:tcW w:type="dxa" w:w="3240"/>
          </w:tcPr>
          <w:p>
            <w:pPr>
              <w:spacing w:after="20"/>
            </w:pPr>
            <w:r>
              <w:rPr>
                <w:sz w:val="18"/>
              </w:rPr>
            </w:r>
            <w:r>
              <w:rPr>
                <w:b w:val="0"/>
                <w:sz w:val="18"/>
              </w:rPr>
              <w:t>How this interacts with the §13.5 extensions is unclear.</w:t>
            </w:r>
          </w:p>
        </w:tc>
      </w:tr>
      <w:tr>
        <w:tc>
          <w:tcPr>
            <w:tcW w:type="dxa" w:w="1656"/>
          </w:tcPr>
          <w:p>
            <w:pPr>
              <w:spacing w:after="20"/>
            </w:pPr>
            <w:r>
              <w:rPr>
                <w:sz w:val="18"/>
              </w:rPr>
            </w:r>
            <w:r>
              <w:rPr>
                <w:b w:val="0"/>
                <w:sz w:val="18"/>
              </w:rPr>
              <w:t>Fri., Feb. 14, 2025</w:t>
            </w:r>
          </w:p>
        </w:tc>
        <w:tc>
          <w:tcPr>
            <w:tcW w:type="dxa" w:w="3744"/>
          </w:tcPr>
          <w:p>
            <w:pPr>
              <w:spacing w:after="20"/>
            </w:pPr>
            <w:r>
              <w:rPr>
                <w:sz w:val="18"/>
              </w:rPr>
            </w:r>
            <w:r>
              <w:rPr>
                <w:b w:val="0"/>
                <w:sz w:val="18"/>
              </w:rPr>
              <w:t>Outside Closing Date (130 days). Either party may extend to this date by written notice</w:t>
            </w:r>
          </w:p>
        </w:tc>
        <w:tc>
          <w:tcPr>
            <w:tcW w:type="dxa" w:w="1296"/>
          </w:tcPr>
          <w:p>
            <w:pPr>
              <w:spacing w:after="20"/>
            </w:pPr>
            <w:r>
              <w:rPr>
                <w:sz w:val="18"/>
              </w:rPr>
            </w:r>
            <w:r>
              <w:rPr>
                <w:b w:val="0"/>
                <w:sz w:val="18"/>
              </w:rPr>
              <w:t>§1.1; §13.5</w:t>
            </w:r>
          </w:p>
        </w:tc>
        <w:tc>
          <w:tcPr>
            <w:tcW w:type="dxa" w:w="3240"/>
          </w:tcPr>
          <w:p>
            <w:pPr>
              <w:spacing w:after="20"/>
            </w:pPr>
            <w:r>
              <w:rPr>
                <w:sz w:val="18"/>
              </w:rPr>
            </w:r>
            <w:r>
              <w:rPr>
                <w:b w:val="0"/>
                <w:sz w:val="18"/>
              </w:rPr>
              <w:t>No notice deadline (Flag 13).</w:t>
            </w:r>
          </w:p>
        </w:tc>
      </w:tr>
      <w:tr>
        <w:tc>
          <w:tcPr>
            <w:tcW w:type="dxa" w:w="1656"/>
          </w:tcPr>
          <w:p>
            <w:pPr>
              <w:spacing w:after="20"/>
            </w:pPr>
            <w:r>
              <w:rPr>
                <w:sz w:val="18"/>
              </w:rPr>
            </w:r>
            <w:r>
              <w:rPr>
                <w:b w:val="0"/>
                <w:sz w:val="18"/>
              </w:rPr>
              <w:t>Sat., Mar. 1, 2025</w:t>
            </w:r>
          </w:p>
        </w:tc>
        <w:tc>
          <w:tcPr>
            <w:tcW w:type="dxa" w:w="3744"/>
          </w:tcPr>
          <w:p>
            <w:pPr>
              <w:spacing w:after="20"/>
            </w:pPr>
            <w:r>
              <w:rPr>
                <w:sz w:val="18"/>
              </w:rPr>
            </w:r>
            <w:r>
              <w:rPr>
                <w:b w:val="0"/>
                <w:sz w:val="18"/>
              </w:rPr>
              <w:t>Final extended Outside Closing Date (one 15-day extension by either party, with notice at least 5 business days before the then-applicable closing date). No extension past this date</w:t>
            </w:r>
          </w:p>
        </w:tc>
        <w:tc>
          <w:tcPr>
            <w:tcW w:type="dxa" w:w="1296"/>
          </w:tcPr>
          <w:p>
            <w:pPr>
              <w:spacing w:after="20"/>
            </w:pPr>
            <w:r>
              <w:rPr>
                <w:sz w:val="18"/>
              </w:rPr>
            </w:r>
            <w:r>
              <w:rPr>
                <w:b w:val="0"/>
                <w:sz w:val="18"/>
              </w:rPr>
              <w:t>§13.5</w:t>
            </w:r>
          </w:p>
        </w:tc>
        <w:tc>
          <w:tcPr>
            <w:tcW w:type="dxa" w:w="3240"/>
          </w:tcPr>
          <w:p>
            <w:pPr>
              <w:spacing w:after="20"/>
            </w:pPr>
            <w:r>
              <w:rPr>
                <w:sz w:val="18"/>
              </w:rPr>
            </w:r>
            <w:r>
              <w:rPr>
                <w:b w:val="0"/>
                <w:sz w:val="18"/>
              </w:rPr>
              <w:t>March 1, 2025 is a Saturday.</w:t>
            </w:r>
          </w:p>
        </w:tc>
      </w:tr>
      <w:tr>
        <w:tc>
          <w:tcPr>
            <w:tcW w:type="dxa" w:w="1656"/>
          </w:tcPr>
          <w:p>
            <w:pPr>
              <w:spacing w:after="20"/>
            </w:pPr>
            <w:r>
              <w:rPr>
                <w:sz w:val="18"/>
              </w:rPr>
            </w:r>
            <w:r>
              <w:rPr>
                <w:b w:val="0"/>
                <w:sz w:val="18"/>
              </w:rPr>
              <w:t>Sun., Mar. 16, 2025</w:t>
            </w:r>
          </w:p>
        </w:tc>
        <w:tc>
          <w:tcPr>
            <w:tcW w:type="dxa" w:w="3744"/>
          </w:tcPr>
          <w:p>
            <w:pPr>
              <w:spacing w:after="20"/>
            </w:pPr>
            <w:r>
              <w:rPr>
                <w:sz w:val="18"/>
              </w:rPr>
            </w:r>
            <w:r>
              <w:rPr>
                <w:b w:val="0"/>
                <w:sz w:val="18"/>
              </w:rPr>
              <w:t>Deadline to commence a specific performance action (60 days after the scheduled Closing Date, measured from Jan. 15; later if Closing was extended)</w:t>
            </w:r>
          </w:p>
        </w:tc>
        <w:tc>
          <w:tcPr>
            <w:tcW w:type="dxa" w:w="1296"/>
          </w:tcPr>
          <w:p>
            <w:pPr>
              <w:spacing w:after="20"/>
            </w:pPr>
            <w:r>
              <w:rPr>
                <w:sz w:val="18"/>
              </w:rPr>
            </w:r>
            <w:r>
              <w:rPr>
                <w:b w:val="0"/>
                <w:sz w:val="18"/>
              </w:rPr>
              <w:t>§12.2(a)</w:t>
            </w:r>
          </w:p>
        </w:tc>
        <w:tc>
          <w:tcPr>
            <w:tcW w:type="dxa" w:w="3240"/>
          </w:tcPr>
          <w:p>
            <w:pPr>
              <w:spacing w:after="20"/>
            </w:pPr>
            <w:r>
              <w:rPr>
                <w:sz w:val="18"/>
              </w:rPr>
            </w:r>
            <w:r>
              <w:rPr>
                <w:b w:val="0"/>
                <w:sz w:val="18"/>
              </w:rPr>
              <w:t>Conflicts with mandatory mediation (Flag 15).</w:t>
            </w:r>
          </w:p>
        </w:tc>
      </w:tr>
      <w:tr>
        <w:tc>
          <w:tcPr>
            <w:tcW w:type="dxa" w:w="1656"/>
          </w:tcPr>
          <w:p>
            <w:pPr>
              <w:spacing w:after="20"/>
            </w:pPr>
            <w:r>
              <w:rPr>
                <w:sz w:val="18"/>
              </w:rPr>
            </w:r>
            <w:r>
              <w:rPr>
                <w:b w:val="0"/>
                <w:sz w:val="18"/>
              </w:rPr>
              <w:t>Tue., Apr. 15, 2025</w:t>
            </w:r>
          </w:p>
        </w:tc>
        <w:tc>
          <w:tcPr>
            <w:tcW w:type="dxa" w:w="3744"/>
          </w:tcPr>
          <w:p>
            <w:pPr>
              <w:spacing w:after="20"/>
            </w:pPr>
            <w:r>
              <w:rPr>
                <w:sz w:val="18"/>
              </w:rPr>
            </w:r>
            <w:r>
              <w:rPr>
                <w:b w:val="0"/>
                <w:sz w:val="18"/>
              </w:rPr>
              <w:t>Post-closing proration reconciliation (90 days) and the Seller cooperation covenant expire</w:t>
            </w:r>
          </w:p>
        </w:tc>
        <w:tc>
          <w:tcPr>
            <w:tcW w:type="dxa" w:w="1296"/>
          </w:tcPr>
          <w:p>
            <w:pPr>
              <w:spacing w:after="20"/>
            </w:pPr>
            <w:r>
              <w:rPr>
                <w:sz w:val="18"/>
              </w:rPr>
            </w:r>
            <w:r>
              <w:rPr>
                <w:b w:val="0"/>
                <w:sz w:val="18"/>
              </w:rPr>
              <w:t>§6.4; §15.12</w:t>
            </w:r>
          </w:p>
        </w:tc>
        <w:tc>
          <w:tcPr>
            <w:tcW w:type="dxa" w:w="3240"/>
          </w:tcPr>
          <w:p>
            <w:pPr>
              <w:spacing w:after="20"/>
            </w:pPr>
            <w:r>
              <w:rPr>
                <w:sz w:val="18"/>
              </w:rPr>
            </w:r>
            <w:r>
              <w:rPr>
                <w:b w:val="0"/>
                <w:sz w:val="18"/>
              </w:rPr>
              <w:t>Too early for the CY2024 CAM reconciliation (Flag 19).</w:t>
            </w:r>
          </w:p>
        </w:tc>
      </w:tr>
      <w:tr>
        <w:tc>
          <w:tcPr>
            <w:tcW w:type="dxa" w:w="1656"/>
          </w:tcPr>
          <w:p>
            <w:pPr>
              <w:spacing w:after="20"/>
            </w:pPr>
            <w:r>
              <w:rPr>
                <w:sz w:val="18"/>
              </w:rPr>
            </w:r>
            <w:r>
              <w:rPr>
                <w:b w:val="0"/>
                <w:sz w:val="18"/>
              </w:rPr>
              <w:t>Thu., Jan. 15, 2026</w:t>
            </w:r>
          </w:p>
        </w:tc>
        <w:tc>
          <w:tcPr>
            <w:tcW w:type="dxa" w:w="3744"/>
          </w:tcPr>
          <w:p>
            <w:pPr>
              <w:spacing w:after="20"/>
            </w:pPr>
            <w:r>
              <w:rPr>
                <w:sz w:val="18"/>
              </w:rPr>
            </w:r>
            <w:r>
              <w:rPr>
                <w:b w:val="0"/>
                <w:sz w:val="18"/>
              </w:rPr>
              <w:t>Survival of Seller representations and warranties expires (12 months); claim notice must be given by this date</w:t>
            </w:r>
          </w:p>
        </w:tc>
        <w:tc>
          <w:tcPr>
            <w:tcW w:type="dxa" w:w="1296"/>
          </w:tcPr>
          <w:p>
            <w:pPr>
              <w:spacing w:after="20"/>
            </w:pPr>
            <w:r>
              <w:rPr>
                <w:sz w:val="18"/>
              </w:rPr>
            </w:r>
            <w:r>
              <w:rPr>
                <w:b w:val="0"/>
                <w:sz w:val="18"/>
              </w:rPr>
              <w:t>§7.3</w:t>
            </w:r>
          </w:p>
        </w:tc>
        <w:tc>
          <w:tcPr>
            <w:tcW w:type="dxa" w:w="3240"/>
          </w:tcPr>
          <w:p>
            <w:pPr>
              <w:spacing w:after="20"/>
            </w:pPr>
            <w:r>
              <w:rPr>
                <w:sz w:val="18"/>
              </w:rPr>
            </w:r>
            <w:r>
              <w:rPr>
                <w:b w:val="0"/>
                <w:sz w:val="18"/>
              </w:rPr>
              <w:t>—</w:t>
            </w:r>
          </w:p>
        </w:tc>
      </w:tr>
      <w:tr>
        <w:tc>
          <w:tcPr>
            <w:tcW w:type="dxa" w:w="1656"/>
          </w:tcPr>
          <w:p>
            <w:pPr>
              <w:spacing w:after="20"/>
            </w:pPr>
            <w:r>
              <w:rPr>
                <w:sz w:val="18"/>
              </w:rPr>
            </w:r>
            <w:r>
              <w:rPr>
                <w:b w:val="0"/>
                <w:sz w:val="18"/>
              </w:rPr>
              <w:t>Sat., Jan. 15, 2028</w:t>
            </w:r>
          </w:p>
        </w:tc>
        <w:tc>
          <w:tcPr>
            <w:tcW w:type="dxa" w:w="3744"/>
          </w:tcPr>
          <w:p>
            <w:pPr>
              <w:spacing w:after="20"/>
            </w:pPr>
            <w:r>
              <w:rPr>
                <w:sz w:val="18"/>
              </w:rPr>
            </w:r>
            <w:r>
              <w:rPr>
                <w:b w:val="0"/>
                <w:sz w:val="18"/>
              </w:rPr>
              <w:t>Survival of the Seller environmental indemnity expires (36 months); claim notice must be given by this date</w:t>
            </w:r>
          </w:p>
        </w:tc>
        <w:tc>
          <w:tcPr>
            <w:tcW w:type="dxa" w:w="1296"/>
          </w:tcPr>
          <w:p>
            <w:pPr>
              <w:spacing w:after="20"/>
            </w:pPr>
            <w:r>
              <w:rPr>
                <w:sz w:val="18"/>
              </w:rPr>
            </w:r>
            <w:r>
              <w:rPr>
                <w:b w:val="0"/>
                <w:sz w:val="18"/>
              </w:rPr>
              <w:t>§8.4(b)–(c)</w:t>
            </w:r>
          </w:p>
        </w:tc>
        <w:tc>
          <w:tcPr>
            <w:tcW w:type="dxa" w:w="3240"/>
          </w:tcPr>
          <w:p>
            <w:pPr>
              <w:spacing w:after="20"/>
            </w:pPr>
            <w:r>
              <w:rPr>
                <w:sz w:val="18"/>
              </w:rPr>
            </w:r>
            <w:r>
              <w:rPr>
                <w:b w:val="0"/>
                <w:sz w:val="18"/>
              </w:rPr>
              <w:t>Too short for a PCE plume (Flag 3).</w:t>
            </w:r>
          </w:p>
        </w:tc>
      </w:tr>
      <w:tr>
        <w:tc>
          <w:tcPr>
            <w:tcW w:type="dxa" w:w="1656"/>
          </w:tcPr>
          <w:p>
            <w:pPr>
              <w:spacing w:after="20"/>
            </w:pPr>
            <w:r>
              <w:rPr>
                <w:sz w:val="18"/>
              </w:rPr>
            </w:r>
            <w:r>
              <w:rPr>
                <w:b w:val="0"/>
                <w:sz w:val="18"/>
              </w:rPr>
              <w:t>Through Jan. 2027 (approx.)</w:t>
            </w:r>
          </w:p>
        </w:tc>
        <w:tc>
          <w:tcPr>
            <w:tcW w:type="dxa" w:w="3744"/>
          </w:tcPr>
          <w:p>
            <w:pPr>
              <w:spacing w:after="20"/>
            </w:pPr>
            <w:r>
              <w:rPr>
                <w:sz w:val="18"/>
              </w:rPr>
            </w:r>
            <w:r>
              <w:rPr>
                <w:b w:val="0"/>
                <w:sz w:val="18"/>
              </w:rPr>
              <w:t>Confidentiality obligation (2 years after Closing or termination)</w:t>
            </w:r>
          </w:p>
        </w:tc>
        <w:tc>
          <w:tcPr>
            <w:tcW w:type="dxa" w:w="1296"/>
          </w:tcPr>
          <w:p>
            <w:pPr>
              <w:spacing w:after="20"/>
            </w:pPr>
            <w:r>
              <w:rPr>
                <w:sz w:val="18"/>
              </w:rPr>
            </w:r>
            <w:r>
              <w:rPr>
                <w:b w:val="0"/>
                <w:sz w:val="18"/>
              </w:rPr>
              <w:t>§15.8</w:t>
            </w:r>
          </w:p>
        </w:tc>
        <w:tc>
          <w:tcPr>
            <w:tcW w:type="dxa" w:w="3240"/>
          </w:tcPr>
          <w:p>
            <w:pPr>
              <w:spacing w:after="20"/>
            </w:pPr>
            <w:r>
              <w:rPr>
                <w:sz w:val="18"/>
              </w:rPr>
            </w:r>
            <w:r>
              <w:rPr>
                <w:b w:val="0"/>
                <w:sz w:val="18"/>
              </w:rPr>
              <w:t>—</w:t>
            </w:r>
          </w:p>
        </w:tc>
      </w:tr>
    </w:tbl>
    <w:p>
      <w:pPr>
        <w:spacing w:after="40"/>
      </w:pPr>
    </w:p>
    <w:p>
      <w:pPr>
        <w:pStyle w:val="Heading1"/>
      </w:pPr>
      <w:r>
        <w:t>Part III — Term Sheet by Topic</w:t>
      </w:r>
    </w:p>
    <w:p>
      <w:pPr>
        <w:spacing w:after="80"/>
      </w:pPr>
      <w:r>
        <w:rPr>
          <w:b w:val="0"/>
          <w:i/>
        </w:rPr>
        <w:t>A “→ Flag” cross-reference in a row points to the related item in Part IV.</w:t>
      </w:r>
    </w:p>
    <w:p>
      <w:pPr>
        <w:pStyle w:val="Heading2"/>
      </w:pPr>
      <w:r>
        <w:t>1. Parties and Transaction Participants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Seller</w:t>
            </w:r>
          </w:p>
        </w:tc>
        <w:tc>
          <w:tcPr>
            <w:tcW w:type="dxa" w:w="1224"/>
          </w:tcPr>
          <w:p>
            <w:pPr>
              <w:spacing w:after="20"/>
            </w:pPr>
            <w:r>
              <w:rPr>
                <w:sz w:val="18"/>
              </w:rPr>
            </w:r>
            <w:r>
              <w:rPr>
                <w:b w:val="0"/>
                <w:sz w:val="18"/>
              </w:rPr>
              <w:t>Preamble; §7.1(a)</w:t>
            </w:r>
          </w:p>
        </w:tc>
        <w:tc>
          <w:tcPr>
            <w:tcW w:type="dxa" w:w="6624"/>
          </w:tcPr>
          <w:p>
            <w:pPr>
              <w:spacing w:after="20"/>
            </w:pPr>
            <w:r>
              <w:rPr>
                <w:sz w:val="18"/>
              </w:rPr>
            </w:r>
            <w:r>
              <w:rPr>
                <w:b w:val="0"/>
                <w:sz w:val="18"/>
              </w:rPr>
              <w:t>Meridian Office Holdings LP, a Virginia limited partnership formed September 22, 2011. Sole general partner: Meridian GP Inc. (Virginia corporation). Authorized signatory: Marcus Ellison, President of Meridian GP Inc. Seller’s notice address: 11700 Plaza America Drive, Suite 300, Reston, VA 20190.</w:t>
            </w:r>
          </w:p>
        </w:tc>
      </w:tr>
      <w:tr>
        <w:tc>
          <w:tcPr>
            <w:tcW w:type="dxa" w:w="2088"/>
          </w:tcPr>
          <w:p>
            <w:pPr>
              <w:spacing w:after="20"/>
            </w:pPr>
            <w:r>
              <w:rPr>
                <w:sz w:val="18"/>
              </w:rPr>
            </w:r>
            <w:r>
              <w:rPr>
                <w:b w:val="0"/>
                <w:sz w:val="18"/>
              </w:rPr>
              <w:t>Buyer (as named in PSA)</w:t>
            </w:r>
          </w:p>
        </w:tc>
        <w:tc>
          <w:tcPr>
            <w:tcW w:type="dxa" w:w="1224"/>
          </w:tcPr>
          <w:p>
            <w:pPr>
              <w:spacing w:after="20"/>
            </w:pPr>
            <w:r>
              <w:rPr>
                <w:sz w:val="18"/>
              </w:rPr>
            </w:r>
            <w:r>
              <w:rPr>
                <w:b w:val="0"/>
                <w:sz w:val="18"/>
              </w:rPr>
              <w:t>Preamble; §7.5(a); signature page</w:t>
            </w:r>
          </w:p>
        </w:tc>
        <w:tc>
          <w:tcPr>
            <w:tcW w:type="dxa" w:w="6624"/>
          </w:tcPr>
          <w:p>
            <w:pPr>
              <w:spacing w:after="20"/>
            </w:pPr>
            <w:r>
              <w:rPr>
                <w:sz w:val="18"/>
              </w:rPr>
            </w:r>
            <w:r>
              <w:rPr>
                <w:b/>
                <w:sz w:val="18"/>
              </w:rPr>
              <w:t>Bridgewater Capital Partners LLC</w:t>
            </w:r>
            <w:r>
              <w:rPr>
                <w:b w:val="0"/>
                <w:sz w:val="18"/>
              </w:rPr>
              <w:t>, a Delaware limited liability company formed March 14, 2019. It is to be qualified to do business in Virginia before Closing. Signed by David Kowalski and Priya Venkataraman, each as Managing Member. → Flag 1</w:t>
            </w:r>
          </w:p>
        </w:tc>
      </w:tr>
      <w:tr>
        <w:tc>
          <w:tcPr>
            <w:tcW w:type="dxa" w:w="2088"/>
          </w:tcPr>
          <w:p>
            <w:pPr>
              <w:spacing w:after="20"/>
            </w:pPr>
            <w:r>
              <w:rPr>
                <w:sz w:val="18"/>
              </w:rPr>
            </w:r>
            <w:r>
              <w:rPr>
                <w:b w:val="0"/>
                <w:sz w:val="18"/>
              </w:rPr>
              <w:t>Buyer notice party</w:t>
            </w:r>
          </w:p>
        </w:tc>
        <w:tc>
          <w:tcPr>
            <w:tcW w:type="dxa" w:w="1224"/>
          </w:tcPr>
          <w:p>
            <w:pPr>
              <w:spacing w:after="20"/>
            </w:pPr>
            <w:r>
              <w:rPr>
                <w:sz w:val="18"/>
              </w:rPr>
            </w:r>
            <w:r>
              <w:rPr>
                <w:b w:val="0"/>
                <w:sz w:val="18"/>
              </w:rPr>
              <w:t>§15.2</w:t>
            </w:r>
          </w:p>
        </w:tc>
        <w:tc>
          <w:tcPr>
            <w:tcW w:type="dxa" w:w="6624"/>
          </w:tcPr>
          <w:p>
            <w:pPr>
              <w:spacing w:after="20"/>
            </w:pPr>
            <w:r>
              <w:rPr>
                <w:sz w:val="18"/>
              </w:rPr>
            </w:r>
            <w:r>
              <w:rPr>
                <w:b/>
                <w:sz w:val="18"/>
              </w:rPr>
              <w:t>Calverley Capital Partners LLC</w:t>
            </w:r>
            <w:r>
              <w:rPr>
                <w:b w:val="0"/>
                <w:sz w:val="18"/>
              </w:rPr>
              <w:t>, 2200 Pennsylvania Ave NW, Suite 800, Washington, DC 20037, Attn: Rebecca Thornton, GC (rthornton@bridgewatercap.com). Copy to Hargrave, Mitchell &amp; Stone LLP, 1900 K Street NW, Suite 1200, Washington, DC 20006, Attn: Jonathan Hargrave (jhargrave@hmstone.com). → Flags 1, 27</w:t>
            </w:r>
          </w:p>
        </w:tc>
      </w:tr>
      <w:tr>
        <w:tc>
          <w:tcPr>
            <w:tcW w:type="dxa" w:w="2088"/>
          </w:tcPr>
          <w:p>
            <w:pPr>
              <w:spacing w:after="20"/>
            </w:pPr>
            <w:r>
              <w:rPr>
                <w:sz w:val="18"/>
              </w:rPr>
            </w:r>
            <w:r>
              <w:rPr>
                <w:b w:val="0"/>
                <w:sz w:val="18"/>
              </w:rPr>
              <w:t>Seller’s counsel</w:t>
            </w:r>
          </w:p>
        </w:tc>
        <w:tc>
          <w:tcPr>
            <w:tcW w:type="dxa" w:w="1224"/>
          </w:tcPr>
          <w:p>
            <w:pPr>
              <w:spacing w:after="20"/>
            </w:pPr>
            <w:r>
              <w:rPr>
                <w:sz w:val="18"/>
              </w:rPr>
            </w:r>
            <w:r>
              <w:rPr>
                <w:b w:val="0"/>
                <w:sz w:val="18"/>
              </w:rPr>
              <w:t>§15.2; Ex. C</w:t>
            </w:r>
          </w:p>
        </w:tc>
        <w:tc>
          <w:tcPr>
            <w:tcW w:type="dxa" w:w="6624"/>
          </w:tcPr>
          <w:p>
            <w:pPr>
              <w:spacing w:after="20"/>
            </w:pPr>
            <w:r>
              <w:rPr>
                <w:sz w:val="18"/>
              </w:rPr>
            </w:r>
            <w:r>
              <w:rPr>
                <w:b w:val="0"/>
                <w:sz w:val="18"/>
              </w:rPr>
              <w:t>Ferndale &amp; Aldrich LLP, 8300 Greensboro Drive, Suite 750, McLean, VA 22102, Attn: Sandra Aldrich, Esq. (listed e-mail: saldrich@fenwickaldrich.com). The firm prepared the deed. → Flag 27</w:t>
            </w:r>
          </w:p>
        </w:tc>
      </w:tr>
      <w:tr>
        <w:tc>
          <w:tcPr>
            <w:tcW w:type="dxa" w:w="2088"/>
          </w:tcPr>
          <w:p>
            <w:pPr>
              <w:spacing w:after="20"/>
            </w:pPr>
            <w:r>
              <w:rPr>
                <w:sz w:val="18"/>
              </w:rPr>
            </w:r>
            <w:r>
              <w:rPr>
                <w:b w:val="0"/>
                <w:sz w:val="18"/>
              </w:rPr>
              <w:t>Escrow Agent / Title Company</w:t>
            </w:r>
          </w:p>
        </w:tc>
        <w:tc>
          <w:tcPr>
            <w:tcW w:type="dxa" w:w="1224"/>
          </w:tcPr>
          <w:p>
            <w:pPr>
              <w:spacing w:after="20"/>
            </w:pPr>
            <w:r>
              <w:rPr>
                <w:sz w:val="18"/>
              </w:rPr>
            </w:r>
            <w:r>
              <w:rPr>
                <w:b w:val="0"/>
                <w:sz w:val="18"/>
              </w:rPr>
              <w:t>§1.1; §15.2; signature page</w:t>
            </w:r>
          </w:p>
        </w:tc>
        <w:tc>
          <w:tcPr>
            <w:tcW w:type="dxa" w:w="6624"/>
          </w:tcPr>
          <w:p>
            <w:pPr>
              <w:spacing w:after="20"/>
            </w:pPr>
            <w:r>
              <w:rPr>
                <w:sz w:val="18"/>
              </w:rPr>
            </w:r>
            <w:r>
              <w:rPr>
                <w:b w:val="0"/>
                <w:sz w:val="18"/>
              </w:rPr>
              <w:t>Commonwealth Title &amp; Escrow LLC (Virginia LLC), 1801 Robert Fulcroft Drive, Suite 200, Reston, VA 20191; Escrow Officer Jennifer Walsh (jwalsh@commonwealthtitle.com). Joins the PSA solely to acknowledge its Article III obligations. It is an intended third-party beneficiary of Article III (§15.10).</w:t>
            </w:r>
          </w:p>
        </w:tc>
      </w:tr>
      <w:tr>
        <w:tc>
          <w:tcPr>
            <w:tcW w:type="dxa" w:w="2088"/>
          </w:tcPr>
          <w:p>
            <w:pPr>
              <w:spacing w:after="20"/>
            </w:pPr>
            <w:r>
              <w:rPr>
                <w:sz w:val="18"/>
              </w:rPr>
            </w:r>
            <w:r>
              <w:rPr>
                <w:b w:val="0"/>
                <w:sz w:val="18"/>
              </w:rPr>
              <w:t>Buyer’s lender</w:t>
            </w:r>
          </w:p>
        </w:tc>
        <w:tc>
          <w:tcPr>
            <w:tcW w:type="dxa" w:w="1224"/>
          </w:tcPr>
          <w:p>
            <w:pPr>
              <w:spacing w:after="20"/>
            </w:pPr>
            <w:r>
              <w:rPr>
                <w:sz w:val="18"/>
              </w:rPr>
            </w:r>
            <w:r>
              <w:rPr>
                <w:b w:val="0"/>
                <w:sz w:val="18"/>
              </w:rPr>
              <w:t>§9.4; §10.2(a); Ex. E</w:t>
            </w:r>
          </w:p>
        </w:tc>
        <w:tc>
          <w:tcPr>
            <w:tcW w:type="dxa" w:w="6624"/>
          </w:tcPr>
          <w:p>
            <w:pPr>
              <w:spacing w:after="20"/>
            </w:pPr>
            <w:r>
              <w:rPr>
                <w:sz w:val="18"/>
              </w:rPr>
            </w:r>
            <w:r>
              <w:rPr>
                <w:b w:val="0"/>
                <w:sz w:val="18"/>
              </w:rPr>
              <w:t>Pinnacle National Bank (or an affiliate). First mortgage loan of up to $57,037,500 (65% LTV). Loan officer: Thomas Brannigan (per instruction email).</w:t>
            </w:r>
          </w:p>
        </w:tc>
      </w:tr>
      <w:tr>
        <w:tc>
          <w:tcPr>
            <w:tcW w:type="dxa" w:w="2088"/>
          </w:tcPr>
          <w:p>
            <w:pPr>
              <w:spacing w:after="20"/>
            </w:pPr>
            <w:r>
              <w:rPr>
                <w:sz w:val="18"/>
              </w:rPr>
            </w:r>
            <w:r>
              <w:rPr>
                <w:b w:val="0"/>
                <w:sz w:val="18"/>
              </w:rPr>
              <w:t>Brokers</w:t>
            </w:r>
          </w:p>
        </w:tc>
        <w:tc>
          <w:tcPr>
            <w:tcW w:type="dxa" w:w="1224"/>
          </w:tcPr>
          <w:p>
            <w:pPr>
              <w:spacing w:after="20"/>
            </w:pPr>
            <w:r>
              <w:rPr>
                <w:sz w:val="18"/>
              </w:rPr>
            </w:r>
            <w:r>
              <w:rPr>
                <w:b w:val="0"/>
                <w:sz w:val="18"/>
              </w:rPr>
              <w:t>§15.1</w:t>
            </w:r>
          </w:p>
        </w:tc>
        <w:tc>
          <w:tcPr>
            <w:tcW w:type="dxa" w:w="6624"/>
          </w:tcPr>
          <w:p>
            <w:pPr>
              <w:spacing w:after="20"/>
            </w:pPr>
            <w:r>
              <w:rPr>
                <w:sz w:val="18"/>
              </w:rPr>
            </w:r>
            <w:r>
              <w:rPr>
                <w:b w:val="0"/>
                <w:sz w:val="18"/>
              </w:rPr>
              <w:t>Seller’s broker: Greystone Realty Advisors LLC. Buyer’s broker: Keystone Commercial Partners LLC.</w:t>
            </w:r>
          </w:p>
        </w:tc>
      </w:tr>
      <w:tr>
        <w:tc>
          <w:tcPr>
            <w:tcW w:type="dxa" w:w="2088"/>
          </w:tcPr>
          <w:p>
            <w:pPr>
              <w:spacing w:after="20"/>
            </w:pPr>
            <w:r>
              <w:rPr>
                <w:sz w:val="18"/>
              </w:rPr>
            </w:r>
            <w:r>
              <w:rPr>
                <w:b w:val="0"/>
                <w:sz w:val="18"/>
              </w:rPr>
              <w:t>Seller knowledge party</w:t>
            </w:r>
          </w:p>
        </w:tc>
        <w:tc>
          <w:tcPr>
            <w:tcW w:type="dxa" w:w="1224"/>
          </w:tcPr>
          <w:p>
            <w:pPr>
              <w:spacing w:after="20"/>
            </w:pPr>
            <w:r>
              <w:rPr>
                <w:sz w:val="18"/>
              </w:rPr>
            </w:r>
            <w:r>
              <w:rPr>
                <w:b w:val="0"/>
                <w:sz w:val="18"/>
              </w:rPr>
              <w:t>§7.1 (final para.)</w:t>
            </w:r>
          </w:p>
        </w:tc>
        <w:tc>
          <w:tcPr>
            <w:tcW w:type="dxa" w:w="6624"/>
          </w:tcPr>
          <w:p>
            <w:pPr>
              <w:spacing w:after="20"/>
            </w:pPr>
            <w:r>
              <w:rPr>
                <w:sz w:val="18"/>
              </w:rPr>
            </w:r>
            <w:r>
              <w:rPr>
                <w:b w:val="0"/>
                <w:sz w:val="18"/>
              </w:rPr>
              <w:t>Actual knowledge of Marcus Ellison, without independent investigation, but with a duty to inquire of Seller’s on-site property manager. → Flag 4</w:t>
            </w:r>
          </w:p>
        </w:tc>
      </w:tr>
    </w:tbl>
    <w:p>
      <w:pPr>
        <w:spacing w:after="40"/>
      </w:pPr>
    </w:p>
    <w:p>
      <w:pPr>
        <w:pStyle w:val="Heading2"/>
      </w:pPr>
      <w:r>
        <w:t>2. Property Description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Property</w:t>
            </w:r>
          </w:p>
        </w:tc>
        <w:tc>
          <w:tcPr>
            <w:tcW w:type="dxa" w:w="1224"/>
          </w:tcPr>
          <w:p>
            <w:pPr>
              <w:spacing w:after="20"/>
            </w:pPr>
            <w:r>
              <w:rPr>
                <w:sz w:val="18"/>
              </w:rPr>
            </w:r>
            <w:r>
              <w:rPr>
                <w:b w:val="0"/>
                <w:sz w:val="18"/>
              </w:rPr>
              <w:t>§1.1 “Property”; §2.2</w:t>
            </w:r>
          </w:p>
        </w:tc>
        <w:tc>
          <w:tcPr>
            <w:tcW w:type="dxa" w:w="6624"/>
          </w:tcPr>
          <w:p>
            <w:pPr>
              <w:spacing w:after="20"/>
            </w:pPr>
            <w:r>
              <w:rPr>
                <w:sz w:val="18"/>
              </w:rPr>
            </w:r>
            <w:r>
              <w:rPr>
                <w:b w:val="0"/>
                <w:sz w:val="18"/>
              </w:rPr>
              <w:t>Land, Improvements, Leases (with security deposits), Service Contracts (to the extent assumed), Intangible Property, appurtenant rights (easements, development, air and mineral rights), and tangible personal property owned by Seller and located on or used exclusively at the Property.</w:t>
            </w:r>
          </w:p>
        </w:tc>
      </w:tr>
      <w:tr>
        <w:tc>
          <w:tcPr>
            <w:tcW w:type="dxa" w:w="2088"/>
          </w:tcPr>
          <w:p>
            <w:pPr>
              <w:spacing w:after="20"/>
            </w:pPr>
            <w:r>
              <w:rPr>
                <w:sz w:val="18"/>
              </w:rPr>
            </w:r>
            <w:r>
              <w:rPr>
                <w:b w:val="0"/>
                <w:sz w:val="18"/>
              </w:rPr>
              <w:t>Land</w:t>
            </w:r>
          </w:p>
        </w:tc>
        <w:tc>
          <w:tcPr>
            <w:tcW w:type="dxa" w:w="1224"/>
          </w:tcPr>
          <w:p>
            <w:pPr>
              <w:spacing w:after="20"/>
            </w:pPr>
            <w:r>
              <w:rPr>
                <w:sz w:val="18"/>
              </w:rPr>
            </w:r>
            <w:r>
              <w:rPr>
                <w:b w:val="0"/>
                <w:sz w:val="18"/>
              </w:rPr>
              <w:t>§1.1 “Land”; Ex. A</w:t>
            </w:r>
          </w:p>
        </w:tc>
        <w:tc>
          <w:tcPr>
            <w:tcW w:type="dxa" w:w="6624"/>
          </w:tcPr>
          <w:p>
            <w:pPr>
              <w:spacing w:after="20"/>
            </w:pPr>
            <w:r>
              <w:rPr>
                <w:sz w:val="18"/>
              </w:rPr>
            </w:r>
            <w:r>
              <w:rPr>
                <w:b w:val="0"/>
                <w:sz w:val="18"/>
              </w:rPr>
              <w:t>About 22.8 acres (22.800 ± 0.02 ac.) in Fairfax County, VA. Tax Map Parcels 0264-01-0017A, -0017B and -0017C. Shown on “Plat of Resubdivision of Lots 17A, 17B, and 17C, Meridian Corporate Center” (Bowman Consulting, April 22, 2011), Deed Book 24837, Page 1412. Vesting deed: Deed Book 25104, Page 0887. Bounded by Corporate Park Drive, Technology Boulevard, Sunrise Valley Drive and Tax Map Parcel 0264-01-0018. Exhibit A describes the Land as lying in the “Dranesville District.” → Flag 25</w:t>
            </w:r>
          </w:p>
        </w:tc>
      </w:tr>
      <w:tr>
        <w:tc>
          <w:tcPr>
            <w:tcW w:type="dxa" w:w="2088"/>
          </w:tcPr>
          <w:p>
            <w:pPr>
              <w:spacing w:after="20"/>
            </w:pPr>
            <w:r>
              <w:rPr>
                <w:sz w:val="18"/>
              </w:rPr>
            </w:r>
            <w:r>
              <w:rPr>
                <w:b w:val="0"/>
                <w:sz w:val="18"/>
              </w:rPr>
              <w:t>Improvements</w:t>
            </w:r>
          </w:p>
        </w:tc>
        <w:tc>
          <w:tcPr>
            <w:tcW w:type="dxa" w:w="1224"/>
          </w:tcPr>
          <w:p>
            <w:pPr>
              <w:spacing w:after="20"/>
            </w:pPr>
            <w:r>
              <w:rPr>
                <w:sz w:val="18"/>
              </w:rPr>
            </w:r>
            <w:r>
              <w:rPr>
                <w:b w:val="0"/>
                <w:sz w:val="18"/>
              </w:rPr>
              <w:t>§1.1 “Improvements”; §7.1(t)</w:t>
            </w:r>
          </w:p>
        </w:tc>
        <w:tc>
          <w:tcPr>
            <w:tcW w:type="dxa" w:w="6624"/>
          </w:tcPr>
          <w:p>
            <w:pPr>
              <w:spacing w:after="20"/>
            </w:pPr>
            <w:r>
              <w:rPr>
                <w:sz w:val="18"/>
              </w:rPr>
            </w:r>
            <w:r>
              <w:rPr>
                <w:b w:val="0"/>
                <w:sz w:val="18"/>
              </w:rPr>
              <w:t>Three Class A office buildings constructed in 2013: Building A, 11600 Corporate Park Dr. (about 118,000 RSF); Building B, 11620 (about 104,000 RSF); Building C, 11640 (about 90,000 RSF). Total about 312,000 RSF. Structured garage with 1,248 spaces (4.0/1,000 RSF).</w:t>
            </w:r>
          </w:p>
        </w:tc>
      </w:tr>
      <w:tr>
        <w:tc>
          <w:tcPr>
            <w:tcW w:type="dxa" w:w="2088"/>
          </w:tcPr>
          <w:p>
            <w:pPr>
              <w:spacing w:after="20"/>
            </w:pPr>
            <w:r>
              <w:rPr>
                <w:sz w:val="18"/>
              </w:rPr>
            </w:r>
            <w:r>
              <w:rPr>
                <w:b w:val="0"/>
                <w:sz w:val="18"/>
              </w:rPr>
              <w:t>Occupancy</w:t>
            </w:r>
          </w:p>
        </w:tc>
        <w:tc>
          <w:tcPr>
            <w:tcW w:type="dxa" w:w="1224"/>
          </w:tcPr>
          <w:p>
            <w:pPr>
              <w:spacing w:after="20"/>
            </w:pPr>
            <w:r>
              <w:rPr>
                <w:sz w:val="18"/>
              </w:rPr>
            </w:r>
            <w:r>
              <w:rPr>
                <w:b w:val="0"/>
                <w:sz w:val="18"/>
              </w:rPr>
              <w:t>Recitals; §3.1; §7.1(g); Ex. F</w:t>
            </w:r>
          </w:p>
        </w:tc>
        <w:tc>
          <w:tcPr>
            <w:tcW w:type="dxa" w:w="6624"/>
          </w:tcPr>
          <w:p>
            <w:pPr>
              <w:spacing w:after="20"/>
            </w:pPr>
            <w:r>
              <w:rPr>
                <w:sz w:val="18"/>
              </w:rPr>
            </w:r>
            <w:r>
              <w:rPr>
                <w:b w:val="0"/>
                <w:sz w:val="18"/>
              </w:rPr>
              <w:t>14 tenants; 258,140 RSF leased (82.7%; the PSA states “approximately 82%”). By building: A 95.7%, B 81.3%, C 67.4%. Vacant: about 53,860 RSF, of which 29,300 RSF is in Building C.</w:t>
            </w:r>
          </w:p>
        </w:tc>
      </w:tr>
      <w:tr>
        <w:tc>
          <w:tcPr>
            <w:tcW w:type="dxa" w:w="2088"/>
          </w:tcPr>
          <w:p>
            <w:pPr>
              <w:spacing w:after="20"/>
            </w:pPr>
            <w:r>
              <w:rPr>
                <w:sz w:val="18"/>
              </w:rPr>
            </w:r>
            <w:r>
              <w:rPr>
                <w:b w:val="0"/>
                <w:sz w:val="18"/>
              </w:rPr>
              <w:t>Intangible Property</w:t>
            </w:r>
          </w:p>
        </w:tc>
        <w:tc>
          <w:tcPr>
            <w:tcW w:type="dxa" w:w="1224"/>
          </w:tcPr>
          <w:p>
            <w:pPr>
              <w:spacing w:after="20"/>
            </w:pPr>
            <w:r>
              <w:rPr>
                <w:sz w:val="18"/>
              </w:rPr>
            </w:r>
            <w:r>
              <w:rPr>
                <w:b w:val="0"/>
                <w:sz w:val="18"/>
              </w:rPr>
              <w:t>§1.1; §2.2(f)</w:t>
            </w:r>
          </w:p>
        </w:tc>
        <w:tc>
          <w:tcPr>
            <w:tcW w:type="dxa" w:w="6624"/>
          </w:tcPr>
          <w:p>
            <w:pPr>
              <w:spacing w:after="20"/>
            </w:pPr>
            <w:r>
              <w:rPr>
                <w:sz w:val="18"/>
              </w:rPr>
            </w:r>
            <w:r>
              <w:rPr>
                <w:b w:val="0"/>
                <w:sz w:val="18"/>
              </w:rPr>
              <w:t>Warranties, guaranties, permits, licenses, approvals, entitlements, development rights, the trade name “Meridian Corporate Center,” domain names, telephone numbers and marketing materials.</w:t>
            </w:r>
          </w:p>
        </w:tc>
      </w:tr>
      <w:tr>
        <w:tc>
          <w:tcPr>
            <w:tcW w:type="dxa" w:w="2088"/>
          </w:tcPr>
          <w:p>
            <w:pPr>
              <w:spacing w:after="20"/>
            </w:pPr>
            <w:r>
              <w:rPr>
                <w:sz w:val="18"/>
              </w:rPr>
            </w:r>
            <w:r>
              <w:rPr>
                <w:b w:val="0"/>
                <w:sz w:val="18"/>
              </w:rPr>
              <w:t>Access / Utilities</w:t>
            </w:r>
          </w:p>
        </w:tc>
        <w:tc>
          <w:tcPr>
            <w:tcW w:type="dxa" w:w="1224"/>
          </w:tcPr>
          <w:p>
            <w:pPr>
              <w:spacing w:after="20"/>
            </w:pPr>
            <w:r>
              <w:rPr>
                <w:sz w:val="18"/>
              </w:rPr>
            </w:r>
            <w:r>
              <w:rPr>
                <w:b w:val="0"/>
                <w:sz w:val="18"/>
              </w:rPr>
              <w:t>§7.1(p)–(q)</w:t>
            </w:r>
          </w:p>
        </w:tc>
        <w:tc>
          <w:tcPr>
            <w:tcW w:type="dxa" w:w="6624"/>
          </w:tcPr>
          <w:p>
            <w:pPr>
              <w:spacing w:after="20"/>
            </w:pPr>
            <w:r>
              <w:rPr>
                <w:sz w:val="18"/>
              </w:rPr>
            </w:r>
            <w:r>
              <w:rPr>
                <w:b w:val="0"/>
                <w:sz w:val="18"/>
              </w:rPr>
              <w:t>Legal and physical access to Corporate Park Drive and Technology Boulevard. Public utilities are provided through public rights-of-way or valid easements. Water from Fairfax Water and sewer from Fairfax County (Phase I §2).</w:t>
            </w:r>
          </w:p>
        </w:tc>
      </w:tr>
      <w:tr>
        <w:tc>
          <w:tcPr>
            <w:tcW w:type="dxa" w:w="2088"/>
          </w:tcPr>
          <w:p>
            <w:pPr>
              <w:spacing w:after="20"/>
            </w:pPr>
            <w:r>
              <w:rPr>
                <w:sz w:val="18"/>
              </w:rPr>
            </w:r>
            <w:r>
              <w:rPr>
                <w:b w:val="0"/>
                <w:sz w:val="18"/>
              </w:rPr>
              <w:t>Permitted Exceptions (pre-agreed)</w:t>
            </w:r>
          </w:p>
        </w:tc>
        <w:tc>
          <w:tcPr>
            <w:tcW w:type="dxa" w:w="1224"/>
          </w:tcPr>
          <w:p>
            <w:pPr>
              <w:spacing w:after="20"/>
            </w:pPr>
            <w:r>
              <w:rPr>
                <w:sz w:val="18"/>
              </w:rPr>
            </w:r>
            <w:r>
              <w:rPr>
                <w:b w:val="0"/>
                <w:sz w:val="18"/>
              </w:rPr>
              <w:t>§1.1; Ex. B</w:t>
            </w:r>
          </w:p>
        </w:tc>
        <w:tc>
          <w:tcPr>
            <w:tcW w:type="dxa" w:w="6624"/>
          </w:tcPr>
          <w:p>
            <w:pPr>
              <w:spacing w:after="20"/>
            </w:pPr>
            <w:r>
              <w:rPr>
                <w:sz w:val="18"/>
              </w:rPr>
            </w:r>
            <w:r>
              <w:rPr>
                <w:b w:val="0"/>
                <w:sz w:val="18"/>
              </w:rPr>
              <w:t>(1) Taxes not yet due and payable; (2) Fairfax County zoning, including Planned Development District PD-TC-3; (3) CC&amp;Rs, DB 19842/0387 (office, retail and service uses only; architectural review); (4) Dominion Energy utility easement, DB 20156/1229; (5) County sanitary sewer easement, DB 20156/1245; (6) County stormwater management easement with maintenance obligations, DB 21003/0892; (7) Declaration of Cross-Access Easement and Shared Parking Agreement among the three parcels, DB 23456/0234; (8) Proffers under RZ-2010-PR-024, DB 22789/0567; (9) rights of tenants in possession, as tenants only; (10) ALTA 2021 standard printed exceptions (survey matters, inchoate mechanics’ liens, parties in possession). → Flag 17</w:t>
            </w:r>
          </w:p>
        </w:tc>
      </w:tr>
    </w:tbl>
    <w:p>
      <w:pPr>
        <w:spacing w:after="40"/>
      </w:pPr>
    </w:p>
    <w:p>
      <w:pPr>
        <w:pStyle w:val="Heading2"/>
      </w:pPr>
      <w:r>
        <w:t>3. Purchase Price, Deposits and Closing Funds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Purchase Price</w:t>
            </w:r>
          </w:p>
        </w:tc>
        <w:tc>
          <w:tcPr>
            <w:tcW w:type="dxa" w:w="1224"/>
          </w:tcPr>
          <w:p>
            <w:pPr>
              <w:spacing w:after="20"/>
            </w:pPr>
            <w:r>
              <w:rPr>
                <w:sz w:val="18"/>
              </w:rPr>
            </w:r>
            <w:r>
              <w:rPr>
                <w:b w:val="0"/>
                <w:sz w:val="18"/>
              </w:rPr>
              <w:t>§1.1; §3.1</w:t>
            </w:r>
          </w:p>
        </w:tc>
        <w:tc>
          <w:tcPr>
            <w:tcW w:type="dxa" w:w="6624"/>
          </w:tcPr>
          <w:p>
            <w:pPr>
              <w:spacing w:after="20"/>
            </w:pPr>
            <w:r>
              <w:rPr>
                <w:sz w:val="18"/>
              </w:rPr>
            </w:r>
            <w:r>
              <w:rPr>
                <w:b w:val="0"/>
                <w:sz w:val="18"/>
              </w:rPr>
              <w:t>$87,750,000.00 (about $281.25/RSF; about 10.1x in-place annual base rent of $8,707,892).</w:t>
            </w:r>
          </w:p>
        </w:tc>
      </w:tr>
      <w:tr>
        <w:tc>
          <w:tcPr>
            <w:tcW w:type="dxa" w:w="2088"/>
          </w:tcPr>
          <w:p>
            <w:pPr>
              <w:spacing w:after="20"/>
            </w:pPr>
            <w:r>
              <w:rPr>
                <w:sz w:val="18"/>
              </w:rPr>
            </w:r>
            <w:r>
              <w:rPr>
                <w:b w:val="0"/>
                <w:sz w:val="18"/>
              </w:rPr>
              <w:t>Initial Deposit</w:t>
            </w:r>
          </w:p>
        </w:tc>
        <w:tc>
          <w:tcPr>
            <w:tcW w:type="dxa" w:w="1224"/>
          </w:tcPr>
          <w:p>
            <w:pPr>
              <w:spacing w:after="20"/>
            </w:pPr>
            <w:r>
              <w:rPr>
                <w:sz w:val="18"/>
              </w:rPr>
            </w:r>
            <w:r>
              <w:rPr>
                <w:b w:val="0"/>
                <w:sz w:val="18"/>
              </w:rPr>
              <w:t>§1.1; §3.2</w:t>
            </w:r>
          </w:p>
        </w:tc>
        <w:tc>
          <w:tcPr>
            <w:tcW w:type="dxa" w:w="6624"/>
          </w:tcPr>
          <w:p>
            <w:pPr>
              <w:spacing w:after="20"/>
            </w:pPr>
            <w:r>
              <w:rPr>
                <w:sz w:val="18"/>
              </w:rPr>
            </w:r>
            <w:r>
              <w:rPr>
                <w:b w:val="0"/>
                <w:sz w:val="18"/>
              </w:rPr>
              <w:t>$2,000,000.00 by wire, due within 3 business days after the Effective Date (</w:t>
            </w:r>
            <w:r>
              <w:rPr>
                <w:b/>
                <w:sz w:val="18"/>
              </w:rPr>
              <w:t>October 10, 2024</w:t>
            </w:r>
            <w:r>
              <w:rPr>
                <w:b w:val="0"/>
                <w:sz w:val="18"/>
              </w:rPr>
              <w:t>). Held in a federally insured, interest-bearing account at an institution reasonably acceptable to both parties. Interest follows the Deposit. Buyer’s TIN is used for reporting.</w:t>
            </w:r>
          </w:p>
        </w:tc>
      </w:tr>
      <w:tr>
        <w:tc>
          <w:tcPr>
            <w:tcW w:type="dxa" w:w="2088"/>
          </w:tcPr>
          <w:p>
            <w:pPr>
              <w:spacing w:after="20"/>
            </w:pPr>
            <w:r>
              <w:rPr>
                <w:sz w:val="18"/>
              </w:rPr>
            </w:r>
            <w:r>
              <w:rPr>
                <w:b w:val="0"/>
                <w:sz w:val="18"/>
              </w:rPr>
              <w:t>Additional Deposit</w:t>
            </w:r>
          </w:p>
        </w:tc>
        <w:tc>
          <w:tcPr>
            <w:tcW w:type="dxa" w:w="1224"/>
          </w:tcPr>
          <w:p>
            <w:pPr>
              <w:spacing w:after="20"/>
            </w:pPr>
            <w:r>
              <w:rPr>
                <w:sz w:val="18"/>
              </w:rPr>
            </w:r>
            <w:r>
              <w:rPr>
                <w:b w:val="0"/>
                <w:sz w:val="18"/>
              </w:rPr>
              <w:t>§1.1; §3.3</w:t>
            </w:r>
          </w:p>
        </w:tc>
        <w:tc>
          <w:tcPr>
            <w:tcW w:type="dxa" w:w="6624"/>
          </w:tcPr>
          <w:p>
            <w:pPr>
              <w:spacing w:after="20"/>
            </w:pPr>
            <w:r>
              <w:rPr>
                <w:sz w:val="18"/>
              </w:rPr>
            </w:r>
            <w:r>
              <w:rPr>
                <w:b w:val="0"/>
                <w:sz w:val="18"/>
              </w:rPr>
              <w:t>$1,500,000.00 by wire, due within 5 business days after DD expiration (</w:t>
            </w:r>
            <w:r>
              <w:rPr>
                <w:b/>
                <w:sz w:val="18"/>
              </w:rPr>
              <w:t>on or before November 29, 2024</w:t>
            </w:r>
            <w:r>
              <w:rPr>
                <w:b w:val="0"/>
                <w:sz w:val="18"/>
              </w:rPr>
              <w:t>, Thanksgiving excluded). Held on the same terms as the Initial Deposit.</w:t>
            </w:r>
          </w:p>
        </w:tc>
      </w:tr>
      <w:tr>
        <w:tc>
          <w:tcPr>
            <w:tcW w:type="dxa" w:w="2088"/>
          </w:tcPr>
          <w:p>
            <w:pPr>
              <w:spacing w:after="20"/>
            </w:pPr>
            <w:r>
              <w:rPr>
                <w:sz w:val="18"/>
              </w:rPr>
            </w:r>
            <w:r>
              <w:rPr>
                <w:b w:val="0"/>
                <w:sz w:val="18"/>
              </w:rPr>
              <w:t>Total Deposit</w:t>
            </w:r>
          </w:p>
        </w:tc>
        <w:tc>
          <w:tcPr>
            <w:tcW w:type="dxa" w:w="1224"/>
          </w:tcPr>
          <w:p>
            <w:pPr>
              <w:spacing w:after="20"/>
            </w:pPr>
            <w:r>
              <w:rPr>
                <w:sz w:val="18"/>
              </w:rPr>
            </w:r>
            <w:r>
              <w:rPr>
                <w:b w:val="0"/>
                <w:sz w:val="18"/>
              </w:rPr>
              <w:t>§1.1; §3.3</w:t>
            </w:r>
          </w:p>
        </w:tc>
        <w:tc>
          <w:tcPr>
            <w:tcW w:type="dxa" w:w="6624"/>
          </w:tcPr>
          <w:p>
            <w:pPr>
              <w:spacing w:after="20"/>
            </w:pPr>
            <w:r>
              <w:rPr>
                <w:sz w:val="18"/>
              </w:rPr>
            </w:r>
            <w:r>
              <w:rPr>
                <w:b w:val="0"/>
                <w:sz w:val="18"/>
              </w:rPr>
              <w:t>$3,500,000.00 (3.99% of the Purchase Price) plus interest. Credited against the Purchase Price at Closing (§3.4).</w:t>
            </w:r>
          </w:p>
        </w:tc>
      </w:tr>
      <w:tr>
        <w:tc>
          <w:tcPr>
            <w:tcW w:type="dxa" w:w="2088"/>
          </w:tcPr>
          <w:p>
            <w:pPr>
              <w:spacing w:after="20"/>
            </w:pPr>
            <w:r>
              <w:rPr>
                <w:sz w:val="18"/>
              </w:rPr>
            </w:r>
            <w:r>
              <w:rPr>
                <w:b w:val="0"/>
                <w:sz w:val="18"/>
              </w:rPr>
              <w:t>Refundability</w:t>
            </w:r>
          </w:p>
        </w:tc>
        <w:tc>
          <w:tcPr>
            <w:tcW w:type="dxa" w:w="1224"/>
          </w:tcPr>
          <w:p>
            <w:pPr>
              <w:spacing w:after="20"/>
            </w:pPr>
            <w:r>
              <w:rPr>
                <w:sz w:val="18"/>
              </w:rPr>
            </w:r>
            <w:r>
              <w:rPr>
                <w:b w:val="0"/>
                <w:sz w:val="18"/>
              </w:rPr>
              <w:t>§§4.1, 4.4, 5.3, 7.2, 9.3, 10.2(b), 11.1, 11.2, 12.2</w:t>
            </w:r>
          </w:p>
        </w:tc>
        <w:tc>
          <w:tcPr>
            <w:tcW w:type="dxa" w:w="6624"/>
          </w:tcPr>
          <w:p>
            <w:pPr>
              <w:spacing w:after="20"/>
            </w:pPr>
            <w:r>
              <w:rPr>
                <w:sz w:val="18"/>
              </w:rPr>
            </w:r>
            <w:r>
              <w:rPr>
                <w:b/>
                <w:sz w:val="18"/>
              </w:rPr>
              <w:t>Initial Deposit only</w:t>
            </w:r>
            <w:r>
              <w:rPr>
                <w:b w:val="0"/>
                <w:sz w:val="18"/>
              </w:rPr>
              <w:t xml:space="preserve"> is refunded on: DD termination (§4.1/4.4) and financing termination (§10.2(b)). </w:t>
            </w:r>
            <w:r>
              <w:rPr>
                <w:b/>
                <w:sz w:val="18"/>
              </w:rPr>
              <w:t>Full Deposit</w:t>
            </w:r>
            <w:r>
              <w:rPr>
                <w:b w:val="0"/>
                <w:sz w:val="18"/>
              </w:rPr>
              <w:t xml:space="preserve"> is refunded on: uncured title objection (§5.3), material adverse change in a Seller rep (§7.2), estoppel failure (§9.3), Material Casualty (§11.1(a)), Material Condemnation (§11.2(a)) and Seller default (§12.2(b)). Refunds are generally due within 5 business days. → Flag 6</w:t>
            </w:r>
          </w:p>
        </w:tc>
      </w:tr>
      <w:tr>
        <w:tc>
          <w:tcPr>
            <w:tcW w:type="dxa" w:w="2088"/>
          </w:tcPr>
          <w:p>
            <w:pPr>
              <w:spacing w:after="20"/>
            </w:pPr>
            <w:r>
              <w:rPr>
                <w:sz w:val="18"/>
              </w:rPr>
            </w:r>
            <w:r>
              <w:rPr>
                <w:b w:val="0"/>
                <w:sz w:val="18"/>
              </w:rPr>
              <w:t>Buyer credits at Closing</w:t>
            </w:r>
          </w:p>
        </w:tc>
        <w:tc>
          <w:tcPr>
            <w:tcW w:type="dxa" w:w="1224"/>
          </w:tcPr>
          <w:p>
            <w:pPr>
              <w:spacing w:after="20"/>
            </w:pPr>
            <w:r>
              <w:rPr>
                <w:sz w:val="18"/>
              </w:rPr>
            </w:r>
            <w:r>
              <w:rPr>
                <w:b w:val="0"/>
                <w:sz w:val="18"/>
              </w:rPr>
              <w:t>§3.5; §6.2; §6.3; §6.4</w:t>
            </w:r>
          </w:p>
        </w:tc>
        <w:tc>
          <w:tcPr>
            <w:tcW w:type="dxa" w:w="6624"/>
          </w:tcPr>
          <w:p>
            <w:pPr>
              <w:spacing w:after="20"/>
            </w:pPr>
            <w:r>
              <w:rPr>
                <w:sz w:val="18"/>
              </w:rPr>
            </w:r>
            <w:r>
              <w:rPr>
                <w:b w:val="0"/>
                <w:sz w:val="18"/>
              </w:rPr>
              <w:t xml:space="preserve">Security deposits $487,320.00 plus outstanding TI/LC $1,235,000.00 = </w:t>
            </w:r>
            <w:r>
              <w:rPr>
                <w:b/>
                <w:sz w:val="18"/>
              </w:rPr>
              <w:t>$1,722,320.00</w:t>
            </w:r>
            <w:r>
              <w:rPr>
                <w:b w:val="0"/>
                <w:sz w:val="18"/>
              </w:rPr>
              <w:t xml:space="preserve"> (exclusive of prorations).</w:t>
            </w:r>
          </w:p>
        </w:tc>
      </w:tr>
      <w:tr>
        <w:tc>
          <w:tcPr>
            <w:tcW w:type="dxa" w:w="2088"/>
          </w:tcPr>
          <w:p>
            <w:pPr>
              <w:spacing w:after="20"/>
            </w:pPr>
            <w:r>
              <w:rPr>
                <w:sz w:val="18"/>
              </w:rPr>
            </w:r>
            <w:r>
              <w:rPr>
                <w:b w:val="0"/>
                <w:sz w:val="18"/>
              </w:rPr>
              <w:t>Indicative cash due at Closing</w:t>
            </w:r>
          </w:p>
        </w:tc>
        <w:tc>
          <w:tcPr>
            <w:tcW w:type="dxa" w:w="1224"/>
          </w:tcPr>
          <w:p>
            <w:pPr>
              <w:spacing w:after="20"/>
            </w:pPr>
            <w:r>
              <w:rPr>
                <w:sz w:val="18"/>
              </w:rPr>
            </w:r>
            <w:r>
              <w:rPr>
                <w:b w:val="0"/>
                <w:sz w:val="18"/>
              </w:rPr>
              <w:t>§3.5 (computed)</w:t>
            </w:r>
          </w:p>
        </w:tc>
        <w:tc>
          <w:tcPr>
            <w:tcW w:type="dxa" w:w="6624"/>
          </w:tcPr>
          <w:p>
            <w:pPr>
              <w:spacing w:after="20"/>
            </w:pPr>
            <w:r>
              <w:rPr>
                <w:sz w:val="18"/>
              </w:rPr>
            </w:r>
            <w:r>
              <w:rPr>
                <w:b w:val="0"/>
                <w:sz w:val="18"/>
              </w:rPr>
              <w:t xml:space="preserve">$87,750,000 − $3,500,000 Deposit − $1,722,320 credits = </w:t>
            </w:r>
            <w:r>
              <w:rPr>
                <w:b/>
                <w:sz w:val="18"/>
              </w:rPr>
              <w:t>$82,527,680</w:t>
            </w:r>
            <w:r>
              <w:rPr>
                <w:b w:val="0"/>
                <w:sz w:val="18"/>
              </w:rPr>
              <w:t xml:space="preserve"> before prorations, closing costs and loan proceeds. With a $57,037,500 loan, the indicative equity due at Closing is about $25,490,180, plus Buyer’s closing costs and plus or minus prorations. Total equity is about $30.71M including the Deposit.</w:t>
            </w:r>
          </w:p>
        </w:tc>
      </w:tr>
      <w:tr>
        <w:tc>
          <w:tcPr>
            <w:tcW w:type="dxa" w:w="2088"/>
          </w:tcPr>
          <w:p>
            <w:pPr>
              <w:spacing w:after="20"/>
            </w:pPr>
            <w:r>
              <w:rPr>
                <w:sz w:val="18"/>
              </w:rPr>
            </w:r>
            <w:r>
              <w:rPr>
                <w:b w:val="0"/>
                <w:sz w:val="18"/>
              </w:rPr>
              <w:t>Wire of net proceeds</w:t>
            </w:r>
          </w:p>
        </w:tc>
        <w:tc>
          <w:tcPr>
            <w:tcW w:type="dxa" w:w="1224"/>
          </w:tcPr>
          <w:p>
            <w:pPr>
              <w:spacing w:after="20"/>
            </w:pPr>
            <w:r>
              <w:rPr>
                <w:sz w:val="18"/>
              </w:rPr>
            </w:r>
            <w:r>
              <w:rPr>
                <w:b w:val="0"/>
                <w:sz w:val="18"/>
              </w:rPr>
              <w:t>§3.5</w:t>
            </w:r>
          </w:p>
        </w:tc>
        <w:tc>
          <w:tcPr>
            <w:tcW w:type="dxa" w:w="6624"/>
          </w:tcPr>
          <w:p>
            <w:pPr>
              <w:spacing w:after="20"/>
            </w:pPr>
            <w:r>
              <w:rPr>
                <w:sz w:val="18"/>
              </w:rPr>
            </w:r>
            <w:r>
              <w:rPr>
                <w:b w:val="0"/>
                <w:sz w:val="18"/>
              </w:rPr>
              <w:t>To a Seller-designated account. Seller’s written designation is due at least 3 business days before Closing. → Flag 27 (verify by phone)</w:t>
            </w:r>
          </w:p>
        </w:tc>
      </w:tr>
    </w:tbl>
    <w:p>
      <w:pPr>
        <w:spacing w:after="40"/>
      </w:pPr>
    </w:p>
    <w:p>
      <w:pPr>
        <w:pStyle w:val="Heading2"/>
      </w:pPr>
      <w:r>
        <w:t>4. Due Diligence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Due Diligence Period</w:t>
            </w:r>
          </w:p>
        </w:tc>
        <w:tc>
          <w:tcPr>
            <w:tcW w:type="dxa" w:w="1224"/>
          </w:tcPr>
          <w:p>
            <w:pPr>
              <w:spacing w:after="20"/>
            </w:pPr>
            <w:r>
              <w:rPr>
                <w:sz w:val="18"/>
              </w:rPr>
            </w:r>
            <w:r>
              <w:rPr>
                <w:b w:val="0"/>
                <w:sz w:val="18"/>
              </w:rPr>
              <w:t>§1.1; §4.1</w:t>
            </w:r>
          </w:p>
        </w:tc>
        <w:tc>
          <w:tcPr>
            <w:tcW w:type="dxa" w:w="6624"/>
          </w:tcPr>
          <w:p>
            <w:pPr>
              <w:spacing w:after="20"/>
            </w:pPr>
            <w:r>
              <w:rPr>
                <w:sz w:val="18"/>
              </w:rPr>
            </w:r>
            <w:r>
              <w:rPr>
                <w:b w:val="0"/>
                <w:sz w:val="18"/>
              </w:rPr>
              <w:t xml:space="preserve">From the Effective Date to </w:t>
            </w:r>
            <w:r>
              <w:rPr>
                <w:b/>
                <w:sz w:val="18"/>
              </w:rPr>
              <w:t>5:00 p.m. ET, November 21, 2024</w:t>
            </w:r>
            <w:r>
              <w:rPr>
                <w:b w:val="0"/>
                <w:sz w:val="18"/>
              </w:rPr>
              <w:t xml:space="preserve"> (45 days). Buyer may investigate in its sole and absolute discretion (environmental, physical, financial, market, zoning, tenant credit) and may terminate for any reason or no reason by written notice before expiration. The Initial Deposit is returned within 5 business days. Failure to give notice is a waiver.</w:t>
            </w:r>
          </w:p>
        </w:tc>
      </w:tr>
      <w:tr>
        <w:tc>
          <w:tcPr>
            <w:tcW w:type="dxa" w:w="2088"/>
          </w:tcPr>
          <w:p>
            <w:pPr>
              <w:spacing w:after="20"/>
            </w:pPr>
            <w:r>
              <w:rPr>
                <w:sz w:val="18"/>
              </w:rPr>
            </w:r>
            <w:r>
              <w:rPr>
                <w:b w:val="0"/>
                <w:sz w:val="18"/>
              </w:rPr>
              <w:t>Termination mechanics</w:t>
            </w:r>
          </w:p>
        </w:tc>
        <w:tc>
          <w:tcPr>
            <w:tcW w:type="dxa" w:w="1224"/>
          </w:tcPr>
          <w:p>
            <w:pPr>
              <w:spacing w:after="20"/>
            </w:pPr>
            <w:r>
              <w:rPr>
                <w:sz w:val="18"/>
              </w:rPr>
            </w:r>
            <w:r>
              <w:rPr>
                <w:b w:val="0"/>
                <w:sz w:val="18"/>
              </w:rPr>
              <w:t>§4.4; §10.1</w:t>
            </w:r>
          </w:p>
        </w:tc>
        <w:tc>
          <w:tcPr>
            <w:tcW w:type="dxa" w:w="6624"/>
          </w:tcPr>
          <w:p>
            <w:pPr>
              <w:spacing w:after="20"/>
            </w:pPr>
            <w:r>
              <w:rPr>
                <w:sz w:val="18"/>
              </w:rPr>
            </w:r>
            <w:r>
              <w:rPr>
                <w:b w:val="0"/>
                <w:sz w:val="18"/>
              </w:rPr>
              <w:t>Notice must be delivered by 5:00 p.m. ET on Nov. 21, 2024. Escrow Agent returns the Initial Deposit within 5 business days after receiving notice. No Additional Deposit is owed if it has not yet been posted. If no notice is given, Buyer must post the Additional Deposit.</w:t>
            </w:r>
          </w:p>
        </w:tc>
      </w:tr>
      <w:tr>
        <w:tc>
          <w:tcPr>
            <w:tcW w:type="dxa" w:w="2088"/>
          </w:tcPr>
          <w:p>
            <w:pPr>
              <w:spacing w:after="20"/>
            </w:pPr>
            <w:r>
              <w:rPr>
                <w:sz w:val="18"/>
              </w:rPr>
            </w:r>
            <w:r>
              <w:rPr>
                <w:b w:val="0"/>
                <w:sz w:val="18"/>
              </w:rPr>
              <w:t>Seller deliveries</w:t>
            </w:r>
          </w:p>
        </w:tc>
        <w:tc>
          <w:tcPr>
            <w:tcW w:type="dxa" w:w="1224"/>
          </w:tcPr>
          <w:p>
            <w:pPr>
              <w:spacing w:after="20"/>
            </w:pPr>
            <w:r>
              <w:rPr>
                <w:sz w:val="18"/>
              </w:rPr>
            </w:r>
            <w:r>
              <w:rPr>
                <w:b w:val="0"/>
                <w:sz w:val="18"/>
              </w:rPr>
              <w:t>§4.2</w:t>
            </w:r>
          </w:p>
        </w:tc>
        <w:tc>
          <w:tcPr>
            <w:tcW w:type="dxa" w:w="6624"/>
          </w:tcPr>
          <w:p>
            <w:pPr>
              <w:spacing w:after="20"/>
            </w:pPr>
            <w:r>
              <w:rPr>
                <w:sz w:val="18"/>
              </w:rPr>
            </w:r>
            <w:r>
              <w:rPr>
                <w:b w:val="0"/>
                <w:sz w:val="18"/>
              </w:rPr>
              <w:t>Within 5 business days after the Effective Date (about Oct. 14–15, 2024), to the extent in Seller’s possession or reasonable control: Leases with amendments and guaranties; Rent Roll; Service Contracts; environmental reports, surveys and engineering reports (including the Clearfield Phase I dated Aug. 15, 2024); tax bills; operating statements for 2021–2023 and 2024 YTD; certificates of occupancy; insurance policies; plans and as-builts; permits; existing title policies; existing surveys; 24 months of tenant correspondence; roof, elevator and HVAC warranties; and the Metro Parking Solutions garage management agreement. There is no tolling of the DD Period for late delivery. → Flag 24</w:t>
            </w:r>
          </w:p>
        </w:tc>
      </w:tr>
      <w:tr>
        <w:tc>
          <w:tcPr>
            <w:tcW w:type="dxa" w:w="2088"/>
          </w:tcPr>
          <w:p>
            <w:pPr>
              <w:spacing w:after="20"/>
            </w:pPr>
            <w:r>
              <w:rPr>
                <w:sz w:val="18"/>
              </w:rPr>
            </w:r>
            <w:r>
              <w:rPr>
                <w:b w:val="0"/>
                <w:sz w:val="18"/>
              </w:rPr>
              <w:t>Access</w:t>
            </w:r>
          </w:p>
        </w:tc>
        <w:tc>
          <w:tcPr>
            <w:tcW w:type="dxa" w:w="1224"/>
          </w:tcPr>
          <w:p>
            <w:pPr>
              <w:spacing w:after="20"/>
            </w:pPr>
            <w:r>
              <w:rPr>
                <w:sz w:val="18"/>
              </w:rPr>
            </w:r>
            <w:r>
              <w:rPr>
                <w:b w:val="0"/>
                <w:sz w:val="18"/>
              </w:rPr>
              <w:t>§4.3</w:t>
            </w:r>
          </w:p>
        </w:tc>
        <w:tc>
          <w:tcPr>
            <w:tcW w:type="dxa" w:w="6624"/>
          </w:tcPr>
          <w:p>
            <w:pPr>
              <w:spacing w:after="20"/>
            </w:pPr>
            <w:r>
              <w:rPr>
                <w:sz w:val="18"/>
              </w:rPr>
            </w:r>
            <w:r>
              <w:rPr>
                <w:b w:val="0"/>
                <w:sz w:val="18"/>
              </w:rPr>
              <w:t>Reasonable access Monday–Friday, 8:00 a.m.–6:00 p.m. ET, on at least 24 hours’ written notice, through Closing. Non-invasive inspections, Phase I/II ESAs, engineering and tenant interviews are permitted. Tenant interviews require Seller’s prior written consent (not to be unreasonably withheld, conditioned or delayed). Before entry, Buyer must provide evidence of CGL insurance of at least $2,000,000 per occurrence naming Seller as additional insured. → Flag 5</w:t>
            </w:r>
          </w:p>
        </w:tc>
      </w:tr>
      <w:tr>
        <w:tc>
          <w:tcPr>
            <w:tcW w:type="dxa" w:w="2088"/>
          </w:tcPr>
          <w:p>
            <w:pPr>
              <w:spacing w:after="20"/>
            </w:pPr>
            <w:r>
              <w:rPr>
                <w:sz w:val="18"/>
              </w:rPr>
            </w:r>
            <w:r>
              <w:rPr>
                <w:b w:val="0"/>
                <w:sz w:val="18"/>
              </w:rPr>
              <w:t>Buyer access indemnity</w:t>
            </w:r>
          </w:p>
        </w:tc>
        <w:tc>
          <w:tcPr>
            <w:tcW w:type="dxa" w:w="1224"/>
          </w:tcPr>
          <w:p>
            <w:pPr>
              <w:spacing w:after="20"/>
            </w:pPr>
            <w:r>
              <w:rPr>
                <w:sz w:val="18"/>
              </w:rPr>
            </w:r>
            <w:r>
              <w:rPr>
                <w:b w:val="0"/>
                <w:sz w:val="18"/>
              </w:rPr>
              <w:t>§4.3</w:t>
            </w:r>
          </w:p>
        </w:tc>
        <w:tc>
          <w:tcPr>
            <w:tcW w:type="dxa" w:w="6624"/>
          </w:tcPr>
          <w:p>
            <w:pPr>
              <w:spacing w:after="20"/>
            </w:pPr>
            <w:r>
              <w:rPr>
                <w:sz w:val="18"/>
              </w:rPr>
            </w:r>
            <w:r>
              <w:rPr>
                <w:b w:val="0"/>
                <w:sz w:val="18"/>
              </w:rPr>
              <w:t>Buyer indemnifies Seller for loss arising from entry and inspection. Excluded: Seller negligence or willful misconduct and the “discovery of pre-existing conditions.” The indemnity survives termination and is carved out of the liquidated damages limit (§12.1).</w:t>
            </w:r>
          </w:p>
        </w:tc>
      </w:tr>
      <w:tr>
        <w:tc>
          <w:tcPr>
            <w:tcW w:type="dxa" w:w="2088"/>
          </w:tcPr>
          <w:p>
            <w:pPr>
              <w:spacing w:after="20"/>
            </w:pPr>
            <w:r>
              <w:rPr>
                <w:sz w:val="18"/>
              </w:rPr>
            </w:r>
            <w:r>
              <w:rPr>
                <w:b w:val="0"/>
                <w:sz w:val="18"/>
              </w:rPr>
              <w:t>Due diligence acknowledgment</w:t>
            </w:r>
          </w:p>
        </w:tc>
        <w:tc>
          <w:tcPr>
            <w:tcW w:type="dxa" w:w="1224"/>
          </w:tcPr>
          <w:p>
            <w:pPr>
              <w:spacing w:after="20"/>
            </w:pPr>
            <w:r>
              <w:rPr>
                <w:sz w:val="18"/>
              </w:rPr>
            </w:r>
            <w:r>
              <w:rPr>
                <w:b w:val="0"/>
                <w:sz w:val="18"/>
              </w:rPr>
              <w:t>§8.2</w:t>
            </w:r>
          </w:p>
        </w:tc>
        <w:tc>
          <w:tcPr>
            <w:tcW w:type="dxa" w:w="6624"/>
          </w:tcPr>
          <w:p>
            <w:pPr>
              <w:spacing w:after="20"/>
            </w:pPr>
            <w:r>
              <w:rPr>
                <w:sz w:val="18"/>
              </w:rPr>
            </w:r>
            <w:r>
              <w:rPr>
                <w:b w:val="0"/>
                <w:sz w:val="18"/>
              </w:rPr>
              <w:t>Proceeding past the DD Period is deemed an acknowledgment that diligence is complete and satisfactory, and that Buyer relies solely on its own investigations and on the Article VII representations.</w:t>
            </w:r>
          </w:p>
        </w:tc>
      </w:tr>
    </w:tbl>
    <w:p>
      <w:pPr>
        <w:spacing w:after="40"/>
      </w:pPr>
    </w:p>
    <w:p>
      <w:pPr>
        <w:pStyle w:val="Heading2"/>
      </w:pPr>
      <w:r>
        <w:t>5. Financing Contingency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Loan</w:t>
            </w:r>
          </w:p>
        </w:tc>
        <w:tc>
          <w:tcPr>
            <w:tcW w:type="dxa" w:w="1224"/>
          </w:tcPr>
          <w:p>
            <w:pPr>
              <w:spacing w:after="20"/>
            </w:pPr>
            <w:r>
              <w:rPr>
                <w:sz w:val="18"/>
              </w:rPr>
            </w:r>
            <w:r>
              <w:rPr>
                <w:b w:val="0"/>
                <w:sz w:val="18"/>
              </w:rPr>
              <w:t>§10.2(a)</w:t>
            </w:r>
          </w:p>
        </w:tc>
        <w:tc>
          <w:tcPr>
            <w:tcW w:type="dxa" w:w="6624"/>
          </w:tcPr>
          <w:p>
            <w:pPr>
              <w:spacing w:after="20"/>
            </w:pPr>
            <w:r>
              <w:rPr>
                <w:sz w:val="18"/>
              </w:rPr>
            </w:r>
            <w:r>
              <w:rPr>
                <w:b w:val="0"/>
                <w:sz w:val="18"/>
              </w:rPr>
              <w:t xml:space="preserve">First mortgage loan from Pinnacle National Bank (or an affiliate) of up to </w:t>
            </w:r>
            <w:r>
              <w:rPr>
                <w:b/>
                <w:sz w:val="18"/>
              </w:rPr>
              <w:t>$57,037,500</w:t>
            </w:r>
            <w:r>
              <w:rPr>
                <w:b w:val="0"/>
                <w:sz w:val="18"/>
              </w:rPr>
              <w:t xml:space="preserve"> (about 65% LTV).</w:t>
            </w:r>
          </w:p>
        </w:tc>
      </w:tr>
      <w:tr>
        <w:tc>
          <w:tcPr>
            <w:tcW w:type="dxa" w:w="2088"/>
          </w:tcPr>
          <w:p>
            <w:pPr>
              <w:spacing w:after="20"/>
            </w:pPr>
            <w:r>
              <w:rPr>
                <w:sz w:val="18"/>
              </w:rPr>
            </w:r>
            <w:r>
              <w:rPr>
                <w:b w:val="0"/>
                <w:sz w:val="18"/>
              </w:rPr>
              <w:t>Efforts standard</w:t>
            </w:r>
          </w:p>
        </w:tc>
        <w:tc>
          <w:tcPr>
            <w:tcW w:type="dxa" w:w="1224"/>
          </w:tcPr>
          <w:p>
            <w:pPr>
              <w:spacing w:after="20"/>
            </w:pPr>
            <w:r>
              <w:rPr>
                <w:sz w:val="18"/>
              </w:rPr>
            </w:r>
            <w:r>
              <w:rPr>
                <w:b w:val="0"/>
                <w:sz w:val="18"/>
              </w:rPr>
              <w:t>§10.2(a)</w:t>
            </w:r>
          </w:p>
        </w:tc>
        <w:tc>
          <w:tcPr>
            <w:tcW w:type="dxa" w:w="6624"/>
          </w:tcPr>
          <w:p>
            <w:pPr>
              <w:spacing w:after="20"/>
            </w:pPr>
            <w:r>
              <w:rPr>
                <w:sz w:val="18"/>
              </w:rPr>
            </w:r>
            <w:r>
              <w:rPr>
                <w:b w:val="0"/>
                <w:sz w:val="18"/>
              </w:rPr>
              <w:t xml:space="preserve">Buyer must use commercially reasonable and diligent efforts to obtain a commitment on terms satisfactory to Buyer in its reasonable discretion by the </w:t>
            </w:r>
            <w:r>
              <w:rPr>
                <w:b/>
                <w:sz w:val="18"/>
              </w:rPr>
              <w:t>Financing Contingency Deadline, December 6, 2024</w:t>
            </w:r>
            <w:r>
              <w:rPr>
                <w:b w:val="0"/>
                <w:sz w:val="18"/>
              </w:rPr>
              <w:t xml:space="preserve"> (60 days).</w:t>
            </w:r>
          </w:p>
        </w:tc>
      </w:tr>
      <w:tr>
        <w:tc>
          <w:tcPr>
            <w:tcW w:type="dxa" w:w="2088"/>
          </w:tcPr>
          <w:p>
            <w:pPr>
              <w:spacing w:after="20"/>
            </w:pPr>
            <w:r>
              <w:rPr>
                <w:sz w:val="18"/>
              </w:rPr>
            </w:r>
            <w:r>
              <w:rPr>
                <w:b w:val="0"/>
                <w:sz w:val="18"/>
              </w:rPr>
              <w:t>Termination</w:t>
            </w:r>
          </w:p>
        </w:tc>
        <w:tc>
          <w:tcPr>
            <w:tcW w:type="dxa" w:w="1224"/>
          </w:tcPr>
          <w:p>
            <w:pPr>
              <w:spacing w:after="20"/>
            </w:pPr>
            <w:r>
              <w:rPr>
                <w:sz w:val="18"/>
              </w:rPr>
            </w:r>
            <w:r>
              <w:rPr>
                <w:b w:val="0"/>
                <w:sz w:val="18"/>
              </w:rPr>
              <w:t>§10.2(b)</w:t>
            </w:r>
          </w:p>
        </w:tc>
        <w:tc>
          <w:tcPr>
            <w:tcW w:type="dxa" w:w="6624"/>
          </w:tcPr>
          <w:p>
            <w:pPr>
              <w:spacing w:after="20"/>
            </w:pPr>
            <w:r>
              <w:rPr>
                <w:sz w:val="18"/>
              </w:rPr>
            </w:r>
            <w:r>
              <w:rPr>
                <w:b w:val="0"/>
                <w:sz w:val="18"/>
              </w:rPr>
              <w:t xml:space="preserve">If Buyer cannot obtain a satisfactory commitment despite those efforts, it may terminate by written notice by </w:t>
            </w:r>
            <w:r>
              <w:rPr>
                <w:b/>
                <w:sz w:val="18"/>
              </w:rPr>
              <w:t>5:00 p.m. ET on Dec. 6, 2024</w:t>
            </w:r>
            <w:r>
              <w:rPr>
                <w:b w:val="0"/>
                <w:sz w:val="18"/>
              </w:rPr>
              <w:t xml:space="preserve">. Escrow Agent returns the </w:t>
            </w:r>
            <w:r>
              <w:rPr>
                <w:b/>
                <w:sz w:val="18"/>
              </w:rPr>
              <w:t>Initial Deposit</w:t>
            </w:r>
            <w:r>
              <w:rPr>
                <w:b w:val="0"/>
                <w:sz w:val="18"/>
              </w:rPr>
              <w:t xml:space="preserve"> within 5 business days. </w:t>
            </w:r>
            <w:r>
              <w:rPr>
                <w:b/>
                <w:sz w:val="18"/>
              </w:rPr>
              <w:t>The PSA does not provide for return of the $1,500,000 Additional Deposit.</w:t>
            </w:r>
            <w:r>
              <w:rPr>
                <w:b w:val="0"/>
                <w:sz w:val="18"/>
              </w:rPr>
              <w:t xml:space="preserve"> → Flag 6</w:t>
            </w:r>
          </w:p>
        </w:tc>
      </w:tr>
      <w:tr>
        <w:tc>
          <w:tcPr>
            <w:tcW w:type="dxa" w:w="2088"/>
          </w:tcPr>
          <w:p>
            <w:pPr>
              <w:spacing w:after="20"/>
            </w:pPr>
            <w:r>
              <w:rPr>
                <w:sz w:val="18"/>
              </w:rPr>
            </w:r>
            <w:r>
              <w:rPr>
                <w:b w:val="0"/>
                <w:sz w:val="18"/>
              </w:rPr>
              <w:t>Deemed waiver</w:t>
            </w:r>
          </w:p>
        </w:tc>
        <w:tc>
          <w:tcPr>
            <w:tcW w:type="dxa" w:w="1224"/>
          </w:tcPr>
          <w:p>
            <w:pPr>
              <w:spacing w:after="20"/>
            </w:pPr>
            <w:r>
              <w:rPr>
                <w:sz w:val="18"/>
              </w:rPr>
            </w:r>
            <w:r>
              <w:rPr>
                <w:b w:val="0"/>
                <w:sz w:val="18"/>
              </w:rPr>
              <w:t>§10.2(c)</w:t>
            </w:r>
          </w:p>
        </w:tc>
        <w:tc>
          <w:tcPr>
            <w:tcW w:type="dxa" w:w="6624"/>
          </w:tcPr>
          <w:p>
            <w:pPr>
              <w:spacing w:after="20"/>
            </w:pPr>
            <w:r>
              <w:rPr>
                <w:sz w:val="18"/>
              </w:rPr>
            </w:r>
            <w:r>
              <w:rPr>
                <w:b w:val="0"/>
                <w:sz w:val="18"/>
              </w:rPr>
              <w:t>Missing the notice means the contingency is irrevocably waived. Buyer must then close whether or not it has financing, and failure to close puts the full $3.5M Deposit at risk as liquidated damages (§12.1).</w:t>
            </w:r>
          </w:p>
        </w:tc>
      </w:tr>
      <w:tr>
        <w:tc>
          <w:tcPr>
            <w:tcW w:type="dxa" w:w="2088"/>
          </w:tcPr>
          <w:p>
            <w:pPr>
              <w:spacing w:after="20"/>
            </w:pPr>
            <w:r>
              <w:rPr>
                <w:sz w:val="18"/>
              </w:rPr>
            </w:r>
            <w:r>
              <w:rPr>
                <w:b w:val="0"/>
                <w:sz w:val="18"/>
              </w:rPr>
              <w:t>Commitment copy</w:t>
            </w:r>
          </w:p>
        </w:tc>
        <w:tc>
          <w:tcPr>
            <w:tcW w:type="dxa" w:w="1224"/>
          </w:tcPr>
          <w:p>
            <w:pPr>
              <w:spacing w:after="20"/>
            </w:pPr>
            <w:r>
              <w:rPr>
                <w:sz w:val="18"/>
              </w:rPr>
            </w:r>
            <w:r>
              <w:rPr>
                <w:b w:val="0"/>
                <w:sz w:val="18"/>
              </w:rPr>
              <w:t>§10.2(d)</w:t>
            </w:r>
          </w:p>
        </w:tc>
        <w:tc>
          <w:tcPr>
            <w:tcW w:type="dxa" w:w="6624"/>
          </w:tcPr>
          <w:p>
            <w:pPr>
              <w:spacing w:after="20"/>
            </w:pPr>
            <w:r>
              <w:rPr>
                <w:sz w:val="18"/>
              </w:rPr>
            </w:r>
            <w:r>
              <w:rPr>
                <w:b w:val="0"/>
                <w:sz w:val="18"/>
              </w:rPr>
              <w:t>Buyer must promptly give Seller a copy of any commitment obtained before the deadline.</w:t>
            </w:r>
          </w:p>
        </w:tc>
      </w:tr>
      <w:tr>
        <w:tc>
          <w:tcPr>
            <w:tcW w:type="dxa" w:w="2088"/>
          </w:tcPr>
          <w:p>
            <w:pPr>
              <w:spacing w:after="20"/>
            </w:pPr>
            <w:r>
              <w:rPr>
                <w:sz w:val="18"/>
              </w:rPr>
            </w:r>
            <w:r>
              <w:rPr>
                <w:b w:val="0"/>
                <w:sz w:val="18"/>
              </w:rPr>
              <w:t>Closing condition</w:t>
            </w:r>
          </w:p>
        </w:tc>
        <w:tc>
          <w:tcPr>
            <w:tcW w:type="dxa" w:w="1224"/>
          </w:tcPr>
          <w:p>
            <w:pPr>
              <w:spacing w:after="20"/>
            </w:pPr>
            <w:r>
              <w:rPr>
                <w:sz w:val="18"/>
              </w:rPr>
            </w:r>
            <w:r>
              <w:rPr>
                <w:b w:val="0"/>
                <w:sz w:val="18"/>
              </w:rPr>
              <w:t>§9.1(h)</w:t>
            </w:r>
          </w:p>
        </w:tc>
        <w:tc>
          <w:tcPr>
            <w:tcW w:type="dxa" w:w="6624"/>
          </w:tcPr>
          <w:p>
            <w:pPr>
              <w:spacing w:after="20"/>
            </w:pPr>
            <w:r>
              <w:rPr>
                <w:sz w:val="18"/>
              </w:rPr>
            </w:r>
            <w:r>
              <w:rPr>
                <w:b w:val="0"/>
                <w:sz w:val="18"/>
              </w:rPr>
              <w:t>The Financing Contingency must be satisfied or waived under §10.2. It is effectively a pre-Closing termination right only and is not a condition that survives to Closing.</w:t>
            </w:r>
          </w:p>
        </w:tc>
      </w:tr>
    </w:tbl>
    <w:p>
      <w:pPr>
        <w:spacing w:after="40"/>
      </w:pPr>
    </w:p>
    <w:p>
      <w:pPr>
        <w:pStyle w:val="Heading2"/>
      </w:pPr>
      <w:r>
        <w:t>6. Title and Survey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Title commitment</w:t>
            </w:r>
          </w:p>
        </w:tc>
        <w:tc>
          <w:tcPr>
            <w:tcW w:type="dxa" w:w="1224"/>
          </w:tcPr>
          <w:p>
            <w:pPr>
              <w:spacing w:after="20"/>
            </w:pPr>
            <w:r>
              <w:rPr>
                <w:sz w:val="18"/>
              </w:rPr>
            </w:r>
            <w:r>
              <w:rPr>
                <w:b w:val="0"/>
                <w:sz w:val="18"/>
              </w:rPr>
              <w:t>§5.1(a)</w:t>
            </w:r>
          </w:p>
        </w:tc>
        <w:tc>
          <w:tcPr>
            <w:tcW w:type="dxa" w:w="6624"/>
          </w:tcPr>
          <w:p>
            <w:pPr>
              <w:spacing w:after="20"/>
            </w:pPr>
            <w:r>
              <w:rPr>
                <w:sz w:val="18"/>
              </w:rPr>
            </w:r>
            <w:r>
              <w:rPr>
                <w:b w:val="0"/>
                <w:sz w:val="18"/>
              </w:rPr>
              <w:t>Buyer obtains, at its cost, an owner’s title commitment from Commonwealth Title &amp; Escrow LLC with copies of exception documents.</w:t>
            </w:r>
          </w:p>
        </w:tc>
      </w:tr>
      <w:tr>
        <w:tc>
          <w:tcPr>
            <w:tcW w:type="dxa" w:w="2088"/>
          </w:tcPr>
          <w:p>
            <w:pPr>
              <w:spacing w:after="20"/>
            </w:pPr>
            <w:r>
              <w:rPr>
                <w:sz w:val="18"/>
              </w:rPr>
            </w:r>
            <w:r>
              <w:rPr>
                <w:b w:val="0"/>
                <w:sz w:val="18"/>
              </w:rPr>
              <w:t>Survey</w:t>
            </w:r>
          </w:p>
        </w:tc>
        <w:tc>
          <w:tcPr>
            <w:tcW w:type="dxa" w:w="1224"/>
          </w:tcPr>
          <w:p>
            <w:pPr>
              <w:spacing w:after="20"/>
            </w:pPr>
            <w:r>
              <w:rPr>
                <w:sz w:val="18"/>
              </w:rPr>
            </w:r>
            <w:r>
              <w:rPr>
                <w:b w:val="0"/>
                <w:sz w:val="18"/>
              </w:rPr>
              <w:t>§5.1(b)</w:t>
            </w:r>
          </w:p>
        </w:tc>
        <w:tc>
          <w:tcPr>
            <w:tcW w:type="dxa" w:w="6624"/>
          </w:tcPr>
          <w:p>
            <w:pPr>
              <w:spacing w:after="20"/>
            </w:pPr>
            <w:r>
              <w:rPr>
                <w:sz w:val="18"/>
              </w:rPr>
            </w:r>
            <w:r>
              <w:rPr>
                <w:b w:val="0"/>
                <w:sz w:val="18"/>
              </w:rPr>
              <w:t xml:space="preserve">Buyer obtains, at its cost, an ALTA/NSPS survey by a Virginia-licensed surveyor, certified to Buyer, Buyer’s lender and the Title Company. Seller has delivered the existing Bowman Consulting Group survey dated </w:t>
            </w:r>
            <w:r>
              <w:rPr>
                <w:b/>
                <w:sz w:val="18"/>
              </w:rPr>
              <w:t>June 12, 2013</w:t>
            </w:r>
            <w:r>
              <w:rPr>
                <w:b w:val="0"/>
                <w:sz w:val="18"/>
              </w:rPr>
              <w:t>.</w:t>
            </w:r>
          </w:p>
        </w:tc>
      </w:tr>
      <w:tr>
        <w:tc>
          <w:tcPr>
            <w:tcW w:type="dxa" w:w="2088"/>
          </w:tcPr>
          <w:p>
            <w:pPr>
              <w:spacing w:after="20"/>
            </w:pPr>
            <w:r>
              <w:rPr>
                <w:sz w:val="18"/>
              </w:rPr>
            </w:r>
            <w:r>
              <w:rPr>
                <w:b w:val="0"/>
                <w:sz w:val="18"/>
              </w:rPr>
              <w:t>Title Objection Deadline</w:t>
            </w:r>
          </w:p>
        </w:tc>
        <w:tc>
          <w:tcPr>
            <w:tcW w:type="dxa" w:w="1224"/>
          </w:tcPr>
          <w:p>
            <w:pPr>
              <w:spacing w:after="20"/>
            </w:pPr>
            <w:r>
              <w:rPr>
                <w:sz w:val="18"/>
              </w:rPr>
            </w:r>
            <w:r>
              <w:rPr>
                <w:b w:val="0"/>
                <w:sz w:val="18"/>
              </w:rPr>
              <w:t>§1.1; §5.2</w:t>
            </w:r>
          </w:p>
        </w:tc>
        <w:tc>
          <w:tcPr>
            <w:tcW w:type="dxa" w:w="6624"/>
          </w:tcPr>
          <w:p>
            <w:pPr>
              <w:spacing w:after="20"/>
            </w:pPr>
            <w:r>
              <w:rPr>
                <w:sz w:val="18"/>
              </w:rPr>
            </w:r>
            <w:r>
              <w:rPr>
                <w:b/>
                <w:sz w:val="18"/>
              </w:rPr>
              <w:t>November 14, 2024</w:t>
            </w:r>
            <w:r>
              <w:rPr>
                <w:b w:val="0"/>
                <w:sz w:val="18"/>
              </w:rPr>
              <w:t xml:space="preserve"> (38 days). Matters not objected to are deemed Permitted Exceptions. If no objection notice is given, all matters on the commitment and survey are deemed accepted. → Flag 17</w:t>
            </w:r>
          </w:p>
        </w:tc>
      </w:tr>
      <w:tr>
        <w:tc>
          <w:tcPr>
            <w:tcW w:type="dxa" w:w="2088"/>
          </w:tcPr>
          <w:p>
            <w:pPr>
              <w:spacing w:after="20"/>
            </w:pPr>
            <w:r>
              <w:rPr>
                <w:sz w:val="18"/>
              </w:rPr>
            </w:r>
            <w:r>
              <w:rPr>
                <w:b w:val="0"/>
                <w:sz w:val="18"/>
              </w:rPr>
              <w:t>Seller cure election</w:t>
            </w:r>
          </w:p>
        </w:tc>
        <w:tc>
          <w:tcPr>
            <w:tcW w:type="dxa" w:w="1224"/>
          </w:tcPr>
          <w:p>
            <w:pPr>
              <w:spacing w:after="20"/>
            </w:pPr>
            <w:r>
              <w:rPr>
                <w:sz w:val="18"/>
              </w:rPr>
            </w:r>
            <w:r>
              <w:rPr>
                <w:b w:val="0"/>
                <w:sz w:val="18"/>
              </w:rPr>
              <w:t>§5.3</w:t>
            </w:r>
          </w:p>
        </w:tc>
        <w:tc>
          <w:tcPr>
            <w:tcW w:type="dxa" w:w="6624"/>
          </w:tcPr>
          <w:p>
            <w:pPr>
              <w:spacing w:after="20"/>
            </w:pPr>
            <w:r>
              <w:rPr>
                <w:sz w:val="18"/>
              </w:rPr>
            </w:r>
            <w:r>
              <w:rPr>
                <w:b w:val="0"/>
                <w:sz w:val="18"/>
              </w:rPr>
              <w:t xml:space="preserve">Seller must respond within 15 business days after receiving the objection notice. Seller has no obligation to cure, except that it </w:t>
            </w:r>
            <w:r>
              <w:rPr>
                <w:b/>
                <w:sz w:val="18"/>
              </w:rPr>
              <w:t>must remove</w:t>
            </w:r>
            <w:r>
              <w:rPr>
                <w:b w:val="0"/>
                <w:sz w:val="18"/>
              </w:rPr>
              <w:t xml:space="preserve"> (a) monetary liens of a definite or ascertainable amount (mortgages, deeds of trust, judgments, mechanics’ liens) and (b) encumbrances Seller creates after the Effective Date in violation of the PSA.</w:t>
            </w:r>
          </w:p>
        </w:tc>
      </w:tr>
      <w:tr>
        <w:tc>
          <w:tcPr>
            <w:tcW w:type="dxa" w:w="2088"/>
          </w:tcPr>
          <w:p>
            <w:pPr>
              <w:spacing w:after="20"/>
            </w:pPr>
            <w:r>
              <w:rPr>
                <w:sz w:val="18"/>
              </w:rPr>
            </w:r>
            <w:r>
              <w:rPr>
                <w:b w:val="0"/>
                <w:sz w:val="18"/>
              </w:rPr>
              <w:t>Buyer election</w:t>
            </w:r>
          </w:p>
        </w:tc>
        <w:tc>
          <w:tcPr>
            <w:tcW w:type="dxa" w:w="1224"/>
          </w:tcPr>
          <w:p>
            <w:pPr>
              <w:spacing w:after="20"/>
            </w:pPr>
            <w:r>
              <w:rPr>
                <w:sz w:val="18"/>
              </w:rPr>
            </w:r>
            <w:r>
              <w:rPr>
                <w:b w:val="0"/>
                <w:sz w:val="18"/>
              </w:rPr>
              <w:t>§5.3</w:t>
            </w:r>
          </w:p>
        </w:tc>
        <w:tc>
          <w:tcPr>
            <w:tcW w:type="dxa" w:w="6624"/>
          </w:tcPr>
          <w:p>
            <w:pPr>
              <w:spacing w:after="20"/>
            </w:pPr>
            <w:r>
              <w:rPr>
                <w:sz w:val="18"/>
              </w:rPr>
            </w:r>
            <w:r>
              <w:rPr>
                <w:b w:val="0"/>
                <w:sz w:val="18"/>
              </w:rPr>
              <w:t xml:space="preserve">Within 10 business days after Seller’s notice, Buyer may (i) waive (the matter becomes a Permitted Exception) or (ii) terminate, with the </w:t>
            </w:r>
            <w:r>
              <w:rPr>
                <w:b/>
                <w:sz w:val="18"/>
              </w:rPr>
              <w:t>full Deposit</w:t>
            </w:r>
            <w:r>
              <w:rPr>
                <w:b w:val="0"/>
                <w:sz w:val="18"/>
              </w:rPr>
              <w:t xml:space="preserve"> returned within 5 business days.</w:t>
            </w:r>
          </w:p>
        </w:tc>
      </w:tr>
      <w:tr>
        <w:tc>
          <w:tcPr>
            <w:tcW w:type="dxa" w:w="2088"/>
          </w:tcPr>
          <w:p>
            <w:pPr>
              <w:spacing w:after="20"/>
            </w:pPr>
            <w:r>
              <w:rPr>
                <w:sz w:val="18"/>
              </w:rPr>
            </w:r>
            <w:r>
              <w:rPr>
                <w:b w:val="0"/>
                <w:sz w:val="18"/>
              </w:rPr>
              <w:t>Owner’s policy</w:t>
            </w:r>
          </w:p>
        </w:tc>
        <w:tc>
          <w:tcPr>
            <w:tcW w:type="dxa" w:w="1224"/>
          </w:tcPr>
          <w:p>
            <w:pPr>
              <w:spacing w:after="20"/>
            </w:pPr>
            <w:r>
              <w:rPr>
                <w:sz w:val="18"/>
              </w:rPr>
            </w:r>
            <w:r>
              <w:rPr>
                <w:b w:val="0"/>
                <w:sz w:val="18"/>
              </w:rPr>
              <w:t>§5.4</w:t>
            </w:r>
          </w:p>
        </w:tc>
        <w:tc>
          <w:tcPr>
            <w:tcW w:type="dxa" w:w="6624"/>
          </w:tcPr>
          <w:p>
            <w:pPr>
              <w:spacing w:after="20"/>
            </w:pPr>
            <w:r>
              <w:rPr>
                <w:sz w:val="18"/>
              </w:rPr>
            </w:r>
            <w:r>
              <w:rPr>
                <w:b w:val="0"/>
                <w:sz w:val="18"/>
              </w:rPr>
              <w:t>ALTA Owner’s Policy (2021) in the full amount of the Purchase Price ($87,750,000), insuring Buyer or its assignee, subject only to Permitted Exceptions. Buyer pays the premium and all endorsements, including lender endorsements.</w:t>
            </w:r>
          </w:p>
        </w:tc>
      </w:tr>
      <w:tr>
        <w:tc>
          <w:tcPr>
            <w:tcW w:type="dxa" w:w="2088"/>
          </w:tcPr>
          <w:p>
            <w:pPr>
              <w:spacing w:after="20"/>
            </w:pPr>
            <w:r>
              <w:rPr>
                <w:sz w:val="18"/>
              </w:rPr>
            </w:r>
            <w:r>
              <w:rPr>
                <w:b w:val="0"/>
                <w:sz w:val="18"/>
              </w:rPr>
              <w:t>Deed</w:t>
            </w:r>
          </w:p>
        </w:tc>
        <w:tc>
          <w:tcPr>
            <w:tcW w:type="dxa" w:w="1224"/>
          </w:tcPr>
          <w:p>
            <w:pPr>
              <w:spacing w:after="20"/>
            </w:pPr>
            <w:r>
              <w:rPr>
                <w:sz w:val="18"/>
              </w:rPr>
            </w:r>
            <w:r>
              <w:rPr>
                <w:b w:val="0"/>
                <w:sz w:val="18"/>
              </w:rPr>
              <w:t>§13.2(a); Ex. C</w:t>
            </w:r>
          </w:p>
        </w:tc>
        <w:tc>
          <w:tcPr>
            <w:tcW w:type="dxa" w:w="6624"/>
          </w:tcPr>
          <w:p>
            <w:pPr>
              <w:spacing w:after="20"/>
            </w:pPr>
            <w:r>
              <w:rPr>
                <w:sz w:val="18"/>
              </w:rPr>
            </w:r>
            <w:r>
              <w:rPr>
                <w:b w:val="0"/>
                <w:sz w:val="18"/>
              </w:rPr>
              <w:t>Special warranty deed (Virginia form) to Bridgewater Capital Partners LLC (or its assignee per §13.2(a)), stating consideration of $87,750,000 and subject to Ex. B Permitted Exceptions. Seller warrants title only against claims by, through or under Seller.</w:t>
            </w:r>
          </w:p>
        </w:tc>
      </w:tr>
    </w:tbl>
    <w:p>
      <w:pPr>
        <w:spacing w:after="40"/>
      </w:pPr>
    </w:p>
    <w:p>
      <w:pPr>
        <w:pStyle w:val="Heading2"/>
      </w:pPr>
      <w:r>
        <w:t>7. Seller Representations and Warranties</w:t>
      </w:r>
    </w:p>
    <w:p>
      <w:pPr>
        <w:spacing w:after="80"/>
      </w:pPr>
      <w:r>
        <w:rPr>
          <w:b w:val="0"/>
        </w:rPr>
        <w:t>The representations are made as of the Effective Date and remade at Closing, subject to updating under §7.2 (§7.1).</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(a) Organization/authority</w:t>
            </w:r>
          </w:p>
        </w:tc>
        <w:tc>
          <w:tcPr>
            <w:tcW w:type="dxa" w:w="1224"/>
          </w:tcPr>
          <w:p>
            <w:pPr>
              <w:spacing w:after="20"/>
            </w:pPr>
            <w:r>
              <w:rPr>
                <w:sz w:val="18"/>
              </w:rPr>
            </w:r>
            <w:r>
              <w:rPr>
                <w:b w:val="0"/>
                <w:sz w:val="18"/>
              </w:rPr>
              <w:t>§7.1(a)</w:t>
            </w:r>
          </w:p>
        </w:tc>
        <w:tc>
          <w:tcPr>
            <w:tcW w:type="dxa" w:w="6624"/>
          </w:tcPr>
          <w:p>
            <w:pPr>
              <w:spacing w:after="20"/>
            </w:pPr>
            <w:r>
              <w:rPr>
                <w:sz w:val="18"/>
              </w:rPr>
            </w:r>
            <w:r>
              <w:rPr>
                <w:b w:val="0"/>
                <w:sz w:val="18"/>
              </w:rPr>
              <w:t>Virginia LP in good standing, formed Sept. 22, 2011. Meridian GP Inc. is sole GP. Ellison is authorized. No other approvals are required.</w:t>
            </w:r>
          </w:p>
        </w:tc>
      </w:tr>
      <w:tr>
        <w:tc>
          <w:tcPr>
            <w:tcW w:type="dxa" w:w="2088"/>
          </w:tcPr>
          <w:p>
            <w:pPr>
              <w:spacing w:after="20"/>
            </w:pPr>
            <w:r>
              <w:rPr>
                <w:sz w:val="18"/>
              </w:rPr>
            </w:r>
            <w:r>
              <w:rPr>
                <w:b w:val="0"/>
                <w:sz w:val="18"/>
              </w:rPr>
              <w:t>(b)–(c) Execution; no conflicts</w:t>
            </w:r>
          </w:p>
        </w:tc>
        <w:tc>
          <w:tcPr>
            <w:tcW w:type="dxa" w:w="1224"/>
          </w:tcPr>
          <w:p>
            <w:pPr>
              <w:spacing w:after="20"/>
            </w:pPr>
            <w:r>
              <w:rPr>
                <w:sz w:val="18"/>
              </w:rPr>
            </w:r>
            <w:r>
              <w:rPr>
                <w:b w:val="0"/>
                <w:sz w:val="18"/>
              </w:rPr>
              <w:t>§7.1(b)–(c)</w:t>
            </w:r>
          </w:p>
        </w:tc>
        <w:tc>
          <w:tcPr>
            <w:tcW w:type="dxa" w:w="6624"/>
          </w:tcPr>
          <w:p>
            <w:pPr>
              <w:spacing w:after="20"/>
            </w:pPr>
            <w:r>
              <w:rPr>
                <w:sz w:val="18"/>
              </w:rPr>
            </w:r>
            <w:r>
              <w:rPr>
                <w:b w:val="0"/>
                <w:sz w:val="18"/>
              </w:rPr>
              <w:t>Binding and enforceable (subject to bankruptcy and equity exceptions). No violation of organizational documents, law or agreements.</w:t>
            </w:r>
          </w:p>
        </w:tc>
      </w:tr>
      <w:tr>
        <w:tc>
          <w:tcPr>
            <w:tcW w:type="dxa" w:w="2088"/>
          </w:tcPr>
          <w:p>
            <w:pPr>
              <w:spacing w:after="20"/>
            </w:pPr>
            <w:r>
              <w:rPr>
                <w:sz w:val="18"/>
              </w:rPr>
            </w:r>
            <w:r>
              <w:rPr>
                <w:b w:val="0"/>
                <w:sz w:val="18"/>
              </w:rPr>
              <w:t>(d) Title</w:t>
            </w:r>
          </w:p>
        </w:tc>
        <w:tc>
          <w:tcPr>
            <w:tcW w:type="dxa" w:w="1224"/>
          </w:tcPr>
          <w:p>
            <w:pPr>
              <w:spacing w:after="20"/>
            </w:pPr>
            <w:r>
              <w:rPr>
                <w:sz w:val="18"/>
              </w:rPr>
            </w:r>
            <w:r>
              <w:rPr>
                <w:b w:val="0"/>
                <w:sz w:val="18"/>
              </w:rPr>
              <w:t>§7.1(d)</w:t>
            </w:r>
          </w:p>
        </w:tc>
        <w:tc>
          <w:tcPr>
            <w:tcW w:type="dxa" w:w="6624"/>
          </w:tcPr>
          <w:p>
            <w:pPr>
              <w:spacing w:after="20"/>
            </w:pPr>
            <w:r>
              <w:rPr>
                <w:sz w:val="18"/>
              </w:rPr>
            </w:r>
            <w:r>
              <w:rPr>
                <w:b w:val="0"/>
                <w:sz w:val="18"/>
              </w:rPr>
              <w:t>Fee simple owner, free and clear except Permitted Exceptions. No unrecorded agreements other than the Leases and Permitted Exceptions. Not knowledge-qualified.</w:t>
            </w:r>
          </w:p>
        </w:tc>
      </w:tr>
      <w:tr>
        <w:tc>
          <w:tcPr>
            <w:tcW w:type="dxa" w:w="2088"/>
          </w:tcPr>
          <w:p>
            <w:pPr>
              <w:spacing w:after="20"/>
            </w:pPr>
            <w:r>
              <w:rPr>
                <w:sz w:val="18"/>
              </w:rPr>
            </w:r>
            <w:r>
              <w:rPr>
                <w:b w:val="0"/>
                <w:sz w:val="18"/>
              </w:rPr>
              <w:t>(e) Litigation</w:t>
            </w:r>
          </w:p>
        </w:tc>
        <w:tc>
          <w:tcPr>
            <w:tcW w:type="dxa" w:w="1224"/>
          </w:tcPr>
          <w:p>
            <w:pPr>
              <w:spacing w:after="20"/>
            </w:pPr>
            <w:r>
              <w:rPr>
                <w:sz w:val="18"/>
              </w:rPr>
            </w:r>
            <w:r>
              <w:rPr>
                <w:b w:val="0"/>
                <w:sz w:val="18"/>
              </w:rPr>
              <w:t>§7.1(e); Sch. 7.1(e)</w:t>
            </w:r>
          </w:p>
        </w:tc>
        <w:tc>
          <w:tcPr>
            <w:tcW w:type="dxa" w:w="6624"/>
          </w:tcPr>
          <w:p>
            <w:pPr>
              <w:spacing w:after="20"/>
            </w:pPr>
            <w:r>
              <w:rPr>
                <w:sz w:val="18"/>
              </w:rPr>
            </w:r>
            <w:r>
              <w:rPr>
                <w:b w:val="0"/>
                <w:sz w:val="18"/>
              </w:rPr>
              <w:t xml:space="preserve">None, except </w:t>
            </w:r>
            <w:r>
              <w:rPr>
                <w:b/>
                <w:sz w:val="18"/>
              </w:rPr>
              <w:t>Doe v. Meridian Office Holdings LP</w:t>
            </w:r>
            <w:r>
              <w:rPr>
                <w:b w:val="0"/>
                <w:sz w:val="18"/>
              </w:rPr>
              <w:t xml:space="preserve">, Fairfax Cir. Ct. No. CL-2024-003287 (filed Apr. 12, 2024). Slip-and-fall on Jan. 8, 2024 in the Building B parking area; claimed damages about </w:t>
            </w:r>
            <w:r>
              <w:rPr>
                <w:b/>
                <w:sz w:val="18"/>
              </w:rPr>
              <w:t>$175,000</w:t>
            </w:r>
            <w:r>
              <w:rPr>
                <w:b w:val="0"/>
                <w:sz w:val="18"/>
              </w:rPr>
              <w:t xml:space="preserve">. Covered by CGL (Pinnacle Casualty Insurance Co., Policy CGL-2023-VA-887412; deductible </w:t>
            </w:r>
            <w:r>
              <w:rPr>
                <w:b/>
                <w:sz w:val="18"/>
              </w:rPr>
              <w:t>$25,000</w:t>
            </w:r>
            <w:r>
              <w:rPr>
                <w:b w:val="0"/>
                <w:sz w:val="18"/>
              </w:rPr>
              <w:t>). The rep says it is expected to resolve “below the policy deductible.” → Flag 20</w:t>
            </w:r>
          </w:p>
        </w:tc>
      </w:tr>
      <w:tr>
        <w:tc>
          <w:tcPr>
            <w:tcW w:type="dxa" w:w="2088"/>
          </w:tcPr>
          <w:p>
            <w:pPr>
              <w:spacing w:after="20"/>
            </w:pPr>
            <w:r>
              <w:rPr>
                <w:sz w:val="18"/>
              </w:rPr>
            </w:r>
            <w:r>
              <w:rPr>
                <w:b w:val="0"/>
                <w:sz w:val="18"/>
              </w:rPr>
              <w:t>(f) Compliance with laws</w:t>
            </w:r>
          </w:p>
        </w:tc>
        <w:tc>
          <w:tcPr>
            <w:tcW w:type="dxa" w:w="1224"/>
          </w:tcPr>
          <w:p>
            <w:pPr>
              <w:spacing w:after="20"/>
            </w:pPr>
            <w:r>
              <w:rPr>
                <w:sz w:val="18"/>
              </w:rPr>
            </w:r>
            <w:r>
              <w:rPr>
                <w:b w:val="0"/>
                <w:sz w:val="18"/>
              </w:rPr>
              <w:t>§7.1(f)</w:t>
            </w:r>
          </w:p>
        </w:tc>
        <w:tc>
          <w:tcPr>
            <w:tcW w:type="dxa" w:w="6624"/>
          </w:tcPr>
          <w:p>
            <w:pPr>
              <w:spacing w:after="20"/>
            </w:pPr>
            <w:r>
              <w:rPr>
                <w:sz w:val="18"/>
              </w:rPr>
            </w:r>
            <w:r>
              <w:rPr>
                <w:b w:val="0"/>
                <w:sz w:val="18"/>
              </w:rPr>
              <w:t>Knowledge-qualified material compliance (zoning, building and fire codes, ADA). No uncured written violation notices.</w:t>
            </w:r>
          </w:p>
        </w:tc>
      </w:tr>
      <w:tr>
        <w:tc>
          <w:tcPr>
            <w:tcW w:type="dxa" w:w="2088"/>
          </w:tcPr>
          <w:p>
            <w:pPr>
              <w:spacing w:after="20"/>
            </w:pPr>
            <w:r>
              <w:rPr>
                <w:sz w:val="18"/>
              </w:rPr>
            </w:r>
            <w:r>
              <w:rPr>
                <w:b w:val="0"/>
                <w:sz w:val="18"/>
              </w:rPr>
              <w:t>(g) Leases / Rent Roll</w:t>
            </w:r>
          </w:p>
        </w:tc>
        <w:tc>
          <w:tcPr>
            <w:tcW w:type="dxa" w:w="1224"/>
          </w:tcPr>
          <w:p>
            <w:pPr>
              <w:spacing w:after="20"/>
            </w:pPr>
            <w:r>
              <w:rPr>
                <w:sz w:val="18"/>
              </w:rPr>
            </w:r>
            <w:r>
              <w:rPr>
                <w:b w:val="0"/>
                <w:sz w:val="18"/>
              </w:rPr>
              <w:t>§7.1(g); Ex. F</w:t>
            </w:r>
          </w:p>
        </w:tc>
        <w:tc>
          <w:tcPr>
            <w:tcW w:type="dxa" w:w="6624"/>
          </w:tcPr>
          <w:p>
            <w:pPr>
              <w:spacing w:after="20"/>
            </w:pPr>
            <w:r>
              <w:rPr>
                <w:sz w:val="18"/>
              </w:rPr>
            </w:r>
            <w:r>
              <w:rPr>
                <w:b w:val="0"/>
                <w:sz w:val="18"/>
              </w:rPr>
              <w:t xml:space="preserve">Rent Roll is true, correct and complete in all material respects as of </w:t>
            </w:r>
            <w:r>
              <w:rPr>
                <w:b/>
                <w:sz w:val="18"/>
              </w:rPr>
              <w:t>Sept. 15, 2024</w:t>
            </w:r>
            <w:r>
              <w:rPr>
                <w:b w:val="0"/>
                <w:sz w:val="18"/>
              </w:rPr>
              <w:t>. 14 tenants. Except as shown on Ex. F: no material tenant default and no uncured default notice; to Seller’s knowledge, no landlord default; no written notice of intent to terminate or vacate; no unrecorded concessions or free rent; all TI obligations satisfied except those shown as outstanding.</w:t>
            </w:r>
          </w:p>
        </w:tc>
      </w:tr>
      <w:tr>
        <w:tc>
          <w:tcPr>
            <w:tcW w:type="dxa" w:w="2088"/>
          </w:tcPr>
          <w:p>
            <w:pPr>
              <w:spacing w:after="20"/>
            </w:pPr>
            <w:r>
              <w:rPr>
                <w:sz w:val="18"/>
              </w:rPr>
            </w:r>
            <w:r>
              <w:rPr>
                <w:b w:val="0"/>
                <w:sz w:val="18"/>
              </w:rPr>
              <w:t>(h) Service Contracts</w:t>
            </w:r>
          </w:p>
        </w:tc>
        <w:tc>
          <w:tcPr>
            <w:tcW w:type="dxa" w:w="1224"/>
          </w:tcPr>
          <w:p>
            <w:pPr>
              <w:spacing w:after="20"/>
            </w:pPr>
            <w:r>
              <w:rPr>
                <w:sz w:val="18"/>
              </w:rPr>
            </w:r>
            <w:r>
              <w:rPr>
                <w:b w:val="0"/>
                <w:sz w:val="18"/>
              </w:rPr>
              <w:t>§7.1(h); Ex. G</w:t>
            </w:r>
          </w:p>
        </w:tc>
        <w:tc>
          <w:tcPr>
            <w:tcW w:type="dxa" w:w="6624"/>
          </w:tcPr>
          <w:p>
            <w:pPr>
              <w:spacing w:after="20"/>
            </w:pPr>
            <w:r>
              <w:rPr>
                <w:sz w:val="18"/>
              </w:rPr>
            </w:r>
            <w:r>
              <w:rPr>
                <w:b w:val="0"/>
                <w:sz w:val="18"/>
              </w:rPr>
              <w:t xml:space="preserve">Ex. G is a complete list. </w:t>
            </w:r>
            <w:r>
              <w:rPr>
                <w:b/>
                <w:sz w:val="18"/>
              </w:rPr>
              <w:t>11</w:t>
            </w:r>
            <w:r>
              <w:rPr>
                <w:b w:val="0"/>
                <w:sz w:val="18"/>
              </w:rPr>
              <w:t xml:space="preserve"> contracts, of which </w:t>
            </w:r>
            <w:r>
              <w:rPr>
                <w:b/>
                <w:sz w:val="18"/>
              </w:rPr>
              <w:t>3</w:t>
            </w:r>
            <w:r>
              <w:rPr>
                <w:b w:val="0"/>
                <w:sz w:val="18"/>
              </w:rPr>
              <w:t xml:space="preserve"> are non-terminable on a change of ownership. No material Seller default and no notice of counterparty default. → Flags 18, 23</w:t>
            </w:r>
          </w:p>
        </w:tc>
      </w:tr>
      <w:tr>
        <w:tc>
          <w:tcPr>
            <w:tcW w:type="dxa" w:w="2088"/>
          </w:tcPr>
          <w:p>
            <w:pPr>
              <w:spacing w:after="20"/>
            </w:pPr>
            <w:r>
              <w:rPr>
                <w:sz w:val="18"/>
              </w:rPr>
            </w:r>
            <w:r>
              <w:rPr>
                <w:b w:val="0"/>
                <w:sz w:val="18"/>
              </w:rPr>
              <w:t>(i) Insurance</w:t>
            </w:r>
          </w:p>
        </w:tc>
        <w:tc>
          <w:tcPr>
            <w:tcW w:type="dxa" w:w="1224"/>
          </w:tcPr>
          <w:p>
            <w:pPr>
              <w:spacing w:after="20"/>
            </w:pPr>
            <w:r>
              <w:rPr>
                <w:sz w:val="18"/>
              </w:rPr>
            </w:r>
            <w:r>
              <w:rPr>
                <w:b w:val="0"/>
                <w:sz w:val="18"/>
              </w:rPr>
              <w:t>§7.1(i)</w:t>
            </w:r>
          </w:p>
        </w:tc>
        <w:tc>
          <w:tcPr>
            <w:tcW w:type="dxa" w:w="6624"/>
          </w:tcPr>
          <w:p>
            <w:pPr>
              <w:spacing w:after="20"/>
            </w:pPr>
            <w:r>
              <w:rPr>
                <w:sz w:val="18"/>
              </w:rPr>
            </w:r>
            <w:r>
              <w:rPr>
                <w:b w:val="0"/>
                <w:sz w:val="18"/>
              </w:rPr>
              <w:t>Customary CGL, property, umbrella and workers’ compensation coverage. No cancellation or non-renewal notices. No material pending claim other than Doe.</w:t>
            </w:r>
          </w:p>
        </w:tc>
      </w:tr>
      <w:tr>
        <w:tc>
          <w:tcPr>
            <w:tcW w:type="dxa" w:w="2088"/>
          </w:tcPr>
          <w:p>
            <w:pPr>
              <w:spacing w:after="20"/>
            </w:pPr>
            <w:r>
              <w:rPr>
                <w:sz w:val="18"/>
              </w:rPr>
            </w:r>
            <w:r>
              <w:rPr>
                <w:b w:val="0"/>
                <w:sz w:val="18"/>
              </w:rPr>
              <w:t>(j) Condemnation</w:t>
            </w:r>
          </w:p>
        </w:tc>
        <w:tc>
          <w:tcPr>
            <w:tcW w:type="dxa" w:w="1224"/>
          </w:tcPr>
          <w:p>
            <w:pPr>
              <w:spacing w:after="20"/>
            </w:pPr>
            <w:r>
              <w:rPr>
                <w:sz w:val="18"/>
              </w:rPr>
            </w:r>
            <w:r>
              <w:rPr>
                <w:b w:val="0"/>
                <w:sz w:val="18"/>
              </w:rPr>
              <w:t>§7.1(j)</w:t>
            </w:r>
          </w:p>
        </w:tc>
        <w:tc>
          <w:tcPr>
            <w:tcW w:type="dxa" w:w="6624"/>
          </w:tcPr>
          <w:p>
            <w:pPr>
              <w:spacing w:after="20"/>
            </w:pPr>
            <w:r>
              <w:rPr>
                <w:sz w:val="18"/>
              </w:rPr>
            </w:r>
            <w:r>
              <w:rPr>
                <w:b w:val="0"/>
                <w:sz w:val="18"/>
              </w:rPr>
              <w:t>Knowledge-qualified. None pending or threatened.</w:t>
            </w:r>
          </w:p>
        </w:tc>
      </w:tr>
      <w:tr>
        <w:tc>
          <w:tcPr>
            <w:tcW w:type="dxa" w:w="2088"/>
          </w:tcPr>
          <w:p>
            <w:pPr>
              <w:spacing w:after="20"/>
            </w:pPr>
            <w:r>
              <w:rPr>
                <w:sz w:val="18"/>
              </w:rPr>
            </w:r>
            <w:r>
              <w:rPr>
                <w:b w:val="0"/>
                <w:sz w:val="18"/>
              </w:rPr>
              <w:t>(k) Environmental</w:t>
            </w:r>
          </w:p>
        </w:tc>
        <w:tc>
          <w:tcPr>
            <w:tcW w:type="dxa" w:w="1224"/>
          </w:tcPr>
          <w:p>
            <w:pPr>
              <w:spacing w:after="20"/>
            </w:pPr>
            <w:r>
              <w:rPr>
                <w:sz w:val="18"/>
              </w:rPr>
            </w:r>
            <w:r>
              <w:rPr>
                <w:b w:val="0"/>
                <w:sz w:val="18"/>
              </w:rPr>
              <w:t>§7.1(k)</w:t>
            </w:r>
          </w:p>
        </w:tc>
        <w:tc>
          <w:tcPr>
            <w:tcW w:type="dxa" w:w="6624"/>
          </w:tcPr>
          <w:p>
            <w:pPr>
              <w:spacing w:after="20"/>
            </w:pPr>
            <w:r>
              <w:rPr>
                <w:sz w:val="18"/>
              </w:rPr>
            </w:r>
            <w:r>
              <w:rPr>
                <w:b/>
                <w:sz w:val="18"/>
              </w:rPr>
              <w:t>Knowledge-qualified, and excludes everything disclosed in the Clearfield Phase I (Aug. 15, 2024):</w:t>
            </w:r>
            <w:r>
              <w:rPr>
                <w:b w:val="0"/>
                <w:sz w:val="18"/>
              </w:rPr>
              <w:t xml:space="preserve"> no release of Hazardous Materials in violation of Environmental Laws, material compliance, and no written governmental notice. “Hazardous Materials” expressly includes chlorinated solvents. → Flag 4</w:t>
            </w:r>
          </w:p>
        </w:tc>
      </w:tr>
      <w:tr>
        <w:tc>
          <w:tcPr>
            <w:tcW w:type="dxa" w:w="2088"/>
          </w:tcPr>
          <w:p>
            <w:pPr>
              <w:spacing w:after="20"/>
            </w:pPr>
            <w:r>
              <w:rPr>
                <w:sz w:val="18"/>
              </w:rPr>
            </w:r>
            <w:r>
              <w:rPr>
                <w:b w:val="0"/>
                <w:sz w:val="18"/>
              </w:rPr>
              <w:t>(l)–(n) FIRPTA; OFAC; bankruptcy</w:t>
            </w:r>
          </w:p>
        </w:tc>
        <w:tc>
          <w:tcPr>
            <w:tcW w:type="dxa" w:w="1224"/>
          </w:tcPr>
          <w:p>
            <w:pPr>
              <w:spacing w:after="20"/>
            </w:pPr>
            <w:r>
              <w:rPr>
                <w:sz w:val="18"/>
              </w:rPr>
            </w:r>
            <w:r>
              <w:rPr>
                <w:b w:val="0"/>
                <w:sz w:val="18"/>
              </w:rPr>
              <w:t>§7.1(l)–(n)</w:t>
            </w:r>
          </w:p>
        </w:tc>
        <w:tc>
          <w:tcPr>
            <w:tcW w:type="dxa" w:w="6624"/>
          </w:tcPr>
          <w:p>
            <w:pPr>
              <w:spacing w:after="20"/>
            </w:pPr>
            <w:r>
              <w:rPr>
                <w:sz w:val="18"/>
              </w:rPr>
            </w:r>
            <w:r>
              <w:rPr>
                <w:b w:val="0"/>
                <w:sz w:val="18"/>
              </w:rPr>
              <w:t>Seller is not a foreign person (FIRPTA affidavit at Closing). Not on the OFAC SDN list. No bankruptcy filing pending or contemplated.</w:t>
            </w:r>
          </w:p>
        </w:tc>
      </w:tr>
      <w:tr>
        <w:tc>
          <w:tcPr>
            <w:tcW w:type="dxa" w:w="2088"/>
          </w:tcPr>
          <w:p>
            <w:pPr>
              <w:spacing w:after="20"/>
            </w:pPr>
            <w:r>
              <w:rPr>
                <w:sz w:val="18"/>
              </w:rPr>
            </w:r>
            <w:r>
              <w:rPr>
                <w:b w:val="0"/>
                <w:sz w:val="18"/>
              </w:rPr>
              <w:t>(o) Taxes</w:t>
            </w:r>
          </w:p>
        </w:tc>
        <w:tc>
          <w:tcPr>
            <w:tcW w:type="dxa" w:w="1224"/>
          </w:tcPr>
          <w:p>
            <w:pPr>
              <w:spacing w:after="20"/>
            </w:pPr>
            <w:r>
              <w:rPr>
                <w:sz w:val="18"/>
              </w:rPr>
            </w:r>
            <w:r>
              <w:rPr>
                <w:b w:val="0"/>
                <w:sz w:val="18"/>
              </w:rPr>
              <w:t>§7.1(o)</w:t>
            </w:r>
          </w:p>
        </w:tc>
        <w:tc>
          <w:tcPr>
            <w:tcW w:type="dxa" w:w="6624"/>
          </w:tcPr>
          <w:p>
            <w:pPr>
              <w:spacing w:after="20"/>
            </w:pPr>
            <w:r>
              <w:rPr>
                <w:sz w:val="18"/>
              </w:rPr>
            </w:r>
            <w:r>
              <w:rPr>
                <w:b w:val="0"/>
                <w:sz w:val="18"/>
              </w:rPr>
              <w:t>Knowledge-qualified. No special assessments and no pending assessment proceedings.</w:t>
            </w:r>
          </w:p>
        </w:tc>
      </w:tr>
      <w:tr>
        <w:tc>
          <w:tcPr>
            <w:tcW w:type="dxa" w:w="2088"/>
          </w:tcPr>
          <w:p>
            <w:pPr>
              <w:spacing w:after="20"/>
            </w:pPr>
            <w:r>
              <w:rPr>
                <w:sz w:val="18"/>
              </w:rPr>
            </w:r>
            <w:r>
              <w:rPr>
                <w:b w:val="0"/>
                <w:sz w:val="18"/>
              </w:rPr>
              <w:t>(p)–(q) Utilities; access</w:t>
            </w:r>
          </w:p>
        </w:tc>
        <w:tc>
          <w:tcPr>
            <w:tcW w:type="dxa" w:w="1224"/>
          </w:tcPr>
          <w:p>
            <w:pPr>
              <w:spacing w:after="20"/>
            </w:pPr>
            <w:r>
              <w:rPr>
                <w:sz w:val="18"/>
              </w:rPr>
            </w:r>
            <w:r>
              <w:rPr>
                <w:b w:val="0"/>
                <w:sz w:val="18"/>
              </w:rPr>
              <w:t>§7.1(p)–(q)</w:t>
            </w:r>
          </w:p>
        </w:tc>
        <w:tc>
          <w:tcPr>
            <w:tcW w:type="dxa" w:w="6624"/>
          </w:tcPr>
          <w:p>
            <w:pPr>
              <w:spacing w:after="20"/>
            </w:pPr>
            <w:r>
              <w:rPr>
                <w:sz w:val="18"/>
              </w:rPr>
            </w:r>
            <w:r>
              <w:rPr>
                <w:b w:val="0"/>
                <w:sz w:val="18"/>
              </w:rPr>
              <w:t>All utilities available. Access via Corporate Park Drive and Technology Boulevard.</w:t>
            </w:r>
          </w:p>
        </w:tc>
      </w:tr>
      <w:tr>
        <w:tc>
          <w:tcPr>
            <w:tcW w:type="dxa" w:w="2088"/>
          </w:tcPr>
          <w:p>
            <w:pPr>
              <w:spacing w:after="20"/>
            </w:pPr>
            <w:r>
              <w:rPr>
                <w:sz w:val="18"/>
              </w:rPr>
            </w:r>
            <w:r>
              <w:rPr>
                <w:b w:val="0"/>
                <w:sz w:val="18"/>
              </w:rPr>
              <w:t>(r) No options</w:t>
            </w:r>
          </w:p>
        </w:tc>
        <w:tc>
          <w:tcPr>
            <w:tcW w:type="dxa" w:w="1224"/>
          </w:tcPr>
          <w:p>
            <w:pPr>
              <w:spacing w:after="20"/>
            </w:pPr>
            <w:r>
              <w:rPr>
                <w:sz w:val="18"/>
              </w:rPr>
            </w:r>
            <w:r>
              <w:rPr>
                <w:b w:val="0"/>
                <w:sz w:val="18"/>
              </w:rPr>
              <w:t>§7.1(r)</w:t>
            </w:r>
          </w:p>
        </w:tc>
        <w:tc>
          <w:tcPr>
            <w:tcW w:type="dxa" w:w="6624"/>
          </w:tcPr>
          <w:p>
            <w:pPr>
              <w:spacing w:after="20"/>
            </w:pPr>
            <w:r>
              <w:rPr>
                <w:sz w:val="18"/>
              </w:rPr>
            </w:r>
            <w:r>
              <w:rPr>
                <w:b w:val="0"/>
                <w:sz w:val="18"/>
              </w:rPr>
              <w:t xml:space="preserve">No option, ROFR or ROFO to purchase, </w:t>
            </w:r>
            <w:r>
              <w:rPr>
                <w:b/>
                <w:sz w:val="18"/>
              </w:rPr>
              <w:t>except as may be set forth in the Leases</w:t>
            </w:r>
            <w:r>
              <w:rPr>
                <w:b w:val="0"/>
                <w:sz w:val="18"/>
              </w:rPr>
              <w:t>. → Flag 21</w:t>
            </w:r>
          </w:p>
        </w:tc>
      </w:tr>
      <w:tr>
        <w:tc>
          <w:tcPr>
            <w:tcW w:type="dxa" w:w="2088"/>
          </w:tcPr>
          <w:p>
            <w:pPr>
              <w:spacing w:after="20"/>
            </w:pPr>
            <w:r>
              <w:rPr>
                <w:sz w:val="18"/>
              </w:rPr>
            </w:r>
            <w:r>
              <w:rPr>
                <w:b w:val="0"/>
                <w:sz w:val="18"/>
              </w:rPr>
              <w:t>(s) No employees</w:t>
            </w:r>
          </w:p>
        </w:tc>
        <w:tc>
          <w:tcPr>
            <w:tcW w:type="dxa" w:w="1224"/>
          </w:tcPr>
          <w:p>
            <w:pPr>
              <w:spacing w:after="20"/>
            </w:pPr>
            <w:r>
              <w:rPr>
                <w:sz w:val="18"/>
              </w:rPr>
            </w:r>
            <w:r>
              <w:rPr>
                <w:b w:val="0"/>
                <w:sz w:val="18"/>
              </w:rPr>
              <w:t>§7.1(s)</w:t>
            </w:r>
          </w:p>
        </w:tc>
        <w:tc>
          <w:tcPr>
            <w:tcW w:type="dxa" w:w="6624"/>
          </w:tcPr>
          <w:p>
            <w:pPr>
              <w:spacing w:after="20"/>
            </w:pPr>
            <w:r>
              <w:rPr>
                <w:sz w:val="18"/>
              </w:rPr>
            </w:r>
            <w:r>
              <w:rPr>
                <w:b w:val="0"/>
                <w:sz w:val="18"/>
              </w:rPr>
              <w:t>No employees. All on-site management, maintenance and security services are provided by independent contractors under the Ex. G Service Contracts. → Flag 23</w:t>
            </w:r>
          </w:p>
        </w:tc>
      </w:tr>
      <w:tr>
        <w:tc>
          <w:tcPr>
            <w:tcW w:type="dxa" w:w="2088"/>
          </w:tcPr>
          <w:p>
            <w:pPr>
              <w:spacing w:after="20"/>
            </w:pPr>
            <w:r>
              <w:rPr>
                <w:sz w:val="18"/>
              </w:rPr>
            </w:r>
            <w:r>
              <w:rPr>
                <w:b w:val="0"/>
                <w:sz w:val="18"/>
              </w:rPr>
              <w:t>(t) Parking</w:t>
            </w:r>
          </w:p>
        </w:tc>
        <w:tc>
          <w:tcPr>
            <w:tcW w:type="dxa" w:w="1224"/>
          </w:tcPr>
          <w:p>
            <w:pPr>
              <w:spacing w:after="20"/>
            </w:pPr>
            <w:r>
              <w:rPr>
                <w:sz w:val="18"/>
              </w:rPr>
            </w:r>
            <w:r>
              <w:rPr>
                <w:b w:val="0"/>
                <w:sz w:val="18"/>
              </w:rPr>
              <w:t>§7.1(t)</w:t>
            </w:r>
          </w:p>
        </w:tc>
        <w:tc>
          <w:tcPr>
            <w:tcW w:type="dxa" w:w="6624"/>
          </w:tcPr>
          <w:p>
            <w:pPr>
              <w:spacing w:after="20"/>
            </w:pPr>
            <w:r>
              <w:rPr>
                <w:sz w:val="18"/>
              </w:rPr>
            </w:r>
            <w:r>
              <w:rPr>
                <w:b w:val="0"/>
                <w:sz w:val="18"/>
              </w:rPr>
              <w:t>1,248 spaces (4.0/1,000). Knowledge-qualified: good working order, structurally sound, no material repairs required.</w:t>
            </w:r>
          </w:p>
        </w:tc>
      </w:tr>
      <w:tr>
        <w:tc>
          <w:tcPr>
            <w:tcW w:type="dxa" w:w="2088"/>
          </w:tcPr>
          <w:p>
            <w:pPr>
              <w:spacing w:after="20"/>
            </w:pPr>
            <w:r>
              <w:rPr>
                <w:sz w:val="18"/>
              </w:rPr>
            </w:r>
            <w:r>
              <w:rPr>
                <w:b w:val="0"/>
                <w:sz w:val="18"/>
              </w:rPr>
              <w:t>(u) Warranties</w:t>
            </w:r>
          </w:p>
        </w:tc>
        <w:tc>
          <w:tcPr>
            <w:tcW w:type="dxa" w:w="1224"/>
          </w:tcPr>
          <w:p>
            <w:pPr>
              <w:spacing w:after="20"/>
            </w:pPr>
            <w:r>
              <w:rPr>
                <w:sz w:val="18"/>
              </w:rPr>
            </w:r>
            <w:r>
              <w:rPr>
                <w:b w:val="0"/>
                <w:sz w:val="18"/>
              </w:rPr>
              <w:t>§7.1(u)</w:t>
            </w:r>
          </w:p>
        </w:tc>
        <w:tc>
          <w:tcPr>
            <w:tcW w:type="dxa" w:w="6624"/>
          </w:tcPr>
          <w:p>
            <w:pPr>
              <w:spacing w:after="20"/>
            </w:pPr>
            <w:r>
              <w:rPr>
                <w:sz w:val="18"/>
              </w:rPr>
            </w:r>
            <w:r>
              <w:rPr>
                <w:b w:val="0"/>
                <w:sz w:val="18"/>
              </w:rPr>
              <w:t>Seller assigns assignable roof, elevator, HVAC and contractor warranties. Where consent is required, Seller uses commercially reasonable efforts to obtain it.</w:t>
            </w:r>
          </w:p>
        </w:tc>
      </w:tr>
      <w:tr>
        <w:tc>
          <w:tcPr>
            <w:tcW w:type="dxa" w:w="2088"/>
          </w:tcPr>
          <w:p>
            <w:pPr>
              <w:spacing w:after="20"/>
            </w:pPr>
            <w:r>
              <w:rPr>
                <w:sz w:val="18"/>
              </w:rPr>
            </w:r>
            <w:r>
              <w:rPr>
                <w:b w:val="0"/>
                <w:sz w:val="18"/>
              </w:rPr>
              <w:t>(v) No side agreements</w:t>
            </w:r>
          </w:p>
        </w:tc>
        <w:tc>
          <w:tcPr>
            <w:tcW w:type="dxa" w:w="1224"/>
          </w:tcPr>
          <w:p>
            <w:pPr>
              <w:spacing w:after="20"/>
            </w:pPr>
            <w:r>
              <w:rPr>
                <w:sz w:val="18"/>
              </w:rPr>
            </w:r>
            <w:r>
              <w:rPr>
                <w:b w:val="0"/>
                <w:sz w:val="18"/>
              </w:rPr>
              <w:t>§7.1(v)</w:t>
            </w:r>
          </w:p>
        </w:tc>
        <w:tc>
          <w:tcPr>
            <w:tcW w:type="dxa" w:w="6624"/>
          </w:tcPr>
          <w:p>
            <w:pPr>
              <w:spacing w:after="20"/>
            </w:pPr>
            <w:r>
              <w:rPr>
                <w:sz w:val="18"/>
              </w:rPr>
            </w:r>
            <w:r>
              <w:rPr>
                <w:b w:val="0"/>
                <w:sz w:val="18"/>
              </w:rPr>
              <w:t>No undisclosed oral or written agreements with tenants or occupants.</w:t>
            </w:r>
          </w:p>
        </w:tc>
      </w:tr>
      <w:tr>
        <w:tc>
          <w:tcPr>
            <w:tcW w:type="dxa" w:w="2088"/>
          </w:tcPr>
          <w:p>
            <w:pPr>
              <w:spacing w:after="20"/>
            </w:pPr>
            <w:r>
              <w:rPr>
                <w:sz w:val="18"/>
              </w:rPr>
            </w:r>
            <w:r>
              <w:rPr>
                <w:b w:val="0"/>
                <w:sz w:val="18"/>
              </w:rPr>
              <w:t>Rep update / bring-down</w:t>
            </w:r>
          </w:p>
        </w:tc>
        <w:tc>
          <w:tcPr>
            <w:tcW w:type="dxa" w:w="1224"/>
          </w:tcPr>
          <w:p>
            <w:pPr>
              <w:spacing w:after="20"/>
            </w:pPr>
            <w:r>
              <w:rPr>
                <w:sz w:val="18"/>
              </w:rPr>
            </w:r>
            <w:r>
              <w:rPr>
                <w:b w:val="0"/>
                <w:sz w:val="18"/>
              </w:rPr>
              <w:t>§7.2</w:t>
            </w:r>
          </w:p>
        </w:tc>
        <w:tc>
          <w:tcPr>
            <w:tcW w:type="dxa" w:w="6624"/>
          </w:tcPr>
          <w:p>
            <w:pPr>
              <w:spacing w:after="20"/>
            </w:pPr>
            <w:r>
              <w:rPr>
                <w:sz w:val="18"/>
              </w:rPr>
            </w:r>
            <w:r>
              <w:rPr>
                <w:b w:val="0"/>
                <w:sz w:val="18"/>
              </w:rPr>
              <w:t xml:space="preserve">At Closing, Seller delivers a Seller’s Closing Certificate (signed by Ellison) confirming the reps in all material respects or listing changes. If a change is a material adverse change (other than one caused by Buyer or contemplated by the PSA), Buyer may, within 5 business days after receiving the certificate, waive or terminate with the </w:t>
            </w:r>
            <w:r>
              <w:rPr>
                <w:b/>
                <w:sz w:val="18"/>
              </w:rPr>
              <w:t>full Deposit</w:t>
            </w:r>
            <w:r>
              <w:rPr>
                <w:b w:val="0"/>
                <w:sz w:val="18"/>
              </w:rPr>
              <w:t xml:space="preserve"> returned. → Flag 16</w:t>
            </w:r>
          </w:p>
        </w:tc>
      </w:tr>
    </w:tbl>
    <w:p>
      <w:pPr>
        <w:spacing w:after="40"/>
      </w:pPr>
    </w:p>
    <w:p>
      <w:pPr>
        <w:pStyle w:val="Heading2"/>
      </w:pPr>
      <w:r>
        <w:t>8. Buyer Representations and Warranties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Buyer reps</w:t>
            </w:r>
          </w:p>
        </w:tc>
        <w:tc>
          <w:tcPr>
            <w:tcW w:type="dxa" w:w="1224"/>
          </w:tcPr>
          <w:p>
            <w:pPr>
              <w:spacing w:after="20"/>
            </w:pPr>
            <w:r>
              <w:rPr>
                <w:sz w:val="18"/>
              </w:rPr>
            </w:r>
            <w:r>
              <w:rPr>
                <w:b w:val="0"/>
                <w:sz w:val="18"/>
              </w:rPr>
              <w:t>§7.5(a)–(f)</w:t>
            </w:r>
          </w:p>
        </w:tc>
        <w:tc>
          <w:tcPr>
            <w:tcW w:type="dxa" w:w="6624"/>
          </w:tcPr>
          <w:p>
            <w:pPr>
              <w:spacing w:after="20"/>
            </w:pPr>
            <w:r>
              <w:rPr>
                <w:sz w:val="18"/>
              </w:rPr>
            </w:r>
            <w:r>
              <w:rPr>
                <w:b w:val="0"/>
                <w:sz w:val="18"/>
              </w:rPr>
              <w:t xml:space="preserve">Delaware LLC in good standing (formed Mar. 14, 2019), qualified in Virginia by Closing; authority and due execution; no conflicts; OFAC; </w:t>
            </w:r>
            <w:r>
              <w:rPr>
                <w:b/>
                <w:sz w:val="18"/>
              </w:rPr>
              <w:t>sufficient funds</w:t>
            </w:r>
            <w:r>
              <w:rPr>
                <w:b w:val="0"/>
                <w:sz w:val="18"/>
              </w:rPr>
              <w:t xml:space="preserve"> (equity and financing commitments) at Closing; no bankruptcy. Brought down at Closing by a Buyer certificate (§13.3(f)) and a closing condition (§9.2(a)).</w:t>
            </w:r>
          </w:p>
        </w:tc>
      </w:tr>
    </w:tbl>
    <w:p>
      <w:pPr>
        <w:spacing w:after="40"/>
      </w:pPr>
    </w:p>
    <w:p>
      <w:pPr>
        <w:pStyle w:val="Heading2"/>
      </w:pPr>
      <w:r>
        <w:t>9. Survival, Basket and Cap (Seller Reps)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Survival</w:t>
            </w:r>
          </w:p>
        </w:tc>
        <w:tc>
          <w:tcPr>
            <w:tcW w:type="dxa" w:w="1224"/>
          </w:tcPr>
          <w:p>
            <w:pPr>
              <w:spacing w:after="20"/>
            </w:pPr>
            <w:r>
              <w:rPr>
                <w:sz w:val="18"/>
              </w:rPr>
            </w:r>
            <w:r>
              <w:rPr>
                <w:b w:val="0"/>
                <w:sz w:val="18"/>
              </w:rPr>
              <w:t>§7.3</w:t>
            </w:r>
          </w:p>
        </w:tc>
        <w:tc>
          <w:tcPr>
            <w:tcW w:type="dxa" w:w="6624"/>
          </w:tcPr>
          <w:p>
            <w:pPr>
              <w:spacing w:after="20"/>
            </w:pPr>
            <w:r>
              <w:rPr>
                <w:sz w:val="18"/>
              </w:rPr>
            </w:r>
            <w:r>
              <w:rPr>
                <w:b w:val="0"/>
                <w:sz w:val="18"/>
              </w:rPr>
              <w:t>12 months after Closing (</w:t>
            </w:r>
            <w:r>
              <w:rPr>
                <w:b/>
                <w:sz w:val="18"/>
              </w:rPr>
              <w:t>through Jan. 15, 2026</w:t>
            </w:r>
            <w:r>
              <w:rPr>
                <w:b w:val="0"/>
                <w:sz w:val="18"/>
              </w:rPr>
              <w:t>). A written claim notice with reasonable detail must be delivered within the period, or the claim is waived.</w:t>
            </w:r>
          </w:p>
        </w:tc>
      </w:tr>
      <w:tr>
        <w:tc>
          <w:tcPr>
            <w:tcW w:type="dxa" w:w="2088"/>
          </w:tcPr>
          <w:p>
            <w:pPr>
              <w:spacing w:after="20"/>
            </w:pPr>
            <w:r>
              <w:rPr>
                <w:sz w:val="18"/>
              </w:rPr>
            </w:r>
            <w:r>
              <w:rPr>
                <w:b w:val="0"/>
                <w:sz w:val="18"/>
              </w:rPr>
              <w:t>Basket (deductible)</w:t>
            </w:r>
          </w:p>
        </w:tc>
        <w:tc>
          <w:tcPr>
            <w:tcW w:type="dxa" w:w="1224"/>
          </w:tcPr>
          <w:p>
            <w:pPr>
              <w:spacing w:after="20"/>
            </w:pPr>
            <w:r>
              <w:rPr>
                <w:sz w:val="18"/>
              </w:rPr>
            </w:r>
            <w:r>
              <w:rPr>
                <w:b w:val="0"/>
                <w:sz w:val="18"/>
              </w:rPr>
              <w:t>§7.4(a)</w:t>
            </w:r>
          </w:p>
        </w:tc>
        <w:tc>
          <w:tcPr>
            <w:tcW w:type="dxa" w:w="6624"/>
          </w:tcPr>
          <w:p>
            <w:pPr>
              <w:spacing w:after="20"/>
            </w:pPr>
            <w:r>
              <w:rPr>
                <w:sz w:val="18"/>
              </w:rPr>
            </w:r>
            <w:r>
              <w:rPr>
                <w:b/>
                <w:sz w:val="18"/>
              </w:rPr>
              <w:t>$175,000</w:t>
            </w:r>
            <w:r>
              <w:rPr>
                <w:b w:val="0"/>
                <w:sz w:val="18"/>
              </w:rPr>
              <w:t xml:space="preserve"> aggregate (about 0.20% of price). This is a true deductible: Seller is liable only for the excess.</w:t>
            </w:r>
          </w:p>
        </w:tc>
      </w:tr>
      <w:tr>
        <w:tc>
          <w:tcPr>
            <w:tcW w:type="dxa" w:w="2088"/>
          </w:tcPr>
          <w:p>
            <w:pPr>
              <w:spacing w:after="20"/>
            </w:pPr>
            <w:r>
              <w:rPr>
                <w:sz w:val="18"/>
              </w:rPr>
            </w:r>
            <w:r>
              <w:rPr>
                <w:b w:val="0"/>
                <w:sz w:val="18"/>
              </w:rPr>
              <w:t>Cap</w:t>
            </w:r>
          </w:p>
        </w:tc>
        <w:tc>
          <w:tcPr>
            <w:tcW w:type="dxa" w:w="1224"/>
          </w:tcPr>
          <w:p>
            <w:pPr>
              <w:spacing w:after="20"/>
            </w:pPr>
            <w:r>
              <w:rPr>
                <w:sz w:val="18"/>
              </w:rPr>
            </w:r>
            <w:r>
              <w:rPr>
                <w:b w:val="0"/>
                <w:sz w:val="18"/>
              </w:rPr>
              <w:t>§7.4(b)</w:t>
            </w:r>
          </w:p>
        </w:tc>
        <w:tc>
          <w:tcPr>
            <w:tcW w:type="dxa" w:w="6624"/>
          </w:tcPr>
          <w:p>
            <w:pPr>
              <w:spacing w:after="20"/>
            </w:pPr>
            <w:r>
              <w:rPr>
                <w:sz w:val="18"/>
              </w:rPr>
            </w:r>
            <w:r>
              <w:rPr>
                <w:b/>
                <w:sz w:val="18"/>
              </w:rPr>
              <w:t>$4,387,500</w:t>
            </w:r>
            <w:r>
              <w:rPr>
                <w:b w:val="0"/>
                <w:sz w:val="18"/>
              </w:rPr>
              <w:t xml:space="preserve"> (5% of Purchase Price), aggregate for all Article VII claims.</w:t>
            </w:r>
          </w:p>
        </w:tc>
      </w:tr>
      <w:tr>
        <w:tc>
          <w:tcPr>
            <w:tcW w:type="dxa" w:w="2088"/>
          </w:tcPr>
          <w:p>
            <w:pPr>
              <w:spacing w:after="20"/>
            </w:pPr>
            <w:r>
              <w:rPr>
                <w:sz w:val="18"/>
              </w:rPr>
            </w:r>
            <w:r>
              <w:rPr>
                <w:b w:val="0"/>
                <w:sz w:val="18"/>
              </w:rPr>
              <w:t>Fraud carve-out</w:t>
            </w:r>
          </w:p>
        </w:tc>
        <w:tc>
          <w:tcPr>
            <w:tcW w:type="dxa" w:w="1224"/>
          </w:tcPr>
          <w:p>
            <w:pPr>
              <w:spacing w:after="20"/>
            </w:pPr>
            <w:r>
              <w:rPr>
                <w:sz w:val="18"/>
              </w:rPr>
            </w:r>
            <w:r>
              <w:rPr>
                <w:b w:val="0"/>
                <w:sz w:val="18"/>
              </w:rPr>
              <w:t>§7.4(c)</w:t>
            </w:r>
          </w:p>
        </w:tc>
        <w:tc>
          <w:tcPr>
            <w:tcW w:type="dxa" w:w="6624"/>
          </w:tcPr>
          <w:p>
            <w:pPr>
              <w:spacing w:after="20"/>
            </w:pPr>
            <w:r>
              <w:rPr>
                <w:sz w:val="18"/>
              </w:rPr>
            </w:r>
            <w:r>
              <w:rPr>
                <w:b w:val="0"/>
                <w:sz w:val="18"/>
              </w:rPr>
              <w:t>Basket and Cap do not apply to Seller fraud or intentional misrepresentation (unlimited).</w:t>
            </w:r>
          </w:p>
        </w:tc>
      </w:tr>
      <w:tr>
        <w:tc>
          <w:tcPr>
            <w:tcW w:type="dxa" w:w="2088"/>
          </w:tcPr>
          <w:p>
            <w:pPr>
              <w:spacing w:after="20"/>
            </w:pPr>
            <w:r>
              <w:rPr>
                <w:sz w:val="18"/>
              </w:rPr>
            </w:r>
            <w:r>
              <w:rPr>
                <w:b w:val="0"/>
                <w:sz w:val="18"/>
              </w:rPr>
              <w:t>Relationship to environmental cap</w:t>
            </w:r>
          </w:p>
        </w:tc>
        <w:tc>
          <w:tcPr>
            <w:tcW w:type="dxa" w:w="1224"/>
          </w:tcPr>
          <w:p>
            <w:pPr>
              <w:spacing w:after="20"/>
            </w:pPr>
            <w:r>
              <w:rPr>
                <w:sz w:val="18"/>
              </w:rPr>
            </w:r>
            <w:r>
              <w:rPr>
                <w:b w:val="0"/>
                <w:sz w:val="18"/>
              </w:rPr>
              <w:t>§8.4 (final para.)</w:t>
            </w:r>
          </w:p>
        </w:tc>
        <w:tc>
          <w:tcPr>
            <w:tcW w:type="dxa" w:w="6624"/>
          </w:tcPr>
          <w:p>
            <w:pPr>
              <w:spacing w:after="20"/>
            </w:pPr>
            <w:r>
              <w:rPr>
                <w:sz w:val="18"/>
              </w:rPr>
            </w:r>
            <w:r>
              <w:rPr>
                <w:b w:val="0"/>
                <w:sz w:val="18"/>
              </w:rPr>
              <w:t>The $3,000,000 Environmental Indemnity Cap is separate from and in addition to the $4,387,500 Cap. Combined maximum Seller exposure (excluding fraud and willful default) is $7,387,500.</w:t>
            </w:r>
          </w:p>
        </w:tc>
      </w:tr>
    </w:tbl>
    <w:p>
      <w:pPr>
        <w:spacing w:after="40"/>
      </w:pPr>
    </w:p>
    <w:p>
      <w:pPr>
        <w:pStyle w:val="Heading2"/>
      </w:pPr>
      <w:r>
        <w:t>10. Property Condition, Release and Environmental Indemnity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As-is</w:t>
            </w:r>
          </w:p>
        </w:tc>
        <w:tc>
          <w:tcPr>
            <w:tcW w:type="dxa" w:w="1224"/>
          </w:tcPr>
          <w:p>
            <w:pPr>
              <w:spacing w:after="20"/>
            </w:pPr>
            <w:r>
              <w:rPr>
                <w:sz w:val="18"/>
              </w:rPr>
            </w:r>
            <w:r>
              <w:rPr>
                <w:b w:val="0"/>
                <w:sz w:val="18"/>
              </w:rPr>
              <w:t>§8.1</w:t>
            </w:r>
          </w:p>
        </w:tc>
        <w:tc>
          <w:tcPr>
            <w:tcW w:type="dxa" w:w="6624"/>
          </w:tcPr>
          <w:p>
            <w:pPr>
              <w:spacing w:after="20"/>
            </w:pPr>
            <w:r>
              <w:rPr>
                <w:sz w:val="18"/>
              </w:rPr>
            </w:r>
            <w:r>
              <w:rPr>
                <w:b w:val="0"/>
                <w:sz w:val="18"/>
              </w:rPr>
              <w:t>Except for the express Article VII reps, Buyer takes the Property “AS-IS, WHERE-IS, WITH ALL FAULTS,” including environmental condition and the accuracy of delivered reports. Buyer waives all condition claims, known or unknown, under any theory.</w:t>
            </w:r>
          </w:p>
        </w:tc>
      </w:tr>
      <w:tr>
        <w:tc>
          <w:tcPr>
            <w:tcW w:type="dxa" w:w="2088"/>
          </w:tcPr>
          <w:p>
            <w:pPr>
              <w:spacing w:after="20"/>
            </w:pPr>
            <w:r>
              <w:rPr>
                <w:sz w:val="18"/>
              </w:rPr>
            </w:r>
            <w:r>
              <w:rPr>
                <w:b w:val="0"/>
                <w:sz w:val="18"/>
              </w:rPr>
              <w:t>Release</w:t>
            </w:r>
          </w:p>
        </w:tc>
        <w:tc>
          <w:tcPr>
            <w:tcW w:type="dxa" w:w="1224"/>
          </w:tcPr>
          <w:p>
            <w:pPr>
              <w:spacing w:after="20"/>
            </w:pPr>
            <w:r>
              <w:rPr>
                <w:sz w:val="18"/>
              </w:rPr>
            </w:r>
            <w:r>
              <w:rPr>
                <w:b w:val="0"/>
                <w:sz w:val="18"/>
              </w:rPr>
              <w:t>§8.3</w:t>
            </w:r>
          </w:p>
        </w:tc>
        <w:tc>
          <w:tcPr>
            <w:tcW w:type="dxa" w:w="6624"/>
          </w:tcPr>
          <w:p>
            <w:pPr>
              <w:spacing w:after="20"/>
            </w:pPr>
            <w:r>
              <w:rPr>
                <w:sz w:val="18"/>
              </w:rPr>
            </w:r>
            <w:r>
              <w:rPr>
                <w:b w:val="0"/>
                <w:sz w:val="18"/>
              </w:rPr>
              <w:t xml:space="preserve">Effective at Closing, Buyer (for itself, its successors and assigns) releases Seller and related parties from all claims relating to the condition of the Property, </w:t>
            </w:r>
            <w:r>
              <w:rPr>
                <w:b/>
                <w:sz w:val="18"/>
              </w:rPr>
              <w:t>including environmental condition</w:t>
            </w:r>
            <w:r>
              <w:rPr>
                <w:b w:val="0"/>
                <w:sz w:val="18"/>
              </w:rPr>
              <w:t>. Carve-outs: (a) rep breaches, subject to §§7.3–7.4; (b) §8.4 claims. → Flag 3</w:t>
            </w:r>
          </w:p>
        </w:tc>
      </w:tr>
      <w:tr>
        <w:tc>
          <w:tcPr>
            <w:tcW w:type="dxa" w:w="2088"/>
          </w:tcPr>
          <w:p>
            <w:pPr>
              <w:spacing w:after="20"/>
            </w:pPr>
            <w:r>
              <w:rPr>
                <w:sz w:val="18"/>
              </w:rPr>
            </w:r>
            <w:r>
              <w:rPr>
                <w:b w:val="0"/>
                <w:sz w:val="18"/>
              </w:rPr>
              <w:t>Environmental indemnity scope</w:t>
            </w:r>
          </w:p>
        </w:tc>
        <w:tc>
          <w:tcPr>
            <w:tcW w:type="dxa" w:w="1224"/>
          </w:tcPr>
          <w:p>
            <w:pPr>
              <w:spacing w:after="20"/>
            </w:pPr>
            <w:r>
              <w:rPr>
                <w:sz w:val="18"/>
              </w:rPr>
            </w:r>
            <w:r>
              <w:rPr>
                <w:b w:val="0"/>
                <w:sz w:val="18"/>
              </w:rPr>
              <w:t>§8.4</w:t>
            </w:r>
          </w:p>
        </w:tc>
        <w:tc>
          <w:tcPr>
            <w:tcW w:type="dxa" w:w="6624"/>
          </w:tcPr>
          <w:p>
            <w:pPr>
              <w:spacing w:after="20"/>
            </w:pPr>
            <w:r>
              <w:rPr>
                <w:sz w:val="18"/>
              </w:rPr>
            </w:r>
            <w:r>
              <w:rPr>
                <w:b w:val="0"/>
                <w:sz w:val="18"/>
              </w:rPr>
              <w:t xml:space="preserve">Seller indemnifies, defends and holds harmless Buyer and its members, managers, officers, employees, agents, successors and assigns. Covered: all losses, including reasonable attorneys’ fees and the costs of environmental investigation, remediation and monitoring, arising from the presence, release or </w:t>
            </w:r>
            <w:r>
              <w:rPr>
                <w:b/>
                <w:sz w:val="18"/>
              </w:rPr>
              <w:t>migration</w:t>
            </w:r>
            <w:r>
              <w:rPr>
                <w:b w:val="0"/>
                <w:sz w:val="18"/>
              </w:rPr>
              <w:t xml:space="preserve"> of Hazardous Materials on, under or about the Property, to the extent attributable to conditions existing before the Closing Date (“Pre-Existing Environmental Conditions”).</w:t>
            </w:r>
          </w:p>
        </w:tc>
      </w:tr>
      <w:tr>
        <w:tc>
          <w:tcPr>
            <w:tcW w:type="dxa" w:w="2088"/>
          </w:tcPr>
          <w:p>
            <w:pPr>
              <w:spacing w:after="20"/>
            </w:pPr>
            <w:r>
              <w:rPr>
                <w:sz w:val="18"/>
              </w:rPr>
            </w:r>
            <w:r>
              <w:rPr>
                <w:b w:val="0"/>
                <w:sz w:val="18"/>
              </w:rPr>
              <w:t>Environmental Indemnity Cap</w:t>
            </w:r>
          </w:p>
        </w:tc>
        <w:tc>
          <w:tcPr>
            <w:tcW w:type="dxa" w:w="1224"/>
          </w:tcPr>
          <w:p>
            <w:pPr>
              <w:spacing w:after="20"/>
            </w:pPr>
            <w:r>
              <w:rPr>
                <w:sz w:val="18"/>
              </w:rPr>
            </w:r>
            <w:r>
              <w:rPr>
                <w:b w:val="0"/>
                <w:sz w:val="18"/>
              </w:rPr>
              <w:t>§8.4(a)</w:t>
            </w:r>
          </w:p>
        </w:tc>
        <w:tc>
          <w:tcPr>
            <w:tcW w:type="dxa" w:w="6624"/>
          </w:tcPr>
          <w:p>
            <w:pPr>
              <w:spacing w:after="20"/>
            </w:pPr>
            <w:r>
              <w:rPr>
                <w:sz w:val="18"/>
              </w:rPr>
            </w:r>
            <w:r>
              <w:rPr>
                <w:b/>
                <w:sz w:val="18"/>
              </w:rPr>
              <w:t>$3,000,000</w:t>
            </w:r>
            <w:r>
              <w:rPr>
                <w:b w:val="0"/>
                <w:sz w:val="18"/>
              </w:rPr>
              <w:t xml:space="preserve"> aggregate (about 3.4% of price). → Flag 2</w:t>
            </w:r>
          </w:p>
        </w:tc>
      </w:tr>
      <w:tr>
        <w:tc>
          <w:tcPr>
            <w:tcW w:type="dxa" w:w="2088"/>
          </w:tcPr>
          <w:p>
            <w:pPr>
              <w:spacing w:after="20"/>
            </w:pPr>
            <w:r>
              <w:rPr>
                <w:sz w:val="18"/>
              </w:rPr>
            </w:r>
            <w:r>
              <w:rPr>
                <w:b w:val="0"/>
                <w:sz w:val="18"/>
              </w:rPr>
              <w:t>Survival / notice</w:t>
            </w:r>
          </w:p>
        </w:tc>
        <w:tc>
          <w:tcPr>
            <w:tcW w:type="dxa" w:w="1224"/>
          </w:tcPr>
          <w:p>
            <w:pPr>
              <w:spacing w:after="20"/>
            </w:pPr>
            <w:r>
              <w:rPr>
                <w:sz w:val="18"/>
              </w:rPr>
            </w:r>
            <w:r>
              <w:rPr>
                <w:b w:val="0"/>
                <w:sz w:val="18"/>
              </w:rPr>
              <w:t>§8.4(b)–(c)</w:t>
            </w:r>
          </w:p>
        </w:tc>
        <w:tc>
          <w:tcPr>
            <w:tcW w:type="dxa" w:w="6624"/>
          </w:tcPr>
          <w:p>
            <w:pPr>
              <w:spacing w:after="20"/>
            </w:pPr>
            <w:r>
              <w:rPr>
                <w:sz w:val="18"/>
              </w:rPr>
            </w:r>
            <w:r>
              <w:rPr>
                <w:b w:val="0"/>
                <w:sz w:val="18"/>
              </w:rPr>
              <w:t>36 months after Closing (</w:t>
            </w:r>
            <w:r>
              <w:rPr>
                <w:b/>
                <w:sz w:val="18"/>
              </w:rPr>
              <w:t>until Jan. 15, 2028</w:t>
            </w:r>
            <w:r>
              <w:rPr>
                <w:b w:val="0"/>
                <w:sz w:val="18"/>
              </w:rPr>
              <w:t xml:space="preserve">). Written claim notice must be given within that period, with reasonable specificity as to the nature and </w:t>
            </w:r>
            <w:r>
              <w:rPr>
                <w:b/>
                <w:sz w:val="18"/>
              </w:rPr>
              <w:t>estimated cost</w:t>
            </w:r>
            <w:r>
              <w:rPr>
                <w:b w:val="0"/>
                <w:sz w:val="18"/>
              </w:rPr>
              <w:t xml:space="preserve"> of the condition. → Flag 3</w:t>
            </w:r>
          </w:p>
        </w:tc>
      </w:tr>
      <w:tr>
        <w:tc>
          <w:tcPr>
            <w:tcW w:type="dxa" w:w="2088"/>
          </w:tcPr>
          <w:p>
            <w:pPr>
              <w:spacing w:after="20"/>
            </w:pPr>
            <w:r>
              <w:rPr>
                <w:sz w:val="18"/>
              </w:rPr>
            </w:r>
            <w:r>
              <w:rPr>
                <w:b w:val="0"/>
                <w:sz w:val="18"/>
              </w:rPr>
              <w:t>Phase I findings (context)</w:t>
            </w:r>
          </w:p>
        </w:tc>
        <w:tc>
          <w:tcPr>
            <w:tcW w:type="dxa" w:w="1224"/>
          </w:tcPr>
          <w:p>
            <w:pPr>
              <w:spacing w:after="20"/>
            </w:pPr>
            <w:r>
              <w:rPr>
                <w:sz w:val="18"/>
              </w:rPr>
            </w:r>
            <w:r>
              <w:rPr>
                <w:b w:val="0"/>
                <w:sz w:val="18"/>
              </w:rPr>
              <w:t>Phase I §§3, 6–7</w:t>
            </w:r>
          </w:p>
        </w:tc>
        <w:tc>
          <w:tcPr>
            <w:tcW w:type="dxa" w:w="6624"/>
          </w:tcPr>
          <w:p>
            <w:pPr>
              <w:spacing w:after="20"/>
            </w:pPr>
            <w:r>
              <w:rPr>
                <w:sz w:val="18"/>
              </w:rPr>
            </w:r>
            <w:r>
              <w:rPr>
                <w:b w:val="0"/>
                <w:sz w:val="18"/>
              </w:rPr>
              <w:t xml:space="preserve">One REC (REC-1): PCE groundwater migration from the former Reston Village Cleaners (operated 1985–2003) on adjoining Tax Map Parcel 0264-01-0019, southwest of the site. DEQ VRP File VRP-00487: about 200 cy of soil removed in 2005; Certificate of Satisfactory Completion in March 2006 covering the adjacent parcel </w:t>
            </w:r>
            <w:r>
              <w:rPr>
                <w:b/>
                <w:sz w:val="18"/>
              </w:rPr>
              <w:t>only</w:t>
            </w:r>
            <w:r>
              <w:rPr>
                <w:b w:val="0"/>
                <w:sz w:val="18"/>
              </w:rPr>
              <w:t>. Groundwater PCE up to 87 µg/L versus a 5 µg/L standard. The DEQ letter notes that impacts “may extend beyond the boundaries” and that further investigation “may be warranted.” Building C is cross-gradient to slightly downgradient. There has been no soil, groundwater or indoor-air testing at the Property. Vapor intrusion is flagged as a business environmental risk. Recommended: a Phase II ($45,000–$65,000; at least 3 monitoring wells, VOC analysis by EPA 8260, sub-slab soil gas at Building C, and indoor air as warranted) and a DEQ FOIA request for the full VRP file. No CRECs or HRECs. No ACM, LBP or PCB concerns.</w:t>
            </w:r>
          </w:p>
        </w:tc>
      </w:tr>
    </w:tbl>
    <w:p>
      <w:pPr>
        <w:spacing w:after="40"/>
      </w:pPr>
    </w:p>
    <w:p>
      <w:pPr>
        <w:pStyle w:val="Heading2"/>
      </w:pPr>
      <w:r>
        <w:t>11. Closing Conditions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Buyer’s conditions</w:t>
            </w:r>
          </w:p>
        </w:tc>
        <w:tc>
          <w:tcPr>
            <w:tcW w:type="dxa" w:w="1224"/>
          </w:tcPr>
          <w:p>
            <w:pPr>
              <w:spacing w:after="20"/>
            </w:pPr>
            <w:r>
              <w:rPr>
                <w:sz w:val="18"/>
              </w:rPr>
            </w:r>
            <w:r>
              <w:rPr>
                <w:b w:val="0"/>
                <w:sz w:val="18"/>
              </w:rPr>
              <w:t>§9.1(a)–(i)</w:t>
            </w:r>
          </w:p>
        </w:tc>
        <w:tc>
          <w:tcPr>
            <w:tcW w:type="dxa" w:w="6624"/>
          </w:tcPr>
          <w:p>
            <w:pPr>
              <w:spacing w:after="20"/>
            </w:pPr>
            <w:r>
              <w:rPr>
                <w:sz w:val="18"/>
              </w:rPr>
            </w:r>
            <w:r>
              <w:rPr>
                <w:b w:val="0"/>
                <w:sz w:val="18"/>
              </w:rPr>
              <w:t>(a) Seller reps true in all material respects, confirmed by the Seller’s Closing Certificate; (b) Seller covenants performed; (c) Title Company ready to issue the §5.4 owner’s policy; (d) no material adverse change in physical condition (other than casualty/condemnation under Art. XI or ordinary wear and tear); (e) estoppels per §9.3; (f) SNDAs “required by §9.4” (but see §9.4: SNDAs are not a condition); (g) no condemnation commenced or threatened in writing; (h) Financing Contingency satisfied or waived; (i) Seller Closing Deliverables delivered (§13.2). → Flags 10, 14</w:t>
            </w:r>
          </w:p>
        </w:tc>
      </w:tr>
      <w:tr>
        <w:tc>
          <w:tcPr>
            <w:tcW w:type="dxa" w:w="2088"/>
          </w:tcPr>
          <w:p>
            <w:pPr>
              <w:spacing w:after="20"/>
            </w:pPr>
            <w:r>
              <w:rPr>
                <w:sz w:val="18"/>
              </w:rPr>
            </w:r>
            <w:r>
              <w:rPr>
                <w:b w:val="0"/>
                <w:sz w:val="18"/>
              </w:rPr>
              <w:t>Seller’s conditions</w:t>
            </w:r>
          </w:p>
        </w:tc>
        <w:tc>
          <w:tcPr>
            <w:tcW w:type="dxa" w:w="1224"/>
          </w:tcPr>
          <w:p>
            <w:pPr>
              <w:spacing w:after="20"/>
            </w:pPr>
            <w:r>
              <w:rPr>
                <w:sz w:val="18"/>
              </w:rPr>
            </w:r>
            <w:r>
              <w:rPr>
                <w:b w:val="0"/>
                <w:sz w:val="18"/>
              </w:rPr>
              <w:t>§9.2(a)–(c)</w:t>
            </w:r>
          </w:p>
        </w:tc>
        <w:tc>
          <w:tcPr>
            <w:tcW w:type="dxa" w:w="6624"/>
          </w:tcPr>
          <w:p>
            <w:pPr>
              <w:spacing w:after="20"/>
            </w:pPr>
            <w:r>
              <w:rPr>
                <w:sz w:val="18"/>
              </w:rPr>
            </w:r>
            <w:r>
              <w:rPr>
                <w:b w:val="0"/>
                <w:sz w:val="18"/>
              </w:rPr>
              <w:t>Buyer reps true in all material respects; Buyer covenants performed; Purchase Price (as adjusted) and Buyer deliverables (§13.3) delivered.</w:t>
            </w:r>
          </w:p>
        </w:tc>
      </w:tr>
      <w:tr>
        <w:tc>
          <w:tcPr>
            <w:tcW w:type="dxa" w:w="2088"/>
          </w:tcPr>
          <w:p>
            <w:pPr>
              <w:spacing w:after="20"/>
            </w:pPr>
            <w:r>
              <w:rPr>
                <w:sz w:val="18"/>
              </w:rPr>
            </w:r>
            <w:r>
              <w:rPr>
                <w:b w:val="0"/>
                <w:sz w:val="18"/>
              </w:rPr>
              <w:t>Remedy for failed condition</w:t>
            </w:r>
          </w:p>
        </w:tc>
        <w:tc>
          <w:tcPr>
            <w:tcW w:type="dxa" w:w="1224"/>
          </w:tcPr>
          <w:p>
            <w:pPr>
              <w:spacing w:after="20"/>
            </w:pPr>
            <w:r>
              <w:rPr>
                <w:sz w:val="18"/>
              </w:rPr>
            </w:r>
            <w:r>
              <w:rPr>
                <w:b w:val="0"/>
                <w:sz w:val="18"/>
              </w:rPr>
              <w:t>—</w:t>
            </w:r>
          </w:p>
        </w:tc>
        <w:tc>
          <w:tcPr>
            <w:tcW w:type="dxa" w:w="6624"/>
          </w:tcPr>
          <w:p>
            <w:pPr>
              <w:spacing w:after="20"/>
            </w:pPr>
            <w:r>
              <w:rPr>
                <w:sz w:val="18"/>
              </w:rPr>
            </w:r>
            <w:r>
              <w:rPr>
                <w:b w:val="0"/>
                <w:sz w:val="18"/>
              </w:rPr>
              <w:t xml:space="preserve">There is </w:t>
            </w:r>
            <w:r>
              <w:rPr>
                <w:b/>
                <w:sz w:val="18"/>
              </w:rPr>
              <w:t>no general provision</w:t>
            </w:r>
            <w:r>
              <w:rPr>
                <w:b w:val="0"/>
                <w:sz w:val="18"/>
              </w:rPr>
              <w:t xml:space="preserve"> returning the Deposit when a Buyer condition fails for reasons other than Seller default (for example, §9.1(c) or §9.1(d)). → Flag 14</w:t>
            </w:r>
          </w:p>
        </w:tc>
      </w:tr>
    </w:tbl>
    <w:p>
      <w:pPr>
        <w:spacing w:after="40"/>
      </w:pPr>
    </w:p>
    <w:p>
      <w:pPr>
        <w:pStyle w:val="Heading2"/>
      </w:pPr>
      <w:r>
        <w:t>12. Tenant Estoppels and SNDAs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Estoppel requirement</w:t>
            </w:r>
          </w:p>
        </w:tc>
        <w:tc>
          <w:tcPr>
            <w:tcW w:type="dxa" w:w="1224"/>
          </w:tcPr>
          <w:p>
            <w:pPr>
              <w:spacing w:after="20"/>
            </w:pPr>
            <w:r>
              <w:rPr>
                <w:sz w:val="18"/>
              </w:rPr>
            </w:r>
            <w:r>
              <w:rPr>
                <w:b w:val="0"/>
                <w:sz w:val="18"/>
              </w:rPr>
              <w:t>§9.3; Ex. E</w:t>
            </w:r>
          </w:p>
        </w:tc>
        <w:tc>
          <w:tcPr>
            <w:tcW w:type="dxa" w:w="6624"/>
          </w:tcPr>
          <w:p>
            <w:pPr>
              <w:spacing w:after="20"/>
            </w:pPr>
            <w:r>
              <w:rPr>
                <w:sz w:val="18"/>
              </w:rPr>
            </w:r>
            <w:r>
              <w:rPr>
                <w:b w:val="0"/>
                <w:sz w:val="18"/>
              </w:rPr>
              <w:t xml:space="preserve">Seller uses commercially reasonable efforts to deliver estoppels, substantially in the Ex. E form (or the form required by the applicable Lease), from tenants occupying at least </w:t>
            </w:r>
            <w:r>
              <w:rPr>
                <w:b/>
                <w:sz w:val="18"/>
              </w:rPr>
              <w:t>80% of leased square footage</w:t>
            </w:r>
            <w:r>
              <w:rPr>
                <w:b w:val="0"/>
                <w:sz w:val="18"/>
              </w:rPr>
              <w:t xml:space="preserve">. On the Rent Roll that is </w:t>
            </w:r>
            <w:r>
              <w:rPr>
                <w:b/>
                <w:sz w:val="18"/>
              </w:rPr>
              <w:t>206,512 of 258,140 RSF</w:t>
            </w:r>
            <w:r>
              <w:rPr>
                <w:b w:val="0"/>
                <w:sz w:val="18"/>
              </w:rPr>
              <w:t xml:space="preserve">. Due </w:t>
            </w:r>
            <w:r>
              <w:rPr>
                <w:b/>
                <w:sz w:val="18"/>
              </w:rPr>
              <w:t>no later than 10 business days before Closing (Dec. 31, 2024)</w:t>
            </w:r>
            <w:r>
              <w:rPr>
                <w:b w:val="0"/>
                <w:sz w:val="18"/>
              </w:rPr>
              <w:t xml:space="preserve">. Receipt is a </w:t>
            </w:r>
            <w:r>
              <w:rPr>
                <w:b/>
                <w:sz w:val="18"/>
              </w:rPr>
              <w:t>closing condition</w:t>
            </w:r>
            <w:r>
              <w:rPr>
                <w:b w:val="0"/>
                <w:sz w:val="18"/>
              </w:rPr>
              <w:t>.</w:t>
            </w:r>
          </w:p>
        </w:tc>
      </w:tr>
      <w:tr>
        <w:tc>
          <w:tcPr>
            <w:tcW w:type="dxa" w:w="2088"/>
          </w:tcPr>
          <w:p>
            <w:pPr>
              <w:spacing w:after="20"/>
            </w:pPr>
            <w:r>
              <w:rPr>
                <w:sz w:val="18"/>
              </w:rPr>
            </w:r>
            <w:r>
              <w:rPr>
                <w:b w:val="0"/>
                <w:sz w:val="18"/>
              </w:rPr>
              <w:t>Estoppel failure remedies</w:t>
            </w:r>
          </w:p>
        </w:tc>
        <w:tc>
          <w:tcPr>
            <w:tcW w:type="dxa" w:w="1224"/>
          </w:tcPr>
          <w:p>
            <w:pPr>
              <w:spacing w:after="20"/>
            </w:pPr>
            <w:r>
              <w:rPr>
                <w:sz w:val="18"/>
              </w:rPr>
            </w:r>
            <w:r>
              <w:rPr>
                <w:b w:val="0"/>
                <w:sz w:val="18"/>
              </w:rPr>
              <w:t>§9.3</w:t>
            </w:r>
          </w:p>
        </w:tc>
        <w:tc>
          <w:tcPr>
            <w:tcW w:type="dxa" w:w="6624"/>
          </w:tcPr>
          <w:p>
            <w:pPr>
              <w:spacing w:after="20"/>
            </w:pPr>
            <w:r>
              <w:rPr>
                <w:sz w:val="18"/>
              </w:rPr>
            </w:r>
            <w:r>
              <w:rPr>
                <w:b w:val="0"/>
                <w:sz w:val="18"/>
              </w:rPr>
              <w:t xml:space="preserve">Buyer may (i) waive and close, (ii) extend Closing up to </w:t>
            </w:r>
            <w:r>
              <w:rPr>
                <w:b/>
                <w:sz w:val="18"/>
              </w:rPr>
              <w:t>15 calendar days</w:t>
            </w:r>
            <w:r>
              <w:rPr>
                <w:b w:val="0"/>
                <w:sz w:val="18"/>
              </w:rPr>
              <w:t xml:space="preserve">, or (iii) terminate, with the </w:t>
            </w:r>
            <w:r>
              <w:rPr>
                <w:b/>
                <w:sz w:val="18"/>
              </w:rPr>
              <w:t>full Deposit</w:t>
            </w:r>
            <w:r>
              <w:rPr>
                <w:b w:val="0"/>
                <w:sz w:val="18"/>
              </w:rPr>
              <w:t xml:space="preserve"> returned within 5 business days.</w:t>
            </w:r>
          </w:p>
        </w:tc>
      </w:tr>
      <w:tr>
        <w:tc>
          <w:tcPr>
            <w:tcW w:type="dxa" w:w="2088"/>
          </w:tcPr>
          <w:p>
            <w:pPr>
              <w:spacing w:after="20"/>
            </w:pPr>
            <w:r>
              <w:rPr>
                <w:sz w:val="18"/>
              </w:rPr>
            </w:r>
            <w:r>
              <w:rPr>
                <w:b w:val="0"/>
                <w:sz w:val="18"/>
              </w:rPr>
              <w:t>Estoppel form content</w:t>
            </w:r>
          </w:p>
        </w:tc>
        <w:tc>
          <w:tcPr>
            <w:tcW w:type="dxa" w:w="1224"/>
          </w:tcPr>
          <w:p>
            <w:pPr>
              <w:spacing w:after="20"/>
            </w:pPr>
            <w:r>
              <w:rPr>
                <w:sz w:val="18"/>
              </w:rPr>
            </w:r>
            <w:r>
              <w:rPr>
                <w:b w:val="0"/>
                <w:sz w:val="18"/>
              </w:rPr>
              <w:t>Ex. E</w:t>
            </w:r>
          </w:p>
        </w:tc>
        <w:tc>
          <w:tcPr>
            <w:tcW w:type="dxa" w:w="6624"/>
          </w:tcPr>
          <w:p>
            <w:pPr>
              <w:spacing w:after="20"/>
            </w:pPr>
            <w:r>
              <w:rPr>
                <w:sz w:val="18"/>
              </w:rPr>
            </w:r>
            <w:r>
              <w:rPr>
                <w:b w:val="0"/>
                <w:sz w:val="18"/>
              </w:rPr>
              <w:t xml:space="preserve">Addressed to “Calverley Capital Partners LLC,” Pinnacle National Bank and Commonwealth Title (reliance by Buyer, Lender, successors and assigns). Covers: lease, amendments and RSF; commencement and expiration dates; renewal options; monthly base rent and next escalation; security deposit; no tenant or landlord default; no offsets; </w:t>
            </w:r>
            <w:r>
              <w:rPr>
                <w:b/>
                <w:sz w:val="18"/>
              </w:rPr>
              <w:t>no purchase option/ROFR/ROFO</w:t>
            </w:r>
            <w:r>
              <w:rPr>
                <w:b w:val="0"/>
                <w:sz w:val="18"/>
              </w:rPr>
              <w:t>; no assignment or sublet; no rent prepaid more than 1 month; no disputes; outstanding TI and landlord work; entire agreement. → Flag 9</w:t>
            </w:r>
          </w:p>
        </w:tc>
      </w:tr>
      <w:tr>
        <w:tc>
          <w:tcPr>
            <w:tcW w:type="dxa" w:w="2088"/>
          </w:tcPr>
          <w:p>
            <w:pPr>
              <w:spacing w:after="20"/>
            </w:pPr>
            <w:r>
              <w:rPr>
                <w:sz w:val="18"/>
              </w:rPr>
            </w:r>
            <w:r>
              <w:rPr>
                <w:b w:val="0"/>
                <w:sz w:val="18"/>
              </w:rPr>
              <w:t>Minimum tenant math</w:t>
            </w:r>
          </w:p>
        </w:tc>
        <w:tc>
          <w:tcPr>
            <w:tcW w:type="dxa" w:w="1224"/>
          </w:tcPr>
          <w:p>
            <w:pPr>
              <w:spacing w:after="20"/>
            </w:pPr>
            <w:r>
              <w:rPr>
                <w:sz w:val="18"/>
              </w:rPr>
            </w:r>
            <w:r>
              <w:rPr>
                <w:b w:val="0"/>
                <w:sz w:val="18"/>
              </w:rPr>
              <w:t>Ex. F (computed)</w:t>
            </w:r>
          </w:p>
        </w:tc>
        <w:tc>
          <w:tcPr>
            <w:tcW w:type="dxa" w:w="6624"/>
          </w:tcPr>
          <w:p>
            <w:pPr>
              <w:spacing w:after="20"/>
            </w:pPr>
            <w:r>
              <w:rPr>
                <w:sz w:val="18"/>
              </w:rPr>
            </w:r>
            <w:r>
              <w:rPr>
                <w:b w:val="0"/>
                <w:sz w:val="18"/>
              </w:rPr>
              <w:t>The 80% threshold requires, at a minimum, the seven largest tenants: Valerian 62,400; NovaTech 38,500; Chesapeake 31,200; Athena 27,000; RedPoint 22,500; Ironclad 14,800; Pinnacle Ridge 12,200 = 208,600 RSF (80.8%). If more than 51,628 RSF of tenants fail to deliver, the condition fails.</w:t>
            </w:r>
          </w:p>
        </w:tc>
      </w:tr>
      <w:tr>
        <w:tc>
          <w:tcPr>
            <w:tcW w:type="dxa" w:w="2088"/>
          </w:tcPr>
          <w:p>
            <w:pPr>
              <w:spacing w:after="20"/>
            </w:pPr>
            <w:r>
              <w:rPr>
                <w:sz w:val="18"/>
              </w:rPr>
            </w:r>
            <w:r>
              <w:rPr>
                <w:b w:val="0"/>
                <w:sz w:val="18"/>
              </w:rPr>
              <w:t>SNDAs</w:t>
            </w:r>
          </w:p>
        </w:tc>
        <w:tc>
          <w:tcPr>
            <w:tcW w:type="dxa" w:w="1224"/>
          </w:tcPr>
          <w:p>
            <w:pPr>
              <w:spacing w:after="20"/>
            </w:pPr>
            <w:r>
              <w:rPr>
                <w:sz w:val="18"/>
              </w:rPr>
            </w:r>
            <w:r>
              <w:rPr>
                <w:b w:val="0"/>
                <w:sz w:val="18"/>
              </w:rPr>
              <w:t>§9.4; §13.2(o)</w:t>
            </w:r>
          </w:p>
        </w:tc>
        <w:tc>
          <w:tcPr>
            <w:tcW w:type="dxa" w:w="6624"/>
          </w:tcPr>
          <w:p>
            <w:pPr>
              <w:spacing w:after="20"/>
            </w:pPr>
            <w:r>
              <w:rPr>
                <w:sz w:val="18"/>
              </w:rPr>
            </w:r>
            <w:r>
              <w:rPr>
                <w:b w:val="0"/>
                <w:sz w:val="18"/>
              </w:rPr>
              <w:t xml:space="preserve">Seller uses commercially reasonable efforts to obtain SNDAs, in a form reasonably acceptable to Pinnacle National Bank, from each tenant occupying </w:t>
            </w:r>
            <w:r>
              <w:rPr>
                <w:b/>
                <w:sz w:val="18"/>
              </w:rPr>
              <w:t>more than 15,000 RSF</w:t>
            </w:r>
            <w:r>
              <w:rPr>
                <w:b w:val="0"/>
                <w:sz w:val="18"/>
              </w:rPr>
              <w:t xml:space="preserve">. Per Ex. F that is 5 tenants: Valerian (62,400), NovaTech (38,500), Chesapeake (31,200), Athena (27,000) and RedPoint (22,500), together 181,600 RSF (70.3%). Ironclad (14,800) falls just below. </w:t>
            </w:r>
            <w:r>
              <w:rPr>
                <w:b/>
                <w:sz w:val="18"/>
              </w:rPr>
              <w:t>Failure to obtain SNDAs is not a closing condition</w:t>
            </w:r>
            <w:r>
              <w:rPr>
                <w:b w:val="0"/>
                <w:sz w:val="18"/>
              </w:rPr>
              <w:t xml:space="preserve"> if Seller used commercially reasonable efforts and delivered the tenant correspondence. → Flag 10</w:t>
            </w:r>
          </w:p>
        </w:tc>
      </w:tr>
    </w:tbl>
    <w:p>
      <w:pPr>
        <w:spacing w:after="40"/>
      </w:pPr>
    </w:p>
    <w:p>
      <w:pPr>
        <w:pStyle w:val="Heading2"/>
      </w:pPr>
      <w:r>
        <w:t>13. Prorations and Adjustments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Proration Date</w:t>
            </w:r>
          </w:p>
        </w:tc>
        <w:tc>
          <w:tcPr>
            <w:tcW w:type="dxa" w:w="1224"/>
          </w:tcPr>
          <w:p>
            <w:pPr>
              <w:spacing w:after="20"/>
            </w:pPr>
            <w:r>
              <w:rPr>
                <w:sz w:val="18"/>
              </w:rPr>
            </w:r>
            <w:r>
              <w:rPr>
                <w:b w:val="0"/>
                <w:sz w:val="18"/>
              </w:rPr>
              <w:t>§6.1</w:t>
            </w:r>
          </w:p>
        </w:tc>
        <w:tc>
          <w:tcPr>
            <w:tcW w:type="dxa" w:w="6624"/>
          </w:tcPr>
          <w:p>
            <w:pPr>
              <w:spacing w:after="20"/>
            </w:pPr>
            <w:r>
              <w:rPr>
                <w:sz w:val="18"/>
              </w:rPr>
            </w:r>
            <w:r>
              <w:rPr>
                <w:b w:val="0"/>
                <w:sz w:val="18"/>
              </w:rPr>
              <w:t>11:59 p.m. ET on the day before Closing (Jan. 14, 2025 for a Jan. 15 Closing). Seller is responsible for and entitled to items through the Proration Date; Buyer from the Closing Date.</w:t>
            </w:r>
          </w:p>
        </w:tc>
      </w:tr>
      <w:tr>
        <w:tc>
          <w:tcPr>
            <w:tcW w:type="dxa" w:w="2088"/>
          </w:tcPr>
          <w:p>
            <w:pPr>
              <w:spacing w:after="20"/>
            </w:pPr>
            <w:r>
              <w:rPr>
                <w:sz w:val="18"/>
              </w:rPr>
            </w:r>
            <w:r>
              <w:rPr>
                <w:b w:val="0"/>
                <w:sz w:val="18"/>
              </w:rPr>
              <w:t>Rents</w:t>
            </w:r>
          </w:p>
        </w:tc>
        <w:tc>
          <w:tcPr>
            <w:tcW w:type="dxa" w:w="1224"/>
          </w:tcPr>
          <w:p>
            <w:pPr>
              <w:spacing w:after="20"/>
            </w:pPr>
            <w:r>
              <w:rPr>
                <w:sz w:val="18"/>
              </w:rPr>
            </w:r>
            <w:r>
              <w:rPr>
                <w:b w:val="0"/>
                <w:sz w:val="18"/>
              </w:rPr>
              <w:t>§6.1(a)</w:t>
            </w:r>
          </w:p>
        </w:tc>
        <w:tc>
          <w:tcPr>
            <w:tcW w:type="dxa" w:w="6624"/>
          </w:tcPr>
          <w:p>
            <w:pPr>
              <w:spacing w:after="20"/>
            </w:pPr>
            <w:r>
              <w:rPr>
                <w:sz w:val="18"/>
              </w:rPr>
            </w:r>
            <w:r>
              <w:rPr>
                <w:b w:val="0"/>
                <w:sz w:val="18"/>
              </w:rPr>
              <w:t>Base, additional and percentage rents are prorated. Buyer remits pre-Closing rents it collects within 15 days. Buyer uses commercially reasonable efforts to collect Seller’s delinquencies for 90 days (no obligation to sue). Post-Closing receipts are applied first to current amounts, then to delinquencies. → Flag 19</w:t>
            </w:r>
          </w:p>
        </w:tc>
      </w:tr>
      <w:tr>
        <w:tc>
          <w:tcPr>
            <w:tcW w:type="dxa" w:w="2088"/>
          </w:tcPr>
          <w:p>
            <w:pPr>
              <w:spacing w:after="20"/>
            </w:pPr>
            <w:r>
              <w:rPr>
                <w:sz w:val="18"/>
              </w:rPr>
            </w:r>
            <w:r>
              <w:rPr>
                <w:b w:val="0"/>
                <w:sz w:val="18"/>
              </w:rPr>
              <w:t>Real estate taxes</w:t>
            </w:r>
          </w:p>
        </w:tc>
        <w:tc>
          <w:tcPr>
            <w:tcW w:type="dxa" w:w="1224"/>
          </w:tcPr>
          <w:p>
            <w:pPr>
              <w:spacing w:after="20"/>
            </w:pPr>
            <w:r>
              <w:rPr>
                <w:sz w:val="18"/>
              </w:rPr>
            </w:r>
            <w:r>
              <w:rPr>
                <w:b w:val="0"/>
                <w:sz w:val="18"/>
              </w:rPr>
              <w:t>§6.1(b)</w:t>
            </w:r>
          </w:p>
        </w:tc>
        <w:tc>
          <w:tcPr>
            <w:tcW w:type="dxa" w:w="6624"/>
          </w:tcPr>
          <w:p>
            <w:pPr>
              <w:spacing w:after="20"/>
            </w:pPr>
            <w:r>
              <w:rPr>
                <w:sz w:val="18"/>
              </w:rPr>
            </w:r>
            <w:r>
              <w:rPr>
                <w:b w:val="0"/>
                <w:sz w:val="18"/>
              </w:rPr>
              <w:t>Prorated on the most recent bill. If the current bill has not issued, the prior-year bill is used and amounts are re-prorated within 90 days after the actual bill.</w:t>
            </w:r>
          </w:p>
        </w:tc>
      </w:tr>
      <w:tr>
        <w:tc>
          <w:tcPr>
            <w:tcW w:type="dxa" w:w="2088"/>
          </w:tcPr>
          <w:p>
            <w:pPr>
              <w:spacing w:after="20"/>
            </w:pPr>
            <w:r>
              <w:rPr>
                <w:sz w:val="18"/>
              </w:rPr>
            </w:r>
            <w:r>
              <w:rPr>
                <w:b w:val="0"/>
                <w:sz w:val="18"/>
              </w:rPr>
              <w:t>Opex / CAM</w:t>
            </w:r>
          </w:p>
        </w:tc>
        <w:tc>
          <w:tcPr>
            <w:tcW w:type="dxa" w:w="1224"/>
          </w:tcPr>
          <w:p>
            <w:pPr>
              <w:spacing w:after="20"/>
            </w:pPr>
            <w:r>
              <w:rPr>
                <w:sz w:val="18"/>
              </w:rPr>
            </w:r>
            <w:r>
              <w:rPr>
                <w:b w:val="0"/>
                <w:sz w:val="18"/>
              </w:rPr>
              <w:t>§6.1(c); §6.4</w:t>
            </w:r>
          </w:p>
        </w:tc>
        <w:tc>
          <w:tcPr>
            <w:tcW w:type="dxa" w:w="6624"/>
          </w:tcPr>
          <w:p>
            <w:pPr>
              <w:spacing w:after="20"/>
            </w:pPr>
            <w:r>
              <w:rPr>
                <w:sz w:val="18"/>
              </w:rPr>
            </w:r>
            <w:r>
              <w:rPr>
                <w:b w:val="0"/>
                <w:sz w:val="18"/>
              </w:rPr>
              <w:t>Prorated on actual receipts and accruals. Year-end tenant reconciliations are handled in a post-Closing reconciliation (§6.4).</w:t>
            </w:r>
          </w:p>
        </w:tc>
      </w:tr>
      <w:tr>
        <w:tc>
          <w:tcPr>
            <w:tcW w:type="dxa" w:w="2088"/>
          </w:tcPr>
          <w:p>
            <w:pPr>
              <w:spacing w:after="20"/>
            </w:pPr>
            <w:r>
              <w:rPr>
                <w:sz w:val="18"/>
              </w:rPr>
            </w:r>
            <w:r>
              <w:rPr>
                <w:b w:val="0"/>
                <w:sz w:val="18"/>
              </w:rPr>
              <w:t>Utilities</w:t>
            </w:r>
          </w:p>
        </w:tc>
        <w:tc>
          <w:tcPr>
            <w:tcW w:type="dxa" w:w="1224"/>
          </w:tcPr>
          <w:p>
            <w:pPr>
              <w:spacing w:after="20"/>
            </w:pPr>
            <w:r>
              <w:rPr>
                <w:sz w:val="18"/>
              </w:rPr>
            </w:r>
            <w:r>
              <w:rPr>
                <w:b w:val="0"/>
                <w:sz w:val="18"/>
              </w:rPr>
              <w:t>§6.1(d)</w:t>
            </w:r>
          </w:p>
        </w:tc>
        <w:tc>
          <w:tcPr>
            <w:tcW w:type="dxa" w:w="6624"/>
          </w:tcPr>
          <w:p>
            <w:pPr>
              <w:spacing w:after="20"/>
            </w:pPr>
            <w:r>
              <w:rPr>
                <w:sz w:val="18"/>
              </w:rPr>
            </w:r>
            <w:r>
              <w:rPr>
                <w:b w:val="0"/>
                <w:sz w:val="18"/>
              </w:rPr>
              <w:t>Prorated. Seller obtains final readings if reasonably possible; otherwise the last billing period is used, with re-proration.</w:t>
            </w:r>
          </w:p>
        </w:tc>
      </w:tr>
      <w:tr>
        <w:tc>
          <w:tcPr>
            <w:tcW w:type="dxa" w:w="2088"/>
          </w:tcPr>
          <w:p>
            <w:pPr>
              <w:spacing w:after="20"/>
            </w:pPr>
            <w:r>
              <w:rPr>
                <w:sz w:val="18"/>
              </w:rPr>
            </w:r>
            <w:r>
              <w:rPr>
                <w:b w:val="0"/>
                <w:sz w:val="18"/>
              </w:rPr>
              <w:t>Prepaid rents</w:t>
            </w:r>
          </w:p>
        </w:tc>
        <w:tc>
          <w:tcPr>
            <w:tcW w:type="dxa" w:w="1224"/>
          </w:tcPr>
          <w:p>
            <w:pPr>
              <w:spacing w:after="20"/>
            </w:pPr>
            <w:r>
              <w:rPr>
                <w:sz w:val="18"/>
              </w:rPr>
            </w:r>
            <w:r>
              <w:rPr>
                <w:b w:val="0"/>
                <w:sz w:val="18"/>
              </w:rPr>
              <w:t>§6.1(e)</w:t>
            </w:r>
          </w:p>
        </w:tc>
        <w:tc>
          <w:tcPr>
            <w:tcW w:type="dxa" w:w="6624"/>
          </w:tcPr>
          <w:p>
            <w:pPr>
              <w:spacing w:after="20"/>
            </w:pPr>
            <w:r>
              <w:rPr>
                <w:sz w:val="18"/>
              </w:rPr>
            </w:r>
            <w:r>
              <w:rPr>
                <w:b w:val="0"/>
                <w:sz w:val="18"/>
              </w:rPr>
              <w:t>Credited to Buyer.</w:t>
            </w:r>
          </w:p>
        </w:tc>
      </w:tr>
      <w:tr>
        <w:tc>
          <w:tcPr>
            <w:tcW w:type="dxa" w:w="2088"/>
          </w:tcPr>
          <w:p>
            <w:pPr>
              <w:spacing w:after="20"/>
            </w:pPr>
            <w:r>
              <w:rPr>
                <w:sz w:val="18"/>
              </w:rPr>
            </w:r>
            <w:r>
              <w:rPr>
                <w:b w:val="0"/>
                <w:sz w:val="18"/>
              </w:rPr>
              <w:t>Insurance</w:t>
            </w:r>
          </w:p>
        </w:tc>
        <w:tc>
          <w:tcPr>
            <w:tcW w:type="dxa" w:w="1224"/>
          </w:tcPr>
          <w:p>
            <w:pPr>
              <w:spacing w:after="20"/>
            </w:pPr>
            <w:r>
              <w:rPr>
                <w:sz w:val="18"/>
              </w:rPr>
            </w:r>
            <w:r>
              <w:rPr>
                <w:b w:val="0"/>
                <w:sz w:val="18"/>
              </w:rPr>
              <w:t>§6.1(f)</w:t>
            </w:r>
          </w:p>
        </w:tc>
        <w:tc>
          <w:tcPr>
            <w:tcW w:type="dxa" w:w="6624"/>
          </w:tcPr>
          <w:p>
            <w:pPr>
              <w:spacing w:after="20"/>
            </w:pPr>
            <w:r>
              <w:rPr>
                <w:sz w:val="18"/>
              </w:rPr>
            </w:r>
            <w:r>
              <w:rPr>
                <w:b w:val="0"/>
                <w:sz w:val="18"/>
              </w:rPr>
              <w:t>Not transferred; no proration. Buyer binds its own coverage effective at Closing.</w:t>
            </w:r>
          </w:p>
        </w:tc>
      </w:tr>
      <w:tr>
        <w:tc>
          <w:tcPr>
            <w:tcW w:type="dxa" w:w="2088"/>
          </w:tcPr>
          <w:p>
            <w:pPr>
              <w:spacing w:after="20"/>
            </w:pPr>
            <w:r>
              <w:rPr>
                <w:sz w:val="18"/>
              </w:rPr>
            </w:r>
            <w:r>
              <w:rPr>
                <w:b w:val="0"/>
                <w:sz w:val="18"/>
              </w:rPr>
              <w:t>Service Contracts</w:t>
            </w:r>
          </w:p>
        </w:tc>
        <w:tc>
          <w:tcPr>
            <w:tcW w:type="dxa" w:w="1224"/>
          </w:tcPr>
          <w:p>
            <w:pPr>
              <w:spacing w:after="20"/>
            </w:pPr>
            <w:r>
              <w:rPr>
                <w:sz w:val="18"/>
              </w:rPr>
            </w:r>
            <w:r>
              <w:rPr>
                <w:b w:val="0"/>
                <w:sz w:val="18"/>
              </w:rPr>
              <w:t>§6.1(g)</w:t>
            </w:r>
          </w:p>
        </w:tc>
        <w:tc>
          <w:tcPr>
            <w:tcW w:type="dxa" w:w="6624"/>
          </w:tcPr>
          <w:p>
            <w:pPr>
              <w:spacing w:after="20"/>
            </w:pPr>
            <w:r>
              <w:rPr>
                <w:sz w:val="18"/>
              </w:rPr>
            </w:r>
            <w:r>
              <w:rPr>
                <w:b w:val="0"/>
                <w:sz w:val="18"/>
              </w:rPr>
              <w:t>Assumed contracts are prorated.</w:t>
            </w:r>
          </w:p>
        </w:tc>
      </w:tr>
      <w:tr>
        <w:tc>
          <w:tcPr>
            <w:tcW w:type="dxa" w:w="2088"/>
          </w:tcPr>
          <w:p>
            <w:pPr>
              <w:spacing w:after="20"/>
            </w:pPr>
            <w:r>
              <w:rPr>
                <w:sz w:val="18"/>
              </w:rPr>
            </w:r>
            <w:r>
              <w:rPr>
                <w:b w:val="0"/>
                <w:sz w:val="18"/>
              </w:rPr>
              <w:t>Security deposits</w:t>
            </w:r>
          </w:p>
        </w:tc>
        <w:tc>
          <w:tcPr>
            <w:tcW w:type="dxa" w:w="1224"/>
          </w:tcPr>
          <w:p>
            <w:pPr>
              <w:spacing w:after="20"/>
            </w:pPr>
            <w:r>
              <w:rPr>
                <w:sz w:val="18"/>
              </w:rPr>
            </w:r>
            <w:r>
              <w:rPr>
                <w:b w:val="0"/>
                <w:sz w:val="18"/>
              </w:rPr>
              <w:t>§6.2</w:t>
            </w:r>
          </w:p>
        </w:tc>
        <w:tc>
          <w:tcPr>
            <w:tcW w:type="dxa" w:w="6624"/>
          </w:tcPr>
          <w:p>
            <w:pPr>
              <w:spacing w:after="20"/>
            </w:pPr>
            <w:r>
              <w:rPr>
                <w:sz w:val="18"/>
              </w:rPr>
            </w:r>
            <w:r>
              <w:rPr>
                <w:b w:val="0"/>
                <w:sz w:val="18"/>
              </w:rPr>
              <w:t xml:space="preserve">Credit to Buyer of all deposits plus required interest: </w:t>
            </w:r>
            <w:r>
              <w:rPr>
                <w:b/>
                <w:sz w:val="18"/>
              </w:rPr>
              <w:t>$487,320.00</w:t>
            </w:r>
            <w:r>
              <w:rPr>
                <w:b w:val="0"/>
                <w:sz w:val="18"/>
              </w:rPr>
              <w:t xml:space="preserve"> as of the Effective Date (Ex. F).</w:t>
            </w:r>
          </w:p>
        </w:tc>
      </w:tr>
      <w:tr>
        <w:tc>
          <w:tcPr>
            <w:tcW w:type="dxa" w:w="2088"/>
          </w:tcPr>
          <w:p>
            <w:pPr>
              <w:spacing w:after="20"/>
            </w:pPr>
            <w:r>
              <w:rPr>
                <w:sz w:val="18"/>
              </w:rPr>
            </w:r>
            <w:r>
              <w:rPr>
                <w:b w:val="0"/>
                <w:sz w:val="18"/>
              </w:rPr>
              <w:t>TI / leasing commissions</w:t>
            </w:r>
          </w:p>
        </w:tc>
        <w:tc>
          <w:tcPr>
            <w:tcW w:type="dxa" w:w="1224"/>
          </w:tcPr>
          <w:p>
            <w:pPr>
              <w:spacing w:after="20"/>
            </w:pPr>
            <w:r>
              <w:rPr>
                <w:sz w:val="18"/>
              </w:rPr>
            </w:r>
            <w:r>
              <w:rPr>
                <w:b w:val="0"/>
                <w:sz w:val="18"/>
              </w:rPr>
              <w:t>§6.3</w:t>
            </w:r>
          </w:p>
        </w:tc>
        <w:tc>
          <w:tcPr>
            <w:tcW w:type="dxa" w:w="6624"/>
          </w:tcPr>
          <w:p>
            <w:pPr>
              <w:spacing w:after="20"/>
            </w:pPr>
            <w:r>
              <w:rPr>
                <w:sz w:val="18"/>
              </w:rPr>
            </w:r>
            <w:r>
              <w:rPr>
                <w:b w:val="0"/>
                <w:sz w:val="18"/>
              </w:rPr>
              <w:t xml:space="preserve">Seller is responsible for TI/LC outstanding as of the Effective Date, about </w:t>
            </w:r>
            <w:r>
              <w:rPr>
                <w:b/>
                <w:sz w:val="18"/>
              </w:rPr>
              <w:t>$1,235,000.00</w:t>
            </w:r>
            <w:r>
              <w:rPr>
                <w:b w:val="0"/>
                <w:sz w:val="18"/>
              </w:rPr>
              <w:t xml:space="preserve">, credited to Buyer: CrestLine $485,000 (TI); Clearview $396,000 (TI + LC); Garrison &amp; Holt $354,000 (TI + LC). Buyer bears TI/LC for new leases, renewals or modifications made after the Effective Date </w:t>
            </w:r>
            <w:r>
              <w:rPr>
                <w:b/>
                <w:sz w:val="18"/>
              </w:rPr>
              <w:t>with Buyer’s prior written consent</w:t>
            </w:r>
            <w:r>
              <w:rPr>
                <w:b w:val="0"/>
                <w:sz w:val="18"/>
              </w:rPr>
              <w:t>. → Flags 7, 19</w:t>
            </w:r>
          </w:p>
        </w:tc>
      </w:tr>
      <w:tr>
        <w:tc>
          <w:tcPr>
            <w:tcW w:type="dxa" w:w="2088"/>
          </w:tcPr>
          <w:p>
            <w:pPr>
              <w:spacing w:after="20"/>
            </w:pPr>
            <w:r>
              <w:rPr>
                <w:sz w:val="18"/>
              </w:rPr>
            </w:r>
            <w:r>
              <w:rPr>
                <w:b w:val="0"/>
                <w:sz w:val="18"/>
              </w:rPr>
              <w:t>Post-closing reconciliation</w:t>
            </w:r>
          </w:p>
        </w:tc>
        <w:tc>
          <w:tcPr>
            <w:tcW w:type="dxa" w:w="1224"/>
          </w:tcPr>
          <w:p>
            <w:pPr>
              <w:spacing w:after="20"/>
            </w:pPr>
            <w:r>
              <w:rPr>
                <w:sz w:val="18"/>
              </w:rPr>
            </w:r>
            <w:r>
              <w:rPr>
                <w:b w:val="0"/>
                <w:sz w:val="18"/>
              </w:rPr>
              <w:t>§6.4</w:t>
            </w:r>
          </w:p>
        </w:tc>
        <w:tc>
          <w:tcPr>
            <w:tcW w:type="dxa" w:w="6624"/>
          </w:tcPr>
          <w:p>
            <w:pPr>
              <w:spacing w:after="20"/>
            </w:pPr>
            <w:r>
              <w:rPr>
                <w:sz w:val="18"/>
              </w:rPr>
            </w:r>
            <w:r>
              <w:rPr>
                <w:b w:val="0"/>
                <w:sz w:val="18"/>
              </w:rPr>
              <w:t>Final reconciliation within 90 days after Closing. Seller’s cooperation survives 90 days (</w:t>
            </w:r>
            <w:r>
              <w:rPr>
                <w:b/>
                <w:sz w:val="18"/>
              </w:rPr>
              <w:t>through Apr. 15, 2025</w:t>
            </w:r>
            <w:r>
              <w:rPr>
                <w:b w:val="0"/>
                <w:sz w:val="18"/>
              </w:rPr>
              <w:t>).</w:t>
            </w:r>
          </w:p>
        </w:tc>
      </w:tr>
    </w:tbl>
    <w:p>
      <w:pPr>
        <w:spacing w:after="40"/>
      </w:pPr>
    </w:p>
    <w:p>
      <w:pPr>
        <w:pStyle w:val="Heading2"/>
      </w:pPr>
      <w:r>
        <w:t>14. Casualty and Condemnation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Material Casualty</w:t>
            </w:r>
          </w:p>
        </w:tc>
        <w:tc>
          <w:tcPr>
            <w:tcW w:type="dxa" w:w="1224"/>
          </w:tcPr>
          <w:p>
            <w:pPr>
              <w:spacing w:after="20"/>
            </w:pPr>
            <w:r>
              <w:rPr>
                <w:sz w:val="18"/>
              </w:rPr>
            </w:r>
            <w:r>
              <w:rPr>
                <w:b w:val="0"/>
                <w:sz w:val="18"/>
              </w:rPr>
              <w:t>§1.1; §11.1(a)</w:t>
            </w:r>
          </w:p>
        </w:tc>
        <w:tc>
          <w:tcPr>
            <w:tcW w:type="dxa" w:w="6624"/>
          </w:tcPr>
          <w:p>
            <w:pPr>
              <w:spacing w:after="20"/>
            </w:pPr>
            <w:r>
              <w:rPr>
                <w:sz w:val="18"/>
              </w:rPr>
            </w:r>
            <w:r>
              <w:rPr>
                <w:b w:val="0"/>
                <w:sz w:val="18"/>
              </w:rPr>
              <w:t xml:space="preserve">Damage of more than </w:t>
            </w:r>
            <w:r>
              <w:rPr>
                <w:b/>
                <w:sz w:val="18"/>
              </w:rPr>
              <w:t>$4,000,000</w:t>
            </w:r>
            <w:r>
              <w:rPr>
                <w:b w:val="0"/>
                <w:sz w:val="18"/>
              </w:rPr>
              <w:t xml:space="preserve"> (about 4.6% of price). Seller gives notice with a good-faith restoration estimate. Within 15 days, Buyer elects (i) to terminate with the </w:t>
            </w:r>
            <w:r>
              <w:rPr>
                <w:b/>
                <w:sz w:val="18"/>
              </w:rPr>
              <w:t>full Deposit</w:t>
            </w:r>
            <w:r>
              <w:rPr>
                <w:b w:val="0"/>
                <w:sz w:val="18"/>
              </w:rPr>
              <w:t xml:space="preserve"> returned or (ii) to close with an assignment of insurance proceeds (net of approved emergency repairs) plus a credit for the deductible. </w:t>
            </w:r>
            <w:r>
              <w:rPr>
                <w:b/>
                <w:sz w:val="18"/>
              </w:rPr>
              <w:t>Silence = election to close.</w:t>
            </w:r>
          </w:p>
        </w:tc>
      </w:tr>
      <w:tr>
        <w:tc>
          <w:tcPr>
            <w:tcW w:type="dxa" w:w="2088"/>
          </w:tcPr>
          <w:p>
            <w:pPr>
              <w:spacing w:after="20"/>
            </w:pPr>
            <w:r>
              <w:rPr>
                <w:sz w:val="18"/>
              </w:rPr>
            </w:r>
            <w:r>
              <w:rPr>
                <w:b w:val="0"/>
                <w:sz w:val="18"/>
              </w:rPr>
              <w:t>Non-Material Casualty</w:t>
            </w:r>
          </w:p>
        </w:tc>
        <w:tc>
          <w:tcPr>
            <w:tcW w:type="dxa" w:w="1224"/>
          </w:tcPr>
          <w:p>
            <w:pPr>
              <w:spacing w:after="20"/>
            </w:pPr>
            <w:r>
              <w:rPr>
                <w:sz w:val="18"/>
              </w:rPr>
            </w:r>
            <w:r>
              <w:rPr>
                <w:b w:val="0"/>
                <w:sz w:val="18"/>
              </w:rPr>
              <w:t>§11.1(b)</w:t>
            </w:r>
          </w:p>
        </w:tc>
        <w:tc>
          <w:tcPr>
            <w:tcW w:type="dxa" w:w="6624"/>
          </w:tcPr>
          <w:p>
            <w:pPr>
              <w:spacing w:after="20"/>
            </w:pPr>
            <w:r>
              <w:rPr>
                <w:sz w:val="18"/>
              </w:rPr>
            </w:r>
            <w:r>
              <w:rPr>
                <w:b w:val="0"/>
                <w:sz w:val="18"/>
              </w:rPr>
              <w:t>$4,000,000 or less: Buyer must close, with an assignment of proceeds plus a deductible credit. → Flag 26</w:t>
            </w:r>
          </w:p>
        </w:tc>
      </w:tr>
      <w:tr>
        <w:tc>
          <w:tcPr>
            <w:tcW w:type="dxa" w:w="2088"/>
          </w:tcPr>
          <w:p>
            <w:pPr>
              <w:spacing w:after="20"/>
            </w:pPr>
            <w:r>
              <w:rPr>
                <w:sz w:val="18"/>
              </w:rPr>
            </w:r>
            <w:r>
              <w:rPr>
                <w:b w:val="0"/>
                <w:sz w:val="18"/>
              </w:rPr>
              <w:t>Material Condemnation</w:t>
            </w:r>
          </w:p>
        </w:tc>
        <w:tc>
          <w:tcPr>
            <w:tcW w:type="dxa" w:w="1224"/>
          </w:tcPr>
          <w:p>
            <w:pPr>
              <w:spacing w:after="20"/>
            </w:pPr>
            <w:r>
              <w:rPr>
                <w:sz w:val="18"/>
              </w:rPr>
            </w:r>
            <w:r>
              <w:rPr>
                <w:b w:val="0"/>
                <w:sz w:val="18"/>
              </w:rPr>
              <w:t>§11.2(a)</w:t>
            </w:r>
          </w:p>
        </w:tc>
        <w:tc>
          <w:tcPr>
            <w:tcW w:type="dxa" w:w="6624"/>
          </w:tcPr>
          <w:p>
            <w:pPr>
              <w:spacing w:after="20"/>
            </w:pPr>
            <w:r>
              <w:rPr>
                <w:sz w:val="18"/>
              </w:rPr>
            </w:r>
            <w:r>
              <w:rPr>
                <w:b w:val="0"/>
                <w:sz w:val="18"/>
              </w:rPr>
              <w:t>A taking of more than 5% of land (</w:t>
            </w:r>
            <w:r>
              <w:rPr>
                <w:b/>
                <w:sz w:val="18"/>
              </w:rPr>
              <w:t>1.14 acres</w:t>
            </w:r>
            <w:r>
              <w:rPr>
                <w:b w:val="0"/>
                <w:sz w:val="18"/>
              </w:rPr>
              <w:t>), more than 5% of building area (</w:t>
            </w:r>
            <w:r>
              <w:rPr>
                <w:b/>
                <w:sz w:val="18"/>
              </w:rPr>
              <w:t>15,600 RSF</w:t>
            </w:r>
            <w:r>
              <w:rPr>
                <w:b w:val="0"/>
                <w:sz w:val="18"/>
              </w:rPr>
              <w:t>), material impairment of access, or loss of a material number of parking spaces. Within 15 days Buyer elects to terminate (full Deposit returned) or to close with an assignment of the award.</w:t>
            </w:r>
          </w:p>
        </w:tc>
      </w:tr>
      <w:tr>
        <w:tc>
          <w:tcPr>
            <w:tcW w:type="dxa" w:w="2088"/>
          </w:tcPr>
          <w:p>
            <w:pPr>
              <w:spacing w:after="20"/>
            </w:pPr>
            <w:r>
              <w:rPr>
                <w:sz w:val="18"/>
              </w:rPr>
            </w:r>
            <w:r>
              <w:rPr>
                <w:b w:val="0"/>
                <w:sz w:val="18"/>
              </w:rPr>
              <w:t>Non-Material Condemnation</w:t>
            </w:r>
          </w:p>
        </w:tc>
        <w:tc>
          <w:tcPr>
            <w:tcW w:type="dxa" w:w="1224"/>
          </w:tcPr>
          <w:p>
            <w:pPr>
              <w:spacing w:after="20"/>
            </w:pPr>
            <w:r>
              <w:rPr>
                <w:sz w:val="18"/>
              </w:rPr>
            </w:r>
            <w:r>
              <w:rPr>
                <w:b w:val="0"/>
                <w:sz w:val="18"/>
              </w:rPr>
              <w:t>§11.2(b)</w:t>
            </w:r>
          </w:p>
        </w:tc>
        <w:tc>
          <w:tcPr>
            <w:tcW w:type="dxa" w:w="6624"/>
          </w:tcPr>
          <w:p>
            <w:pPr>
              <w:spacing w:after="20"/>
            </w:pPr>
            <w:r>
              <w:rPr>
                <w:sz w:val="18"/>
              </w:rPr>
            </w:r>
            <w:r>
              <w:rPr>
                <w:b w:val="0"/>
                <w:sz w:val="18"/>
              </w:rPr>
              <w:t>Buyer must close, with an assignment of the award.</w:t>
            </w:r>
          </w:p>
        </w:tc>
      </w:tr>
    </w:tbl>
    <w:p>
      <w:pPr>
        <w:spacing w:after="40"/>
      </w:pPr>
    </w:p>
    <w:p>
      <w:pPr>
        <w:pStyle w:val="Heading2"/>
      </w:pPr>
      <w:r>
        <w:t>15. Default and Remedies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Buyer default</w:t>
            </w:r>
          </w:p>
        </w:tc>
        <w:tc>
          <w:tcPr>
            <w:tcW w:type="dxa" w:w="1224"/>
          </w:tcPr>
          <w:p>
            <w:pPr>
              <w:spacing w:after="20"/>
            </w:pPr>
            <w:r>
              <w:rPr>
                <w:sz w:val="18"/>
              </w:rPr>
            </w:r>
            <w:r>
              <w:rPr>
                <w:b w:val="0"/>
                <w:sz w:val="18"/>
              </w:rPr>
              <w:t>§12.1</w:t>
            </w:r>
          </w:p>
        </w:tc>
        <w:tc>
          <w:tcPr>
            <w:tcW w:type="dxa" w:w="6624"/>
          </w:tcPr>
          <w:p>
            <w:pPr>
              <w:spacing w:after="20"/>
            </w:pPr>
            <w:r>
              <w:rPr>
                <w:sz w:val="18"/>
              </w:rPr>
            </w:r>
            <w:r>
              <w:rPr>
                <w:b w:val="0"/>
                <w:sz w:val="18"/>
              </w:rPr>
              <w:t xml:space="preserve">A material default not cured within </w:t>
            </w:r>
            <w:r>
              <w:rPr>
                <w:b/>
                <w:sz w:val="18"/>
              </w:rPr>
              <w:t>5 business days</w:t>
            </w:r>
            <w:r>
              <w:rPr>
                <w:b w:val="0"/>
                <w:sz w:val="18"/>
              </w:rPr>
              <w:t xml:space="preserve"> after notice. Seller’s sole remedy is to terminate and keep the Deposit (</w:t>
            </w:r>
            <w:r>
              <w:rPr>
                <w:b/>
                <w:sz w:val="18"/>
              </w:rPr>
              <w:t>$3,500,000</w:t>
            </w:r>
            <w:r>
              <w:rPr>
                <w:b w:val="0"/>
                <w:sz w:val="18"/>
              </w:rPr>
              <w:t xml:space="preserve">) as liquidated damages, waiving specific performance and actual damages. Carve-outs: §4.3 indemnity and §15.8 confidentiality. If the default occurs </w:t>
            </w:r>
            <w:r>
              <w:rPr>
                <w:b/>
                <w:sz w:val="18"/>
              </w:rPr>
              <w:t>before the Additional Deposit is posted</w:t>
            </w:r>
            <w:r>
              <w:rPr>
                <w:b w:val="0"/>
                <w:sz w:val="18"/>
              </w:rPr>
              <w:t>, liquidated damages are limited to the Initial Deposit ($2,000,000).</w:t>
            </w:r>
          </w:p>
        </w:tc>
      </w:tr>
      <w:tr>
        <w:tc>
          <w:tcPr>
            <w:tcW w:type="dxa" w:w="2088"/>
          </w:tcPr>
          <w:p>
            <w:pPr>
              <w:spacing w:after="20"/>
            </w:pPr>
            <w:r>
              <w:rPr>
                <w:sz w:val="18"/>
              </w:rPr>
            </w:r>
            <w:r>
              <w:rPr>
                <w:b w:val="0"/>
                <w:sz w:val="18"/>
              </w:rPr>
              <w:t>Seller default</w:t>
            </w:r>
          </w:p>
        </w:tc>
        <w:tc>
          <w:tcPr>
            <w:tcW w:type="dxa" w:w="1224"/>
          </w:tcPr>
          <w:p>
            <w:pPr>
              <w:spacing w:after="20"/>
            </w:pPr>
            <w:r>
              <w:rPr>
                <w:sz w:val="18"/>
              </w:rPr>
            </w:r>
            <w:r>
              <w:rPr>
                <w:b w:val="0"/>
                <w:sz w:val="18"/>
              </w:rPr>
              <w:t>§12.2</w:t>
            </w:r>
          </w:p>
        </w:tc>
        <w:tc>
          <w:tcPr>
            <w:tcW w:type="dxa" w:w="6624"/>
          </w:tcPr>
          <w:p>
            <w:pPr>
              <w:spacing w:after="20"/>
            </w:pPr>
            <w:r>
              <w:rPr>
                <w:sz w:val="18"/>
              </w:rPr>
            </w:r>
            <w:r>
              <w:rPr>
                <w:b w:val="0"/>
                <w:sz w:val="18"/>
              </w:rPr>
              <w:t xml:space="preserve">A material default not cured within </w:t>
            </w:r>
            <w:r>
              <w:rPr>
                <w:b/>
                <w:sz w:val="18"/>
              </w:rPr>
              <w:t>10 business days</w:t>
            </w:r>
            <w:r>
              <w:rPr>
                <w:b w:val="0"/>
                <w:sz w:val="18"/>
              </w:rPr>
              <w:t xml:space="preserve"> after notice. Buyer’s sole remedies: (a) </w:t>
            </w:r>
            <w:r>
              <w:rPr>
                <w:b/>
                <w:sz w:val="18"/>
              </w:rPr>
              <w:t>specific performance</w:t>
            </w:r>
            <w:r>
              <w:rPr>
                <w:b w:val="0"/>
                <w:sz w:val="18"/>
              </w:rPr>
              <w:t xml:space="preserve">, with the action to be commenced within </w:t>
            </w:r>
            <w:r>
              <w:rPr>
                <w:b/>
                <w:sz w:val="18"/>
              </w:rPr>
              <w:t>60 days</w:t>
            </w:r>
            <w:r>
              <w:rPr>
                <w:b w:val="0"/>
                <w:sz w:val="18"/>
              </w:rPr>
              <w:t xml:space="preserve"> after the scheduled Closing Date (as extended), failing which Buyer is deemed to have elected (b); or (b) termination with the full Deposit returned plus reimbursement of documented out-of-pocket costs up to </w:t>
            </w:r>
            <w:r>
              <w:rPr>
                <w:b/>
                <w:sz w:val="18"/>
              </w:rPr>
              <w:t>$500,000</w:t>
            </w:r>
            <w:r>
              <w:rPr>
                <w:b w:val="0"/>
                <w:sz w:val="18"/>
              </w:rPr>
              <w:t xml:space="preserve">. If Seller’s default is </w:t>
            </w:r>
            <w:r>
              <w:rPr>
                <w:b/>
                <w:sz w:val="18"/>
              </w:rPr>
              <w:t>willful</w:t>
            </w:r>
            <w:r>
              <w:rPr>
                <w:b w:val="0"/>
                <w:sz w:val="18"/>
              </w:rPr>
              <w:t>, Buyer may also pursue actual damages without limitation. → Flag 15</w:t>
            </w:r>
          </w:p>
        </w:tc>
      </w:tr>
      <w:tr>
        <w:tc>
          <w:tcPr>
            <w:tcW w:type="dxa" w:w="2088"/>
          </w:tcPr>
          <w:p>
            <w:pPr>
              <w:spacing w:after="20"/>
            </w:pPr>
            <w:r>
              <w:rPr>
                <w:sz w:val="18"/>
              </w:rPr>
            </w:r>
            <w:r>
              <w:rPr>
                <w:b w:val="0"/>
                <w:sz w:val="18"/>
              </w:rPr>
              <w:t>Escrow disputes</w:t>
            </w:r>
          </w:p>
        </w:tc>
        <w:tc>
          <w:tcPr>
            <w:tcW w:type="dxa" w:w="1224"/>
          </w:tcPr>
          <w:p>
            <w:pPr>
              <w:spacing w:after="20"/>
            </w:pPr>
            <w:r>
              <w:rPr>
                <w:sz w:val="18"/>
              </w:rPr>
            </w:r>
            <w:r>
              <w:rPr>
                <w:b w:val="0"/>
                <w:sz w:val="18"/>
              </w:rPr>
              <w:t>§12.3</w:t>
            </w:r>
          </w:p>
        </w:tc>
        <w:tc>
          <w:tcPr>
            <w:tcW w:type="dxa" w:w="6624"/>
          </w:tcPr>
          <w:p>
            <w:pPr>
              <w:spacing w:after="20"/>
            </w:pPr>
            <w:r>
              <w:rPr>
                <w:sz w:val="18"/>
              </w:rPr>
            </w:r>
            <w:r>
              <w:rPr>
                <w:b w:val="0"/>
                <w:sz w:val="18"/>
              </w:rPr>
              <w:t>Escrow Agent may interplead the Deposit in a court of competent jurisdiction in Fairfax County. The prevailing party recovers attorneys’ fees.</w:t>
            </w:r>
          </w:p>
        </w:tc>
      </w:tr>
    </w:tbl>
    <w:p>
      <w:pPr>
        <w:spacing w:after="40"/>
      </w:pPr>
    </w:p>
    <w:p>
      <w:pPr>
        <w:pStyle w:val="Heading2"/>
      </w:pPr>
      <w:r>
        <w:t>16. Closing Mechanics, Deliverables, Costs and Extensions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Closing</w:t>
            </w:r>
          </w:p>
        </w:tc>
        <w:tc>
          <w:tcPr>
            <w:tcW w:type="dxa" w:w="1224"/>
          </w:tcPr>
          <w:p>
            <w:pPr>
              <w:spacing w:after="20"/>
            </w:pPr>
            <w:r>
              <w:rPr>
                <w:sz w:val="18"/>
              </w:rPr>
            </w:r>
            <w:r>
              <w:rPr>
                <w:b w:val="0"/>
                <w:sz w:val="18"/>
              </w:rPr>
              <w:t>§1.1; §13.1</w:t>
            </w:r>
          </w:p>
        </w:tc>
        <w:tc>
          <w:tcPr>
            <w:tcW w:type="dxa" w:w="6624"/>
          </w:tcPr>
          <w:p>
            <w:pPr>
              <w:spacing w:after="20"/>
            </w:pPr>
            <w:r>
              <w:rPr>
                <w:sz w:val="18"/>
              </w:rPr>
            </w:r>
            <w:r>
              <w:rPr>
                <w:b/>
                <w:sz w:val="18"/>
              </w:rPr>
              <w:t>January 15, 2025</w:t>
            </w:r>
            <w:r>
              <w:rPr>
                <w:b w:val="0"/>
                <w:sz w:val="18"/>
              </w:rPr>
              <w:t xml:space="preserve"> (100 days) at Commonwealth Title, Reston, or by escrow/mail-away. Time is of the essence.</w:t>
            </w:r>
          </w:p>
        </w:tc>
      </w:tr>
      <w:tr>
        <w:tc>
          <w:tcPr>
            <w:tcW w:type="dxa" w:w="2088"/>
          </w:tcPr>
          <w:p>
            <w:pPr>
              <w:spacing w:after="20"/>
            </w:pPr>
            <w:r>
              <w:rPr>
                <w:sz w:val="18"/>
              </w:rPr>
            </w:r>
            <w:r>
              <w:rPr>
                <w:b w:val="0"/>
                <w:sz w:val="18"/>
              </w:rPr>
              <w:t>Extensions</w:t>
            </w:r>
          </w:p>
        </w:tc>
        <w:tc>
          <w:tcPr>
            <w:tcW w:type="dxa" w:w="1224"/>
          </w:tcPr>
          <w:p>
            <w:pPr>
              <w:spacing w:after="20"/>
            </w:pPr>
            <w:r>
              <w:rPr>
                <w:sz w:val="18"/>
              </w:rPr>
            </w:r>
            <w:r>
              <w:rPr>
                <w:b w:val="0"/>
                <w:sz w:val="18"/>
              </w:rPr>
              <w:t>§1.1; §13.5</w:t>
            </w:r>
          </w:p>
        </w:tc>
        <w:tc>
          <w:tcPr>
            <w:tcW w:type="dxa" w:w="6624"/>
          </w:tcPr>
          <w:p>
            <w:pPr>
              <w:spacing w:after="20"/>
            </w:pPr>
            <w:r>
              <w:rPr>
                <w:sz w:val="18"/>
              </w:rPr>
            </w:r>
            <w:r>
              <w:rPr>
                <w:b w:val="0"/>
                <w:sz w:val="18"/>
              </w:rPr>
              <w:t xml:space="preserve">If Closing does not occur on Jan. 15, 2025, </w:t>
            </w:r>
            <w:r>
              <w:rPr>
                <w:b/>
                <w:sz w:val="18"/>
              </w:rPr>
              <w:t>either party</w:t>
            </w:r>
            <w:r>
              <w:rPr>
                <w:b w:val="0"/>
                <w:sz w:val="18"/>
              </w:rPr>
              <w:t xml:space="preserve"> may extend to the Outside Closing Date of </w:t>
            </w:r>
            <w:r>
              <w:rPr>
                <w:b/>
                <w:sz w:val="18"/>
              </w:rPr>
              <w:t>Feb. 14, 2025</w:t>
            </w:r>
            <w:r>
              <w:rPr>
                <w:b w:val="0"/>
                <w:sz w:val="18"/>
              </w:rPr>
              <w:t xml:space="preserve"> by written notice (no notice deadline). Either party may extend </w:t>
            </w:r>
            <w:r>
              <w:rPr>
                <w:b/>
                <w:sz w:val="18"/>
              </w:rPr>
              <w:t>once</w:t>
            </w:r>
            <w:r>
              <w:rPr>
                <w:b w:val="0"/>
                <w:sz w:val="18"/>
              </w:rPr>
              <w:t xml:space="preserve"> more by 15 days (</w:t>
            </w:r>
            <w:r>
              <w:rPr>
                <w:b/>
                <w:sz w:val="18"/>
              </w:rPr>
              <w:t>to Mar. 1, 2025</w:t>
            </w:r>
            <w:r>
              <w:rPr>
                <w:b w:val="0"/>
                <w:sz w:val="18"/>
              </w:rPr>
              <w:t>) by notice at least 5 business days before the then-applicable closing date. No extension beyond Mar. 1, 2025. → Flag 13</w:t>
            </w:r>
          </w:p>
        </w:tc>
      </w:tr>
      <w:tr>
        <w:tc>
          <w:tcPr>
            <w:tcW w:type="dxa" w:w="2088"/>
          </w:tcPr>
          <w:p>
            <w:pPr>
              <w:spacing w:after="20"/>
            </w:pPr>
            <w:r>
              <w:rPr>
                <w:sz w:val="18"/>
              </w:rPr>
            </w:r>
            <w:r>
              <w:rPr>
                <w:b w:val="0"/>
                <w:sz w:val="18"/>
              </w:rPr>
              <w:t>Seller deliverables</w:t>
            </w:r>
          </w:p>
        </w:tc>
        <w:tc>
          <w:tcPr>
            <w:tcW w:type="dxa" w:w="1224"/>
          </w:tcPr>
          <w:p>
            <w:pPr>
              <w:spacing w:after="20"/>
            </w:pPr>
            <w:r>
              <w:rPr>
                <w:sz w:val="18"/>
              </w:rPr>
            </w:r>
            <w:r>
              <w:rPr>
                <w:b w:val="0"/>
                <w:sz w:val="18"/>
              </w:rPr>
              <w:t>§13.2(a)–(p)</w:t>
            </w:r>
          </w:p>
        </w:tc>
        <w:tc>
          <w:tcPr>
            <w:tcW w:type="dxa" w:w="6624"/>
          </w:tcPr>
          <w:p>
            <w:pPr>
              <w:spacing w:after="20"/>
            </w:pPr>
            <w:r>
              <w:rPr>
                <w:sz w:val="18"/>
              </w:rPr>
            </w:r>
            <w:r>
              <w:rPr>
                <w:b w:val="0"/>
                <w:sz w:val="18"/>
              </w:rPr>
              <w:t>Special warranty deed (Ex. C); bill of sale (free and clear); Assignment and Assumption of Leases (Ex. D); Assignment and Assumption of Service Contracts for Assumed Contracts (Ex. H); FIRPTA affidavit; owner’s affidavit; estoppels; tenant notice letters; certified updated Rent Roll; closing statement; Seller’s Closing Certificate; authority documents (LP agreement excerpts, SCC good standings for Seller and Meridian GP Inc., GP resolution); keys, codes and manuals; originals of Leases and Service Contracts; SNDAs obtained (if any); assignment of warranties.</w:t>
            </w:r>
          </w:p>
        </w:tc>
      </w:tr>
      <w:tr>
        <w:tc>
          <w:tcPr>
            <w:tcW w:type="dxa" w:w="2088"/>
          </w:tcPr>
          <w:p>
            <w:pPr>
              <w:spacing w:after="20"/>
            </w:pPr>
            <w:r>
              <w:rPr>
                <w:sz w:val="18"/>
              </w:rPr>
            </w:r>
            <w:r>
              <w:rPr>
                <w:b w:val="0"/>
                <w:sz w:val="18"/>
              </w:rPr>
              <w:t>Buyer deliverables</w:t>
            </w:r>
          </w:p>
        </w:tc>
        <w:tc>
          <w:tcPr>
            <w:tcW w:type="dxa" w:w="1224"/>
          </w:tcPr>
          <w:p>
            <w:pPr>
              <w:spacing w:after="20"/>
            </w:pPr>
            <w:r>
              <w:rPr>
                <w:sz w:val="18"/>
              </w:rPr>
            </w:r>
            <w:r>
              <w:rPr>
                <w:b w:val="0"/>
                <w:sz w:val="18"/>
              </w:rPr>
              <w:t>§13.3(a)–(f)</w:t>
            </w:r>
          </w:p>
        </w:tc>
        <w:tc>
          <w:tcPr>
            <w:tcW w:type="dxa" w:w="6624"/>
          </w:tcPr>
          <w:p>
            <w:pPr>
              <w:spacing w:after="20"/>
            </w:pPr>
            <w:r>
              <w:rPr>
                <w:sz w:val="18"/>
              </w:rPr>
            </w:r>
            <w:r>
              <w:rPr>
                <w:b w:val="0"/>
                <w:sz w:val="18"/>
              </w:rPr>
              <w:t>Net Purchase Price by wire; counterparts of Ex. D and Ex. H; closing statement; authority documents (certificate of formation, operating agreement excerpts, Delaware good standing); bring-down certificate for Buyer reps.</w:t>
            </w:r>
          </w:p>
        </w:tc>
      </w:tr>
      <w:tr>
        <w:tc>
          <w:tcPr>
            <w:tcW w:type="dxa" w:w="2088"/>
          </w:tcPr>
          <w:p>
            <w:pPr>
              <w:spacing w:after="20"/>
            </w:pPr>
            <w:r>
              <w:rPr>
                <w:sz w:val="18"/>
              </w:rPr>
            </w:r>
            <w:r>
              <w:rPr>
                <w:b w:val="0"/>
                <w:sz w:val="18"/>
              </w:rPr>
              <w:t>Seller costs</w:t>
            </w:r>
          </w:p>
        </w:tc>
        <w:tc>
          <w:tcPr>
            <w:tcW w:type="dxa" w:w="1224"/>
          </w:tcPr>
          <w:p>
            <w:pPr>
              <w:spacing w:after="20"/>
            </w:pPr>
            <w:r>
              <w:rPr>
                <w:sz w:val="18"/>
              </w:rPr>
            </w:r>
            <w:r>
              <w:rPr>
                <w:b w:val="0"/>
                <w:sz w:val="18"/>
              </w:rPr>
              <w:t>§13.4(a)</w:t>
            </w:r>
          </w:p>
        </w:tc>
        <w:tc>
          <w:tcPr>
            <w:tcW w:type="dxa" w:w="6624"/>
          </w:tcPr>
          <w:p>
            <w:pPr>
              <w:spacing w:after="20"/>
            </w:pPr>
            <w:r>
              <w:rPr>
                <w:sz w:val="18"/>
              </w:rPr>
            </w:r>
            <w:r>
              <w:rPr>
                <w:b w:val="0"/>
                <w:sz w:val="18"/>
              </w:rPr>
              <w:t>Virginia grantor’s tax; 1/2 of escrow/closing fees; deed preparation; Seller’s attorneys; all brokerage commissions.</w:t>
            </w:r>
          </w:p>
        </w:tc>
      </w:tr>
      <w:tr>
        <w:tc>
          <w:tcPr>
            <w:tcW w:type="dxa" w:w="2088"/>
          </w:tcPr>
          <w:p>
            <w:pPr>
              <w:spacing w:after="20"/>
            </w:pPr>
            <w:r>
              <w:rPr>
                <w:sz w:val="18"/>
              </w:rPr>
            </w:r>
            <w:r>
              <w:rPr>
                <w:b w:val="0"/>
                <w:sz w:val="18"/>
              </w:rPr>
              <w:t>Buyer costs</w:t>
            </w:r>
          </w:p>
        </w:tc>
        <w:tc>
          <w:tcPr>
            <w:tcW w:type="dxa" w:w="1224"/>
          </w:tcPr>
          <w:p>
            <w:pPr>
              <w:spacing w:after="20"/>
            </w:pPr>
            <w:r>
              <w:rPr>
                <w:sz w:val="18"/>
              </w:rPr>
            </w:r>
            <w:r>
              <w:rPr>
                <w:b w:val="0"/>
                <w:sz w:val="18"/>
              </w:rPr>
              <w:t>§13.4(b)</w:t>
            </w:r>
          </w:p>
        </w:tc>
        <w:tc>
          <w:tcPr>
            <w:tcW w:type="dxa" w:w="6624"/>
          </w:tcPr>
          <w:p>
            <w:pPr>
              <w:spacing w:after="20"/>
            </w:pPr>
            <w:r>
              <w:rPr>
                <w:sz w:val="18"/>
              </w:rPr>
            </w:r>
            <w:r>
              <w:rPr>
                <w:b w:val="0"/>
                <w:sz w:val="18"/>
              </w:rPr>
              <w:t>All recording fees and charges; all owner’s and loan title premiums and endorsements; survey; 1/2 of escrow/closing fees; Buyer’s attorneys; all financing costs (origination, appraisal, lender’s counsel). Other costs follow Fairfax County custom (§13.4(c)). → Flag 28</w:t>
            </w:r>
          </w:p>
        </w:tc>
      </w:tr>
      <w:tr>
        <w:tc>
          <w:tcPr>
            <w:tcW w:type="dxa" w:w="2088"/>
          </w:tcPr>
          <w:p>
            <w:pPr>
              <w:spacing w:after="20"/>
            </w:pPr>
            <w:r>
              <w:rPr>
                <w:sz w:val="18"/>
              </w:rPr>
            </w:r>
            <w:r>
              <w:rPr>
                <w:b w:val="0"/>
                <w:sz w:val="18"/>
              </w:rPr>
              <w:t>Post-closing cooperation</w:t>
            </w:r>
          </w:p>
        </w:tc>
        <w:tc>
          <w:tcPr>
            <w:tcW w:type="dxa" w:w="1224"/>
          </w:tcPr>
          <w:p>
            <w:pPr>
              <w:spacing w:after="20"/>
            </w:pPr>
            <w:r>
              <w:rPr>
                <w:sz w:val="18"/>
              </w:rPr>
            </w:r>
            <w:r>
              <w:rPr>
                <w:b w:val="0"/>
                <w:sz w:val="18"/>
              </w:rPr>
              <w:t>§15.12</w:t>
            </w:r>
          </w:p>
        </w:tc>
        <w:tc>
          <w:tcPr>
            <w:tcW w:type="dxa" w:w="6624"/>
          </w:tcPr>
          <w:p>
            <w:pPr>
              <w:spacing w:after="20"/>
            </w:pPr>
            <w:r>
              <w:rPr>
                <w:sz w:val="18"/>
              </w:rPr>
            </w:r>
            <w:r>
              <w:rPr>
                <w:b w:val="0"/>
                <w:sz w:val="18"/>
              </w:rPr>
              <w:t>90 days (through Apr. 15, 2025): transition cooperation, access to records and further assurances.</w:t>
            </w:r>
          </w:p>
        </w:tc>
      </w:tr>
    </w:tbl>
    <w:p>
      <w:pPr>
        <w:spacing w:after="40"/>
      </w:pPr>
    </w:p>
    <w:p>
      <w:pPr>
        <w:pStyle w:val="Heading2"/>
      </w:pPr>
      <w:r>
        <w:t>17. Assignment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General restriction</w:t>
            </w:r>
          </w:p>
        </w:tc>
        <w:tc>
          <w:tcPr>
            <w:tcW w:type="dxa" w:w="1224"/>
          </w:tcPr>
          <w:p>
            <w:pPr>
              <w:spacing w:after="20"/>
            </w:pPr>
            <w:r>
              <w:rPr>
                <w:sz w:val="18"/>
              </w:rPr>
            </w:r>
            <w:r>
              <w:rPr>
                <w:b w:val="0"/>
                <w:sz w:val="18"/>
              </w:rPr>
              <w:t>§14.1</w:t>
            </w:r>
          </w:p>
        </w:tc>
        <w:tc>
          <w:tcPr>
            <w:tcW w:type="dxa" w:w="6624"/>
          </w:tcPr>
          <w:p>
            <w:pPr>
              <w:spacing w:after="20"/>
            </w:pPr>
            <w:r>
              <w:rPr>
                <w:sz w:val="18"/>
              </w:rPr>
            </w:r>
            <w:r>
              <w:rPr>
                <w:b w:val="0"/>
                <w:sz w:val="18"/>
              </w:rPr>
              <w:t>No assignment without Seller’s prior written consent, except under §14.3.</w:t>
            </w:r>
          </w:p>
        </w:tc>
      </w:tr>
      <w:tr>
        <w:tc>
          <w:tcPr>
            <w:tcW w:type="dxa" w:w="2088"/>
          </w:tcPr>
          <w:p>
            <w:pPr>
              <w:spacing w:after="20"/>
            </w:pPr>
            <w:r>
              <w:rPr>
                <w:sz w:val="18"/>
              </w:rPr>
            </w:r>
            <w:r>
              <w:rPr>
                <w:b w:val="0"/>
                <w:sz w:val="18"/>
              </w:rPr>
              <w:t>Non-affiliate assignment</w:t>
            </w:r>
          </w:p>
        </w:tc>
        <w:tc>
          <w:tcPr>
            <w:tcW w:type="dxa" w:w="1224"/>
          </w:tcPr>
          <w:p>
            <w:pPr>
              <w:spacing w:after="20"/>
            </w:pPr>
            <w:r>
              <w:rPr>
                <w:sz w:val="18"/>
              </w:rPr>
            </w:r>
            <w:r>
              <w:rPr>
                <w:b w:val="0"/>
                <w:sz w:val="18"/>
              </w:rPr>
              <w:t>§14.2</w:t>
            </w:r>
          </w:p>
        </w:tc>
        <w:tc>
          <w:tcPr>
            <w:tcW w:type="dxa" w:w="6624"/>
          </w:tcPr>
          <w:p>
            <w:pPr>
              <w:spacing w:after="20"/>
            </w:pPr>
            <w:r>
              <w:rPr>
                <w:sz w:val="18"/>
              </w:rPr>
            </w:r>
            <w:r>
              <w:rPr>
                <w:b w:val="0"/>
                <w:sz w:val="18"/>
              </w:rPr>
              <w:t>Requires Seller consent, not to be unreasonably withheld, conditioned or delayed.</w:t>
            </w:r>
          </w:p>
        </w:tc>
      </w:tr>
      <w:tr>
        <w:tc>
          <w:tcPr>
            <w:tcW w:type="dxa" w:w="2088"/>
          </w:tcPr>
          <w:p>
            <w:pPr>
              <w:spacing w:after="20"/>
            </w:pPr>
            <w:r>
              <w:rPr>
                <w:sz w:val="18"/>
              </w:rPr>
            </w:r>
            <w:r>
              <w:rPr>
                <w:b w:val="0"/>
                <w:sz w:val="18"/>
              </w:rPr>
              <w:t>Affiliate assignment (no consent)</w:t>
            </w:r>
          </w:p>
        </w:tc>
        <w:tc>
          <w:tcPr>
            <w:tcW w:type="dxa" w:w="1224"/>
          </w:tcPr>
          <w:p>
            <w:pPr>
              <w:spacing w:after="20"/>
            </w:pPr>
            <w:r>
              <w:rPr>
                <w:sz w:val="18"/>
              </w:rPr>
            </w:r>
            <w:r>
              <w:rPr>
                <w:b w:val="0"/>
                <w:sz w:val="18"/>
              </w:rPr>
              <w:t>§14.3</w:t>
            </w:r>
          </w:p>
        </w:tc>
        <w:tc>
          <w:tcPr>
            <w:tcW w:type="dxa" w:w="6624"/>
          </w:tcPr>
          <w:p>
            <w:pPr>
              <w:spacing w:after="20"/>
            </w:pPr>
            <w:r>
              <w:rPr>
                <w:sz w:val="18"/>
              </w:rPr>
            </w:r>
            <w:r>
              <w:rPr>
                <w:b w:val="0"/>
                <w:sz w:val="18"/>
              </w:rPr>
              <w:t xml:space="preserve">Permitted to an “affiliate or designee” of Buyer if (a) Buyer gives notice </w:t>
            </w:r>
            <w:r>
              <w:rPr>
                <w:b/>
                <w:sz w:val="18"/>
              </w:rPr>
              <w:t>at least 10 business days before the Closing Date</w:t>
            </w:r>
            <w:r>
              <w:rPr>
                <w:b w:val="0"/>
                <w:sz w:val="18"/>
              </w:rPr>
              <w:t xml:space="preserve"> (Dec. 31, 2024 for a Jan. 15 Closing) together with the </w:t>
            </w:r>
            <w:r>
              <w:rPr>
                <w:b/>
                <w:sz w:val="18"/>
              </w:rPr>
              <w:t>fully executed</w:t>
            </w:r>
            <w:r>
              <w:rPr>
                <w:b w:val="0"/>
                <w:sz w:val="18"/>
              </w:rPr>
              <w:t xml:space="preserve"> assignment and assumption; (b) the assignee assumes all pre- and post-assignment obligations in writing; and (c) </w:t>
            </w:r>
            <w:r>
              <w:rPr>
                <w:b/>
                <w:sz w:val="18"/>
              </w:rPr>
              <w:t>Buyer remains jointly and severally liable</w:t>
            </w:r>
            <w:r>
              <w:rPr>
                <w:b w:val="0"/>
                <w:sz w:val="18"/>
              </w:rPr>
              <w:t xml:space="preserve"> with the assignee for all obligations, before and after Closing, including indemnities and surviving obligations. “Affiliate” means an entity that controls, is controlled by, or is under common control with Buyer. → Flag 11</w:t>
            </w:r>
          </w:p>
        </w:tc>
      </w:tr>
      <w:tr>
        <w:tc>
          <w:tcPr>
            <w:tcW w:type="dxa" w:w="2088"/>
          </w:tcPr>
          <w:p>
            <w:pPr>
              <w:spacing w:after="20"/>
            </w:pPr>
            <w:r>
              <w:rPr>
                <w:sz w:val="18"/>
              </w:rPr>
            </w:r>
            <w:r>
              <w:rPr>
                <w:b w:val="0"/>
                <w:sz w:val="18"/>
              </w:rPr>
              <w:t>Assignee recognized in documents</w:t>
            </w:r>
          </w:p>
        </w:tc>
        <w:tc>
          <w:tcPr>
            <w:tcW w:type="dxa" w:w="1224"/>
          </w:tcPr>
          <w:p>
            <w:pPr>
              <w:spacing w:after="20"/>
            </w:pPr>
            <w:r>
              <w:rPr>
                <w:sz w:val="18"/>
              </w:rPr>
            </w:r>
            <w:r>
              <w:rPr>
                <w:b w:val="0"/>
                <w:sz w:val="18"/>
              </w:rPr>
              <w:t>§5.4; §13.2(a)</w:t>
            </w:r>
          </w:p>
        </w:tc>
        <w:tc>
          <w:tcPr>
            <w:tcW w:type="dxa" w:w="6624"/>
          </w:tcPr>
          <w:p>
            <w:pPr>
              <w:spacing w:after="20"/>
            </w:pPr>
            <w:r>
              <w:rPr>
                <w:sz w:val="18"/>
              </w:rPr>
            </w:r>
            <w:r>
              <w:rPr>
                <w:b w:val="0"/>
                <w:sz w:val="18"/>
              </w:rPr>
              <w:t>Title policy and deed run to Buyer “or its assignee.” Exhibits C, D and H, however, name Bridgewater Capital Partners LLC as grantee/assignee.</w:t>
            </w:r>
          </w:p>
        </w:tc>
      </w:tr>
    </w:tbl>
    <w:p>
      <w:pPr>
        <w:spacing w:after="40"/>
      </w:pPr>
    </w:p>
    <w:p>
      <w:pPr>
        <w:pStyle w:val="Heading2"/>
      </w:pPr>
      <w:r>
        <w:t>18. Service Contracts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Assumption mechanics</w:t>
            </w:r>
          </w:p>
        </w:tc>
        <w:tc>
          <w:tcPr>
            <w:tcW w:type="dxa" w:w="1224"/>
          </w:tcPr>
          <w:p>
            <w:pPr>
              <w:spacing w:after="20"/>
            </w:pPr>
            <w:r>
              <w:rPr>
                <w:sz w:val="18"/>
              </w:rPr>
            </w:r>
            <w:r>
              <w:rPr>
                <w:b w:val="0"/>
                <w:sz w:val="18"/>
              </w:rPr>
              <w:t>§1.1; §2.2(e); §13.2(d); Ex. H</w:t>
            </w:r>
          </w:p>
        </w:tc>
        <w:tc>
          <w:tcPr>
            <w:tcW w:type="dxa" w:w="6624"/>
          </w:tcPr>
          <w:p>
            <w:pPr>
              <w:spacing w:after="20"/>
            </w:pPr>
            <w:r>
              <w:rPr>
                <w:sz w:val="18"/>
              </w:rPr>
            </w:r>
            <w:r>
              <w:rPr>
                <w:b w:val="0"/>
                <w:sz w:val="18"/>
              </w:rPr>
              <w:t>Only contracts Buyer designates as “Assumed Contracts” (Schedule 1 to Ex. H, to be completed during the DD Period) are assigned. Seller remains responsible for Excluded Contracts, including termination fees, and uses commercially reasonable efforts to terminate them at or before Closing (Ex. H ¶3). Seller indemnifies for pre-Closing obligations and Buyer for post-Closing obligations.</w:t>
            </w:r>
          </w:p>
        </w:tc>
      </w:tr>
      <w:tr>
        <w:tc>
          <w:tcPr>
            <w:tcW w:type="dxa" w:w="2088"/>
          </w:tcPr>
          <w:p>
            <w:pPr>
              <w:spacing w:after="20"/>
            </w:pPr>
            <w:r>
              <w:rPr>
                <w:sz w:val="18"/>
              </w:rPr>
            </w:r>
            <w:r>
              <w:rPr>
                <w:b w:val="0"/>
                <w:sz w:val="18"/>
              </w:rPr>
              <w:t>Non-terminable contracts</w:t>
            </w:r>
          </w:p>
        </w:tc>
        <w:tc>
          <w:tcPr>
            <w:tcW w:type="dxa" w:w="1224"/>
          </w:tcPr>
          <w:p>
            <w:pPr>
              <w:spacing w:after="20"/>
            </w:pPr>
            <w:r>
              <w:rPr>
                <w:sz w:val="18"/>
              </w:rPr>
            </w:r>
            <w:r>
              <w:rPr>
                <w:b w:val="0"/>
                <w:sz w:val="18"/>
              </w:rPr>
              <w:t>§7.1(h); Ex. G</w:t>
            </w:r>
          </w:p>
        </w:tc>
        <w:tc>
          <w:tcPr>
            <w:tcW w:type="dxa" w:w="6624"/>
          </w:tcPr>
          <w:p>
            <w:pPr>
              <w:spacing w:after="20"/>
            </w:pPr>
            <w:r>
              <w:rPr>
                <w:sz w:val="18"/>
              </w:rPr>
            </w:r>
            <w:r>
              <w:rPr>
                <w:b w:val="0"/>
                <w:sz w:val="18"/>
              </w:rPr>
              <w:t xml:space="preserve">(1) Apex Elevator Corp. (8 passenger and 2 freight elevators): $12,400/mo, $148,800/yr, expires </w:t>
            </w:r>
            <w:r>
              <w:rPr>
                <w:b/>
                <w:sz w:val="18"/>
              </w:rPr>
              <w:t>6/30/2026</w:t>
            </w:r>
            <w:r>
              <w:rPr>
                <w:b w:val="0"/>
                <w:sz w:val="18"/>
              </w:rPr>
              <w:t xml:space="preserve">. (2) Sentinel Fire Protection LLC: $3,200/mo, $38,400/yr, expires </w:t>
            </w:r>
            <w:r>
              <w:rPr>
                <w:b/>
                <w:sz w:val="18"/>
              </w:rPr>
              <w:t>12/31/2025</w:t>
            </w:r>
            <w:r>
              <w:rPr>
                <w:b w:val="0"/>
                <w:sz w:val="18"/>
              </w:rPr>
              <w:t xml:space="preserve">. (3) Metro Parking Solutions Inc. (garage management, 1,248 spaces): $18,500/mo, $222,000/yr, expires </w:t>
            </w:r>
            <w:r>
              <w:rPr>
                <w:b/>
                <w:sz w:val="18"/>
              </w:rPr>
              <w:t>3/31/2027</w:t>
            </w:r>
            <w:r>
              <w:rPr>
                <w:b w:val="0"/>
                <w:sz w:val="18"/>
              </w:rPr>
              <w:t xml:space="preserve">. Remaining commitment from Jan. 15, 2025 is about </w:t>
            </w:r>
            <w:r>
              <w:rPr>
                <w:b/>
                <w:sz w:val="18"/>
              </w:rPr>
              <w:t>$744,050</w:t>
            </w:r>
            <w:r>
              <w:rPr>
                <w:b w:val="0"/>
                <w:sz w:val="18"/>
              </w:rPr>
              <w:t xml:space="preserve"> ($217,000 + $36,800 + $490,250). → Flag 18</w:t>
            </w:r>
          </w:p>
        </w:tc>
      </w:tr>
      <w:tr>
        <w:tc>
          <w:tcPr>
            <w:tcW w:type="dxa" w:w="2088"/>
          </w:tcPr>
          <w:p>
            <w:pPr>
              <w:spacing w:after="20"/>
            </w:pPr>
            <w:r>
              <w:rPr>
                <w:sz w:val="18"/>
              </w:rPr>
            </w:r>
            <w:r>
              <w:rPr>
                <w:b w:val="0"/>
                <w:sz w:val="18"/>
              </w:rPr>
              <w:t>Terminable contracts</w:t>
            </w:r>
          </w:p>
        </w:tc>
        <w:tc>
          <w:tcPr>
            <w:tcW w:type="dxa" w:w="1224"/>
          </w:tcPr>
          <w:p>
            <w:pPr>
              <w:spacing w:after="20"/>
            </w:pPr>
            <w:r>
              <w:rPr>
                <w:sz w:val="18"/>
              </w:rPr>
            </w:r>
            <w:r>
              <w:rPr>
                <w:b w:val="0"/>
                <w:sz w:val="18"/>
              </w:rPr>
              <w:t>Ex. G</w:t>
            </w:r>
          </w:p>
        </w:tc>
        <w:tc>
          <w:tcPr>
            <w:tcW w:type="dxa" w:w="6624"/>
          </w:tcPr>
          <w:p>
            <w:pPr>
              <w:spacing w:after="20"/>
            </w:pPr>
            <w:r>
              <w:rPr>
                <w:sz w:val="18"/>
              </w:rPr>
            </w:r>
            <w:r>
              <w:rPr>
                <w:b w:val="0"/>
                <w:sz w:val="18"/>
              </w:rPr>
              <w:t>Greenscape Landscaping ($105,000/yr; 3/31/2025; 30 days); ProClean Janitorial ($271,200; 6/30/2025; 60 days); AirTech Mechanical ($81,600; 12/31/2025; 90 days); Brightline Electric ($40,800; 1/31/2026; 30 days); SecurePoint Security ($170,400; 9/30/2025; 60 days); ClearWater Plumbing ($25,200; 2/28/2026; 30 days); PeakView Window Cleaning (month-to-month; $19,200/yr; 30 days); Rooftop Systems ($5,600/yr; 5/31/2025; 30 days).</w:t>
            </w:r>
          </w:p>
        </w:tc>
      </w:tr>
      <w:tr>
        <w:tc>
          <w:tcPr>
            <w:tcW w:type="dxa" w:w="2088"/>
          </w:tcPr>
          <w:p>
            <w:pPr>
              <w:spacing w:after="20"/>
            </w:pPr>
            <w:r>
              <w:rPr>
                <w:sz w:val="18"/>
              </w:rPr>
            </w:r>
            <w:r>
              <w:rPr>
                <w:b w:val="0"/>
                <w:sz w:val="18"/>
              </w:rPr>
              <w:t>Total contract spend</w:t>
            </w:r>
          </w:p>
        </w:tc>
        <w:tc>
          <w:tcPr>
            <w:tcW w:type="dxa" w:w="1224"/>
          </w:tcPr>
          <w:p>
            <w:pPr>
              <w:spacing w:after="20"/>
            </w:pPr>
            <w:r>
              <w:rPr>
                <w:sz w:val="18"/>
              </w:rPr>
            </w:r>
            <w:r>
              <w:rPr>
                <w:b w:val="0"/>
                <w:sz w:val="18"/>
              </w:rPr>
              <w:t>Ex. G (computed)</w:t>
            </w:r>
          </w:p>
        </w:tc>
        <w:tc>
          <w:tcPr>
            <w:tcW w:type="dxa" w:w="6624"/>
          </w:tcPr>
          <w:p>
            <w:pPr>
              <w:spacing w:after="20"/>
            </w:pPr>
            <w:r>
              <w:rPr>
                <w:sz w:val="18"/>
              </w:rPr>
            </w:r>
            <w:r>
              <w:rPr>
                <w:b w:val="0"/>
                <w:sz w:val="18"/>
              </w:rPr>
              <w:t xml:space="preserve">About $1,128,200 per year across 11 contracts. </w:t>
            </w:r>
            <w:r>
              <w:rPr>
                <w:b/>
                <w:sz w:val="18"/>
              </w:rPr>
              <w:t>No property management agreement is listed.</w:t>
            </w:r>
            <w:r>
              <w:rPr>
                <w:b w:val="0"/>
                <w:sz w:val="18"/>
              </w:rPr>
              <w:t xml:space="preserve"> → Flag 23</w:t>
            </w:r>
          </w:p>
        </w:tc>
      </w:tr>
    </w:tbl>
    <w:p>
      <w:pPr>
        <w:spacing w:after="40"/>
      </w:pPr>
    </w:p>
    <w:p>
      <w:pPr>
        <w:pStyle w:val="Heading2"/>
      </w:pPr>
      <w:r>
        <w:t>19. Leases and Rent Roll (Exhibit F, as of September 15, 2024)</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Summary</w:t>
            </w:r>
          </w:p>
        </w:tc>
        <w:tc>
          <w:tcPr>
            <w:tcW w:type="dxa" w:w="1224"/>
          </w:tcPr>
          <w:p>
            <w:pPr>
              <w:spacing w:after="20"/>
            </w:pPr>
            <w:r>
              <w:rPr>
                <w:sz w:val="18"/>
              </w:rPr>
            </w:r>
            <w:r>
              <w:rPr>
                <w:b w:val="0"/>
                <w:sz w:val="18"/>
              </w:rPr>
              <w:t>Ex. F; §7.1(g)</w:t>
            </w:r>
          </w:p>
        </w:tc>
        <w:tc>
          <w:tcPr>
            <w:tcW w:type="dxa" w:w="6624"/>
          </w:tcPr>
          <w:p>
            <w:pPr>
              <w:spacing w:after="20"/>
            </w:pPr>
            <w:r>
              <w:rPr>
                <w:sz w:val="18"/>
              </w:rPr>
            </w:r>
            <w:r>
              <w:rPr>
                <w:b w:val="0"/>
                <w:sz w:val="18"/>
              </w:rPr>
              <w:t xml:space="preserve">14 tenants; 258,140 RSF leased of 312,000 (82.7%). Monthly base rent $725,657.67; </w:t>
            </w:r>
            <w:r>
              <w:rPr>
                <w:b/>
                <w:sz w:val="18"/>
              </w:rPr>
              <w:t>annual base rent $8,707,892</w:t>
            </w:r>
            <w:r>
              <w:rPr>
                <w:b w:val="0"/>
                <w:sz w:val="18"/>
              </w:rPr>
              <w:t xml:space="preserve"> (about $33.73/RSF leased). Security deposits $487,320. Outstanding TI/LC $1,235,000. Full tenant table in Appendix A.</w:t>
            </w:r>
          </w:p>
        </w:tc>
      </w:tr>
      <w:tr>
        <w:tc>
          <w:tcPr>
            <w:tcW w:type="dxa" w:w="2088"/>
          </w:tcPr>
          <w:p>
            <w:pPr>
              <w:spacing w:after="20"/>
            </w:pPr>
            <w:r>
              <w:rPr>
                <w:sz w:val="18"/>
              </w:rPr>
            </w:r>
            <w:r>
              <w:rPr>
                <w:b w:val="0"/>
                <w:sz w:val="18"/>
              </w:rPr>
              <w:t>Concentration</w:t>
            </w:r>
          </w:p>
        </w:tc>
        <w:tc>
          <w:tcPr>
            <w:tcW w:type="dxa" w:w="1224"/>
          </w:tcPr>
          <w:p>
            <w:pPr>
              <w:spacing w:after="20"/>
            </w:pPr>
            <w:r>
              <w:rPr>
                <w:sz w:val="18"/>
              </w:rPr>
            </w:r>
            <w:r>
              <w:rPr>
                <w:b w:val="0"/>
                <w:sz w:val="18"/>
              </w:rPr>
              <w:t>Ex. F</w:t>
            </w:r>
          </w:p>
        </w:tc>
        <w:tc>
          <w:tcPr>
            <w:tcW w:type="dxa" w:w="6624"/>
          </w:tcPr>
          <w:p>
            <w:pPr>
              <w:spacing w:after="20"/>
            </w:pPr>
            <w:r>
              <w:rPr>
                <w:sz w:val="18"/>
              </w:rPr>
            </w:r>
            <w:r>
              <w:rPr>
                <w:b w:val="0"/>
                <w:sz w:val="18"/>
              </w:rPr>
              <w:t>Valerian Defense Systems Inc. (government contractor; GSA-compliant space) leases 62,400 RSF (24.2% of leased RSF; $2,246,400/yr, about 25.8% of base rent) through 3/31/2029, with two 5-year renewal options. The top 5 tenants are 70.3% of leased RSF.</w:t>
            </w:r>
          </w:p>
        </w:tc>
      </w:tr>
      <w:tr>
        <w:tc>
          <w:tcPr>
            <w:tcW w:type="dxa" w:w="2088"/>
          </w:tcPr>
          <w:p>
            <w:pPr>
              <w:spacing w:after="20"/>
            </w:pPr>
            <w:r>
              <w:rPr>
                <w:sz w:val="18"/>
              </w:rPr>
            </w:r>
            <w:r>
              <w:rPr>
                <w:b w:val="0"/>
                <w:sz w:val="18"/>
              </w:rPr>
              <w:t>Rollover</w:t>
            </w:r>
          </w:p>
        </w:tc>
        <w:tc>
          <w:tcPr>
            <w:tcW w:type="dxa" w:w="1224"/>
          </w:tcPr>
          <w:p>
            <w:pPr>
              <w:spacing w:after="20"/>
            </w:pPr>
            <w:r>
              <w:rPr>
                <w:sz w:val="18"/>
              </w:rPr>
            </w:r>
            <w:r>
              <w:rPr>
                <w:b w:val="0"/>
                <w:sz w:val="18"/>
              </w:rPr>
              <w:t>Ex. F (computed)</w:t>
            </w:r>
          </w:p>
        </w:tc>
        <w:tc>
          <w:tcPr>
            <w:tcW w:type="dxa" w:w="6624"/>
          </w:tcPr>
          <w:p>
            <w:pPr>
              <w:spacing w:after="20"/>
            </w:pPr>
            <w:r>
              <w:rPr>
                <w:sz w:val="18"/>
              </w:rPr>
            </w:r>
            <w:r>
              <w:rPr>
                <w:b w:val="0"/>
                <w:sz w:val="18"/>
              </w:rPr>
              <w:t xml:space="preserve">Expirations by year (RSF): 2025: 22,500 (RedPoint); 2026: 63,700 (Pinnacle Ridge, Harborview, Chesapeake, Evergreen); 2027: 69,040 (Ironclad, Quantum, NovaTech, CrestLine); 2028: 40,500; 2029: 62,400. </w:t>
            </w:r>
            <w:r>
              <w:rPr>
                <w:b/>
                <w:sz w:val="18"/>
              </w:rPr>
              <w:t>About 60.1% of leased RSF (155,240 RSF) expires by 12/31/2027.</w:t>
            </w:r>
            <w:r>
              <w:rPr>
                <w:b w:val="0"/>
                <w:sz w:val="18"/>
              </w:rPr>
              <w:t xml:space="preserve"> → Flag 29</w:t>
            </w:r>
          </w:p>
        </w:tc>
      </w:tr>
      <w:tr>
        <w:tc>
          <w:tcPr>
            <w:tcW w:type="dxa" w:w="2088"/>
          </w:tcPr>
          <w:p>
            <w:pPr>
              <w:spacing w:after="20"/>
            </w:pPr>
            <w:r>
              <w:rPr>
                <w:sz w:val="18"/>
              </w:rPr>
            </w:r>
            <w:r>
              <w:rPr>
                <w:b w:val="0"/>
                <w:sz w:val="18"/>
              </w:rPr>
              <w:t>Termination rights</w:t>
            </w:r>
          </w:p>
        </w:tc>
        <w:tc>
          <w:tcPr>
            <w:tcW w:type="dxa" w:w="1224"/>
          </w:tcPr>
          <w:p>
            <w:pPr>
              <w:spacing w:after="20"/>
            </w:pPr>
            <w:r>
              <w:rPr>
                <w:sz w:val="18"/>
              </w:rPr>
            </w:r>
            <w:r>
              <w:rPr>
                <w:b w:val="0"/>
                <w:sz w:val="18"/>
              </w:rPr>
              <w:t>Ex. F</w:t>
            </w:r>
          </w:p>
        </w:tc>
        <w:tc>
          <w:tcPr>
            <w:tcW w:type="dxa" w:w="6624"/>
          </w:tcPr>
          <w:p>
            <w:pPr>
              <w:spacing w:after="20"/>
            </w:pPr>
            <w:r>
              <w:rPr>
                <w:sz w:val="18"/>
              </w:rPr>
            </w:r>
            <w:r>
              <w:rPr>
                <w:b w:val="0"/>
                <w:sz w:val="18"/>
              </w:rPr>
              <w:t>RedPoint Marketing Inc. (B-300, 22,500 RSF): lease expires 8/31/2025 and the tenant has an early-termination option on 90 days’ notice, exercisable as early as about April 2025. Chesapeake (31,200 RSF; expires 12/31/2026) has no renewal option.</w:t>
            </w:r>
          </w:p>
        </w:tc>
      </w:tr>
      <w:tr>
        <w:tc>
          <w:tcPr>
            <w:tcW w:type="dxa" w:w="2088"/>
          </w:tcPr>
          <w:p>
            <w:pPr>
              <w:spacing w:after="20"/>
            </w:pPr>
            <w:r>
              <w:rPr>
                <w:sz w:val="18"/>
              </w:rPr>
            </w:r>
            <w:r>
              <w:rPr>
                <w:b w:val="0"/>
                <w:sz w:val="18"/>
              </w:rPr>
              <w:t>Rent commencement gap</w:t>
            </w:r>
          </w:p>
        </w:tc>
        <w:tc>
          <w:tcPr>
            <w:tcW w:type="dxa" w:w="1224"/>
          </w:tcPr>
          <w:p>
            <w:pPr>
              <w:spacing w:after="20"/>
            </w:pPr>
            <w:r>
              <w:rPr>
                <w:sz w:val="18"/>
              </w:rPr>
            </w:r>
            <w:r>
              <w:rPr>
                <w:b w:val="0"/>
                <w:sz w:val="18"/>
              </w:rPr>
              <w:t>Ex. F</w:t>
            </w:r>
          </w:p>
        </w:tc>
        <w:tc>
          <w:tcPr>
            <w:tcW w:type="dxa" w:w="6624"/>
          </w:tcPr>
          <w:p>
            <w:pPr>
              <w:spacing w:after="20"/>
            </w:pPr>
            <w:r>
              <w:rPr>
                <w:sz w:val="18"/>
              </w:rPr>
            </w:r>
            <w:r>
              <w:rPr>
                <w:b w:val="0"/>
                <w:sz w:val="18"/>
              </w:rPr>
              <w:t xml:space="preserve">Garrison &amp; Holt Architects LLP (C-500, 3,300 RSF): lease start 9/1/2023 but estimated rent commencement </w:t>
            </w:r>
            <w:r>
              <w:rPr>
                <w:b/>
                <w:sz w:val="18"/>
              </w:rPr>
              <w:t>1/1/2025</w:t>
            </w:r>
            <w:r>
              <w:rPr>
                <w:b w:val="0"/>
                <w:sz w:val="18"/>
              </w:rPr>
              <w:t>. Its $106,920/yr is still counted in the rent roll totals. → Flag 19</w:t>
            </w:r>
          </w:p>
        </w:tc>
      </w:tr>
      <w:tr>
        <w:tc>
          <w:tcPr>
            <w:tcW w:type="dxa" w:w="2088"/>
          </w:tcPr>
          <w:p>
            <w:pPr>
              <w:spacing w:after="20"/>
            </w:pPr>
            <w:r>
              <w:rPr>
                <w:sz w:val="18"/>
              </w:rPr>
            </w:r>
            <w:r>
              <w:rPr>
                <w:b w:val="0"/>
                <w:sz w:val="18"/>
              </w:rPr>
              <w:t>Security deposit anomalies</w:t>
            </w:r>
          </w:p>
        </w:tc>
        <w:tc>
          <w:tcPr>
            <w:tcW w:type="dxa" w:w="1224"/>
          </w:tcPr>
          <w:p>
            <w:pPr>
              <w:spacing w:after="20"/>
            </w:pPr>
            <w:r>
              <w:rPr>
                <w:sz w:val="18"/>
              </w:rPr>
            </w:r>
            <w:r>
              <w:rPr>
                <w:b w:val="0"/>
                <w:sz w:val="18"/>
              </w:rPr>
              <w:t>Ex. F (computed)</w:t>
            </w:r>
          </w:p>
        </w:tc>
        <w:tc>
          <w:tcPr>
            <w:tcW w:type="dxa" w:w="6624"/>
          </w:tcPr>
          <w:p>
            <w:pPr>
              <w:spacing w:after="20"/>
            </w:pPr>
            <w:r>
              <w:rPr>
                <w:sz w:val="18"/>
              </w:rPr>
            </w:r>
            <w:r>
              <w:rPr>
                <w:b w:val="0"/>
                <w:sz w:val="18"/>
              </w:rPr>
              <w:t>Most deposits equal 0.6x monthly base rent. Exceptions: Valerian 0.9x; Clearview 0.48x; Garrison &amp; Holt 0.28x ($2,528). Confirm in the estoppels.</w:t>
            </w:r>
          </w:p>
        </w:tc>
      </w:tr>
      <w:tr>
        <w:tc>
          <w:tcPr>
            <w:tcW w:type="dxa" w:w="2088"/>
          </w:tcPr>
          <w:p>
            <w:pPr>
              <w:spacing w:after="20"/>
            </w:pPr>
            <w:r>
              <w:rPr>
                <w:sz w:val="18"/>
              </w:rPr>
            </w:r>
            <w:r>
              <w:rPr>
                <w:b w:val="0"/>
                <w:sz w:val="18"/>
              </w:rPr>
              <w:t>Building C tenancy</w:t>
            </w:r>
          </w:p>
        </w:tc>
        <w:tc>
          <w:tcPr>
            <w:tcW w:type="dxa" w:w="1224"/>
          </w:tcPr>
          <w:p>
            <w:pPr>
              <w:spacing w:after="20"/>
            </w:pPr>
            <w:r>
              <w:rPr>
                <w:sz w:val="18"/>
              </w:rPr>
            </w:r>
            <w:r>
              <w:rPr>
                <w:b w:val="0"/>
                <w:sz w:val="18"/>
              </w:rPr>
              <w:t>Ex. F; Phase I</w:t>
            </w:r>
          </w:p>
        </w:tc>
        <w:tc>
          <w:tcPr>
            <w:tcW w:type="dxa" w:w="6624"/>
          </w:tcPr>
          <w:p>
            <w:pPr>
              <w:spacing w:after="20"/>
            </w:pPr>
            <w:r>
              <w:rPr>
                <w:sz w:val="18"/>
              </w:rPr>
            </w:r>
            <w:r>
              <w:rPr>
                <w:b w:val="0"/>
                <w:sz w:val="18"/>
              </w:rPr>
              <w:t xml:space="preserve">Building C (REC area) is 67.4% occupied. Tenants include </w:t>
            </w:r>
            <w:r>
              <w:rPr>
                <w:b/>
                <w:sz w:val="18"/>
              </w:rPr>
              <w:t>Blue Ridge Behavioral Health PC</w:t>
            </w:r>
            <w:r>
              <w:rPr>
                <w:b w:val="0"/>
                <w:sz w:val="18"/>
              </w:rPr>
              <w:t xml:space="preserve"> (healthcare occupant; sensitive receptor for vapor-intrusion purposes) and Athena Consulting Group (27,000 RSF).</w:t>
            </w:r>
          </w:p>
        </w:tc>
      </w:tr>
    </w:tbl>
    <w:p>
      <w:pPr>
        <w:spacing w:after="40"/>
      </w:pPr>
    </w:p>
    <w:p>
      <w:pPr>
        <w:pStyle w:val="Heading2"/>
      </w:pPr>
      <w:r>
        <w:t>20. Brokerage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Commission</w:t>
            </w:r>
          </w:p>
        </w:tc>
        <w:tc>
          <w:tcPr>
            <w:tcW w:type="dxa" w:w="1224"/>
          </w:tcPr>
          <w:p>
            <w:pPr>
              <w:spacing w:after="20"/>
            </w:pPr>
            <w:r>
              <w:rPr>
                <w:sz w:val="18"/>
              </w:rPr>
            </w:r>
            <w:r>
              <w:rPr>
                <w:b w:val="0"/>
                <w:sz w:val="18"/>
              </w:rPr>
              <w:t>§15.1; §13.4(a)(v)</w:t>
            </w:r>
          </w:p>
        </w:tc>
        <w:tc>
          <w:tcPr>
            <w:tcW w:type="dxa" w:w="6624"/>
          </w:tcPr>
          <w:p>
            <w:pPr>
              <w:spacing w:after="20"/>
            </w:pPr>
            <w:r>
              <w:rPr>
                <w:sz w:val="18"/>
              </w:rPr>
            </w:r>
            <w:r>
              <w:rPr>
                <w:b w:val="0"/>
                <w:sz w:val="18"/>
              </w:rPr>
              <w:t xml:space="preserve">Total </w:t>
            </w:r>
            <w:r>
              <w:rPr>
                <w:b/>
                <w:sz w:val="18"/>
              </w:rPr>
              <w:t>1.5% of Purchase Price = $1,316,250.00</w:t>
            </w:r>
            <w:r>
              <w:rPr>
                <w:b w:val="0"/>
                <w:sz w:val="18"/>
              </w:rPr>
              <w:t xml:space="preserve">, split 60% to Greystone Realty Advisors LLC (Seller’s broker), </w:t>
            </w:r>
            <w:r>
              <w:rPr>
                <w:b/>
                <w:sz w:val="18"/>
              </w:rPr>
              <w:t>$789,750.00</w:t>
            </w:r>
            <w:r>
              <w:rPr>
                <w:b w:val="0"/>
                <w:sz w:val="18"/>
              </w:rPr>
              <w:t xml:space="preserve">, and 40% to Keystone Commercial Partners LLC (Buyer’s broker), </w:t>
            </w:r>
            <w:r>
              <w:rPr>
                <w:b/>
                <w:sz w:val="18"/>
              </w:rPr>
              <w:t>$526,500.00</w:t>
            </w:r>
            <w:r>
              <w:rPr>
                <w:b w:val="0"/>
                <w:sz w:val="18"/>
              </w:rPr>
              <w:t xml:space="preserve">. </w:t>
            </w:r>
            <w:r>
              <w:rPr>
                <w:b/>
                <w:sz w:val="18"/>
              </w:rPr>
              <w:t>All paid by Seller</w:t>
            </w:r>
            <w:r>
              <w:rPr>
                <w:b w:val="0"/>
                <w:sz w:val="18"/>
              </w:rPr>
              <w:t xml:space="preserve"> at Closing under separate agreements. Mutual brokerage indemnities.</w:t>
            </w:r>
          </w:p>
        </w:tc>
      </w:tr>
    </w:tbl>
    <w:p>
      <w:pPr>
        <w:spacing w:after="40"/>
      </w:pPr>
    </w:p>
    <w:p>
      <w:pPr>
        <w:pStyle w:val="Heading2"/>
      </w:pPr>
      <w:r>
        <w:t>21. Governing Law and Disputes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Governing law</w:t>
            </w:r>
          </w:p>
        </w:tc>
        <w:tc>
          <w:tcPr>
            <w:tcW w:type="dxa" w:w="1224"/>
          </w:tcPr>
          <w:p>
            <w:pPr>
              <w:spacing w:after="20"/>
            </w:pPr>
            <w:r>
              <w:rPr>
                <w:sz w:val="18"/>
              </w:rPr>
            </w:r>
            <w:r>
              <w:rPr>
                <w:b w:val="0"/>
                <w:sz w:val="18"/>
              </w:rPr>
              <w:t>§15.3</w:t>
            </w:r>
          </w:p>
        </w:tc>
        <w:tc>
          <w:tcPr>
            <w:tcW w:type="dxa" w:w="6624"/>
          </w:tcPr>
          <w:p>
            <w:pPr>
              <w:spacing w:after="20"/>
            </w:pPr>
            <w:r>
              <w:rPr>
                <w:sz w:val="18"/>
              </w:rPr>
            </w:r>
            <w:r>
              <w:rPr>
                <w:b w:val="0"/>
                <w:sz w:val="18"/>
              </w:rPr>
              <w:t>Commonwealth of Virginia, without regard to conflict-of-laws principles.</w:t>
            </w:r>
          </w:p>
        </w:tc>
      </w:tr>
      <w:tr>
        <w:tc>
          <w:tcPr>
            <w:tcW w:type="dxa" w:w="2088"/>
          </w:tcPr>
          <w:p>
            <w:pPr>
              <w:spacing w:after="20"/>
            </w:pPr>
            <w:r>
              <w:rPr>
                <w:sz w:val="18"/>
              </w:rPr>
            </w:r>
            <w:r>
              <w:rPr>
                <w:b w:val="0"/>
                <w:sz w:val="18"/>
              </w:rPr>
              <w:t>Mediation</w:t>
            </w:r>
          </w:p>
        </w:tc>
        <w:tc>
          <w:tcPr>
            <w:tcW w:type="dxa" w:w="1224"/>
          </w:tcPr>
          <w:p>
            <w:pPr>
              <w:spacing w:after="20"/>
            </w:pPr>
            <w:r>
              <w:rPr>
                <w:sz w:val="18"/>
              </w:rPr>
            </w:r>
            <w:r>
              <w:rPr>
                <w:b w:val="0"/>
                <w:sz w:val="18"/>
              </w:rPr>
              <w:t>§15.4(a)</w:t>
            </w:r>
          </w:p>
        </w:tc>
        <w:tc>
          <w:tcPr>
            <w:tcW w:type="dxa" w:w="6624"/>
          </w:tcPr>
          <w:p>
            <w:pPr>
              <w:spacing w:after="20"/>
            </w:pPr>
            <w:r>
              <w:rPr>
                <w:sz w:val="18"/>
              </w:rPr>
            </w:r>
            <w:r>
              <w:rPr>
                <w:b w:val="0"/>
                <w:sz w:val="18"/>
              </w:rPr>
              <w:t>Mandatory first step for any dispute. Administered by Arbor Mediation Services LLC in Fairfax, VA. Must commence within 30 days of written demand and be completed within 60 days of commencement. Costs shared equally.</w:t>
            </w:r>
          </w:p>
        </w:tc>
      </w:tr>
      <w:tr>
        <w:tc>
          <w:tcPr>
            <w:tcW w:type="dxa" w:w="2088"/>
          </w:tcPr>
          <w:p>
            <w:pPr>
              <w:spacing w:after="20"/>
            </w:pPr>
            <w:r>
              <w:rPr>
                <w:sz w:val="18"/>
              </w:rPr>
            </w:r>
            <w:r>
              <w:rPr>
                <w:b w:val="0"/>
                <w:sz w:val="18"/>
              </w:rPr>
              <w:t>Arbitration</w:t>
            </w:r>
          </w:p>
        </w:tc>
        <w:tc>
          <w:tcPr>
            <w:tcW w:type="dxa" w:w="1224"/>
          </w:tcPr>
          <w:p>
            <w:pPr>
              <w:spacing w:after="20"/>
            </w:pPr>
            <w:r>
              <w:rPr>
                <w:sz w:val="18"/>
              </w:rPr>
            </w:r>
            <w:r>
              <w:rPr>
                <w:b w:val="0"/>
                <w:sz w:val="18"/>
              </w:rPr>
              <w:t>§15.4(b)</w:t>
            </w:r>
          </w:p>
        </w:tc>
        <w:tc>
          <w:tcPr>
            <w:tcW w:type="dxa" w:w="6624"/>
          </w:tcPr>
          <w:p>
            <w:pPr>
              <w:spacing w:after="20"/>
            </w:pPr>
            <w:r>
              <w:rPr>
                <w:sz w:val="18"/>
              </w:rPr>
            </w:r>
            <w:r>
              <w:rPr>
                <w:b w:val="0"/>
                <w:sz w:val="18"/>
              </w:rPr>
              <w:t>Final and binding AAA Commercial Arbitration in Fairfax, VA, before a single arbitrator with at least 15 years of commercial real estate experience. The arbitrator may award injunctive and equitable relief. Judgment may be entered in any competent court. → Flag 15</w:t>
            </w:r>
          </w:p>
        </w:tc>
      </w:tr>
      <w:tr>
        <w:tc>
          <w:tcPr>
            <w:tcW w:type="dxa" w:w="2088"/>
          </w:tcPr>
          <w:p>
            <w:pPr>
              <w:spacing w:after="20"/>
            </w:pPr>
            <w:r>
              <w:rPr>
                <w:sz w:val="18"/>
              </w:rPr>
            </w:r>
            <w:r>
              <w:rPr>
                <w:b w:val="0"/>
                <w:sz w:val="18"/>
              </w:rPr>
              <w:t>Jury waiver; fees</w:t>
            </w:r>
          </w:p>
        </w:tc>
        <w:tc>
          <w:tcPr>
            <w:tcW w:type="dxa" w:w="1224"/>
          </w:tcPr>
          <w:p>
            <w:pPr>
              <w:spacing w:after="20"/>
            </w:pPr>
            <w:r>
              <w:rPr>
                <w:sz w:val="18"/>
              </w:rPr>
            </w:r>
            <w:r>
              <w:rPr>
                <w:b w:val="0"/>
                <w:sz w:val="18"/>
              </w:rPr>
              <w:t>§15.4(c)–(d)</w:t>
            </w:r>
          </w:p>
        </w:tc>
        <w:tc>
          <w:tcPr>
            <w:tcW w:type="dxa" w:w="6624"/>
          </w:tcPr>
          <w:p>
            <w:pPr>
              <w:spacing w:after="20"/>
            </w:pPr>
            <w:r>
              <w:rPr>
                <w:sz w:val="18"/>
              </w:rPr>
            </w:r>
            <w:r>
              <w:rPr>
                <w:b w:val="0"/>
                <w:sz w:val="18"/>
              </w:rPr>
              <w:t>Mutual jury trial waiver. The prevailing party recovers reasonable attorneys’ fees in any proceeding.</w:t>
            </w:r>
          </w:p>
        </w:tc>
      </w:tr>
    </w:tbl>
    <w:p>
      <w:pPr>
        <w:spacing w:after="40"/>
      </w:pPr>
    </w:p>
    <w:p>
      <w:pPr>
        <w:pStyle w:val="Heading2"/>
      </w:pPr>
      <w:r>
        <w:t>22. Notices and Miscellaneous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1F3A5F"/>
          </w:tcPr>
          <w:p>
            <w:r/>
            <w:r>
              <w:rPr>
                <w:b/>
                <w:color w:val="FFFFFF"/>
                <w:sz w:val="18"/>
              </w:rPr>
              <w:t>Term</w:t>
            </w:r>
          </w:p>
        </w:tc>
        <w:tc>
          <w:tcPr>
            <w:tcW w:type="dxa" w:w="1224"/>
            <w:shd w:val="clear" w:color="auto" w:fill="1F3A5F"/>
          </w:tcPr>
          <w:p>
            <w:r/>
            <w:r>
              <w:rPr>
                <w:b/>
                <w:color w:val="FFFFFF"/>
                <w:sz w:val="18"/>
              </w:rPr>
              <w:t>PSA Ref.</w:t>
            </w:r>
          </w:p>
        </w:tc>
        <w:tc>
          <w:tcPr>
            <w:tcW w:type="dxa" w:w="6624"/>
            <w:shd w:val="clear" w:color="auto" w:fill="1F3A5F"/>
          </w:tcPr>
          <w:p>
            <w:r/>
            <w:r>
              <w:rPr>
                <w:b/>
                <w:color w:val="FFFFFF"/>
                <w:sz w:val="18"/>
              </w:rPr>
              <w:t>Extracted Provision (amounts, dates, deadlines)</w:t>
            </w:r>
          </w:p>
        </w:tc>
      </w:tr>
      <w:tr>
        <w:tc>
          <w:tcPr>
            <w:tcW w:type="dxa" w:w="2088"/>
          </w:tcPr>
          <w:p>
            <w:pPr>
              <w:spacing w:after="20"/>
            </w:pPr>
            <w:r>
              <w:rPr>
                <w:sz w:val="18"/>
              </w:rPr>
            </w:r>
            <w:r>
              <w:rPr>
                <w:b w:val="0"/>
                <w:sz w:val="18"/>
              </w:rPr>
              <w:t>Notices</w:t>
            </w:r>
          </w:p>
        </w:tc>
        <w:tc>
          <w:tcPr>
            <w:tcW w:type="dxa" w:w="1224"/>
          </w:tcPr>
          <w:p>
            <w:pPr>
              <w:spacing w:after="20"/>
            </w:pPr>
            <w:r>
              <w:rPr>
                <w:sz w:val="18"/>
              </w:rPr>
            </w:r>
            <w:r>
              <w:rPr>
                <w:b w:val="0"/>
                <w:sz w:val="18"/>
              </w:rPr>
              <w:t>§15.2</w:t>
            </w:r>
          </w:p>
        </w:tc>
        <w:tc>
          <w:tcPr>
            <w:tcW w:type="dxa" w:w="6624"/>
          </w:tcPr>
          <w:p>
            <w:pPr>
              <w:spacing w:after="20"/>
            </w:pPr>
            <w:r>
              <w:rPr>
                <w:sz w:val="18"/>
              </w:rPr>
            </w:r>
            <w:r>
              <w:rPr>
                <w:b w:val="0"/>
                <w:sz w:val="18"/>
              </w:rPr>
              <w:t xml:space="preserve">In writing, by hand, national overnight courier, or e-mail (an e-mail </w:t>
            </w:r>
            <w:r>
              <w:rPr>
                <w:b/>
                <w:sz w:val="18"/>
              </w:rPr>
              <w:t>must be followed by overnight courier within 1 business day</w:t>
            </w:r>
            <w:r>
              <w:rPr>
                <w:b w:val="0"/>
                <w:sz w:val="18"/>
              </w:rPr>
              <w:t>). Effective on receipt or refusal. → Flag 27</w:t>
            </w:r>
          </w:p>
        </w:tc>
      </w:tr>
      <w:tr>
        <w:tc>
          <w:tcPr>
            <w:tcW w:type="dxa" w:w="2088"/>
          </w:tcPr>
          <w:p>
            <w:pPr>
              <w:spacing w:after="20"/>
            </w:pPr>
            <w:r>
              <w:rPr>
                <w:sz w:val="18"/>
              </w:rPr>
            </w:r>
            <w:r>
              <w:rPr>
                <w:b w:val="0"/>
                <w:sz w:val="18"/>
              </w:rPr>
              <w:t>Confidentiality</w:t>
            </w:r>
          </w:p>
        </w:tc>
        <w:tc>
          <w:tcPr>
            <w:tcW w:type="dxa" w:w="1224"/>
          </w:tcPr>
          <w:p>
            <w:pPr>
              <w:spacing w:after="20"/>
            </w:pPr>
            <w:r>
              <w:rPr>
                <w:sz w:val="18"/>
              </w:rPr>
            </w:r>
            <w:r>
              <w:rPr>
                <w:b w:val="0"/>
                <w:sz w:val="18"/>
              </w:rPr>
              <w:t>§15.8</w:t>
            </w:r>
          </w:p>
        </w:tc>
        <w:tc>
          <w:tcPr>
            <w:tcW w:type="dxa" w:w="6624"/>
          </w:tcPr>
          <w:p>
            <w:pPr>
              <w:spacing w:after="20"/>
            </w:pPr>
            <w:r>
              <w:rPr>
                <w:sz w:val="18"/>
              </w:rPr>
            </w:r>
            <w:r>
              <w:rPr>
                <w:b w:val="0"/>
                <w:sz w:val="18"/>
              </w:rPr>
              <w:t xml:space="preserve">PSA terms and exchanged information are confidential for </w:t>
            </w:r>
            <w:r>
              <w:rPr>
                <w:b/>
                <w:sz w:val="18"/>
              </w:rPr>
              <w:t>2 years</w:t>
            </w:r>
            <w:r>
              <w:rPr>
                <w:b w:val="0"/>
                <w:sz w:val="18"/>
              </w:rPr>
              <w:t xml:space="preserve"> after Closing or termination. Permitted disclosure to lenders, investors, partners, members and advisors on a need-to-know basis subject to confidentiality, as required by law, or as mutually agreed.</w:t>
            </w:r>
          </w:p>
        </w:tc>
      </w:tr>
      <w:tr>
        <w:tc>
          <w:tcPr>
            <w:tcW w:type="dxa" w:w="2088"/>
          </w:tcPr>
          <w:p>
            <w:pPr>
              <w:spacing w:after="20"/>
            </w:pPr>
            <w:r>
              <w:rPr>
                <w:sz w:val="18"/>
              </w:rPr>
            </w:r>
            <w:r>
              <w:rPr>
                <w:b w:val="0"/>
                <w:sz w:val="18"/>
              </w:rPr>
              <w:t>Other boilerplate</w:t>
            </w:r>
          </w:p>
        </w:tc>
        <w:tc>
          <w:tcPr>
            <w:tcW w:type="dxa" w:w="1224"/>
          </w:tcPr>
          <w:p>
            <w:pPr>
              <w:spacing w:after="20"/>
            </w:pPr>
            <w:r>
              <w:rPr>
                <w:sz w:val="18"/>
              </w:rPr>
            </w:r>
            <w:r>
              <w:rPr>
                <w:b w:val="0"/>
                <w:sz w:val="18"/>
              </w:rPr>
              <w:t>§§15.5–15.11</w:t>
            </w:r>
          </w:p>
        </w:tc>
        <w:tc>
          <w:tcPr>
            <w:tcW w:type="dxa" w:w="6624"/>
          </w:tcPr>
          <w:p>
            <w:pPr>
              <w:spacing w:after="20"/>
            </w:pPr>
            <w:r>
              <w:rPr>
                <w:sz w:val="18"/>
              </w:rPr>
            </w:r>
            <w:r>
              <w:rPr>
                <w:b w:val="0"/>
                <w:sz w:val="18"/>
              </w:rPr>
              <w:t>Entire agreement (§15.5); amendments and waivers only in a signed writing (§15.6); counterparts and e-signatures (§15.7); severability with reformation (§15.9); no third-party beneficiaries except Escrow Agent (§15.10); time of the essence (§15.11).</w:t>
            </w:r>
          </w:p>
        </w:tc>
      </w:tr>
      <w:tr>
        <w:tc>
          <w:tcPr>
            <w:tcW w:type="dxa" w:w="2088"/>
          </w:tcPr>
          <w:p>
            <w:pPr>
              <w:spacing w:after="20"/>
            </w:pPr>
            <w:r>
              <w:rPr>
                <w:sz w:val="18"/>
              </w:rPr>
            </w:r>
            <w:r>
              <w:rPr>
                <w:b w:val="0"/>
                <w:sz w:val="18"/>
              </w:rPr>
              <w:t>Not in PSA</w:t>
            </w:r>
          </w:p>
        </w:tc>
        <w:tc>
          <w:tcPr>
            <w:tcW w:type="dxa" w:w="1224"/>
          </w:tcPr>
          <w:p>
            <w:pPr>
              <w:spacing w:after="20"/>
            </w:pPr>
            <w:r>
              <w:rPr>
                <w:sz w:val="18"/>
              </w:rPr>
            </w:r>
            <w:r>
              <w:rPr>
                <w:b w:val="0"/>
                <w:sz w:val="18"/>
              </w:rPr>
              <w:t>—</w:t>
            </w:r>
          </w:p>
        </w:tc>
        <w:tc>
          <w:tcPr>
            <w:tcW w:type="dxa" w:w="6624"/>
          </w:tcPr>
          <w:p>
            <w:pPr>
              <w:spacing w:after="20"/>
            </w:pPr>
            <w:r>
              <w:rPr>
                <w:sz w:val="18"/>
              </w:rPr>
            </w:r>
            <w:r>
              <w:rPr>
                <w:b w:val="0"/>
                <w:sz w:val="18"/>
              </w:rPr>
              <w:t>No interim operating covenants; no 1031 cooperation clause; no Seller credit-support or minimum net-worth covenant; no general Seller indemnity for pre-Closing operations or third-party claims (other than Ex. D/H assignment indemnities and §8.4); no tax-appeal or refund allocation; no definition of “business day.” → Flags 7, 8, 22</w:t>
            </w:r>
          </w:p>
        </w:tc>
      </w:tr>
    </w:tbl>
    <w:p>
      <w:pPr>
        <w:spacing w:after="40"/>
      </w:pPr>
    </w:p>
    <w:p>
      <w:pPr>
        <w:pStyle w:val="Heading2"/>
      </w:pPr>
      <w:r>
        <w:t>23. Exhibits and Schedules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shd w:val="clear" w:color="auto" w:fill="1F3A5F"/>
          </w:tcPr>
          <w:p>
            <w:r/>
            <w:r>
              <w:rPr>
                <w:b/>
                <w:color w:val="FFFFFF"/>
                <w:sz w:val="18"/>
              </w:rPr>
              <w:t>Exhibit</w:t>
            </w:r>
          </w:p>
        </w:tc>
        <w:tc>
          <w:tcPr>
            <w:tcW w:type="dxa" w:w="4320"/>
            <w:shd w:val="clear" w:color="auto" w:fill="1F3A5F"/>
          </w:tcPr>
          <w:p>
            <w:r/>
            <w:r>
              <w:rPr>
                <w:b/>
                <w:color w:val="FFFFFF"/>
                <w:sz w:val="18"/>
              </w:rPr>
              <w:t>Content</w:t>
            </w:r>
          </w:p>
        </w:tc>
        <w:tc>
          <w:tcPr>
            <w:tcW w:type="dxa" w:w="3888"/>
            <w:shd w:val="clear" w:color="auto" w:fill="1F3A5F"/>
          </w:tcPr>
          <w:p>
            <w:r/>
            <w:r>
              <w:rPr>
                <w:b/>
                <w:color w:val="FFFFFF"/>
                <w:sz w:val="18"/>
              </w:rPr>
              <w:t>Status / Comment</w:t>
            </w:r>
          </w:p>
        </w:tc>
      </w:tr>
      <w:tr>
        <w:tc>
          <w:tcPr>
            <w:tcW w:type="dxa" w:w="1728"/>
          </w:tcPr>
          <w:p>
            <w:pPr>
              <w:spacing w:after="20"/>
            </w:pPr>
            <w:r>
              <w:rPr>
                <w:sz w:val="18"/>
              </w:rPr>
            </w:r>
            <w:r>
              <w:rPr>
                <w:b w:val="0"/>
                <w:sz w:val="18"/>
              </w:rPr>
              <w:t>Schedule 7.1(e)</w:t>
            </w:r>
          </w:p>
        </w:tc>
        <w:tc>
          <w:tcPr>
            <w:tcW w:type="dxa" w:w="4320"/>
          </w:tcPr>
          <w:p>
            <w:pPr>
              <w:spacing w:after="20"/>
            </w:pPr>
            <w:r>
              <w:rPr>
                <w:sz w:val="18"/>
              </w:rPr>
            </w:r>
            <w:r>
              <w:rPr>
                <w:b w:val="0"/>
                <w:sz w:val="18"/>
              </w:rPr>
              <w:t>Pending litigation (Doe slip-and-fall)</w:t>
            </w:r>
          </w:p>
        </w:tc>
        <w:tc>
          <w:tcPr>
            <w:tcW w:type="dxa" w:w="3888"/>
          </w:tcPr>
          <w:p>
            <w:pPr>
              <w:spacing w:after="20"/>
            </w:pPr>
            <w:r>
              <w:rPr>
                <w:sz w:val="18"/>
              </w:rPr>
            </w:r>
            <w:r>
              <w:rPr>
                <w:b w:val="0"/>
                <w:sz w:val="18"/>
              </w:rPr>
              <w:t>See Flag 20</w:t>
            </w:r>
          </w:p>
        </w:tc>
      </w:tr>
      <w:tr>
        <w:tc>
          <w:tcPr>
            <w:tcW w:type="dxa" w:w="1728"/>
          </w:tcPr>
          <w:p>
            <w:pPr>
              <w:spacing w:after="20"/>
            </w:pPr>
            <w:r>
              <w:rPr>
                <w:sz w:val="18"/>
              </w:rPr>
            </w:r>
            <w:r>
              <w:rPr>
                <w:b w:val="0"/>
                <w:sz w:val="18"/>
              </w:rPr>
              <w:t>Exhibit A</w:t>
            </w:r>
          </w:p>
        </w:tc>
        <w:tc>
          <w:tcPr>
            <w:tcW w:type="dxa" w:w="4320"/>
          </w:tcPr>
          <w:p>
            <w:pPr>
              <w:spacing w:after="20"/>
            </w:pPr>
            <w:r>
              <w:rPr>
                <w:sz w:val="18"/>
              </w:rPr>
            </w:r>
            <w:r>
              <w:rPr>
                <w:b w:val="0"/>
                <w:sz w:val="18"/>
              </w:rPr>
              <w:t>Legal description (metes and bounds; 22.800 ac.)</w:t>
            </w:r>
          </w:p>
        </w:tc>
        <w:tc>
          <w:tcPr>
            <w:tcW w:type="dxa" w:w="3888"/>
          </w:tcPr>
          <w:p>
            <w:pPr>
              <w:spacing w:after="20"/>
            </w:pPr>
            <w:r>
              <w:rPr>
                <w:sz w:val="18"/>
              </w:rPr>
            </w:r>
            <w:r>
              <w:rPr>
                <w:b w:val="0"/>
                <w:sz w:val="18"/>
              </w:rPr>
              <w:t>Confirm against the new ALTA survey (Flag 25)</w:t>
            </w:r>
          </w:p>
        </w:tc>
      </w:tr>
      <w:tr>
        <w:tc>
          <w:tcPr>
            <w:tcW w:type="dxa" w:w="1728"/>
          </w:tcPr>
          <w:p>
            <w:pPr>
              <w:spacing w:after="20"/>
            </w:pPr>
            <w:r>
              <w:rPr>
                <w:sz w:val="18"/>
              </w:rPr>
            </w:r>
            <w:r>
              <w:rPr>
                <w:b w:val="0"/>
                <w:sz w:val="18"/>
              </w:rPr>
              <w:t>Exhibit B</w:t>
            </w:r>
          </w:p>
        </w:tc>
        <w:tc>
          <w:tcPr>
            <w:tcW w:type="dxa" w:w="4320"/>
          </w:tcPr>
          <w:p>
            <w:pPr>
              <w:spacing w:after="20"/>
            </w:pPr>
            <w:r>
              <w:rPr>
                <w:sz w:val="18"/>
              </w:rPr>
            </w:r>
            <w:r>
              <w:rPr>
                <w:b w:val="0"/>
                <w:sz w:val="18"/>
              </w:rPr>
              <w:t>Permitted Exceptions (10 items)</w:t>
            </w:r>
          </w:p>
        </w:tc>
        <w:tc>
          <w:tcPr>
            <w:tcW w:type="dxa" w:w="3888"/>
          </w:tcPr>
          <w:p>
            <w:pPr>
              <w:spacing w:after="20"/>
            </w:pPr>
            <w:r>
              <w:rPr>
                <w:sz w:val="18"/>
              </w:rPr>
            </w:r>
            <w:r>
              <w:rPr>
                <w:b w:val="0"/>
                <w:sz w:val="18"/>
              </w:rPr>
              <w:t>Pre-agreed before the commitment was reviewed (Flag 17)</w:t>
            </w:r>
          </w:p>
        </w:tc>
      </w:tr>
      <w:tr>
        <w:tc>
          <w:tcPr>
            <w:tcW w:type="dxa" w:w="1728"/>
          </w:tcPr>
          <w:p>
            <w:pPr>
              <w:spacing w:after="20"/>
            </w:pPr>
            <w:r>
              <w:rPr>
                <w:sz w:val="18"/>
              </w:rPr>
            </w:r>
            <w:r>
              <w:rPr>
                <w:b w:val="0"/>
                <w:sz w:val="18"/>
              </w:rPr>
              <w:t>Exhibit C</w:t>
            </w:r>
          </w:p>
        </w:tc>
        <w:tc>
          <w:tcPr>
            <w:tcW w:type="dxa" w:w="4320"/>
          </w:tcPr>
          <w:p>
            <w:pPr>
              <w:spacing w:after="20"/>
            </w:pPr>
            <w:r>
              <w:rPr>
                <w:sz w:val="18"/>
              </w:rPr>
            </w:r>
            <w:r>
              <w:rPr>
                <w:b w:val="0"/>
                <w:sz w:val="18"/>
              </w:rPr>
              <w:t>Form of Special Warranty Deed</w:t>
            </w:r>
          </w:p>
        </w:tc>
        <w:tc>
          <w:tcPr>
            <w:tcW w:type="dxa" w:w="3888"/>
          </w:tcPr>
          <w:p>
            <w:pPr>
              <w:spacing w:after="20"/>
            </w:pPr>
            <w:r>
              <w:rPr>
                <w:sz w:val="18"/>
              </w:rPr>
            </w:r>
            <w:r>
              <w:rPr>
                <w:b w:val="0"/>
                <w:sz w:val="18"/>
              </w:rPr>
              <w:t>Grantee is Bridgewater; conform to the final buyer or SPE (Flags 1, 11)</w:t>
            </w:r>
          </w:p>
        </w:tc>
      </w:tr>
      <w:tr>
        <w:tc>
          <w:tcPr>
            <w:tcW w:type="dxa" w:w="1728"/>
          </w:tcPr>
          <w:p>
            <w:pPr>
              <w:spacing w:after="20"/>
            </w:pPr>
            <w:r>
              <w:rPr>
                <w:sz w:val="18"/>
              </w:rPr>
            </w:r>
            <w:r>
              <w:rPr>
                <w:b w:val="0"/>
                <w:sz w:val="18"/>
              </w:rPr>
              <w:t>Exhibit D</w:t>
            </w:r>
          </w:p>
        </w:tc>
        <w:tc>
          <w:tcPr>
            <w:tcW w:type="dxa" w:w="4320"/>
          </w:tcPr>
          <w:p>
            <w:pPr>
              <w:spacing w:after="20"/>
            </w:pPr>
            <w:r>
              <w:rPr>
                <w:sz w:val="18"/>
              </w:rPr>
            </w:r>
            <w:r>
              <w:rPr>
                <w:b w:val="0"/>
                <w:sz w:val="18"/>
              </w:rPr>
              <w:t>Form of Assignment and Assumption of Leases</w:t>
            </w:r>
          </w:p>
        </w:tc>
        <w:tc>
          <w:tcPr>
            <w:tcW w:type="dxa" w:w="3888"/>
          </w:tcPr>
          <w:p>
            <w:pPr>
              <w:spacing w:after="20"/>
            </w:pPr>
            <w:r>
              <w:rPr>
                <w:sz w:val="18"/>
              </w:rPr>
            </w:r>
            <w:r>
              <w:rPr>
                <w:b w:val="0"/>
                <w:sz w:val="18"/>
              </w:rPr>
              <w:t>Assignee is Bridgewater; mutual indemnities</w:t>
            </w:r>
          </w:p>
        </w:tc>
      </w:tr>
      <w:tr>
        <w:tc>
          <w:tcPr>
            <w:tcW w:type="dxa" w:w="1728"/>
          </w:tcPr>
          <w:p>
            <w:pPr>
              <w:spacing w:after="20"/>
            </w:pPr>
            <w:r>
              <w:rPr>
                <w:sz w:val="18"/>
              </w:rPr>
            </w:r>
            <w:r>
              <w:rPr>
                <w:b w:val="0"/>
                <w:sz w:val="18"/>
              </w:rPr>
              <w:t>Exhibit E</w:t>
            </w:r>
          </w:p>
        </w:tc>
        <w:tc>
          <w:tcPr>
            <w:tcW w:type="dxa" w:w="4320"/>
          </w:tcPr>
          <w:p>
            <w:pPr>
              <w:spacing w:after="20"/>
            </w:pPr>
            <w:r>
              <w:rPr>
                <w:sz w:val="18"/>
              </w:rPr>
            </w:r>
            <w:r>
              <w:rPr>
                <w:b w:val="0"/>
                <w:sz w:val="18"/>
              </w:rPr>
              <w:t>Form of Tenant Estoppel Certificate</w:t>
            </w:r>
          </w:p>
        </w:tc>
        <w:tc>
          <w:tcPr>
            <w:tcW w:type="dxa" w:w="3888"/>
          </w:tcPr>
          <w:p>
            <w:pPr>
              <w:spacing w:after="20"/>
            </w:pPr>
            <w:r>
              <w:rPr>
                <w:sz w:val="18"/>
              </w:rPr>
            </w:r>
            <w:r>
              <w:rPr>
                <w:b w:val="0"/>
                <w:sz w:val="18"/>
              </w:rPr>
              <w:t>Addressed to Calverley (Flag 9)</w:t>
            </w:r>
          </w:p>
        </w:tc>
      </w:tr>
      <w:tr>
        <w:tc>
          <w:tcPr>
            <w:tcW w:type="dxa" w:w="1728"/>
          </w:tcPr>
          <w:p>
            <w:pPr>
              <w:spacing w:after="20"/>
            </w:pPr>
            <w:r>
              <w:rPr>
                <w:sz w:val="18"/>
              </w:rPr>
            </w:r>
            <w:r>
              <w:rPr>
                <w:b w:val="0"/>
                <w:sz w:val="18"/>
              </w:rPr>
              <w:t>Exhibit F</w:t>
            </w:r>
          </w:p>
        </w:tc>
        <w:tc>
          <w:tcPr>
            <w:tcW w:type="dxa" w:w="4320"/>
          </w:tcPr>
          <w:p>
            <w:pPr>
              <w:spacing w:after="20"/>
            </w:pPr>
            <w:r>
              <w:rPr>
                <w:sz w:val="18"/>
              </w:rPr>
            </w:r>
            <w:r>
              <w:rPr>
                <w:b w:val="0"/>
                <w:sz w:val="18"/>
              </w:rPr>
              <w:t>Rent Roll as of Sept. 15, 2024</w:t>
            </w:r>
          </w:p>
        </w:tc>
        <w:tc>
          <w:tcPr>
            <w:tcW w:type="dxa" w:w="3888"/>
          </w:tcPr>
          <w:p>
            <w:pPr>
              <w:spacing w:after="20"/>
            </w:pPr>
            <w:r>
              <w:rPr>
                <w:sz w:val="18"/>
              </w:rPr>
            </w:r>
            <w:r>
              <w:rPr>
                <w:b w:val="0"/>
                <w:sz w:val="18"/>
              </w:rPr>
              <w:t>Appendix A</w:t>
            </w:r>
          </w:p>
        </w:tc>
      </w:tr>
      <w:tr>
        <w:tc>
          <w:tcPr>
            <w:tcW w:type="dxa" w:w="1728"/>
          </w:tcPr>
          <w:p>
            <w:pPr>
              <w:spacing w:after="20"/>
            </w:pPr>
            <w:r>
              <w:rPr>
                <w:sz w:val="18"/>
              </w:rPr>
            </w:r>
            <w:r>
              <w:rPr>
                <w:b w:val="0"/>
                <w:sz w:val="18"/>
              </w:rPr>
              <w:t>Exhibit G</w:t>
            </w:r>
          </w:p>
        </w:tc>
        <w:tc>
          <w:tcPr>
            <w:tcW w:type="dxa" w:w="4320"/>
          </w:tcPr>
          <w:p>
            <w:pPr>
              <w:spacing w:after="20"/>
            </w:pPr>
            <w:r>
              <w:rPr>
                <w:sz w:val="18"/>
              </w:rPr>
            </w:r>
            <w:r>
              <w:rPr>
                <w:b w:val="0"/>
                <w:sz w:val="18"/>
              </w:rPr>
              <w:t>Service Contracts list (11)</w:t>
            </w:r>
          </w:p>
        </w:tc>
        <w:tc>
          <w:tcPr>
            <w:tcW w:type="dxa" w:w="3888"/>
          </w:tcPr>
          <w:p>
            <w:pPr>
              <w:spacing w:after="20"/>
            </w:pPr>
            <w:r>
              <w:rPr>
                <w:sz w:val="18"/>
              </w:rPr>
            </w:r>
            <w:r>
              <w:rPr>
                <w:b w:val="0"/>
                <w:sz w:val="18"/>
              </w:rPr>
              <w:t>Appendix B</w:t>
            </w:r>
          </w:p>
        </w:tc>
      </w:tr>
      <w:tr>
        <w:tc>
          <w:tcPr>
            <w:tcW w:type="dxa" w:w="1728"/>
          </w:tcPr>
          <w:p>
            <w:pPr>
              <w:spacing w:after="20"/>
            </w:pPr>
            <w:r>
              <w:rPr>
                <w:sz w:val="18"/>
              </w:rPr>
            </w:r>
            <w:r>
              <w:rPr>
                <w:b w:val="0"/>
                <w:sz w:val="18"/>
              </w:rPr>
              <w:t>Exhibit H</w:t>
            </w:r>
          </w:p>
        </w:tc>
        <w:tc>
          <w:tcPr>
            <w:tcW w:type="dxa" w:w="4320"/>
          </w:tcPr>
          <w:p>
            <w:pPr>
              <w:spacing w:after="20"/>
            </w:pPr>
            <w:r>
              <w:rPr>
                <w:sz w:val="18"/>
              </w:rPr>
            </w:r>
            <w:r>
              <w:rPr>
                <w:b w:val="0"/>
                <w:sz w:val="18"/>
              </w:rPr>
              <w:t>Form of Assignment and Assumption of Service Contracts (with Schedule 1, Assumed Contracts)</w:t>
            </w:r>
          </w:p>
        </w:tc>
        <w:tc>
          <w:tcPr>
            <w:tcW w:type="dxa" w:w="3888"/>
          </w:tcPr>
          <w:p>
            <w:pPr>
              <w:spacing w:after="20"/>
            </w:pPr>
            <w:r>
              <w:rPr>
                <w:sz w:val="18"/>
              </w:rPr>
            </w:r>
            <w:r>
              <w:rPr>
                <w:b w:val="0"/>
                <w:sz w:val="18"/>
              </w:rPr>
              <w:t>Schedule 1 blank; Buyer designates during DD</w:t>
            </w:r>
          </w:p>
        </w:tc>
      </w:tr>
    </w:tbl>
    <w:p>
      <w:pPr>
        <w:spacing w:after="40"/>
      </w:pPr>
    </w:p>
    <w:p>
      <w:pPr>
        <w:pStyle w:val="Heading1"/>
      </w:pPr>
      <w:r>
        <w:t>Part IV — Flags and Open Issues</w:t>
      </w:r>
    </w:p>
    <w:p>
      <w:pPr>
        <w:spacing w:after="80"/>
      </w:pPr>
      <w:r>
        <w:rPr>
          <w:b w:val="0"/>
        </w:rPr>
        <w:t xml:space="preserve">Priority key: </w:t>
      </w:r>
      <w:r>
        <w:rPr>
          <w:b/>
        </w:rPr>
        <w:t>Critical</w:t>
      </w:r>
      <w:r>
        <w:rPr>
          <w:b w:val="0"/>
        </w:rPr>
        <w:t xml:space="preserve"> means resolve before 5:00 p.m. ET on Nov. 21, 2024 (DD expiration), usually by PSA amendment. </w:t>
      </w:r>
      <w:r>
        <w:rPr>
          <w:b/>
        </w:rPr>
        <w:t>High</w:t>
      </w:r>
      <w:r>
        <w:rPr>
          <w:b w:val="0"/>
        </w:rPr>
        <w:t xml:space="preserve"> means negotiate during DD or resolve before the Financing Contingency Deadline or Closing. </w:t>
      </w:r>
      <w:r>
        <w:rPr>
          <w:b/>
        </w:rPr>
        <w:t>Medium</w:t>
      </w:r>
      <w:r>
        <w:rPr>
          <w:b w:val="0"/>
        </w:rPr>
        <w:t xml:space="preserve"> means diligence follow-up or a clean-up item for the amendment. Section references are to the PSA unless noted.</w:t>
      </w:r>
    </w:p>
    <w:p>
      <w:pPr>
        <w:pStyle w:val="Heading3"/>
      </w:pPr>
      <w:r>
        <w:t>Flag 1 [Critical] — Buyer entity is inconsistent across the PSA and related documents</w:t>
      </w:r>
    </w:p>
    <w:p>
      <w:pPr>
        <w:spacing w:after="80"/>
      </w:pPr>
      <w:r>
        <w:rPr>
          <w:b/>
        </w:rPr>
        <w:t>PSA reference:</w:t>
      </w:r>
      <w:r>
        <w:rPr>
          <w:b w:val="0"/>
        </w:rPr>
        <w:t xml:space="preserve"> Preamble; §7.5(a); §13.3(e); §15.2; signature page; Ex. C, D, E, H; Phase I (Client/Reliance)</w:t>
      </w:r>
    </w:p>
    <w:p>
      <w:pPr>
        <w:spacing w:after="80"/>
      </w:pPr>
      <w:r>
        <w:rPr>
          <w:b/>
        </w:rPr>
        <w:t>Issue / analysis:</w:t>
      </w:r>
      <w:r>
        <w:rPr>
          <w:b w:val="0"/>
        </w:rPr>
        <w:t xml:space="preserve"> The PSA Buyer is </w:t>
      </w:r>
      <w:r>
        <w:rPr>
          <w:b/>
        </w:rPr>
        <w:t>Bridgewater Capital Partners LLC</w:t>
      </w:r>
      <w:r>
        <w:rPr>
          <w:b w:val="0"/>
        </w:rPr>
        <w:t xml:space="preserve">, a Delaware LLC formed March 14, 2019, signed by David Kowalski and Priya Venkataraman as Managing Members. Bridgewater is also the grantee and assignee in Exhibits C, D and H. However: (i) the Buyer notice party in §15.2 is </w:t>
      </w:r>
      <w:r>
        <w:rPr>
          <w:b/>
        </w:rPr>
        <w:t>Calverley Capital Partners LLC</w:t>
      </w:r>
      <w:r>
        <w:rPr>
          <w:b w:val="0"/>
        </w:rPr>
        <w:t>; (ii) the Exhibit E estoppel form certifies to “Calverley Capital Partners LLC (‘Buyer’)”; (iii) the Phase I was prepared for, and authorizes reliance by, Calverley, not Bridgewater; (iv) your instruction e-mail refers to “Calverley’s” deposits and assignment rights, while your e-mail domain is bridgewatercap.com. If Calverley is the intended purchaser, it currently has no rights under the PSA. If Bridgewater is correct, the estoppels, Phase I reliance and AAI/CERCLA defenses (see Flag 12) are running to the wrong entity. This also affects which entity funds the Deposit and whose TIN is used (§3.2), the §7.5 reps and authority deliverables (§13.3(e)), the lender commitment, and the “affiliate” test for assignment (§14.3).</w:t>
      </w:r>
    </w:p>
    <w:p>
      <w:pPr>
        <w:spacing w:after="160"/>
      </w:pPr>
      <w:r>
        <w:rPr>
          <w:b/>
        </w:rPr>
        <w:t>Recommended action:</w:t>
      </w:r>
      <w:r>
        <w:rPr>
          <w:b w:val="0"/>
        </w:rPr>
        <w:t xml:space="preserve"> Confirm immediately the legal name and relationship of Bridgewater and Calverley (for example, a predecessor name, parent/sub, or fund manager versus vehicle). Confirm which entity wired the $2,000,000 Initial Deposit. Correct the parties by a first PSA amendment (or a §14.3 assignment if Bridgewater is the correct affiliate counterparty). Conform Exhibits C, D, E and H, §15.2, the Pinnacle loan application and Phase I reliance.</w:t>
      </w:r>
    </w:p>
    <w:p>
      <w:pPr>
        <w:pStyle w:val="Heading3"/>
      </w:pPr>
      <w:r>
        <w:t>Flag 2 [Critical] — The $3,000,000 Environmental Indemnity Cap is inadequate for REC-1</w:t>
      </w:r>
    </w:p>
    <w:p>
      <w:pPr>
        <w:spacing w:after="80"/>
      </w:pPr>
      <w:r>
        <w:rPr>
          <w:b/>
        </w:rPr>
        <w:t>PSA reference:</w:t>
      </w:r>
      <w:r>
        <w:rPr>
          <w:b w:val="0"/>
        </w:rPr>
        <w:t xml:space="preserve"> §8.4(a); Phase I §§3, 6.1, 6.5, 7</w:t>
      </w:r>
    </w:p>
    <w:p>
      <w:pPr>
        <w:spacing w:after="80"/>
      </w:pPr>
      <w:r>
        <w:rPr>
          <w:b/>
        </w:rPr>
        <w:t>Issue / analysis:</w:t>
      </w:r>
      <w:r>
        <w:rPr>
          <w:b w:val="0"/>
        </w:rPr>
        <w:t xml:space="preserve"> The Phase I identifies one REC: possible migration of PCE-impacted groundwater (up to 87 µg/L, 17.4x the 5 µg/L Virginia standard) from the former Reston Village Cleaners on adjacent Parcel 0264-01-0019 toward and beneath Building C. The DEQ VRP closure (March 2006) covered the adjacent parcel only and expressly flagged possible off-site migration. No sampling has ever been done at the Property. PCE is a DNAPL, and Clearfield notes the local fractured-rock aquifer is susceptible to migration. Clearfield’s cost range runs from several hundred thousand dollars to </w:t>
      </w:r>
      <w:r>
        <w:rPr>
          <w:b/>
        </w:rPr>
        <w:t>more than $5,000,000</w:t>
      </w:r>
      <w:r>
        <w:rPr>
          <w:b w:val="0"/>
        </w:rPr>
        <w:t xml:space="preserve">, and </w:t>
      </w:r>
      <w:r>
        <w:rPr>
          <w:b/>
        </w:rPr>
        <w:t>more than $10,000,000</w:t>
      </w:r>
      <w:r>
        <w:rPr>
          <w:b w:val="0"/>
        </w:rPr>
        <w:t xml:space="preserve"> where plumes, DNAPL at depth or vapor-intrusion mitigation are involved. The $3M cap is about 3.4% of price, below the Article VII rep Cap ($4,387,500), and could cover well under half of a plausible worst case. The cap also includes defense costs and attorneys’ fees, which erode it. Building C houses a healthcare tenant (Blue Ridge Behavioral Health) and 29,300 RSF of vacancy that may be harder to lease if contamination is confirmed. Lender underwriting (Pinnacle, a Phase I reliance party) may also require additional protections.</w:t>
      </w:r>
    </w:p>
    <w:p>
      <w:pPr>
        <w:spacing w:after="160"/>
      </w:pPr>
      <w:r>
        <w:rPr>
          <w:b/>
        </w:rPr>
        <w:t>Recommended action:</w:t>
      </w:r>
      <w:r>
        <w:rPr>
          <w:b w:val="0"/>
        </w:rPr>
        <w:t xml:space="preserve"> Do not waive DD on the current terms. Pursue, in combination as appropriate: (a) raise the cap to at least $10M, or remove it for REC-1/PCE conditions, with costs of defense outside the cap; (b) a Seller-funded environmental escrow or holdback at Closing (see Flag 8); (c) a pollution legal liability (PLL) policy, with the premium paid or credited by Seller and Buyer, SPE and Lender as insureds; (d) a price reduction or credit sized to the Phase II results; (e) an express obligation for Seller to perform or fund any DEQ-required investigation or remediation, and to pursue the VRP applicant or the former dry-cleaner owner, with the right to assign claims to Buyer. Size the final figure once Phase II data are available.</w:t>
      </w:r>
    </w:p>
    <w:p>
      <w:pPr>
        <w:pStyle w:val="Heading3"/>
      </w:pPr>
      <w:r>
        <w:t>Flag 3 [Critical] — Environmental indemnity survival, release and scope gaps</w:t>
      </w:r>
    </w:p>
    <w:p>
      <w:pPr>
        <w:spacing w:after="80"/>
      </w:pPr>
      <w:r>
        <w:rPr>
          <w:b/>
        </w:rPr>
        <w:t>PSA reference:</w:t>
      </w:r>
      <w:r>
        <w:rPr>
          <w:b w:val="0"/>
        </w:rPr>
        <w:t xml:space="preserve"> §8.3; §8.4(b)–(c); §8.1</w:t>
      </w:r>
    </w:p>
    <w:p>
      <w:pPr>
        <w:spacing w:after="80"/>
      </w:pPr>
      <w:r>
        <w:rPr>
          <w:b/>
        </w:rPr>
        <w:t>Issue / analysis:</w:t>
      </w:r>
      <w:r>
        <w:rPr>
          <w:b w:val="0"/>
        </w:rPr>
        <w:t xml:space="preserve"> (i) </w:t>
      </w:r>
      <w:r>
        <w:rPr>
          <w:b/>
        </w:rPr>
        <w:t>Survival of 36 months (to Jan. 15, 2028)</w:t>
      </w:r>
      <w:r>
        <w:rPr>
          <w:b w:val="0"/>
        </w:rPr>
        <w:t xml:space="preserve"> is short for a chlorinated-solvent plume. Migration, delineation and DEQ involvement can take years, and claims arising after that date are barred and then covered by the §8.3 release, which applies to environmental condition. (ii) The claim notice must state the “estimated cost.” That may be impossible early in an investigation and invites disputes over notice adequacy. (iii) Coverage is limited to conditions “existing prior to the Closing Date.” Seller may argue that PCE migrating onto the Property </w:t>
      </w:r>
      <w:r>
        <w:rPr>
          <w:b/>
        </w:rPr>
        <w:t>after</w:t>
      </w:r>
      <w:r>
        <w:rPr>
          <w:b w:val="0"/>
        </w:rPr>
        <w:t xml:space="preserve"> Closing from an off-site source is not a pre-existing condition. (iv) There is no express coverage for third-party claims (tenant bodily-injury and toxic-tort claims, DEQ or EPA orders), lost rent and tenant abatement, or diminution in value. (v) The §8.3 release, given by Buyer “and its successors and assigns,” likely reaches statutory CERCLA and Virginia contribution claims against Seller once the indemnity expires or is exhausted. (vi) The indemnity runs to Buyer’s successors and assigns; confirm it runs to the SPE and is collaterally assignable to Pinnacle.</w:t>
      </w:r>
    </w:p>
    <w:p>
      <w:pPr>
        <w:spacing w:after="160"/>
      </w:pPr>
      <w:r>
        <w:rPr>
          <w:b/>
        </w:rPr>
        <w:t>Recommended action:</w:t>
      </w:r>
      <w:r>
        <w:rPr>
          <w:b w:val="0"/>
        </w:rPr>
        <w:t xml:space="preserve"> Extend survival to at least 10 years (or until DEQ no-further-action or closure for REC-1). Make notice sufficient if it describes the condition, with cost estimates to follow. Clarify that coverage includes the migration of Hazardous Materials originating before Closing, whenever they reach the Property. Add express coverage for third-party claims, governmental orders, vapor-intrusion mitigation, lost rents and tenant claims. Carve REC-1 and Hazardous Materials claims out of the §8.3 release, or at least preserve statutory contribution rights. Confirm assignability to the SPE and the lender.</w:t>
      </w:r>
    </w:p>
    <w:p>
      <w:pPr>
        <w:pStyle w:val="Heading3"/>
      </w:pPr>
      <w:r>
        <w:t>Flag 4 [High] — The Seller environmental rep is effectively hollow</w:t>
      </w:r>
    </w:p>
    <w:p>
      <w:pPr>
        <w:spacing w:after="80"/>
      </w:pPr>
      <w:r>
        <w:rPr>
          <w:b/>
        </w:rPr>
        <w:t>PSA reference:</w:t>
      </w:r>
      <w:r>
        <w:rPr>
          <w:b w:val="0"/>
        </w:rPr>
        <w:t xml:space="preserve"> §7.1(k); §7.1 (knowledge definition); Phase I §5 (Interviews)</w:t>
      </w:r>
    </w:p>
    <w:p>
      <w:pPr>
        <w:spacing w:after="80"/>
      </w:pPr>
      <w:r>
        <w:rPr>
          <w:b/>
        </w:rPr>
        <w:t>Issue / analysis:</w:t>
      </w:r>
      <w:r>
        <w:rPr>
          <w:b w:val="0"/>
        </w:rPr>
        <w:t xml:space="preserve"> §7.1(k) is (a) knowledge-qualified, with knowledge limited to Marcus Ellison’s actual knowledge without investigation, and (b) excludes everything “disclosed in” the Clearfield Phase I. The Phase I is Buyer’s own report, yet it is listed in §4.2(d) as a Seller deliverable. In his July 29, 2024 Phase I interview, Mr. Ellison stated he had no knowledge of migration onto the Property and that no soil or groundwater testing has been done. As drafted, Buyer has essentially no rep-based recovery for REC-1, and §8.4 is the only remedy.</w:t>
      </w:r>
    </w:p>
    <w:p>
      <w:pPr>
        <w:spacing w:after="160"/>
      </w:pPr>
      <w:r>
        <w:rPr>
          <w:b/>
        </w:rPr>
        <w:t>Recommended action:</w:t>
      </w:r>
      <w:r>
        <w:rPr>
          <w:b w:val="0"/>
        </w:rPr>
        <w:t xml:space="preserve"> Ask for: (a) a flat (not knowledge-qualified) rep that Seller has received no notice, demand or information request from DEQ, EPA or the adjacent owner regarding PCE, VRP-00487 or off-site migration; (b) a rep that Seller has delivered all environmental reports, sampling data and DEQ correspondence in its possession; (c) expanded knowledge parties (on-site property manager and asset manager) with a duty of reasonable inquiry. Confirm whether Seller has its own Phase I or other reports, since §4.2(d) implies Seller holds a copy of Clearfield’s report.</w:t>
      </w:r>
    </w:p>
    <w:p>
      <w:pPr>
        <w:pStyle w:val="Heading3"/>
      </w:pPr>
      <w:r>
        <w:t>Flag 5 [Critical] — The Phase II cannot be completed before the Due Diligence Period expires</w:t>
      </w:r>
    </w:p>
    <w:p>
      <w:pPr>
        <w:spacing w:after="80"/>
      </w:pPr>
      <w:r>
        <w:rPr>
          <w:b/>
        </w:rPr>
        <w:t>PSA reference:</w:t>
      </w:r>
      <w:r>
        <w:rPr>
          <w:b w:val="0"/>
        </w:rPr>
        <w:t xml:space="preserve"> §1.1; §4.1; §4.3; §8.2; Phase I §7</w:t>
      </w:r>
    </w:p>
    <w:p>
      <w:pPr>
        <w:spacing w:after="80"/>
      </w:pPr>
      <w:r>
        <w:rPr>
          <w:b/>
        </w:rPr>
        <w:t>Issue / analysis:</w:t>
      </w:r>
      <w:r>
        <w:rPr>
          <w:b w:val="0"/>
        </w:rPr>
        <w:t xml:space="preserve"> Clearfield needs about 10–14 business days to mobilize after written authorization. Preliminary results come about 4–6 weeks after field work. If authorized on Oct. 15, 2024, mobilization falls around Oct. 29 to Nov. 4, and results would likely arrive in early to mid-December 2024 or later. That is after DD expiration (Nov. 21), after the Additional Deposit is posted (Nov. 29), and close to the Financing Contingency Deadline (Dec. 6). Under §8.2, proceeding past DD is deemed an acknowledgment that diligence is satisfactory. Access issues: §4.3 lists Phase II ESAs but describes inspections as “non-invasive.” Drilling monitoring wells and sub-slab sampling is invasive, and Seller may argue that consent is required. Access is limited to Monday–Friday, 8:00 a.m.–6:00 p.m., with 24 hours’ notice, which can slow sub-slab work in occupied Building C (tenant spaces may also require coordination and §4.3 consent for tenant contact).</w:t>
      </w:r>
    </w:p>
    <w:p>
      <w:pPr>
        <w:spacing w:after="160"/>
      </w:pPr>
      <w:r>
        <w:rPr>
          <w:b/>
        </w:rPr>
        <w:t>Recommended action:</w:t>
      </w:r>
      <w:r>
        <w:rPr>
          <w:b w:val="0"/>
        </w:rPr>
        <w:t xml:space="preserve"> (1) </w:t>
      </w:r>
      <w:r>
        <w:rPr>
          <w:b/>
        </w:rPr>
        <w:t>Authorize the Phase II with Clearfield immediately.</w:t>
      </w:r>
      <w:r>
        <w:rPr>
          <w:b w:val="0"/>
        </w:rPr>
        <w:t xml:space="preserve"> Budget $45,000–$65,000. Submit the DEQ FOIA request for VRP-00487 now. (2) Request an amendment that either extends the DD Period by about 30–45 days, </w:t>
      </w:r>
      <w:r>
        <w:rPr>
          <w:b/>
        </w:rPr>
        <w:t>or</w:t>
      </w:r>
      <w:r>
        <w:rPr>
          <w:b w:val="0"/>
        </w:rPr>
        <w:t xml:space="preserve"> adds a separate Phase II/environmental contingency. That contingency should give Buyer a right to terminate with a full Deposit refund within 10 business days after receiving final Phase II results, and Seller should be barred from requiring the Additional Deposit before it expires. (3) Obtain a written access agreement expressly permitting well installation, sub-slab and indoor-air sampling, and after-hours work, and expressly confirming that sampling results are not a §4.3 indemnified “damage.” (4) Agree a confidentiality and reporting protocol for results, including any DEQ reporting obligations.</w:t>
      </w:r>
    </w:p>
    <w:p>
      <w:pPr>
        <w:pStyle w:val="Heading3"/>
      </w:pPr>
      <w:r>
        <w:t>Flag 6 [Critical] — Deposits are not fully protected if financing fails</w:t>
      </w:r>
    </w:p>
    <w:p>
      <w:pPr>
        <w:spacing w:after="80"/>
      </w:pPr>
      <w:r>
        <w:rPr>
          <w:b/>
        </w:rPr>
        <w:t>PSA reference:</w:t>
      </w:r>
      <w:r>
        <w:rPr>
          <w:b w:val="0"/>
        </w:rPr>
        <w:t xml:space="preserve"> §3.3; §3.4; §4.4; §10.1; §10.2(b)–(c); §12.1</w:t>
      </w:r>
    </w:p>
    <w:p>
      <w:pPr>
        <w:spacing w:after="80"/>
      </w:pPr>
      <w:r>
        <w:rPr>
          <w:b/>
        </w:rPr>
        <w:t>Issue / analysis:</w:t>
      </w:r>
      <w:r>
        <w:rPr>
          <w:b w:val="0"/>
        </w:rPr>
        <w:t xml:space="preserve"> The $1,500,000 Additional Deposit is due </w:t>
      </w:r>
      <w:r>
        <w:rPr>
          <w:b/>
        </w:rPr>
        <w:t>Nov. 29, 2024</w:t>
      </w:r>
      <w:r>
        <w:rPr>
          <w:b w:val="0"/>
        </w:rPr>
        <w:t xml:space="preserve">, 7 days before the </w:t>
      </w:r>
      <w:r>
        <w:rPr>
          <w:b/>
        </w:rPr>
        <w:t>Dec. 6, 2024</w:t>
      </w:r>
      <w:r>
        <w:rPr>
          <w:b w:val="0"/>
        </w:rPr>
        <w:t xml:space="preserve"> Financing Contingency Deadline. On a financing termination, §10.2(b) returns only the “Initial Deposit” and is silent on the Additional Deposit. Read with §3.4 (the deposit is returned or retained “as provided in the applicable termination provision”), Seller would argue it keeps the $1.5M. So, to answer your question directly: </w:t>
      </w:r>
      <w:r>
        <w:rPr>
          <w:b/>
        </w:rPr>
        <w:t>the deposits are not fully protected</w:t>
      </w:r>
      <w:r>
        <w:rPr>
          <w:b w:val="0"/>
        </w:rPr>
        <w:t>. About $1.5M (43% of the Deposit) is exposed on a financing failure. Further: (i) §10.2(c) deems the contingency waived if notice is not delivered by 5:00 p.m. ET Dec. 6, after which a failure to close is a Buyer default and the full $3.5M is liquidated damages (§12.1); (ii) the standard is a commitment “satisfactory to Buyer in its reasonable discretion” plus “commercially reasonable and diligent efforts,” which invites Seller challenges; (iii) the lender’s commitment will likely be conditioned on Phase II results, estoppels and SNDAs that will not be in hand by Dec. 6 (Flags 5, 9, 10); (iv) a commitment obtained on Dec. 6 can still fail to fund at Closing, with no protection.</w:t>
      </w:r>
    </w:p>
    <w:p>
      <w:pPr>
        <w:spacing w:after="160"/>
      </w:pPr>
      <w:r>
        <w:rPr>
          <w:b/>
        </w:rPr>
        <w:t>Recommended action:</w:t>
      </w:r>
      <w:r>
        <w:rPr>
          <w:b w:val="0"/>
        </w:rPr>
        <w:t xml:space="preserve"> Amend so that (a) the </w:t>
      </w:r>
      <w:r>
        <w:rPr>
          <w:b/>
        </w:rPr>
        <w:t>entire Deposit</w:t>
      </w:r>
      <w:r>
        <w:rPr>
          <w:b w:val="0"/>
        </w:rPr>
        <w:t xml:space="preserve"> (Initial plus Additional, with interest) is refunded on a §10.2 termination; or (b) the Additional Deposit due date moves to 2 business days after the Financing Contingency Deadline (about Dec. 10, 2024); or (c) the Financing Contingency Deadline moves before Nov. 29. Also seek: a clear objective standard (a commitment on substantially the terms of the Pinnacle term sheet); and either an extension of the financing deadline matched to the Phase II timeline, or a Deposit refund if the lender fails to fund due to an environmental or estoppel condition. Start Pinnacle on the appraisal and environmental review now so a commitment is in hand before the deadline.</w:t>
      </w:r>
    </w:p>
    <w:p>
      <w:pPr>
        <w:pStyle w:val="Heading3"/>
      </w:pPr>
      <w:r>
        <w:t>Flag 7 [High] — No interim operating covenants and no Buyer approval over new leases</w:t>
      </w:r>
    </w:p>
    <w:p>
      <w:pPr>
        <w:spacing w:after="80"/>
      </w:pPr>
      <w:r>
        <w:rPr>
          <w:b/>
        </w:rPr>
        <w:t>PSA reference:</w:t>
      </w:r>
      <w:r>
        <w:rPr>
          <w:b w:val="0"/>
        </w:rPr>
        <w:t xml:space="preserve"> §6.3 (last sentence); §5.3(b); §9.1(b); §7.1(g)</w:t>
      </w:r>
    </w:p>
    <w:p>
      <w:pPr>
        <w:spacing w:after="80"/>
      </w:pPr>
      <w:r>
        <w:rPr>
          <w:b/>
        </w:rPr>
        <w:t>Issue / analysis:</w:t>
      </w:r>
      <w:r>
        <w:rPr>
          <w:b w:val="0"/>
        </w:rPr>
        <w:t xml:space="preserve"> §6.3 assumes that new leases, renewals and modifications after the Effective Date occur “with Buyer’s prior written consent,” but no covenant actually requires that consent. The PSA contains no covenant requiring Seller, between signing and Closing, to operate and lease in the ordinary course, maintain insurance, not amend, terminate or accept surrender of Leases, not apply security deposits, not enter or extend Service Contracts, not grant encumbrances, or keep tenants informed. §5.3(b) refers to encumbrances created “in violation of this Agreement,” but nothing prohibits them. It is also unclear who bears TI/LC for leases Seller signs </w:t>
      </w:r>
      <w:r>
        <w:rPr>
          <w:b/>
        </w:rPr>
        <w:t>without</w:t>
      </w:r>
      <w:r>
        <w:rPr>
          <w:b w:val="0"/>
        </w:rPr>
        <w:t xml:space="preserve"> Buyer consent.</w:t>
      </w:r>
    </w:p>
    <w:p>
      <w:pPr>
        <w:spacing w:after="160"/>
      </w:pPr>
      <w:r>
        <w:rPr>
          <w:b/>
        </w:rPr>
        <w:t>Recommended action:</w:t>
      </w:r>
      <w:r>
        <w:rPr>
          <w:b w:val="0"/>
        </w:rPr>
        <w:t xml:space="preserve"> Add a full interim operating covenant (Effective Date to Closing): ordinary-course operation; no new leases, amendments, terminations, renewals or consents to assignment without Buyer’s approval (deemed approval after 5 business days only before DD expiry, with Buyer’s sole discretion after DD); no new non-terminable Service Contracts; maintain insurance; no new title encumbrances; prompt delivery of default and termination notices (including any RedPoint termination notice); Seller bears TI/LC on unapproved leases.</w:t>
      </w:r>
    </w:p>
    <w:p>
      <w:pPr>
        <w:pStyle w:val="Heading3"/>
      </w:pPr>
      <w:r>
        <w:t>Flag 8 [High] — Seller is a single-asset entity with no credit support for its post-Closing obligations</w:t>
      </w:r>
    </w:p>
    <w:p>
      <w:pPr>
        <w:spacing w:after="80"/>
      </w:pPr>
      <w:r>
        <w:rPr>
          <w:b/>
        </w:rPr>
        <w:t>PSA reference:</w:t>
      </w:r>
      <w:r>
        <w:rPr>
          <w:b w:val="0"/>
        </w:rPr>
        <w:t xml:space="preserve"> §7.3; §7.4; §8.4; §12.2; §15.12</w:t>
      </w:r>
    </w:p>
    <w:p>
      <w:pPr>
        <w:spacing w:after="80"/>
      </w:pPr>
      <w:r>
        <w:rPr>
          <w:b/>
        </w:rPr>
        <w:t>Issue / analysis:</w:t>
      </w:r>
      <w:r>
        <w:rPr>
          <w:b w:val="0"/>
        </w:rPr>
        <w:t xml:space="preserve"> Seller (formed in 2011 to develop the Property) appears to be a single-purpose entity. It will likely distribute the sale proceeds (about $80M+ net) after Closing. The 12-month rep survival (cap $4,387,500), the 36-month environmental indemnity (cap $3,000,000) and the willful-default damages have no guaranty, escrow, holdback or net-worth covenant behind them. In practice, the indemnities may be uncollectible.</w:t>
      </w:r>
    </w:p>
    <w:p>
      <w:pPr>
        <w:spacing w:after="160"/>
      </w:pPr>
      <w:r>
        <w:rPr>
          <w:b/>
        </w:rPr>
        <w:t>Recommended action:</w:t>
      </w:r>
      <w:r>
        <w:rPr>
          <w:b w:val="0"/>
        </w:rPr>
        <w:t xml:space="preserve"> Require one or more of: (a) a holdback or escrow at Closing (for example, $3–5M for the environmental indemnity through closure of REC-1, plus a smaller rep holdback for 12 months); (b) a guaranty from a creditworthy Seller parent or principal; (c) a covenant that Seller maintains a minimum net worth (for example, at least the combined caps) and does not dissolve during the survival periods.</w:t>
      </w:r>
    </w:p>
    <w:p>
      <w:pPr>
        <w:pStyle w:val="Heading3"/>
      </w:pPr>
      <w:r>
        <w:t>Flag 9 [High] — Estoppel threshold, form and deliverability</w:t>
      </w:r>
    </w:p>
    <w:p>
      <w:pPr>
        <w:spacing w:after="80"/>
      </w:pPr>
      <w:r>
        <w:rPr>
          <w:b/>
        </w:rPr>
        <w:t>PSA reference:</w:t>
      </w:r>
      <w:r>
        <w:rPr>
          <w:b w:val="0"/>
        </w:rPr>
        <w:t xml:space="preserve"> §9.3; Ex. E; Ex. F</w:t>
      </w:r>
    </w:p>
    <w:p>
      <w:pPr>
        <w:spacing w:after="80"/>
      </w:pPr>
      <w:r>
        <w:rPr>
          <w:b/>
        </w:rPr>
        <w:t>Issue / analysis:</w:t>
      </w:r>
      <w:r>
        <w:rPr>
          <w:b w:val="0"/>
        </w:rPr>
        <w:t xml:space="preserve"> (i) The 80% threshold (206,512 of 258,140 RSF) needs at least the seven largest tenants. Missing a few mid-size tenants fails the condition, yet Seller has only an “efforts” obligation. (ii) There is no requirement that </w:t>
      </w:r>
      <w:r>
        <w:rPr>
          <w:b/>
        </w:rPr>
        <w:t>Valerian</w:t>
      </w:r>
      <w:r>
        <w:rPr>
          <w:b w:val="0"/>
        </w:rPr>
        <w:t xml:space="preserve"> (24.2% of RSF, about 25.8% of rent, government contractor), NovaTech, Chesapeake or Athena specifically deliver. Seller could meet the 80% using other tenants. (iii) There is no standard for an acceptable estoppel: no requirement that it be dated within 30 days of Closing, be unmodified, or disclose no material defaults or discrepancies from the Rent Roll. Seller may tender estoppels that disclose problems and still claim the condition is met. (iv) Estoppels may be in the Lease-required form, which can omit Lender reliance and key confirmations. (v) The Ex. E form is addressed to </w:t>
      </w:r>
      <w:r>
        <w:rPr>
          <w:b/>
        </w:rPr>
        <w:t>Calverley</w:t>
      </w:r>
      <w:r>
        <w:rPr>
          <w:b w:val="0"/>
        </w:rPr>
        <w:t>, not Bridgewater, does not name the SPE assignee, and omits the paid-through date, free rent or abatement (relevant to Garrison &amp; Holt), lease-guaranty status, ROFR/ROFO waivers, and environmental confirmations. (vi) The deadline is Dec. 31, 2024, during the holidays, and that date is fixed by reference to Closing. Pinnacle typically requires estoppels from all major tenants, so the lender’s requirements may exceed the PSA threshold.</w:t>
      </w:r>
    </w:p>
    <w:p>
      <w:pPr>
        <w:spacing w:after="160"/>
      </w:pPr>
      <w:r>
        <w:rPr>
          <w:b/>
        </w:rPr>
        <w:t>Recommended action:</w:t>
      </w:r>
      <w:r>
        <w:rPr>
          <w:b w:val="0"/>
        </w:rPr>
        <w:t xml:space="preserve"> Amend to require: estoppels from (a) all tenants over 10,000 RSF (Valerian, NovaTech, Chesapeake, Athena, RedPoint, Ironclad, Pinnacle Ridge, Harborview) </w:t>
      </w:r>
      <w:r>
        <w:rPr>
          <w:b/>
        </w:rPr>
        <w:t>and</w:t>
      </w:r>
      <w:r>
        <w:rPr>
          <w:b w:val="0"/>
        </w:rPr>
        <w:t xml:space="preserve"> (b) at least 80% of leased RSF in the aggregate. Estoppels should be dated no more than 30 days before Closing, with no material adverse deviation from the Rent Roll or the Lease. A Seller estoppel should be allowed for up to 10% of the remaining tenants, but not for the major tenants. Revise Ex. E to name the correct Buyer, its successors and assigns, the SPE and Pinnacle, and add the missing confirmations. Have Seller circulate draft estoppels for Buyer review by about Nov. 15, 2024, so problems surface before DD expiry.</w:t>
      </w:r>
    </w:p>
    <w:p>
      <w:pPr>
        <w:pStyle w:val="Heading3"/>
      </w:pPr>
      <w:r>
        <w:t>Flag 10 [High] — SNDAs are not a closing condition, but Pinnacle will likely require them</w:t>
      </w:r>
    </w:p>
    <w:p>
      <w:pPr>
        <w:spacing w:after="80"/>
      </w:pPr>
      <w:r>
        <w:rPr>
          <w:b/>
        </w:rPr>
        <w:t>PSA reference:</w:t>
      </w:r>
      <w:r>
        <w:rPr>
          <w:b w:val="0"/>
        </w:rPr>
        <w:t xml:space="preserve"> §9.1(f); §9.4; §13.2(o)</w:t>
      </w:r>
    </w:p>
    <w:p>
      <w:pPr>
        <w:spacing w:after="80"/>
      </w:pPr>
      <w:r>
        <w:rPr>
          <w:b/>
        </w:rPr>
        <w:t>Issue / analysis:</w:t>
      </w:r>
      <w:r>
        <w:rPr>
          <w:b w:val="0"/>
        </w:rPr>
        <w:t xml:space="preserve"> §9.1(f) lists SNDAs “required by Section 9.4” as a Buyer condition, but §9.4 says failure to obtain them is </w:t>
      </w:r>
      <w:r>
        <w:rPr>
          <w:b/>
        </w:rPr>
        <w:t>not</w:t>
      </w:r>
      <w:r>
        <w:rPr>
          <w:b w:val="0"/>
        </w:rPr>
        <w:t xml:space="preserve"> a condition if Seller used commercially reasonable efforts. That internal inconsistency will be read against Buyer. The five tenants over 15,000 RSF (Valerian, NovaTech, Chesapeake, Athena, RedPoint; 70.3% of leased RSF) are the SNDA group. If Pinnacle makes SNDAs a loan funding condition and they are not delivered, Buyer could be in breach after the financing contingency has been waived (Dec. 6), putting the $3.5M Deposit at risk. Valerian, as a government contractor, may be slow to sign or require its own form.</w:t>
      </w:r>
    </w:p>
    <w:p>
      <w:pPr>
        <w:spacing w:after="160"/>
      </w:pPr>
      <w:r>
        <w:rPr>
          <w:b/>
        </w:rPr>
        <w:t>Recommended action:</w:t>
      </w:r>
      <w:r>
        <w:rPr>
          <w:b w:val="0"/>
        </w:rPr>
        <w:t xml:space="preserve"> Obtain Pinnacle’s SNDA requirements and form now. Either (a) make SNDAs from the 15,000+ RSF tenants (or those required by Pinnacle) a closing condition with a full Deposit refund, or (b) preserve a financing-failure refund if the lender declines to fund due to missing SNDAs. Clean up the §9.1(f) / §9.4 inconsistency. Require Seller to send SNDAs together with the estoppels.</w:t>
      </w:r>
    </w:p>
    <w:p>
      <w:pPr>
        <w:pStyle w:val="Heading3"/>
      </w:pPr>
      <w:r>
        <w:t>Flag 11 [High] — Assignment to a newly formed SPE</w:t>
      </w:r>
    </w:p>
    <w:p>
      <w:pPr>
        <w:spacing w:after="80"/>
      </w:pPr>
      <w:r>
        <w:rPr>
          <w:b/>
        </w:rPr>
        <w:t>PSA reference:</w:t>
      </w:r>
      <w:r>
        <w:rPr>
          <w:b w:val="0"/>
        </w:rPr>
        <w:t xml:space="preserve"> §14.1–§14.3; §5.4; §13.2(a); Ex. C, D, H</w:t>
      </w:r>
    </w:p>
    <w:p>
      <w:pPr>
        <w:spacing w:after="80"/>
      </w:pPr>
      <w:r>
        <w:rPr>
          <w:b/>
        </w:rPr>
        <w:t>Issue / analysis:</w:t>
      </w:r>
      <w:r>
        <w:rPr>
          <w:b w:val="0"/>
        </w:rPr>
        <w:t xml:space="preserve"> (i) Free assignment is limited to an entity that controls, is controlled by, or is under common control with </w:t>
      </w:r>
      <w:r>
        <w:rPr>
          <w:b/>
        </w:rPr>
        <w:t>Buyer (Bridgewater)</w:t>
      </w:r>
      <w:r>
        <w:rPr>
          <w:b w:val="0"/>
        </w:rPr>
        <w:t xml:space="preserve">. A fund-owned SPE whose control runs through Calverley or a fund GP, and not Bridgewater, may not qualify, so Seller consent would be needed. The opening words “affiliate </w:t>
      </w:r>
      <w:r>
        <w:rPr>
          <w:b/>
        </w:rPr>
        <w:t>or designee</w:t>
      </w:r>
      <w:r>
        <w:rPr>
          <w:b w:val="0"/>
        </w:rPr>
        <w:t xml:space="preserve">” are not reflected in the definition, which creates an ambiguity Seller may resolve against Buyer. (ii) Notice and a </w:t>
      </w:r>
      <w:r>
        <w:rPr>
          <w:b/>
        </w:rPr>
        <w:t>fully executed</w:t>
      </w:r>
      <w:r>
        <w:rPr>
          <w:b w:val="0"/>
        </w:rPr>
        <w:t xml:space="preserve"> assignment and assumption must be delivered at least 10 business days before the Closing Date (Dec. 31, 2024 for a Jan. 15 Closing). The SPE must therefore be formed, qualified in Virginia and authorized by then, and if Closing is accelerated or moved the deadline moves too. (iii) §14.3(c) keeps the original Buyer </w:t>
      </w:r>
      <w:r>
        <w:rPr>
          <w:b/>
        </w:rPr>
        <w:t>jointly and severally liable before and after Closing</w:t>
      </w:r>
      <w:r>
        <w:rPr>
          <w:b w:val="0"/>
        </w:rPr>
        <w:t>, including indemnities and surviving obligations. That is inconsistent with a fund structure in which the SPE alone owns the asset, and the lender may object to recourse against a non-borrower. (iv) The deed, Ex. D and Ex. H name Bridgewater, and the estoppels, Phase I reliance, title policy and lender documents must also run to the SPE. (v) It is unclear whether the Deposit and the Buyer’s rights to it pass to the assignee.</w:t>
      </w:r>
    </w:p>
    <w:p>
      <w:pPr>
        <w:spacing w:after="160"/>
      </w:pPr>
      <w:r>
        <w:rPr>
          <w:b/>
        </w:rPr>
        <w:t>Recommended action:</w:t>
      </w:r>
      <w:r>
        <w:rPr>
          <w:b w:val="0"/>
        </w:rPr>
        <w:t xml:space="preserve"> Amend §14.3 to permit assignment, without consent, to any entity controlled by, or under common control with, Buyer, Calverley Capital Partners LLC or any fund or investment vehicle sponsored or managed by them, including a single-purpose entity formed for the acquisition or required by Lender. Reduce the notice to 3 business days before Closing. Release the assignor at Closing, or limit its continuing liability to pre-Closing obligations. Confirm the Deposit and all Buyer rights (including §8.4 and §12.2) transfer to the assignee. Conform Exhibits C, D and H to allow the assignee to be named.</w:t>
      </w:r>
    </w:p>
    <w:p>
      <w:pPr>
        <w:pStyle w:val="Heading3"/>
      </w:pPr>
      <w:r>
        <w:t>Flag 12 [High] — Phase I reliance, AAI timing and CERCLA defenses</w:t>
      </w:r>
    </w:p>
    <w:p>
      <w:pPr>
        <w:spacing w:after="80"/>
      </w:pPr>
      <w:r>
        <w:rPr>
          <w:b/>
        </w:rPr>
        <w:t>PSA reference:</w:t>
      </w:r>
      <w:r>
        <w:rPr>
          <w:b w:val="0"/>
        </w:rPr>
        <w:t xml:space="preserve"> Phase I §§1, 4, 5, 8 (Reliance); PSA §1.1 (Closing Date); §13.1</w:t>
      </w:r>
    </w:p>
    <w:p>
      <w:pPr>
        <w:spacing w:after="80"/>
      </w:pPr>
      <w:r>
        <w:rPr>
          <w:b/>
        </w:rPr>
        <w:t>Issue / analysis:</w:t>
      </w:r>
      <w:r>
        <w:rPr>
          <w:b w:val="0"/>
        </w:rPr>
        <w:t xml:space="preserve"> (i) The Phase I authorizes reliance only by Calverley, Pinnacle, HMS and Commonwealth Title. Neither Bridgewater (the PSA Buyer) nor the future SPE is a user or reliance party. The BFPP, contiguous-property-owner and innocent-landowner defenses under CERCLA (40 CFR Part 312) require that the </w:t>
      </w:r>
      <w:r>
        <w:rPr>
          <w:b/>
        </w:rPr>
        <w:t>purchaser</w:t>
      </w:r>
      <w:r>
        <w:rPr>
          <w:b w:val="0"/>
        </w:rPr>
        <w:t xml:space="preserve"> have conducted All Appropriate Inquiries. (ii) </w:t>
      </w:r>
      <w:r>
        <w:rPr>
          <w:b/>
        </w:rPr>
        <w:t>AAI timing:</w:t>
      </w:r>
      <w:r>
        <w:rPr>
          <w:b w:val="0"/>
        </w:rPr>
        <w:t xml:space="preserve"> certain AAI components (interviews, lien search, government records review, site reconnaissance and the EP declaration) must be conducted or updated within </w:t>
      </w:r>
      <w:r>
        <w:rPr>
          <w:b/>
        </w:rPr>
        <w:t>180 days before the acquisition date</w:t>
      </w:r>
      <w:r>
        <w:rPr>
          <w:b w:val="0"/>
        </w:rPr>
        <w:t xml:space="preserve">. The government database search was run July 15, 2024 (180 days runs to about </w:t>
      </w:r>
      <w:r>
        <w:rPr>
          <w:b/>
        </w:rPr>
        <w:t>Jan. 11, 2025</w:t>
      </w:r>
      <w:r>
        <w:rPr>
          <w:b w:val="0"/>
        </w:rPr>
        <w:t xml:space="preserve">), and the site visit and interviews took place July 29–30, 2024 (about </w:t>
      </w:r>
      <w:r>
        <w:rPr>
          <w:b/>
        </w:rPr>
        <w:t>Jan. 25–26, 2025</w:t>
      </w:r>
      <w:r>
        <w:rPr>
          <w:b w:val="0"/>
        </w:rPr>
        <w:t>). A Jan. 15, 2025 Closing is already past the database-search window, and any extension to Feb. 14 or Mar. 1, 2025 is past all of them. (iii) BFPP status also requires post-acquisition “continuing obligations” (reasonable steps, cooperation, compliance with land-use restrictions). The adjacent parcel’s VRP certificate may carry institutional controls that have not yet been reviewed.</w:t>
      </w:r>
    </w:p>
    <w:p>
      <w:pPr>
        <w:spacing w:after="160"/>
      </w:pPr>
      <w:r>
        <w:rPr>
          <w:b/>
        </w:rPr>
        <w:t>Recommended action:</w:t>
      </w:r>
      <w:r>
        <w:rPr>
          <w:b w:val="0"/>
        </w:rPr>
        <w:t xml:space="preserve"> Obtain an updated reliance letter naming Bridgewater (or the correct Buyer), the SPE, Pinnacle and its successors and assigns. Commission a Phase I update (records, interviews, site visit and lien search) dated within 180 days of the actual Closing. Get the full Phase I report and the DEQ VRP file, including any institutional controls. Document the “reasonable steps” plan for REC-1 at Closing.</w:t>
      </w:r>
    </w:p>
    <w:p>
      <w:pPr>
        <w:pStyle w:val="Heading3"/>
      </w:pPr>
      <w:r>
        <w:t>Flag 13 [High] — Unilateral, retroactive closing extensions by Seller</w:t>
      </w:r>
    </w:p>
    <w:p>
      <w:pPr>
        <w:spacing w:after="80"/>
      </w:pPr>
      <w:r>
        <w:rPr>
          <w:b/>
        </w:rPr>
        <w:t>PSA reference:</w:t>
      </w:r>
      <w:r>
        <w:rPr>
          <w:b w:val="0"/>
        </w:rPr>
        <w:t xml:space="preserve"> §1.1 (“Closing Date,” “Outside Closing Date”); §13.1; §13.5; §15.11</w:t>
      </w:r>
    </w:p>
    <w:p>
      <w:pPr>
        <w:spacing w:after="80"/>
      </w:pPr>
      <w:r>
        <w:rPr>
          <w:b/>
        </w:rPr>
        <w:t>Issue / analysis:</w:t>
      </w:r>
      <w:r>
        <w:rPr>
          <w:b w:val="0"/>
        </w:rPr>
        <w:t xml:space="preserve"> §13.5 allows </w:t>
      </w:r>
      <w:r>
        <w:rPr>
          <w:b/>
        </w:rPr>
        <w:t>either party</w:t>
      </w:r>
      <w:r>
        <w:rPr>
          <w:b w:val="0"/>
        </w:rPr>
        <w:t xml:space="preserve"> to extend Closing from Jan. 15 to Feb. 14, 2025 simply by written notice. No reason is required, and no notice deadline is stated, so the right appears exercisable even after the Closing Date is missed (“If Closing does not occur on the Closing Date…”). Either party may then extend 15 more days to Mar. 1, 2025, a Saturday. This undercuts time-of-the-essence (§13.1, §15.11), lets Seller delay by up to 45 days, and risks rate-lock and commitment expiry, Phase I/AAI staleness (Flag 12) and stale estoppels. The §1.1 definition (“one extension … by either party”) is ambiguous as to whether each party gets one extension. How the §9.3 15-day estoppel extension and the default cure periods (§12.1: 5 business days; §12.2: 10 business days) interact with these dates is also unclear.</w:t>
      </w:r>
    </w:p>
    <w:p>
      <w:pPr>
        <w:spacing w:after="160"/>
      </w:pPr>
      <w:r>
        <w:rPr>
          <w:b/>
        </w:rPr>
        <w:t>Recommended action:</w:t>
      </w:r>
      <w:r>
        <w:rPr>
          <w:b w:val="0"/>
        </w:rPr>
        <w:t xml:space="preserve"> Limit extension rights to Buyer, or to Seller only to cure title or estoppel deficiencies, with notice at least 5 business days before the scheduled Closing Date. Clarify that a single extension right exists in total. Move any date falling on a weekend or holiday to the next business day. Provide that the cure periods do not extend the Closing Date and that a failure to close on the Closing Date is not subject to cure.</w:t>
      </w:r>
    </w:p>
    <w:p>
      <w:pPr>
        <w:pStyle w:val="Heading3"/>
      </w:pPr>
      <w:r>
        <w:t>Flag 14 [Medium] — No Deposit refund when a closing condition fails without Seller default</w:t>
      </w:r>
    </w:p>
    <w:p>
      <w:pPr>
        <w:spacing w:after="80"/>
      </w:pPr>
      <w:r>
        <w:rPr>
          <w:b/>
        </w:rPr>
        <w:t>PSA reference:</w:t>
      </w:r>
      <w:r>
        <w:rPr>
          <w:b w:val="0"/>
        </w:rPr>
        <w:t xml:space="preserve"> §9.1(c), (d), (f), (i); §3.4</w:t>
      </w:r>
    </w:p>
    <w:p>
      <w:pPr>
        <w:spacing w:after="80"/>
      </w:pPr>
      <w:r>
        <w:rPr>
          <w:b/>
        </w:rPr>
        <w:t>Issue / analysis:</w:t>
      </w:r>
      <w:r>
        <w:rPr>
          <w:b w:val="0"/>
        </w:rPr>
        <w:t xml:space="preserve"> Several Buyer conditions have no stated consequence if they fail other than through a Seller default: §9.1(c) (title policy), §9.1(d) (MAC in physical condition, such as a vapor-intrusion finding or structural issue) and §9.1(i) (Seller deliverables). §3.4 returns the Deposit only “as provided in the applicable termination provision.” Buyer could be left unable to close yet without a clear right to recover the Deposit.</w:t>
      </w:r>
    </w:p>
    <w:p>
      <w:pPr>
        <w:spacing w:after="160"/>
      </w:pPr>
      <w:r>
        <w:rPr>
          <w:b/>
        </w:rPr>
        <w:t>Recommended action:</w:t>
      </w:r>
      <w:r>
        <w:rPr>
          <w:b w:val="0"/>
        </w:rPr>
        <w:t xml:space="preserve"> Add a general clause: if any §9.1 condition is not satisfied by the Closing Date (as extended), Buyer may terminate and receive the full Deposit, plus expense reimbursement if the failure results from Seller’s breach.</w:t>
      </w:r>
    </w:p>
    <w:p>
      <w:pPr>
        <w:pStyle w:val="Heading3"/>
      </w:pPr>
      <w:r>
        <w:t>Flag 15 [High] — The specific performance deadline conflicts with mandatory mediation and arbitration</w:t>
      </w:r>
    </w:p>
    <w:p>
      <w:pPr>
        <w:spacing w:after="80"/>
      </w:pPr>
      <w:r>
        <w:rPr>
          <w:b/>
        </w:rPr>
        <w:t>PSA reference:</w:t>
      </w:r>
      <w:r>
        <w:rPr>
          <w:b w:val="0"/>
        </w:rPr>
        <w:t xml:space="preserve"> §12.2(a); §12.3; §15.4(a)–(b)</w:t>
      </w:r>
    </w:p>
    <w:p>
      <w:pPr>
        <w:spacing w:after="80"/>
      </w:pPr>
      <w:r>
        <w:rPr>
          <w:b/>
        </w:rPr>
        <w:t>Issue / analysis:</w:t>
      </w:r>
      <w:r>
        <w:rPr>
          <w:b w:val="0"/>
        </w:rPr>
        <w:t xml:space="preserve"> §12.2(a) requires Buyer to “commence” a specific performance action within 60 days after the scheduled Closing Date, failing which Buyer is deemed to have elected termination. But §15.4 requires mediation first (commencing within 30 days of demand and running up to 60 days) and then AAA arbitration. Mediation alone could consume the full 60 days, and it is unclear whether “commence” means a mediation demand, an arbitration demand, or a court action. Arbitration also complicates recording a lis pendens to protect Buyer’s position against a sale to a third party. §12.3 contemplates court interpleader in Fairfax County, which is inconsistent with mandatory arbitration of disputes over the Deposit. “Willful” default (§12.2(b)) is undefined.</w:t>
      </w:r>
    </w:p>
    <w:p>
      <w:pPr>
        <w:spacing w:after="160"/>
      </w:pPr>
      <w:r>
        <w:rPr>
          <w:b/>
        </w:rPr>
        <w:t>Recommended action:</w:t>
      </w:r>
      <w:r>
        <w:rPr>
          <w:b w:val="0"/>
        </w:rPr>
        <w:t xml:space="preserve"> Provide that a mediation demand or arbitration demand within 60 days satisfies §12.2(a) (or extend it to 90 days and toll it during mediation). Carve specific performance, injunctive relief, lis pendens filings and escrow interpleader out of mediation and arbitration, or expressly permit court actions for them. Define willful default to include Seller’s failure to deliver the deed or deliverables, or a sale or financing to a third party.</w:t>
      </w:r>
    </w:p>
    <w:p>
      <w:pPr>
        <w:pStyle w:val="Heading3"/>
      </w:pPr>
      <w:r>
        <w:t>Flag 16 [Medium] — Rep bring-down timing and the effect of updates</w:t>
      </w:r>
    </w:p>
    <w:p>
      <w:pPr>
        <w:spacing w:after="80"/>
      </w:pPr>
      <w:r>
        <w:rPr>
          <w:b/>
        </w:rPr>
        <w:t>PSA reference:</w:t>
      </w:r>
      <w:r>
        <w:rPr>
          <w:b w:val="0"/>
        </w:rPr>
        <w:t xml:space="preserve"> §7.1 (lead-in); §7.2; §9.1(a)</w:t>
      </w:r>
    </w:p>
    <w:p>
      <w:pPr>
        <w:spacing w:after="80"/>
      </w:pPr>
      <w:r>
        <w:rPr>
          <w:b/>
        </w:rPr>
        <w:t>Issue / analysis:</w:t>
      </w:r>
      <w:r>
        <w:rPr>
          <w:b w:val="0"/>
        </w:rPr>
        <w:t xml:space="preserve"> Seller may “update” its reps, and the Seller’s Closing Certificate is delivered </w:t>
      </w:r>
      <w:r>
        <w:rPr>
          <w:b/>
        </w:rPr>
        <w:t>at Closing</w:t>
      </w:r>
      <w:r>
        <w:rPr>
          <w:b w:val="0"/>
        </w:rPr>
        <w:t>. Yet Buyer has 5 business days after receiving it to decide whether to terminate, which cannot work at a simultaneous closing. The PSA does not say whether an update that is not a “material adverse change” (an undefined term) cures the breach for indemnity purposes, or whether Buyer’s closing over a disclosed change waives the claim.</w:t>
      </w:r>
    </w:p>
    <w:p>
      <w:pPr>
        <w:spacing w:after="160"/>
      </w:pPr>
      <w:r>
        <w:rPr>
          <w:b/>
        </w:rPr>
        <w:t>Recommended action:</w:t>
      </w:r>
      <w:r>
        <w:rPr>
          <w:b w:val="0"/>
        </w:rPr>
        <w:t xml:space="preserve"> Require delivery of a draft Closing Certificate at least 5 business days before Closing. Provide that updates do not cure breaches or limit indemnity unless caused by events outside Seller’s control occurring after the Effective Date. Define “material adverse change,” for example by dollar thresholds or any change affecting a major tenant.</w:t>
      </w:r>
    </w:p>
    <w:p>
      <w:pPr>
        <w:pStyle w:val="Heading3"/>
      </w:pPr>
      <w:r>
        <w:t>Flag 17 [Medium] — Title and survey mechanics</w:t>
      </w:r>
    </w:p>
    <w:p>
      <w:pPr>
        <w:spacing w:after="80"/>
      </w:pPr>
      <w:r>
        <w:rPr>
          <w:b/>
        </w:rPr>
        <w:t>PSA reference:</w:t>
      </w:r>
      <w:r>
        <w:rPr>
          <w:b w:val="0"/>
        </w:rPr>
        <w:t xml:space="preserve"> §1.1 (“Permitted Exceptions”); §5.2; §5.3; Ex. B; §9.1(c)</w:t>
      </w:r>
    </w:p>
    <w:p>
      <w:pPr>
        <w:spacing w:after="80"/>
      </w:pPr>
      <w:r>
        <w:rPr>
          <w:b/>
        </w:rPr>
        <w:t>Issue / analysis:</w:t>
      </w:r>
      <w:r>
        <w:rPr>
          <w:b w:val="0"/>
        </w:rPr>
        <w:t xml:space="preserve"> (i) Exhibit B pre-approves 10 Permitted Exceptions before Buyer has seen the commitment. That includes item 10 (standard survey and mechanics’-lien exceptions), which Pinnacle will require be deleted and which conflicts with Seller’s §5.3(a) obligation to remove mechanics’ liens. Unobjected matters are also “deemed” Permitted Exceptions (§5.2), which conflicts with the §1.1 definition limited to Ex. B. (ii) There is no right to object to </w:t>
      </w:r>
      <w:r>
        <w:rPr>
          <w:b/>
        </w:rPr>
        <w:t>new matters</w:t>
      </w:r>
      <w:r>
        <w:rPr>
          <w:b w:val="0"/>
        </w:rPr>
        <w:t xml:space="preserve"> first disclosed by commitment updates or the survey after Nov. 14 (a gap). (iii) Seller’s silence during the 15-business-day cure period is not addressed. (iv) The Title Objection Deadline (Nov. 14) leaves only 7 days before DD expiry, and the survey may not be complete. (v) The Ex. B Declaration of Cross-Access Easement and Shared Parking Agreement (DB 23456/0234) and the CC&amp;Rs (DB 19842/0387) impose cost-sharing and use limits that need review. If all three parcels are acquired, confirm there is no merger issue for lender insurability. (vi) The proffers (RZ-2010-PR-024) may impose unfulfilled transportation or open-space obligations.</w:t>
      </w:r>
    </w:p>
    <w:p>
      <w:pPr>
        <w:spacing w:after="160"/>
      </w:pPr>
      <w:r>
        <w:rPr>
          <w:b/>
        </w:rPr>
        <w:t>Recommended action:</w:t>
      </w:r>
      <w:r>
        <w:rPr>
          <w:b w:val="0"/>
        </w:rPr>
        <w:t xml:space="preserve"> Order the commitment and ALTA/NSPS survey (with Table A items required by Pinnacle) now, so objections can be finalized by Nov. 14. Seek: deletion of Ex. B item 10 for Seller-provided owner’s and gap affidavits; a gap and new-matters objection right through Closing; deemed Seller refusal to cure on silence; and Seller’s obligation to cure Seller-created matters. Obtain a zoning report confirming PD-TC-3 compliance and proffer status.</w:t>
      </w:r>
    </w:p>
    <w:p>
      <w:pPr>
        <w:pStyle w:val="Heading3"/>
      </w:pPr>
      <w:r>
        <w:t>Flag 18 [Medium] — Non-terminable Service Contracts and designation of Assumed Contracts</w:t>
      </w:r>
    </w:p>
    <w:p>
      <w:pPr>
        <w:spacing w:after="80"/>
      </w:pPr>
      <w:r>
        <w:rPr>
          <w:b/>
        </w:rPr>
        <w:t>PSA reference:</w:t>
      </w:r>
      <w:r>
        <w:rPr>
          <w:b w:val="0"/>
        </w:rPr>
        <w:t xml:space="preserve"> §1.1 (“Property”); §2.2(e); §7.1(h); §13.2(d); Ex. G; Ex. H ¶3</w:t>
      </w:r>
    </w:p>
    <w:p>
      <w:pPr>
        <w:spacing w:after="80"/>
      </w:pPr>
      <w:r>
        <w:rPr>
          <w:b/>
        </w:rPr>
        <w:t>Issue / analysis:</w:t>
      </w:r>
      <w:r>
        <w:rPr>
          <w:b w:val="0"/>
        </w:rPr>
        <w:t xml:space="preserve"> Three contracts are non-terminable on a change of ownership: Apex Elevator ($148,800/yr through 6/30/2026), Sentinel Fire ($38,400/yr through 12/31/2025) and Metro Parking ($222,000/yr through 3/31/2027). Together they represent about $744,050 of committed spend after a Jan. 15, 2025 Closing. In practice Buyer must assume them, yet the PSA lets Buyer designate Assumed Contracts and Ex. H says Seller remains liable for non-assumed contracts. This conflicts with their non-terminability, and Seller may argue Buyer must take them. No deadline is set for Buyer’s designation, other than “during the Due Diligence Period” in the Ex. H Schedule 1 note. The Metro Parking agreement controls the 1,248-space garage. Its assignment and consent terms, and any revenue-sharing, have not been reviewed.</w:t>
      </w:r>
    </w:p>
    <w:p>
      <w:pPr>
        <w:spacing w:after="160"/>
      </w:pPr>
      <w:r>
        <w:rPr>
          <w:b/>
        </w:rPr>
        <w:t>Recommended action:</w:t>
      </w:r>
      <w:r>
        <w:rPr>
          <w:b w:val="0"/>
        </w:rPr>
        <w:t xml:space="preserve"> Review all 11 contracts in the data room, focusing on the Apex, Sentinel and Metro assignment clauses. Designate Assumed Contracts by DD expiry. Require Seller to terminate all non-assumed terminable contracts at its cost effective at Closing. Price the non-terminable contracts into the underwriting, or require Seller to obtain counterparty consent to termination or assignment.</w:t>
      </w:r>
    </w:p>
    <w:p>
      <w:pPr>
        <w:pStyle w:val="Heading3"/>
      </w:pPr>
      <w:r>
        <w:t>Flag 19 [Medium] — Prorations, TI/LC, free rent and reconciliation gaps</w:t>
      </w:r>
    </w:p>
    <w:p>
      <w:pPr>
        <w:spacing w:after="80"/>
      </w:pPr>
      <w:r>
        <w:rPr>
          <w:b/>
        </w:rPr>
        <w:t>PSA reference:</w:t>
      </w:r>
      <w:r>
        <w:rPr>
          <w:b w:val="0"/>
        </w:rPr>
        <w:t xml:space="preserve"> §6.1(a), (c); §6.3; §6.4; Ex. F</w:t>
      </w:r>
    </w:p>
    <w:p>
      <w:pPr>
        <w:spacing w:after="80"/>
      </w:pPr>
      <w:r>
        <w:rPr>
          <w:b/>
        </w:rPr>
        <w:t>Issue / analysis:</w:t>
      </w:r>
      <w:r>
        <w:rPr>
          <w:b w:val="0"/>
        </w:rPr>
        <w:t xml:space="preserve"> (i) </w:t>
      </w:r>
      <w:r>
        <w:rPr>
          <w:b/>
        </w:rPr>
        <w:t>Garrison &amp; Holt</w:t>
      </w:r>
      <w:r>
        <w:rPr>
          <w:b w:val="0"/>
        </w:rPr>
        <w:t xml:space="preserve"> (C-500): lease start 9/1/2023 but estimated rent commencement </w:t>
      </w:r>
      <w:r>
        <w:rPr>
          <w:b/>
        </w:rPr>
        <w:t>1/1/2025</w:t>
      </w:r>
      <w:r>
        <w:rPr>
          <w:b w:val="0"/>
        </w:rPr>
        <w:t xml:space="preserve">. Its $8,910/mo ($106,920/yr) is included in rent roll totals, but if rent commencement slips past Closing, the free-rent burden falls on Buyer. The PSA has no credit for free rent or abatements remaining after Closing. (ii) The TI/LC figure is “approximately” $1,235,000. The credit should be the </w:t>
      </w:r>
      <w:r>
        <w:rPr>
          <w:b/>
        </w:rPr>
        <w:t>actual</w:t>
      </w:r>
      <w:r>
        <w:rPr>
          <w:b w:val="0"/>
        </w:rPr>
        <w:t xml:space="preserve"> unpaid amount, confirmed by estoppels, with Seller paying any excess. §6.3 also describes these as three “pending lease transactions,” though they relate to leases signed in 2022–2023 (CrestLine 8/1/2022; Clearview 5/1/2023; Garrison &amp; Holt 9/1/2023), so the description should be clarified. (iii) The 90-day reconciliation window (through Apr. 15, 2025) is too short for the CY2024 CAM, tax and insurance reconciliations, which typically take place in spring or summer 2025. (iv) It is not stated whether Seller may sue tenants after Closing for delinquent rent. (v) Treatment of tax-appeal refunds is not addressed.</w:t>
      </w:r>
    </w:p>
    <w:p>
      <w:pPr>
        <w:spacing w:after="160"/>
      </w:pPr>
      <w:r>
        <w:rPr>
          <w:b/>
        </w:rPr>
        <w:t>Recommended action:</w:t>
      </w:r>
      <w:r>
        <w:rPr>
          <w:b w:val="0"/>
        </w:rPr>
        <w:t xml:space="preserve"> Add a Buyer credit for all free rent, abatements and unfunded landlord work for periods after Closing. Make the TI/LC credit the actual amount (as confirmed by estoppels) with a true-up. Extend the CY2024 reconciliation through Sept. 30, 2025. Bar Seller from suing tenants in possession post-Closing. Allocate tax refunds by period.</w:t>
      </w:r>
    </w:p>
    <w:p>
      <w:pPr>
        <w:pStyle w:val="Heading3"/>
      </w:pPr>
      <w:r>
        <w:t>Flag 20 [Medium] — Litigation disclosure is internally inconsistent</w:t>
      </w:r>
    </w:p>
    <w:p>
      <w:pPr>
        <w:spacing w:after="80"/>
      </w:pPr>
      <w:r>
        <w:rPr>
          <w:b/>
        </w:rPr>
        <w:t>PSA reference:</w:t>
      </w:r>
      <w:r>
        <w:rPr>
          <w:b w:val="0"/>
        </w:rPr>
        <w:t xml:space="preserve"> §7.1(e); Sch. 7.1(e); §7.1(i); §7.4(a)</w:t>
      </w:r>
    </w:p>
    <w:p>
      <w:pPr>
        <w:spacing w:after="80"/>
      </w:pPr>
      <w:r>
        <w:rPr>
          <w:b/>
        </w:rPr>
        <w:t>Issue / analysis:</w:t>
      </w:r>
      <w:r>
        <w:rPr>
          <w:b w:val="0"/>
        </w:rPr>
        <w:t xml:space="preserve"> Doe v. Meridian claims about </w:t>
      </w:r>
      <w:r>
        <w:rPr>
          <w:b/>
        </w:rPr>
        <w:t>$175,000</w:t>
      </w:r>
      <w:r>
        <w:rPr>
          <w:b w:val="0"/>
        </w:rPr>
        <w:t xml:space="preserve">, but the policy deductible is only </w:t>
      </w:r>
      <w:r>
        <w:rPr>
          <w:b/>
        </w:rPr>
        <w:t>$25,000</w:t>
      </w:r>
      <w:r>
        <w:rPr>
          <w:b w:val="0"/>
        </w:rPr>
        <w:t>. §7.1(e) says resolution is expected “below the policy deductible,” while the Schedule says “well within the policy deductible of $25,000.” A $175,000 claim is not “within” a $25,000 deductible. The statements are inconsistent and minimize exposure. The claimed amount also equals the $175,000 rep Basket. The CGL carrier, Pinnacle Casualty Insurance Co., shares a name with the lender (Pinnacle National Bank). That is probably coincidental, but worth confirming.</w:t>
      </w:r>
    </w:p>
    <w:p>
      <w:pPr>
        <w:spacing w:after="160"/>
      </w:pPr>
      <w:r>
        <w:rPr>
          <w:b/>
        </w:rPr>
        <w:t>Recommended action:</w:t>
      </w:r>
      <w:r>
        <w:rPr>
          <w:b w:val="0"/>
        </w:rPr>
        <w:t xml:space="preserve"> Confirm that the Doe claim and any other pre-Closing tort claims are an </w:t>
      </w:r>
      <w:r>
        <w:rPr>
          <w:b/>
        </w:rPr>
        <w:t>Excluded Liability</w:t>
      </w:r>
      <w:r>
        <w:rPr>
          <w:b w:val="0"/>
        </w:rPr>
        <w:t>, with Seller indemnification outside the Basket and Cap. Request the complaint, the insurer’s coverage position and the reserve. Correct the rep language in the amendment.</w:t>
      </w:r>
    </w:p>
    <w:p>
      <w:pPr>
        <w:pStyle w:val="Heading3"/>
      </w:pPr>
      <w:r>
        <w:t>Flag 21 [Medium] — Possible tenant purchase rights</w:t>
      </w:r>
    </w:p>
    <w:p>
      <w:pPr>
        <w:spacing w:after="80"/>
      </w:pPr>
      <w:r>
        <w:rPr>
          <w:b/>
        </w:rPr>
        <w:t>PSA reference:</w:t>
      </w:r>
      <w:r>
        <w:rPr>
          <w:b w:val="0"/>
        </w:rPr>
        <w:t xml:space="preserve"> §7.1(r); Ex. B item 9; Ex. E ¶8</w:t>
      </w:r>
    </w:p>
    <w:p>
      <w:pPr>
        <w:spacing w:after="80"/>
      </w:pPr>
      <w:r>
        <w:rPr>
          <w:b/>
        </w:rPr>
        <w:t>Issue / analysis:</w:t>
      </w:r>
      <w:r>
        <w:rPr>
          <w:b w:val="0"/>
        </w:rPr>
        <w:t xml:space="preserve"> The no-options rep and Ex. B both carve out purchase rights “expressly set forth in the Leases.” Any ROFR or ROFO (for example, Valerian’s) would be a Permitted Exception and could block or delay the sale.</w:t>
      </w:r>
    </w:p>
    <w:p>
      <w:pPr>
        <w:spacing w:after="160"/>
      </w:pPr>
      <w:r>
        <w:rPr>
          <w:b/>
        </w:rPr>
        <w:t>Recommended action:</w:t>
      </w:r>
      <w:r>
        <w:rPr>
          <w:b w:val="0"/>
        </w:rPr>
        <w:t xml:space="preserve"> Confirm through lease review that no tenant holds a ROFR, ROFO or option. If any exists, require a written waiver before DD expiry, and delete the carve-out or make it limited to Leases listed on a schedule.</w:t>
      </w:r>
    </w:p>
    <w:p>
      <w:pPr>
        <w:pStyle w:val="Heading3"/>
      </w:pPr>
      <w:r>
        <w:t>Flag 22 [Medium] — “Business day” is undefined, and several deadlines fall on holidays</w:t>
      </w:r>
    </w:p>
    <w:p>
      <w:pPr>
        <w:spacing w:after="80"/>
      </w:pPr>
      <w:r>
        <w:rPr>
          <w:b/>
        </w:rPr>
        <w:t>PSA reference:</w:t>
      </w:r>
      <w:r>
        <w:rPr>
          <w:b w:val="0"/>
        </w:rPr>
        <w:t xml:space="preserve"> §§3.2, 3.3, 4.2, 4.4, 5.3, 9.3, 12.1, 12.2, 13.5, 14.3</w:t>
      </w:r>
    </w:p>
    <w:p>
      <w:pPr>
        <w:spacing w:after="80"/>
      </w:pPr>
      <w:r>
        <w:rPr>
          <w:b/>
        </w:rPr>
        <w:t>Issue / analysis:</w:t>
      </w:r>
      <w:r>
        <w:rPr>
          <w:b w:val="0"/>
        </w:rPr>
        <w:t xml:space="preserve"> Many deadlines run in business days, but the term is undefined. §3.3 excludes Thanksgiving, but other holidays are not addressed: Columbus Day (Oct. 14, 2024) for the §4.2 deliveries, Veterans Day (Nov. 11), Christmas Eve and Day, and New Year’s Day for the estoppel and assignment deadlines. Mar. 1, 2025 (final outside date) is a Saturday, and Mar. 16, 2025 (specific performance deadline) is a Sunday.</w:t>
      </w:r>
    </w:p>
    <w:p>
      <w:pPr>
        <w:spacing w:after="160"/>
      </w:pPr>
      <w:r>
        <w:rPr>
          <w:b/>
        </w:rPr>
        <w:t>Recommended action:</w:t>
      </w:r>
      <w:r>
        <w:rPr>
          <w:b w:val="0"/>
        </w:rPr>
        <w:t xml:space="preserve"> Define business day (excluding weekends, federal holidays and days on which banks in Fairfax County, VA are closed), with a roll-forward to the next business day for deadlines.</w:t>
      </w:r>
    </w:p>
    <w:p>
      <w:pPr>
        <w:pStyle w:val="Heading3"/>
      </w:pPr>
      <w:r>
        <w:t>Flag 23 [Medium] — No property management agreement is listed, despite references to an on-site property manager</w:t>
      </w:r>
    </w:p>
    <w:p>
      <w:pPr>
        <w:spacing w:after="80"/>
      </w:pPr>
      <w:r>
        <w:rPr>
          <w:b/>
        </w:rPr>
        <w:t>PSA reference:</w:t>
      </w:r>
      <w:r>
        <w:rPr>
          <w:b w:val="0"/>
        </w:rPr>
        <w:t xml:space="preserve"> §7.1(h); §7.1(s); §7.1 (knowledge definition); Ex. G; Phase I §1, §5</w:t>
      </w:r>
    </w:p>
    <w:p>
      <w:pPr>
        <w:spacing w:after="80"/>
      </w:pPr>
      <w:r>
        <w:rPr>
          <w:b/>
        </w:rPr>
        <w:t>Issue / analysis:</w:t>
      </w:r>
      <w:r>
        <w:rPr>
          <w:b w:val="0"/>
        </w:rPr>
        <w:t xml:space="preserve"> §7.1(h) says Ex. G lists all “management” contracts, and §7.1(s) says all on-site management is provided by contractors under Ex. G. Yet Ex. G lists no property management agreement, and the PSA knowledge definition refers to Seller’s “on-site property manager.” The Phase I also interviewed the “on-site property management team retained by the Seller.” Either a management contract is missing from the schedule (a rep inaccuracy) or management is performed by an affiliate under an undocumented arrangement.</w:t>
      </w:r>
    </w:p>
    <w:p>
      <w:pPr>
        <w:spacing w:after="160"/>
      </w:pPr>
      <w:r>
        <w:rPr>
          <w:b/>
        </w:rPr>
        <w:t>Recommended action:</w:t>
      </w:r>
      <w:r>
        <w:rPr>
          <w:b w:val="0"/>
        </w:rPr>
        <w:t xml:space="preserve"> Require Seller to identify the property manager and the agreement, terminate it at Seller’s cost effective at Closing, and correct Ex. G. Confirm there are no employees or union obligations transferring to Buyer.</w:t>
      </w:r>
    </w:p>
    <w:p>
      <w:pPr>
        <w:pStyle w:val="Heading3"/>
      </w:pPr>
      <w:r>
        <w:t>Flag 24 [Medium] — Diligence deliveries and reliance on Seller materials</w:t>
      </w:r>
    </w:p>
    <w:p>
      <w:pPr>
        <w:spacing w:after="80"/>
      </w:pPr>
      <w:r>
        <w:rPr>
          <w:b/>
        </w:rPr>
        <w:t>PSA reference:</w:t>
      </w:r>
      <w:r>
        <w:rPr>
          <w:b w:val="0"/>
        </w:rPr>
        <w:t xml:space="preserve"> §4.2; §8.1(VI); §8.2</w:t>
      </w:r>
    </w:p>
    <w:p>
      <w:pPr>
        <w:spacing w:after="80"/>
      </w:pPr>
      <w:r>
        <w:rPr>
          <w:b/>
        </w:rPr>
        <w:t>Issue / analysis:</w:t>
      </w:r>
      <w:r>
        <w:rPr>
          <w:b w:val="0"/>
        </w:rPr>
        <w:t xml:space="preserve"> Deliveries were due on about Oct. 14–15, 2024, with no tolling of the DD Period if they are late, and only “to the extent in Seller’s possession or reasonable control.” §8.1(VI) disclaims the accuracy of all delivered information, including operating statements that Pinnacle and the IC will underwrite. §4.2(d) lists the Clearfield Phase I as a Seller deliverable, even though Calverley commissioned it.</w:t>
      </w:r>
    </w:p>
    <w:p>
      <w:pPr>
        <w:spacing w:after="160"/>
      </w:pPr>
      <w:r>
        <w:rPr>
          <w:b/>
        </w:rPr>
        <w:t>Recommended action:</w:t>
      </w:r>
      <w:r>
        <w:rPr>
          <w:b w:val="0"/>
        </w:rPr>
        <w:t xml:space="preserve"> Confirm today what is in the data room and send a deficiency list. Request a day-for-day DD extension for late deliveries. Ask for a limited rep that the operating statements were prepared in the ordinary course and are true and correct in all material respects. Confirm whether Seller has any other environmental reports.</w:t>
      </w:r>
    </w:p>
    <w:p>
      <w:pPr>
        <w:pStyle w:val="Heading3"/>
      </w:pPr>
      <w:r>
        <w:t>Flag 25 [Medium] — Legal description and survey points to verify</w:t>
      </w:r>
    </w:p>
    <w:p>
      <w:pPr>
        <w:spacing w:after="80"/>
      </w:pPr>
      <w:r>
        <w:rPr>
          <w:b/>
        </w:rPr>
        <w:t>PSA reference:</w:t>
      </w:r>
      <w:r>
        <w:rPr>
          <w:b w:val="0"/>
        </w:rPr>
        <w:t xml:space="preserve"> Ex. A; §5.1(b); Phase I §§2–3</w:t>
      </w:r>
    </w:p>
    <w:p>
      <w:pPr>
        <w:spacing w:after="80"/>
      </w:pPr>
      <w:r>
        <w:rPr>
          <w:b/>
        </w:rPr>
        <w:t>Issue / analysis:</w:t>
      </w:r>
      <w:r>
        <w:rPr>
          <w:b w:val="0"/>
        </w:rPr>
        <w:t xml:space="preserve"> (i) Ex. A places the Land in the “Dranesville District” of Fairfax County. Reston is generally within the Hunter Mill Supervisor District, so the reference should be checked against the vesting deed and plat. (ii) Ex. A identifies Tax Map Parcel 0264-01-0018 along the southern boundary, while the Phase I places the former dry-cleaner parcel (0264-01-0019) immediately to the southwest. The survey should confirm whether 0019 actually adjoins the Property and where the Building C boundary sits relative to it. That matters for the Phase II well locations and for any contiguous-property-owner analysis. (iii) The only existing survey is from June 12, 2013, and the plat dates from April 22, 2011, before Seller’s formation on Sept. 22, 2011. Confirm the chain of title through DB 25104/0887.</w:t>
      </w:r>
    </w:p>
    <w:p>
      <w:pPr>
        <w:spacing w:after="160"/>
      </w:pPr>
      <w:r>
        <w:rPr>
          <w:b/>
        </w:rPr>
        <w:t>Recommended action:</w:t>
      </w:r>
      <w:r>
        <w:rPr>
          <w:b w:val="0"/>
        </w:rPr>
        <w:t xml:space="preserve"> Instruct the surveyor to plot all Ex. B easements, confirm the legal description closes and matches 22.800 acres, show adjoining parcels by tax map number (including 0264-01-0019), and locate the stormwater ponds and easements. Have the title company confirm the supervisor district reference and the vesting chain.</w:t>
      </w:r>
    </w:p>
    <w:p>
      <w:pPr>
        <w:pStyle w:val="Heading3"/>
      </w:pPr>
      <w:r>
        <w:t>Flag 26 [Medium] — Casualty provisions favor Seller</w:t>
      </w:r>
    </w:p>
    <w:p>
      <w:pPr>
        <w:spacing w:after="80"/>
      </w:pPr>
      <w:r>
        <w:rPr>
          <w:b/>
        </w:rPr>
        <w:t>PSA reference:</w:t>
      </w:r>
      <w:r>
        <w:rPr>
          <w:b w:val="0"/>
        </w:rPr>
        <w:t xml:space="preserve"> §1.1 (“Material Casualty”); §11.1</w:t>
      </w:r>
    </w:p>
    <w:p>
      <w:pPr>
        <w:spacing w:after="80"/>
      </w:pPr>
      <w:r>
        <w:rPr>
          <w:b/>
        </w:rPr>
        <w:t>Issue / analysis:</w:t>
      </w:r>
      <w:r>
        <w:rPr>
          <w:b w:val="0"/>
        </w:rPr>
        <w:t xml:space="preserve"> (i) Below $4,000,000, Buyer must close with only an assignment of insurance proceeds plus the deductible. There is no protection if a casualty is uninsured or underinsured, if rent-loss proceeds are not assigned, or if a major tenant gains a casualty termination right. (ii) Materiality is measured against Seller’s own “good faith estimate.” (iii) Buyer’s silence for 15 days is deemed an election to close. (iv) Notice does not extend Closing to allow the 15-day election.</w:t>
      </w:r>
    </w:p>
    <w:p>
      <w:pPr>
        <w:spacing w:after="160"/>
      </w:pPr>
      <w:r>
        <w:rPr>
          <w:b/>
        </w:rPr>
        <w:t>Recommended action:</w:t>
      </w:r>
      <w:r>
        <w:rPr>
          <w:b w:val="0"/>
        </w:rPr>
        <w:t xml:space="preserve"> Add: Buyer termination right if any tenant over 15,000 RSF may terminate, or if the casualty is uninsured; a credit for uninsured amounts; assignment of rent-loss proceeds for post-Closing periods; materiality determined by an independent adjuster or architect; deemed election to </w:t>
      </w:r>
      <w:r>
        <w:rPr>
          <w:b/>
        </w:rPr>
        <w:t>terminate</w:t>
      </w:r>
      <w:r>
        <w:rPr>
          <w:b w:val="0"/>
        </w:rPr>
        <w:t xml:space="preserve"> on silence (or at least a Closing extension to allow the election).</w:t>
      </w:r>
    </w:p>
    <w:p>
      <w:pPr>
        <w:pStyle w:val="Heading3"/>
      </w:pPr>
      <w:r>
        <w:t>Flag 27 [High] — Notice e-mail addresses are inconsistent, creating defective-notice and wire-fraud risk</w:t>
      </w:r>
    </w:p>
    <w:p>
      <w:pPr>
        <w:spacing w:after="80"/>
      </w:pPr>
      <w:r>
        <w:rPr>
          <w:b/>
        </w:rPr>
        <w:t>PSA reference:</w:t>
      </w:r>
      <w:r>
        <w:rPr>
          <w:b w:val="0"/>
        </w:rPr>
        <w:t xml:space="preserve"> §15.2; §3.5; §1.1 (Escrow Agent)</w:t>
      </w:r>
    </w:p>
    <w:p>
      <w:pPr>
        <w:spacing w:after="80"/>
      </w:pPr>
      <w:r>
        <w:rPr>
          <w:b/>
        </w:rPr>
        <w:t>Issue / analysis:</w:t>
      </w:r>
      <w:r>
        <w:rPr>
          <w:b w:val="0"/>
        </w:rPr>
        <w:t xml:space="preserve"> The notice block shows Buyer counsel as jhargrave@</w:t>
      </w:r>
      <w:r>
        <w:rPr>
          <w:b/>
        </w:rPr>
        <w:t>hmstone.com</w:t>
      </w:r>
      <w:r>
        <w:rPr>
          <w:b w:val="0"/>
        </w:rPr>
        <w:t>, while HMS uses @</w:t>
      </w:r>
      <w:r>
        <w:rPr>
          <w:b/>
        </w:rPr>
        <w:t>hmslegal.com</w:t>
      </w:r>
      <w:r>
        <w:rPr>
          <w:b w:val="0"/>
        </w:rPr>
        <w:t>. Seller’s counsel, Ferndale &amp; Aldrich LLP, is shown as saldrich@</w:t>
      </w:r>
      <w:r>
        <w:rPr>
          <w:b/>
        </w:rPr>
        <w:t>fenwickaldrich.com</w:t>
      </w:r>
      <w:r>
        <w:rPr>
          <w:b w:val="0"/>
        </w:rPr>
        <w:t>. Buyer’s GC uses @bridgewatercap.com for a Calverley notice address. E-mail notice is effective only if followed by overnight courier within 1 business day. With time-critical termination notices (DD on Nov. 21, financing on Dec. 6), a misdirected or disputed notice could be fatal. Mismatched domains are also a classic sign of business-e-mail-compromise wire fraud, which matters for the deposit wires and the Seller payoff wire (§3.5).</w:t>
      </w:r>
    </w:p>
    <w:p>
      <w:pPr>
        <w:spacing w:after="160"/>
      </w:pPr>
      <w:r>
        <w:rPr>
          <w:b/>
        </w:rPr>
        <w:t>Recommended action:</w:t>
      </w:r>
      <w:r>
        <w:rPr>
          <w:b w:val="0"/>
        </w:rPr>
        <w:t xml:space="preserve"> Correct all notice addresses by amendment. Deliver all termination and election notices by hand or overnight courier </w:t>
      </w:r>
      <w:r>
        <w:rPr>
          <w:b/>
        </w:rPr>
        <w:t>and</w:t>
      </w:r>
      <w:r>
        <w:rPr>
          <w:b w:val="0"/>
        </w:rPr>
        <w:t xml:space="preserve"> e-mail, timed to arrive well before 5:00 p.m. ET on the deadline. Verify all wiring instructions (Initial Deposit, Additional Deposit, closing funds) by telephone call-back to a known number (Jennifer Walsh, Commonwealth Title). Do not rely on e-mailed instructions.</w:t>
      </w:r>
    </w:p>
    <w:p>
      <w:pPr>
        <w:pStyle w:val="Heading3"/>
      </w:pPr>
      <w:r>
        <w:t>Flag 28 [Medium] — Recordation tax and closing cost allocation</w:t>
      </w:r>
    </w:p>
    <w:p>
      <w:pPr>
        <w:spacing w:after="80"/>
      </w:pPr>
      <w:r>
        <w:rPr>
          <w:b/>
        </w:rPr>
        <w:t>PSA reference:</w:t>
      </w:r>
      <w:r>
        <w:rPr>
          <w:b w:val="0"/>
        </w:rPr>
        <w:t xml:space="preserve"> §13.4(a)–(c)</w:t>
      </w:r>
    </w:p>
    <w:p>
      <w:pPr>
        <w:spacing w:after="80"/>
      </w:pPr>
      <w:r>
        <w:rPr>
          <w:b/>
        </w:rPr>
        <w:t>Issue / analysis:</w:t>
      </w:r>
      <w:r>
        <w:rPr>
          <w:b w:val="0"/>
        </w:rPr>
        <w:t xml:space="preserve"> “All recording fees and charges” likely places the Virginia grantee recordation taxes on Buyer. By our estimate, that is about $219,375 state plus about $73,125 local on the deed (at $0.25 per $100 and one-third of state), plus up to about $190,125 on a $57.04M deed of trust (before any reduced-rate schedule for large deeds of trust under Va. Code § 58.1-803). These are estimates to be confirmed with Commonwealth Title. Seller pays the grantor’s tax. The Northern Virginia regional congestion relief fee on grantors is not expressly allocated, so it falls to Fairfax custom under §13.4(c).</w:t>
      </w:r>
    </w:p>
    <w:p>
      <w:pPr>
        <w:spacing w:after="160"/>
      </w:pPr>
      <w:r>
        <w:rPr>
          <w:b/>
        </w:rPr>
        <w:t>Recommended action:</w:t>
      </w:r>
      <w:r>
        <w:rPr>
          <w:b w:val="0"/>
        </w:rPr>
        <w:t xml:space="preserve"> Confirm the closing-cost budget with Commonwealth Title. Expressly allocate the grantor’s tax and the regional congestion relief fee to Seller. Explore deed-of-trust tax structuring with Pinnacle.</w:t>
      </w:r>
    </w:p>
    <w:p>
      <w:pPr>
        <w:pStyle w:val="Heading3"/>
      </w:pPr>
      <w:r>
        <w:t>Flag 29 [Medium (business)] — Leasing rollover and concentration risk</w:t>
      </w:r>
    </w:p>
    <w:p>
      <w:pPr>
        <w:spacing w:after="80"/>
      </w:pPr>
      <w:r>
        <w:rPr>
          <w:b/>
        </w:rPr>
        <w:t>PSA reference:</w:t>
      </w:r>
      <w:r>
        <w:rPr>
          <w:b w:val="0"/>
        </w:rPr>
        <w:t xml:space="preserve"> Ex. F; §7.1(g)</w:t>
      </w:r>
    </w:p>
    <w:p>
      <w:pPr>
        <w:spacing w:after="80"/>
      </w:pPr>
      <w:r>
        <w:rPr>
          <w:b/>
        </w:rPr>
        <w:t>Issue / analysis:</w:t>
      </w:r>
      <w:r>
        <w:rPr>
          <w:b w:val="0"/>
        </w:rPr>
        <w:t xml:space="preserve"> About 60% of leased RSF (155,240 RSF) expires by 12/31/2027. RedPoint (22,500 RSF) expires 8/31/2025 and holds a 90-day early-termination right (as early as about April 2025). Chesapeake (31,200 RSF; 12/31/2026) has no renewal option. Valerian is 24.2% of RSF and about 25.8% of rent (expires 3/31/2029). Building C is only 67.4% leased and sits in the REC area. These matters are not PSA defects, but they bear on price, lender DSCR and reserve sizing.</w:t>
      </w:r>
    </w:p>
    <w:p>
      <w:pPr>
        <w:spacing w:after="160"/>
      </w:pPr>
      <w:r>
        <w:rPr>
          <w:b/>
        </w:rPr>
        <w:t>Recommended action:</w:t>
      </w:r>
      <w:r>
        <w:rPr>
          <w:b w:val="0"/>
        </w:rPr>
        <w:t xml:space="preserve"> Conduct tenant interviews (with §4.3 consent) and credit reviews for Valerian, NovaTech, Chesapeake, Athena and RedPoint. Request any RedPoint termination notice status in the estoppel. Consider a rollover reserve or price adjustment. Confirm Valerian’s government-contract funding and any security-clearance or SCIF requirements affecting the assignment of the lease.</w:t>
      </w:r>
    </w:p>
    <w:p>
      <w:pPr>
        <w:pStyle w:val="Heading3"/>
      </w:pPr>
      <w:r>
        <w:t>Flag 30 [Medium] — Phase I is an executive summary only, with internal inconsistencies</w:t>
      </w:r>
    </w:p>
    <w:p>
      <w:pPr>
        <w:spacing w:after="80"/>
      </w:pPr>
      <w:r>
        <w:rPr>
          <w:b/>
        </w:rPr>
        <w:t>PSA reference:</w:t>
      </w:r>
      <w:r>
        <w:rPr>
          <w:b w:val="0"/>
        </w:rPr>
        <w:t xml:space="preserve"> Phase I preamble, §§2–3, 7, 8</w:t>
      </w:r>
    </w:p>
    <w:p>
      <w:pPr>
        <w:spacing w:after="80"/>
      </w:pPr>
      <w:r>
        <w:rPr>
          <w:b/>
        </w:rPr>
        <w:t>Issue / analysis:</w:t>
      </w:r>
      <w:r>
        <w:rPr>
          <w:b w:val="0"/>
        </w:rPr>
        <w:t xml:space="preserve"> We reviewed only the Executive Summary, which states it should not be relied on alone. Items to reconcile: §2 says there was no development before 2011 and construction commenced in 2012, while §3 says the </w:t>
      </w:r>
      <w:r>
        <w:rPr>
          <w:b/>
        </w:rPr>
        <w:t>2010</w:t>
      </w:r>
      <w:r>
        <w:rPr>
          <w:b w:val="0"/>
        </w:rPr>
        <w:t xml:space="preserve"> aerial shows active grading “consistent with the commencement of construction activities in 2012.” Clearfield’s liability is limited to its fee (§8, item 5). Clearfield recommends a DEQ FOIA request for the complete VRP-00487 file, including any institutional controls.</w:t>
      </w:r>
    </w:p>
    <w:p>
      <w:pPr>
        <w:spacing w:after="160"/>
      </w:pPr>
      <w:r>
        <w:rPr>
          <w:b/>
        </w:rPr>
        <w:t>Recommended action:</w:t>
      </w:r>
      <w:r>
        <w:rPr>
          <w:b w:val="0"/>
        </w:rPr>
        <w:t xml:space="preserve"> Obtain the full Phase I report and appendices (especially Appendix F, the DEQ VRP records). Ask Clearfield to reconcile the site-history dates. Negotiate a higher liability limit for the Phase II. Submit the FOIA request now.</w:t>
      </w:r>
    </w:p>
    <w:p>
      <w:pPr>
        <w:pStyle w:val="Heading1"/>
      </w:pPr>
      <w:r>
        <w:t>Part V — Proposed PSA Amendment Requests (Priority Order)</w:t>
      </w:r>
    </w:p>
    <w:p>
      <w:pPr>
        <w:spacing w:after="80"/>
      </w:pPr>
      <w:r>
        <w:rPr>
          <w:b w:val="0"/>
        </w:rPr>
        <w:t xml:space="preserve">To be negotiated with Sandra Aldrich (Ferndale &amp; Aldrich). The amendment must be </w:t>
      </w:r>
      <w:r>
        <w:rPr>
          <w:b/>
        </w:rPr>
        <w:t>fully executed before 5:00 p.m. ET, November 21, 2024</w:t>
      </w:r>
      <w:r>
        <w:rPr>
          <w:b w:val="0"/>
        </w:rPr>
        <w:t>. If Seller will not agree, the IC should decide by about November 19 whether to terminate under §4.1, which returns the $2,000,000 Initial Deposit.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432"/>
            <w:shd w:val="clear" w:color="auto" w:fill="1F3A5F"/>
          </w:tcPr>
          <w:p>
            <w:r/>
            <w:r>
              <w:rPr>
                <w:b/>
                <w:color w:val="FFFFFF"/>
                <w:sz w:val="18"/>
              </w:rPr>
              <w:t>#</w:t>
            </w:r>
          </w:p>
        </w:tc>
        <w:tc>
          <w:tcPr>
            <w:tcW w:type="dxa" w:w="6048"/>
            <w:shd w:val="clear" w:color="auto" w:fill="1F3A5F"/>
          </w:tcPr>
          <w:p>
            <w:r/>
            <w:r>
              <w:rPr>
                <w:b/>
                <w:color w:val="FFFFFF"/>
                <w:sz w:val="18"/>
              </w:rPr>
              <w:t>Request</w:t>
            </w:r>
          </w:p>
        </w:tc>
        <w:tc>
          <w:tcPr>
            <w:tcW w:type="dxa" w:w="2160"/>
            <w:shd w:val="clear" w:color="auto" w:fill="1F3A5F"/>
          </w:tcPr>
          <w:p>
            <w:r/>
            <w:r>
              <w:rPr>
                <w:b/>
                <w:color w:val="FFFFFF"/>
                <w:sz w:val="18"/>
              </w:rPr>
              <w:t>PSA Ref.</w:t>
            </w:r>
          </w:p>
        </w:tc>
        <w:tc>
          <w:tcPr>
            <w:tcW w:type="dxa" w:w="1296"/>
            <w:shd w:val="clear" w:color="auto" w:fill="1F3A5F"/>
          </w:tcPr>
          <w:p>
            <w:r/>
            <w:r>
              <w:rPr>
                <w:b/>
                <w:color w:val="FFFFFF"/>
                <w:sz w:val="18"/>
              </w:rPr>
              <w:t>Flag</w:t>
            </w:r>
          </w:p>
        </w:tc>
      </w:tr>
      <w:tr>
        <w:tc>
          <w:tcPr>
            <w:tcW w:type="dxa" w:w="432"/>
          </w:tcPr>
          <w:p>
            <w:pPr>
              <w:spacing w:after="20"/>
            </w:pPr>
            <w:r>
              <w:rPr>
                <w:sz w:val="18"/>
              </w:rPr>
            </w:r>
            <w:r>
              <w:rPr>
                <w:b w:val="0"/>
                <w:sz w:val="18"/>
              </w:rPr>
              <w:t>1</w:t>
            </w:r>
          </w:p>
        </w:tc>
        <w:tc>
          <w:tcPr>
            <w:tcW w:type="dxa" w:w="6048"/>
          </w:tcPr>
          <w:p>
            <w:pPr>
              <w:spacing w:after="20"/>
            </w:pPr>
            <w:r>
              <w:rPr>
                <w:sz w:val="18"/>
              </w:rPr>
            </w:r>
            <w:r>
              <w:rPr>
                <w:b w:val="0"/>
                <w:sz w:val="18"/>
              </w:rPr>
              <w:t>Correct the Buyer entity (Calverley vs. Bridgewater) and conform the exhibits and notice block</w:t>
            </w:r>
          </w:p>
        </w:tc>
        <w:tc>
          <w:tcPr>
            <w:tcW w:type="dxa" w:w="2160"/>
          </w:tcPr>
          <w:p>
            <w:pPr>
              <w:spacing w:after="20"/>
            </w:pPr>
            <w:r>
              <w:rPr>
                <w:sz w:val="18"/>
              </w:rPr>
            </w:r>
            <w:r>
              <w:rPr>
                <w:b w:val="0"/>
                <w:sz w:val="18"/>
              </w:rPr>
              <w:t>Preamble; §15.2; Ex. C–E, H</w:t>
            </w:r>
          </w:p>
        </w:tc>
        <w:tc>
          <w:tcPr>
            <w:tcW w:type="dxa" w:w="1296"/>
          </w:tcPr>
          <w:p>
            <w:pPr>
              <w:spacing w:after="20"/>
            </w:pPr>
            <w:r>
              <w:rPr>
                <w:sz w:val="18"/>
              </w:rPr>
            </w:r>
            <w:r>
              <w:rPr>
                <w:b w:val="0"/>
                <w:sz w:val="18"/>
              </w:rPr>
              <w:t>1</w:t>
            </w:r>
          </w:p>
        </w:tc>
      </w:tr>
      <w:tr>
        <w:tc>
          <w:tcPr>
            <w:tcW w:type="dxa" w:w="432"/>
          </w:tcPr>
          <w:p>
            <w:pPr>
              <w:spacing w:after="20"/>
            </w:pPr>
            <w:r>
              <w:rPr>
                <w:sz w:val="18"/>
              </w:rPr>
            </w:r>
            <w:r>
              <w:rPr>
                <w:b w:val="0"/>
                <w:sz w:val="18"/>
              </w:rPr>
              <w:t>2</w:t>
            </w:r>
          </w:p>
        </w:tc>
        <w:tc>
          <w:tcPr>
            <w:tcW w:type="dxa" w:w="6048"/>
          </w:tcPr>
          <w:p>
            <w:pPr>
              <w:spacing w:after="20"/>
            </w:pPr>
            <w:r>
              <w:rPr>
                <w:sz w:val="18"/>
              </w:rPr>
            </w:r>
            <w:r>
              <w:rPr>
                <w:b w:val="0"/>
                <w:sz w:val="18"/>
              </w:rPr>
              <w:t>Extend the DD Period by about 30–45 days, or add a Phase II environmental contingency with a full Deposit refund; confirm invasive-testing access</w:t>
            </w:r>
          </w:p>
        </w:tc>
        <w:tc>
          <w:tcPr>
            <w:tcW w:type="dxa" w:w="2160"/>
          </w:tcPr>
          <w:p>
            <w:pPr>
              <w:spacing w:after="20"/>
            </w:pPr>
            <w:r>
              <w:rPr>
                <w:sz w:val="18"/>
              </w:rPr>
            </w:r>
            <w:r>
              <w:rPr>
                <w:b w:val="0"/>
                <w:sz w:val="18"/>
              </w:rPr>
              <w:t>§1.1; §4.1; §4.3</w:t>
            </w:r>
          </w:p>
        </w:tc>
        <w:tc>
          <w:tcPr>
            <w:tcW w:type="dxa" w:w="1296"/>
          </w:tcPr>
          <w:p>
            <w:pPr>
              <w:spacing w:after="20"/>
            </w:pPr>
            <w:r>
              <w:rPr>
                <w:sz w:val="18"/>
              </w:rPr>
            </w:r>
            <w:r>
              <w:rPr>
                <w:b w:val="0"/>
                <w:sz w:val="18"/>
              </w:rPr>
              <w:t>5</w:t>
            </w:r>
          </w:p>
        </w:tc>
      </w:tr>
      <w:tr>
        <w:tc>
          <w:tcPr>
            <w:tcW w:type="dxa" w:w="432"/>
          </w:tcPr>
          <w:p>
            <w:pPr>
              <w:spacing w:after="20"/>
            </w:pPr>
            <w:r>
              <w:rPr>
                <w:sz w:val="18"/>
              </w:rPr>
            </w:r>
            <w:r>
              <w:rPr>
                <w:b w:val="0"/>
                <w:sz w:val="18"/>
              </w:rPr>
              <w:t>3</w:t>
            </w:r>
          </w:p>
        </w:tc>
        <w:tc>
          <w:tcPr>
            <w:tcW w:type="dxa" w:w="6048"/>
          </w:tcPr>
          <w:p>
            <w:pPr>
              <w:spacing w:after="20"/>
            </w:pPr>
            <w:r>
              <w:rPr>
                <w:sz w:val="18"/>
              </w:rPr>
            </w:r>
            <w:r>
              <w:rPr>
                <w:b w:val="0"/>
                <w:sz w:val="18"/>
              </w:rPr>
              <w:t xml:space="preserve">Refund the </w:t>
            </w:r>
            <w:r>
              <w:rPr>
                <w:b/>
                <w:sz w:val="18"/>
              </w:rPr>
              <w:t>entire</w:t>
            </w:r>
            <w:r>
              <w:rPr>
                <w:b w:val="0"/>
                <w:sz w:val="18"/>
              </w:rPr>
              <w:t xml:space="preserve"> Deposit on a financing termination, or move the Additional Deposit due date after the Financing Contingency Deadline; set an objective financing standard</w:t>
            </w:r>
          </w:p>
        </w:tc>
        <w:tc>
          <w:tcPr>
            <w:tcW w:type="dxa" w:w="2160"/>
          </w:tcPr>
          <w:p>
            <w:pPr>
              <w:spacing w:after="20"/>
            </w:pPr>
            <w:r>
              <w:rPr>
                <w:sz w:val="18"/>
              </w:rPr>
            </w:r>
            <w:r>
              <w:rPr>
                <w:b w:val="0"/>
                <w:sz w:val="18"/>
              </w:rPr>
              <w:t>§3.3; §10.2</w:t>
            </w:r>
          </w:p>
        </w:tc>
        <w:tc>
          <w:tcPr>
            <w:tcW w:type="dxa" w:w="1296"/>
          </w:tcPr>
          <w:p>
            <w:pPr>
              <w:spacing w:after="20"/>
            </w:pPr>
            <w:r>
              <w:rPr>
                <w:sz w:val="18"/>
              </w:rPr>
            </w:r>
            <w:r>
              <w:rPr>
                <w:b w:val="0"/>
                <w:sz w:val="18"/>
              </w:rPr>
              <w:t>6</w:t>
            </w:r>
          </w:p>
        </w:tc>
      </w:tr>
      <w:tr>
        <w:tc>
          <w:tcPr>
            <w:tcW w:type="dxa" w:w="432"/>
          </w:tcPr>
          <w:p>
            <w:pPr>
              <w:spacing w:after="20"/>
            </w:pPr>
            <w:r>
              <w:rPr>
                <w:sz w:val="18"/>
              </w:rPr>
            </w:r>
            <w:r>
              <w:rPr>
                <w:b w:val="0"/>
                <w:sz w:val="18"/>
              </w:rPr>
              <w:t>4</w:t>
            </w:r>
          </w:p>
        </w:tc>
        <w:tc>
          <w:tcPr>
            <w:tcW w:type="dxa" w:w="6048"/>
          </w:tcPr>
          <w:p>
            <w:pPr>
              <w:spacing w:after="20"/>
            </w:pPr>
            <w:r>
              <w:rPr>
                <w:sz w:val="18"/>
              </w:rPr>
            </w:r>
            <w:r>
              <w:rPr>
                <w:b w:val="0"/>
                <w:sz w:val="18"/>
              </w:rPr>
              <w:t>Raise the Environmental Indemnity Cap (at least $10M or uncapped for REC-1); extend survival to at least 10 years or DEQ closure; cover migration, third-party claims and vapor intrusion; carve REC-1 out of the release</w:t>
            </w:r>
          </w:p>
        </w:tc>
        <w:tc>
          <w:tcPr>
            <w:tcW w:type="dxa" w:w="2160"/>
          </w:tcPr>
          <w:p>
            <w:pPr>
              <w:spacing w:after="20"/>
            </w:pPr>
            <w:r>
              <w:rPr>
                <w:sz w:val="18"/>
              </w:rPr>
            </w:r>
            <w:r>
              <w:rPr>
                <w:b w:val="0"/>
                <w:sz w:val="18"/>
              </w:rPr>
              <w:t>§8.3; §8.4</w:t>
            </w:r>
          </w:p>
        </w:tc>
        <w:tc>
          <w:tcPr>
            <w:tcW w:type="dxa" w:w="1296"/>
          </w:tcPr>
          <w:p>
            <w:pPr>
              <w:spacing w:after="20"/>
            </w:pPr>
            <w:r>
              <w:rPr>
                <w:sz w:val="18"/>
              </w:rPr>
            </w:r>
            <w:r>
              <w:rPr>
                <w:b w:val="0"/>
                <w:sz w:val="18"/>
              </w:rPr>
              <w:t>2, 3</w:t>
            </w:r>
          </w:p>
        </w:tc>
      </w:tr>
      <w:tr>
        <w:tc>
          <w:tcPr>
            <w:tcW w:type="dxa" w:w="432"/>
          </w:tcPr>
          <w:p>
            <w:pPr>
              <w:spacing w:after="20"/>
            </w:pPr>
            <w:r>
              <w:rPr>
                <w:sz w:val="18"/>
              </w:rPr>
            </w:r>
            <w:r>
              <w:rPr>
                <w:b w:val="0"/>
                <w:sz w:val="18"/>
              </w:rPr>
              <w:t>5</w:t>
            </w:r>
          </w:p>
        </w:tc>
        <w:tc>
          <w:tcPr>
            <w:tcW w:type="dxa" w:w="6048"/>
          </w:tcPr>
          <w:p>
            <w:pPr>
              <w:spacing w:after="20"/>
            </w:pPr>
            <w:r>
              <w:rPr>
                <w:sz w:val="18"/>
              </w:rPr>
            </w:r>
            <w:r>
              <w:rPr>
                <w:b w:val="0"/>
                <w:sz w:val="18"/>
              </w:rPr>
              <w:t>Credit support: environmental escrow or holdback, parent guaranty or net-worth covenant; PLL policy cost-sharing</w:t>
            </w:r>
          </w:p>
        </w:tc>
        <w:tc>
          <w:tcPr>
            <w:tcW w:type="dxa" w:w="2160"/>
          </w:tcPr>
          <w:p>
            <w:pPr>
              <w:spacing w:after="20"/>
            </w:pPr>
            <w:r>
              <w:rPr>
                <w:sz w:val="18"/>
              </w:rPr>
            </w:r>
            <w:r>
              <w:rPr>
                <w:b w:val="0"/>
                <w:sz w:val="18"/>
              </w:rPr>
              <w:t>§§7.4, 8.4</w:t>
            </w:r>
          </w:p>
        </w:tc>
        <w:tc>
          <w:tcPr>
            <w:tcW w:type="dxa" w:w="1296"/>
          </w:tcPr>
          <w:p>
            <w:pPr>
              <w:spacing w:after="20"/>
            </w:pPr>
            <w:r>
              <w:rPr>
                <w:sz w:val="18"/>
              </w:rPr>
            </w:r>
            <w:r>
              <w:rPr>
                <w:b w:val="0"/>
                <w:sz w:val="18"/>
              </w:rPr>
              <w:t>8</w:t>
            </w:r>
          </w:p>
        </w:tc>
      </w:tr>
      <w:tr>
        <w:tc>
          <w:tcPr>
            <w:tcW w:type="dxa" w:w="432"/>
          </w:tcPr>
          <w:p>
            <w:pPr>
              <w:spacing w:after="20"/>
            </w:pPr>
            <w:r>
              <w:rPr>
                <w:sz w:val="18"/>
              </w:rPr>
            </w:r>
            <w:r>
              <w:rPr>
                <w:b w:val="0"/>
                <w:sz w:val="18"/>
              </w:rPr>
              <w:t>6</w:t>
            </w:r>
          </w:p>
        </w:tc>
        <w:tc>
          <w:tcPr>
            <w:tcW w:type="dxa" w:w="6048"/>
          </w:tcPr>
          <w:p>
            <w:pPr>
              <w:spacing w:after="20"/>
            </w:pPr>
            <w:r>
              <w:rPr>
                <w:sz w:val="18"/>
              </w:rPr>
            </w:r>
            <w:r>
              <w:rPr>
                <w:b w:val="0"/>
                <w:sz w:val="18"/>
              </w:rPr>
              <w:t>Strengthen the environmental rep (flat no-notice and delivery reps; broader knowledge group)</w:t>
            </w:r>
          </w:p>
        </w:tc>
        <w:tc>
          <w:tcPr>
            <w:tcW w:type="dxa" w:w="2160"/>
          </w:tcPr>
          <w:p>
            <w:pPr>
              <w:spacing w:after="20"/>
            </w:pPr>
            <w:r>
              <w:rPr>
                <w:sz w:val="18"/>
              </w:rPr>
            </w:r>
            <w:r>
              <w:rPr>
                <w:b w:val="0"/>
                <w:sz w:val="18"/>
              </w:rPr>
              <w:t>§7.1(k)</w:t>
            </w:r>
          </w:p>
        </w:tc>
        <w:tc>
          <w:tcPr>
            <w:tcW w:type="dxa" w:w="1296"/>
          </w:tcPr>
          <w:p>
            <w:pPr>
              <w:spacing w:after="20"/>
            </w:pPr>
            <w:r>
              <w:rPr>
                <w:sz w:val="18"/>
              </w:rPr>
            </w:r>
            <w:r>
              <w:rPr>
                <w:b w:val="0"/>
                <w:sz w:val="18"/>
              </w:rPr>
              <w:t>4</w:t>
            </w:r>
          </w:p>
        </w:tc>
      </w:tr>
      <w:tr>
        <w:tc>
          <w:tcPr>
            <w:tcW w:type="dxa" w:w="432"/>
          </w:tcPr>
          <w:p>
            <w:pPr>
              <w:spacing w:after="20"/>
            </w:pPr>
            <w:r>
              <w:rPr>
                <w:sz w:val="18"/>
              </w:rPr>
            </w:r>
            <w:r>
              <w:rPr>
                <w:b w:val="0"/>
                <w:sz w:val="18"/>
              </w:rPr>
              <w:t>7</w:t>
            </w:r>
          </w:p>
        </w:tc>
        <w:tc>
          <w:tcPr>
            <w:tcW w:type="dxa" w:w="6048"/>
          </w:tcPr>
          <w:p>
            <w:pPr>
              <w:spacing w:after="20"/>
            </w:pPr>
            <w:r>
              <w:rPr>
                <w:sz w:val="18"/>
              </w:rPr>
            </w:r>
            <w:r>
              <w:rPr>
                <w:b w:val="0"/>
                <w:sz w:val="18"/>
              </w:rPr>
              <w:t>Interim operating covenants; Buyer approval of leasing; Seller bears TI/LC on unapproved deals</w:t>
            </w:r>
          </w:p>
        </w:tc>
        <w:tc>
          <w:tcPr>
            <w:tcW w:type="dxa" w:w="2160"/>
          </w:tcPr>
          <w:p>
            <w:pPr>
              <w:spacing w:after="20"/>
            </w:pPr>
            <w:r>
              <w:rPr>
                <w:sz w:val="18"/>
              </w:rPr>
            </w:r>
            <w:r>
              <w:rPr>
                <w:b w:val="0"/>
                <w:sz w:val="18"/>
              </w:rPr>
              <w:t>New §; §6.3</w:t>
            </w:r>
          </w:p>
        </w:tc>
        <w:tc>
          <w:tcPr>
            <w:tcW w:type="dxa" w:w="1296"/>
          </w:tcPr>
          <w:p>
            <w:pPr>
              <w:spacing w:after="20"/>
            </w:pPr>
            <w:r>
              <w:rPr>
                <w:sz w:val="18"/>
              </w:rPr>
            </w:r>
            <w:r>
              <w:rPr>
                <w:b w:val="0"/>
                <w:sz w:val="18"/>
              </w:rPr>
              <w:t>7</w:t>
            </w:r>
          </w:p>
        </w:tc>
      </w:tr>
      <w:tr>
        <w:tc>
          <w:tcPr>
            <w:tcW w:type="dxa" w:w="432"/>
          </w:tcPr>
          <w:p>
            <w:pPr>
              <w:spacing w:after="20"/>
            </w:pPr>
            <w:r>
              <w:rPr>
                <w:sz w:val="18"/>
              </w:rPr>
            </w:r>
            <w:r>
              <w:rPr>
                <w:b w:val="0"/>
                <w:sz w:val="18"/>
              </w:rPr>
              <w:t>8</w:t>
            </w:r>
          </w:p>
        </w:tc>
        <w:tc>
          <w:tcPr>
            <w:tcW w:type="dxa" w:w="6048"/>
          </w:tcPr>
          <w:p>
            <w:pPr>
              <w:spacing w:after="20"/>
            </w:pPr>
            <w:r>
              <w:rPr>
                <w:sz w:val="18"/>
              </w:rPr>
            </w:r>
            <w:r>
              <w:rPr>
                <w:b w:val="0"/>
                <w:sz w:val="18"/>
              </w:rPr>
              <w:t>Estoppels: specific major-tenant requirement, a clean-estoppel standard, a 30-day dating requirement, a revised Ex. E</w:t>
            </w:r>
          </w:p>
        </w:tc>
        <w:tc>
          <w:tcPr>
            <w:tcW w:type="dxa" w:w="2160"/>
          </w:tcPr>
          <w:p>
            <w:pPr>
              <w:spacing w:after="20"/>
            </w:pPr>
            <w:r>
              <w:rPr>
                <w:sz w:val="18"/>
              </w:rPr>
            </w:r>
            <w:r>
              <w:rPr>
                <w:b w:val="0"/>
                <w:sz w:val="18"/>
              </w:rPr>
              <w:t>§9.3; Ex. E</w:t>
            </w:r>
          </w:p>
        </w:tc>
        <w:tc>
          <w:tcPr>
            <w:tcW w:type="dxa" w:w="1296"/>
          </w:tcPr>
          <w:p>
            <w:pPr>
              <w:spacing w:after="20"/>
            </w:pPr>
            <w:r>
              <w:rPr>
                <w:sz w:val="18"/>
              </w:rPr>
            </w:r>
            <w:r>
              <w:rPr>
                <w:b w:val="0"/>
                <w:sz w:val="18"/>
              </w:rPr>
              <w:t>9</w:t>
            </w:r>
          </w:p>
        </w:tc>
      </w:tr>
      <w:tr>
        <w:tc>
          <w:tcPr>
            <w:tcW w:type="dxa" w:w="432"/>
          </w:tcPr>
          <w:p>
            <w:pPr>
              <w:spacing w:after="20"/>
            </w:pPr>
            <w:r>
              <w:rPr>
                <w:sz w:val="18"/>
              </w:rPr>
            </w:r>
            <w:r>
              <w:rPr>
                <w:b w:val="0"/>
                <w:sz w:val="18"/>
              </w:rPr>
              <w:t>9</w:t>
            </w:r>
          </w:p>
        </w:tc>
        <w:tc>
          <w:tcPr>
            <w:tcW w:type="dxa" w:w="6048"/>
          </w:tcPr>
          <w:p>
            <w:pPr>
              <w:spacing w:after="20"/>
            </w:pPr>
            <w:r>
              <w:rPr>
                <w:sz w:val="18"/>
              </w:rPr>
            </w:r>
            <w:r>
              <w:rPr>
                <w:b w:val="0"/>
                <w:sz w:val="18"/>
              </w:rPr>
              <w:t>SNDAs from tenants over 15,000 RSF as a closing condition, or a financing-refund protection</w:t>
            </w:r>
          </w:p>
        </w:tc>
        <w:tc>
          <w:tcPr>
            <w:tcW w:type="dxa" w:w="2160"/>
          </w:tcPr>
          <w:p>
            <w:pPr>
              <w:spacing w:after="20"/>
            </w:pPr>
            <w:r>
              <w:rPr>
                <w:sz w:val="18"/>
              </w:rPr>
            </w:r>
            <w:r>
              <w:rPr>
                <w:b w:val="0"/>
                <w:sz w:val="18"/>
              </w:rPr>
              <w:t>§9.1(f); §9.4</w:t>
            </w:r>
          </w:p>
        </w:tc>
        <w:tc>
          <w:tcPr>
            <w:tcW w:type="dxa" w:w="1296"/>
          </w:tcPr>
          <w:p>
            <w:pPr>
              <w:spacing w:after="20"/>
            </w:pPr>
            <w:r>
              <w:rPr>
                <w:sz w:val="18"/>
              </w:rPr>
            </w:r>
            <w:r>
              <w:rPr>
                <w:b w:val="0"/>
                <w:sz w:val="18"/>
              </w:rPr>
              <w:t>10</w:t>
            </w:r>
          </w:p>
        </w:tc>
      </w:tr>
      <w:tr>
        <w:tc>
          <w:tcPr>
            <w:tcW w:type="dxa" w:w="432"/>
          </w:tcPr>
          <w:p>
            <w:pPr>
              <w:spacing w:after="20"/>
            </w:pPr>
            <w:r>
              <w:rPr>
                <w:sz w:val="18"/>
              </w:rPr>
            </w:r>
            <w:r>
              <w:rPr>
                <w:b w:val="0"/>
                <w:sz w:val="18"/>
              </w:rPr>
              <w:t>10</w:t>
            </w:r>
          </w:p>
        </w:tc>
        <w:tc>
          <w:tcPr>
            <w:tcW w:type="dxa" w:w="6048"/>
          </w:tcPr>
          <w:p>
            <w:pPr>
              <w:spacing w:after="20"/>
            </w:pPr>
            <w:r>
              <w:rPr>
                <w:sz w:val="18"/>
              </w:rPr>
            </w:r>
            <w:r>
              <w:rPr>
                <w:b w:val="0"/>
                <w:sz w:val="18"/>
              </w:rPr>
              <w:t>Broaden permitted assignment to Calverley/fund-controlled SPEs; shorten notice to 3 business days; release the assignor at Closing</w:t>
            </w:r>
          </w:p>
        </w:tc>
        <w:tc>
          <w:tcPr>
            <w:tcW w:type="dxa" w:w="2160"/>
          </w:tcPr>
          <w:p>
            <w:pPr>
              <w:spacing w:after="20"/>
            </w:pPr>
            <w:r>
              <w:rPr>
                <w:sz w:val="18"/>
              </w:rPr>
            </w:r>
            <w:r>
              <w:rPr>
                <w:b w:val="0"/>
                <w:sz w:val="18"/>
              </w:rPr>
              <w:t>§14.3</w:t>
            </w:r>
          </w:p>
        </w:tc>
        <w:tc>
          <w:tcPr>
            <w:tcW w:type="dxa" w:w="1296"/>
          </w:tcPr>
          <w:p>
            <w:pPr>
              <w:spacing w:after="20"/>
            </w:pPr>
            <w:r>
              <w:rPr>
                <w:sz w:val="18"/>
              </w:rPr>
            </w:r>
            <w:r>
              <w:rPr>
                <w:b w:val="0"/>
                <w:sz w:val="18"/>
              </w:rPr>
              <w:t>11</w:t>
            </w:r>
          </w:p>
        </w:tc>
      </w:tr>
      <w:tr>
        <w:tc>
          <w:tcPr>
            <w:tcW w:type="dxa" w:w="432"/>
          </w:tcPr>
          <w:p>
            <w:pPr>
              <w:spacing w:after="20"/>
            </w:pPr>
            <w:r>
              <w:rPr>
                <w:sz w:val="18"/>
              </w:rPr>
            </w:r>
            <w:r>
              <w:rPr>
                <w:b w:val="0"/>
                <w:sz w:val="18"/>
              </w:rPr>
              <w:t>11</w:t>
            </w:r>
          </w:p>
        </w:tc>
        <w:tc>
          <w:tcPr>
            <w:tcW w:type="dxa" w:w="6048"/>
          </w:tcPr>
          <w:p>
            <w:pPr>
              <w:spacing w:after="20"/>
            </w:pPr>
            <w:r>
              <w:rPr>
                <w:sz w:val="18"/>
              </w:rPr>
            </w:r>
            <w:r>
              <w:rPr>
                <w:b w:val="0"/>
                <w:sz w:val="18"/>
              </w:rPr>
              <w:t>Restrict closing extensions (Buyer-only, or Seller only for cure); roll weekend dates forward; define business day</w:t>
            </w:r>
          </w:p>
        </w:tc>
        <w:tc>
          <w:tcPr>
            <w:tcW w:type="dxa" w:w="2160"/>
          </w:tcPr>
          <w:p>
            <w:pPr>
              <w:spacing w:after="20"/>
            </w:pPr>
            <w:r>
              <w:rPr>
                <w:sz w:val="18"/>
              </w:rPr>
            </w:r>
            <w:r>
              <w:rPr>
                <w:b w:val="0"/>
                <w:sz w:val="18"/>
              </w:rPr>
              <w:t>§1.1; §13.5</w:t>
            </w:r>
          </w:p>
        </w:tc>
        <w:tc>
          <w:tcPr>
            <w:tcW w:type="dxa" w:w="1296"/>
          </w:tcPr>
          <w:p>
            <w:pPr>
              <w:spacing w:after="20"/>
            </w:pPr>
            <w:r>
              <w:rPr>
                <w:sz w:val="18"/>
              </w:rPr>
            </w:r>
            <w:r>
              <w:rPr>
                <w:b w:val="0"/>
                <w:sz w:val="18"/>
              </w:rPr>
              <w:t>13, 22</w:t>
            </w:r>
          </w:p>
        </w:tc>
      </w:tr>
      <w:tr>
        <w:tc>
          <w:tcPr>
            <w:tcW w:type="dxa" w:w="432"/>
          </w:tcPr>
          <w:p>
            <w:pPr>
              <w:spacing w:after="20"/>
            </w:pPr>
            <w:r>
              <w:rPr>
                <w:sz w:val="18"/>
              </w:rPr>
            </w:r>
            <w:r>
              <w:rPr>
                <w:b w:val="0"/>
                <w:sz w:val="18"/>
              </w:rPr>
              <w:t>12</w:t>
            </w:r>
          </w:p>
        </w:tc>
        <w:tc>
          <w:tcPr>
            <w:tcW w:type="dxa" w:w="6048"/>
          </w:tcPr>
          <w:p>
            <w:pPr>
              <w:spacing w:after="20"/>
            </w:pPr>
            <w:r>
              <w:rPr>
                <w:sz w:val="18"/>
              </w:rPr>
            </w:r>
            <w:r>
              <w:rPr>
                <w:b w:val="0"/>
                <w:sz w:val="18"/>
              </w:rPr>
              <w:t>General Deposit refund on failure of any Buyer condition</w:t>
            </w:r>
          </w:p>
        </w:tc>
        <w:tc>
          <w:tcPr>
            <w:tcW w:type="dxa" w:w="2160"/>
          </w:tcPr>
          <w:p>
            <w:pPr>
              <w:spacing w:after="20"/>
            </w:pPr>
            <w:r>
              <w:rPr>
                <w:sz w:val="18"/>
              </w:rPr>
            </w:r>
            <w:r>
              <w:rPr>
                <w:b w:val="0"/>
                <w:sz w:val="18"/>
              </w:rPr>
              <w:t>§9.1; §3.4</w:t>
            </w:r>
          </w:p>
        </w:tc>
        <w:tc>
          <w:tcPr>
            <w:tcW w:type="dxa" w:w="1296"/>
          </w:tcPr>
          <w:p>
            <w:pPr>
              <w:spacing w:after="20"/>
            </w:pPr>
            <w:r>
              <w:rPr>
                <w:sz w:val="18"/>
              </w:rPr>
            </w:r>
            <w:r>
              <w:rPr>
                <w:b w:val="0"/>
                <w:sz w:val="18"/>
              </w:rPr>
              <w:t>14</w:t>
            </w:r>
          </w:p>
        </w:tc>
      </w:tr>
      <w:tr>
        <w:tc>
          <w:tcPr>
            <w:tcW w:type="dxa" w:w="432"/>
          </w:tcPr>
          <w:p>
            <w:pPr>
              <w:spacing w:after="20"/>
            </w:pPr>
            <w:r>
              <w:rPr>
                <w:sz w:val="18"/>
              </w:rPr>
            </w:r>
            <w:r>
              <w:rPr>
                <w:b w:val="0"/>
                <w:sz w:val="18"/>
              </w:rPr>
              <w:t>13</w:t>
            </w:r>
          </w:p>
        </w:tc>
        <w:tc>
          <w:tcPr>
            <w:tcW w:type="dxa" w:w="6048"/>
          </w:tcPr>
          <w:p>
            <w:pPr>
              <w:spacing w:after="20"/>
            </w:pPr>
            <w:r>
              <w:rPr>
                <w:sz w:val="18"/>
              </w:rPr>
            </w:r>
            <w:r>
              <w:rPr>
                <w:b w:val="0"/>
                <w:sz w:val="18"/>
              </w:rPr>
              <w:t>Conform remedies to dispute resolution (specific performance and lis pendens carve-out; tolling); define willful default</w:t>
            </w:r>
          </w:p>
        </w:tc>
        <w:tc>
          <w:tcPr>
            <w:tcW w:type="dxa" w:w="2160"/>
          </w:tcPr>
          <w:p>
            <w:pPr>
              <w:spacing w:after="20"/>
            </w:pPr>
            <w:r>
              <w:rPr>
                <w:sz w:val="18"/>
              </w:rPr>
            </w:r>
            <w:r>
              <w:rPr>
                <w:b w:val="0"/>
                <w:sz w:val="18"/>
              </w:rPr>
              <w:t>§12.2; §12.3; §15.4</w:t>
            </w:r>
          </w:p>
        </w:tc>
        <w:tc>
          <w:tcPr>
            <w:tcW w:type="dxa" w:w="1296"/>
          </w:tcPr>
          <w:p>
            <w:pPr>
              <w:spacing w:after="20"/>
            </w:pPr>
            <w:r>
              <w:rPr>
                <w:sz w:val="18"/>
              </w:rPr>
            </w:r>
            <w:r>
              <w:rPr>
                <w:b w:val="0"/>
                <w:sz w:val="18"/>
              </w:rPr>
              <w:t>15</w:t>
            </w:r>
          </w:p>
        </w:tc>
      </w:tr>
      <w:tr>
        <w:tc>
          <w:tcPr>
            <w:tcW w:type="dxa" w:w="432"/>
          </w:tcPr>
          <w:p>
            <w:pPr>
              <w:spacing w:after="20"/>
            </w:pPr>
            <w:r>
              <w:rPr>
                <w:sz w:val="18"/>
              </w:rPr>
            </w:r>
            <w:r>
              <w:rPr>
                <w:b w:val="0"/>
                <w:sz w:val="18"/>
              </w:rPr>
              <w:t>14</w:t>
            </w:r>
          </w:p>
        </w:tc>
        <w:tc>
          <w:tcPr>
            <w:tcW w:type="dxa" w:w="6048"/>
          </w:tcPr>
          <w:p>
            <w:pPr>
              <w:spacing w:after="20"/>
            </w:pPr>
            <w:r>
              <w:rPr>
                <w:sz w:val="18"/>
              </w:rPr>
            </w:r>
            <w:r>
              <w:rPr>
                <w:b w:val="0"/>
                <w:sz w:val="18"/>
              </w:rPr>
              <w:t>Rep update mechanics: deliver the certificate 5 business days before Closing; updates do not cure; define MAC</w:t>
            </w:r>
          </w:p>
        </w:tc>
        <w:tc>
          <w:tcPr>
            <w:tcW w:type="dxa" w:w="2160"/>
          </w:tcPr>
          <w:p>
            <w:pPr>
              <w:spacing w:after="20"/>
            </w:pPr>
            <w:r>
              <w:rPr>
                <w:sz w:val="18"/>
              </w:rPr>
            </w:r>
            <w:r>
              <w:rPr>
                <w:b w:val="0"/>
                <w:sz w:val="18"/>
              </w:rPr>
              <w:t>§7.2</w:t>
            </w:r>
          </w:p>
        </w:tc>
        <w:tc>
          <w:tcPr>
            <w:tcW w:type="dxa" w:w="1296"/>
          </w:tcPr>
          <w:p>
            <w:pPr>
              <w:spacing w:after="20"/>
            </w:pPr>
            <w:r>
              <w:rPr>
                <w:sz w:val="18"/>
              </w:rPr>
            </w:r>
            <w:r>
              <w:rPr>
                <w:b w:val="0"/>
                <w:sz w:val="18"/>
              </w:rPr>
              <w:t>16</w:t>
            </w:r>
          </w:p>
        </w:tc>
      </w:tr>
      <w:tr>
        <w:tc>
          <w:tcPr>
            <w:tcW w:type="dxa" w:w="432"/>
          </w:tcPr>
          <w:p>
            <w:pPr>
              <w:spacing w:after="20"/>
            </w:pPr>
            <w:r>
              <w:rPr>
                <w:sz w:val="18"/>
              </w:rPr>
            </w:r>
            <w:r>
              <w:rPr>
                <w:b w:val="0"/>
                <w:sz w:val="18"/>
              </w:rPr>
              <w:t>15</w:t>
            </w:r>
          </w:p>
        </w:tc>
        <w:tc>
          <w:tcPr>
            <w:tcW w:type="dxa" w:w="6048"/>
          </w:tcPr>
          <w:p>
            <w:pPr>
              <w:spacing w:after="20"/>
            </w:pPr>
            <w:r>
              <w:rPr>
                <w:sz w:val="18"/>
              </w:rPr>
            </w:r>
            <w:r>
              <w:rPr>
                <w:b w:val="0"/>
                <w:sz w:val="18"/>
              </w:rPr>
              <w:t>Title: gap and new-matters objections; deemed refusal on Seller silence; delete Ex. B item 10 against affidavits</w:t>
            </w:r>
          </w:p>
        </w:tc>
        <w:tc>
          <w:tcPr>
            <w:tcW w:type="dxa" w:w="2160"/>
          </w:tcPr>
          <w:p>
            <w:pPr>
              <w:spacing w:after="20"/>
            </w:pPr>
            <w:r>
              <w:rPr>
                <w:sz w:val="18"/>
              </w:rPr>
            </w:r>
            <w:r>
              <w:rPr>
                <w:b w:val="0"/>
                <w:sz w:val="18"/>
              </w:rPr>
              <w:t>§5.2–5.3; Ex. B</w:t>
            </w:r>
          </w:p>
        </w:tc>
        <w:tc>
          <w:tcPr>
            <w:tcW w:type="dxa" w:w="1296"/>
          </w:tcPr>
          <w:p>
            <w:pPr>
              <w:spacing w:after="20"/>
            </w:pPr>
            <w:r>
              <w:rPr>
                <w:sz w:val="18"/>
              </w:rPr>
            </w:r>
            <w:r>
              <w:rPr>
                <w:b w:val="0"/>
                <w:sz w:val="18"/>
              </w:rPr>
              <w:t>17</w:t>
            </w:r>
          </w:p>
        </w:tc>
      </w:tr>
      <w:tr>
        <w:tc>
          <w:tcPr>
            <w:tcW w:type="dxa" w:w="432"/>
          </w:tcPr>
          <w:p>
            <w:pPr>
              <w:spacing w:after="20"/>
            </w:pPr>
            <w:r>
              <w:rPr>
                <w:sz w:val="18"/>
              </w:rPr>
            </w:r>
            <w:r>
              <w:rPr>
                <w:b w:val="0"/>
                <w:sz w:val="18"/>
              </w:rPr>
              <w:t>16</w:t>
            </w:r>
          </w:p>
        </w:tc>
        <w:tc>
          <w:tcPr>
            <w:tcW w:type="dxa" w:w="6048"/>
          </w:tcPr>
          <w:p>
            <w:pPr>
              <w:spacing w:after="20"/>
            </w:pPr>
            <w:r>
              <w:rPr>
                <w:sz w:val="18"/>
              </w:rPr>
            </w:r>
            <w:r>
              <w:rPr>
                <w:b w:val="0"/>
                <w:sz w:val="18"/>
              </w:rPr>
              <w:t>Free-rent and abatement credits; actual TI/LC true-up; extend the CY2024 reconciliation to Sept. 30, 2025</w:t>
            </w:r>
          </w:p>
        </w:tc>
        <w:tc>
          <w:tcPr>
            <w:tcW w:type="dxa" w:w="2160"/>
          </w:tcPr>
          <w:p>
            <w:pPr>
              <w:spacing w:after="20"/>
            </w:pPr>
            <w:r>
              <w:rPr>
                <w:sz w:val="18"/>
              </w:rPr>
            </w:r>
            <w:r>
              <w:rPr>
                <w:b w:val="0"/>
                <w:sz w:val="18"/>
              </w:rPr>
              <w:t>§6.1; §6.3; §6.4</w:t>
            </w:r>
          </w:p>
        </w:tc>
        <w:tc>
          <w:tcPr>
            <w:tcW w:type="dxa" w:w="1296"/>
          </w:tcPr>
          <w:p>
            <w:pPr>
              <w:spacing w:after="20"/>
            </w:pPr>
            <w:r>
              <w:rPr>
                <w:sz w:val="18"/>
              </w:rPr>
            </w:r>
            <w:r>
              <w:rPr>
                <w:b w:val="0"/>
                <w:sz w:val="18"/>
              </w:rPr>
              <w:t>19</w:t>
            </w:r>
          </w:p>
        </w:tc>
      </w:tr>
      <w:tr>
        <w:tc>
          <w:tcPr>
            <w:tcW w:type="dxa" w:w="432"/>
          </w:tcPr>
          <w:p>
            <w:pPr>
              <w:spacing w:after="20"/>
            </w:pPr>
            <w:r>
              <w:rPr>
                <w:sz w:val="18"/>
              </w:rPr>
            </w:r>
            <w:r>
              <w:rPr>
                <w:b w:val="0"/>
                <w:sz w:val="18"/>
              </w:rPr>
              <w:t>17</w:t>
            </w:r>
          </w:p>
        </w:tc>
        <w:tc>
          <w:tcPr>
            <w:tcW w:type="dxa" w:w="6048"/>
          </w:tcPr>
          <w:p>
            <w:pPr>
              <w:spacing w:after="20"/>
            </w:pPr>
            <w:r>
              <w:rPr>
                <w:sz w:val="18"/>
              </w:rPr>
            </w:r>
            <w:r>
              <w:rPr>
                <w:b w:val="0"/>
                <w:sz w:val="18"/>
              </w:rPr>
              <w:t>Doe litigation and pre-Closing tort claims as Seller-retained liabilities; correct the rep</w:t>
            </w:r>
          </w:p>
        </w:tc>
        <w:tc>
          <w:tcPr>
            <w:tcW w:type="dxa" w:w="2160"/>
          </w:tcPr>
          <w:p>
            <w:pPr>
              <w:spacing w:after="20"/>
            </w:pPr>
            <w:r>
              <w:rPr>
                <w:sz w:val="18"/>
              </w:rPr>
            </w:r>
            <w:r>
              <w:rPr>
                <w:b w:val="0"/>
                <w:sz w:val="18"/>
              </w:rPr>
              <w:t>§7.1(e); Sch. 7.1(e)</w:t>
            </w:r>
          </w:p>
        </w:tc>
        <w:tc>
          <w:tcPr>
            <w:tcW w:type="dxa" w:w="1296"/>
          </w:tcPr>
          <w:p>
            <w:pPr>
              <w:spacing w:after="20"/>
            </w:pPr>
            <w:r>
              <w:rPr>
                <w:sz w:val="18"/>
              </w:rPr>
            </w:r>
            <w:r>
              <w:rPr>
                <w:b w:val="0"/>
                <w:sz w:val="18"/>
              </w:rPr>
              <w:t>20</w:t>
            </w:r>
          </w:p>
        </w:tc>
      </w:tr>
      <w:tr>
        <w:tc>
          <w:tcPr>
            <w:tcW w:type="dxa" w:w="432"/>
          </w:tcPr>
          <w:p>
            <w:pPr>
              <w:spacing w:after="20"/>
            </w:pPr>
            <w:r>
              <w:rPr>
                <w:sz w:val="18"/>
              </w:rPr>
            </w:r>
            <w:r>
              <w:rPr>
                <w:b w:val="0"/>
                <w:sz w:val="18"/>
              </w:rPr>
              <w:t>18</w:t>
            </w:r>
          </w:p>
        </w:tc>
        <w:tc>
          <w:tcPr>
            <w:tcW w:type="dxa" w:w="6048"/>
          </w:tcPr>
          <w:p>
            <w:pPr>
              <w:spacing w:after="20"/>
            </w:pPr>
            <w:r>
              <w:rPr>
                <w:sz w:val="18"/>
              </w:rPr>
            </w:r>
            <w:r>
              <w:rPr>
                <w:b w:val="0"/>
                <w:sz w:val="18"/>
              </w:rPr>
              <w:t>Terminate the property management agreement at Seller cost; correct Ex. G</w:t>
            </w:r>
          </w:p>
        </w:tc>
        <w:tc>
          <w:tcPr>
            <w:tcW w:type="dxa" w:w="2160"/>
          </w:tcPr>
          <w:p>
            <w:pPr>
              <w:spacing w:after="20"/>
            </w:pPr>
            <w:r>
              <w:rPr>
                <w:sz w:val="18"/>
              </w:rPr>
            </w:r>
            <w:r>
              <w:rPr>
                <w:b w:val="0"/>
                <w:sz w:val="18"/>
              </w:rPr>
              <w:t>§7.1(h), (s); Ex. G</w:t>
            </w:r>
          </w:p>
        </w:tc>
        <w:tc>
          <w:tcPr>
            <w:tcW w:type="dxa" w:w="1296"/>
          </w:tcPr>
          <w:p>
            <w:pPr>
              <w:spacing w:after="20"/>
            </w:pPr>
            <w:r>
              <w:rPr>
                <w:sz w:val="18"/>
              </w:rPr>
            </w:r>
            <w:r>
              <w:rPr>
                <w:b w:val="0"/>
                <w:sz w:val="18"/>
              </w:rPr>
              <w:t>23</w:t>
            </w:r>
          </w:p>
        </w:tc>
      </w:tr>
      <w:tr>
        <w:tc>
          <w:tcPr>
            <w:tcW w:type="dxa" w:w="432"/>
          </w:tcPr>
          <w:p>
            <w:pPr>
              <w:spacing w:after="20"/>
            </w:pPr>
            <w:r>
              <w:rPr>
                <w:sz w:val="18"/>
              </w:rPr>
            </w:r>
            <w:r>
              <w:rPr>
                <w:b w:val="0"/>
                <w:sz w:val="18"/>
              </w:rPr>
              <w:t>19</w:t>
            </w:r>
          </w:p>
        </w:tc>
        <w:tc>
          <w:tcPr>
            <w:tcW w:type="dxa" w:w="6048"/>
          </w:tcPr>
          <w:p>
            <w:pPr>
              <w:spacing w:after="20"/>
            </w:pPr>
            <w:r>
              <w:rPr>
                <w:sz w:val="18"/>
              </w:rPr>
            </w:r>
            <w:r>
              <w:rPr>
                <w:b w:val="0"/>
                <w:sz w:val="18"/>
              </w:rPr>
              <w:t>Casualty: uninsured loss credit, rent-loss assignment, major-tenant termination trigger, independent estimate</w:t>
            </w:r>
          </w:p>
        </w:tc>
        <w:tc>
          <w:tcPr>
            <w:tcW w:type="dxa" w:w="2160"/>
          </w:tcPr>
          <w:p>
            <w:pPr>
              <w:spacing w:after="20"/>
            </w:pPr>
            <w:r>
              <w:rPr>
                <w:sz w:val="18"/>
              </w:rPr>
            </w:r>
            <w:r>
              <w:rPr>
                <w:b w:val="0"/>
                <w:sz w:val="18"/>
              </w:rPr>
              <w:t>§11.1</w:t>
            </w:r>
          </w:p>
        </w:tc>
        <w:tc>
          <w:tcPr>
            <w:tcW w:type="dxa" w:w="1296"/>
          </w:tcPr>
          <w:p>
            <w:pPr>
              <w:spacing w:after="20"/>
            </w:pPr>
            <w:r>
              <w:rPr>
                <w:sz w:val="18"/>
              </w:rPr>
            </w:r>
            <w:r>
              <w:rPr>
                <w:b w:val="0"/>
                <w:sz w:val="18"/>
              </w:rPr>
              <w:t>26</w:t>
            </w:r>
          </w:p>
        </w:tc>
      </w:tr>
      <w:tr>
        <w:tc>
          <w:tcPr>
            <w:tcW w:type="dxa" w:w="432"/>
          </w:tcPr>
          <w:p>
            <w:pPr>
              <w:spacing w:after="20"/>
            </w:pPr>
            <w:r>
              <w:rPr>
                <w:sz w:val="18"/>
              </w:rPr>
            </w:r>
            <w:r>
              <w:rPr>
                <w:b w:val="0"/>
                <w:sz w:val="18"/>
              </w:rPr>
              <w:t>20</w:t>
            </w:r>
          </w:p>
        </w:tc>
        <w:tc>
          <w:tcPr>
            <w:tcW w:type="dxa" w:w="6048"/>
          </w:tcPr>
          <w:p>
            <w:pPr>
              <w:spacing w:after="20"/>
            </w:pPr>
            <w:r>
              <w:rPr>
                <w:sz w:val="18"/>
              </w:rPr>
            </w:r>
            <w:r>
              <w:rPr>
                <w:b w:val="0"/>
                <w:sz w:val="18"/>
              </w:rPr>
              <w:t>Correct the notice e-mail addresses; allocate the grantor’s tax and congestion relief fee to Seller</w:t>
            </w:r>
          </w:p>
        </w:tc>
        <w:tc>
          <w:tcPr>
            <w:tcW w:type="dxa" w:w="2160"/>
          </w:tcPr>
          <w:p>
            <w:pPr>
              <w:spacing w:after="20"/>
            </w:pPr>
            <w:r>
              <w:rPr>
                <w:sz w:val="18"/>
              </w:rPr>
            </w:r>
            <w:r>
              <w:rPr>
                <w:b w:val="0"/>
                <w:sz w:val="18"/>
              </w:rPr>
              <w:t>§15.2; §13.4</w:t>
            </w:r>
          </w:p>
        </w:tc>
        <w:tc>
          <w:tcPr>
            <w:tcW w:type="dxa" w:w="1296"/>
          </w:tcPr>
          <w:p>
            <w:pPr>
              <w:spacing w:after="20"/>
            </w:pPr>
            <w:r>
              <w:rPr>
                <w:sz w:val="18"/>
              </w:rPr>
            </w:r>
            <w:r>
              <w:rPr>
                <w:b w:val="0"/>
                <w:sz w:val="18"/>
              </w:rPr>
              <w:t>27, 28</w:t>
            </w:r>
          </w:p>
        </w:tc>
      </w:tr>
    </w:tbl>
    <w:p>
      <w:pPr>
        <w:spacing w:after="40"/>
      </w:pPr>
    </w:p>
    <w:p>
      <w:pPr>
        <w:pStyle w:val="Heading1"/>
      </w:pPr>
      <w:r>
        <w:t>Part VI — Diligence Roadmap and Action Items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5184"/>
            <w:shd w:val="clear" w:color="auto" w:fill="1F3A5F"/>
          </w:tcPr>
          <w:p>
            <w:r/>
            <w:r>
              <w:rPr>
                <w:b/>
                <w:color w:val="FFFFFF"/>
                <w:sz w:val="18"/>
              </w:rPr>
              <w:t>Action</w:t>
            </w:r>
          </w:p>
        </w:tc>
        <w:tc>
          <w:tcPr>
            <w:tcW w:type="dxa" w:w="1872"/>
            <w:shd w:val="clear" w:color="auto" w:fill="1F3A5F"/>
          </w:tcPr>
          <w:p>
            <w:r/>
            <w:r>
              <w:rPr>
                <w:b/>
                <w:color w:val="FFFFFF"/>
                <w:sz w:val="18"/>
              </w:rPr>
              <w:t>Owner</w:t>
            </w:r>
          </w:p>
        </w:tc>
        <w:tc>
          <w:tcPr>
            <w:tcW w:type="dxa" w:w="1728"/>
            <w:shd w:val="clear" w:color="auto" w:fill="1F3A5F"/>
          </w:tcPr>
          <w:p>
            <w:r/>
            <w:r>
              <w:rPr>
                <w:b/>
                <w:color w:val="FFFFFF"/>
                <w:sz w:val="18"/>
              </w:rPr>
              <w:t>Target date</w:t>
            </w:r>
          </w:p>
        </w:tc>
        <w:tc>
          <w:tcPr>
            <w:tcW w:type="dxa" w:w="1152"/>
            <w:shd w:val="clear" w:color="auto" w:fill="1F3A5F"/>
          </w:tcPr>
          <w:p>
            <w:r/>
            <w:r>
              <w:rPr>
                <w:b/>
                <w:color w:val="FFFFFF"/>
                <w:sz w:val="18"/>
              </w:rPr>
              <w:t>Ref.</w:t>
            </w:r>
          </w:p>
        </w:tc>
      </w:tr>
      <w:tr>
        <w:tc>
          <w:tcPr>
            <w:tcW w:type="dxa" w:w="5184"/>
          </w:tcPr>
          <w:p>
            <w:pPr>
              <w:spacing w:after="20"/>
            </w:pPr>
            <w:r>
              <w:rPr>
                <w:sz w:val="18"/>
              </w:rPr>
            </w:r>
            <w:r>
              <w:rPr>
                <w:b w:val="0"/>
                <w:sz w:val="18"/>
              </w:rPr>
              <w:t>Confirm the Buyer entity, the funding of the Initial Deposit (Oct. 10) and the TIN used; verify wire instructions by phone</w:t>
            </w:r>
          </w:p>
        </w:tc>
        <w:tc>
          <w:tcPr>
            <w:tcW w:type="dxa" w:w="1872"/>
          </w:tcPr>
          <w:p>
            <w:pPr>
              <w:spacing w:after="20"/>
            </w:pPr>
            <w:r>
              <w:rPr>
                <w:sz w:val="18"/>
              </w:rPr>
            </w:r>
            <w:r>
              <w:rPr>
                <w:b w:val="0"/>
                <w:sz w:val="18"/>
              </w:rPr>
              <w:t>Client / HMS</w:t>
            </w:r>
          </w:p>
        </w:tc>
        <w:tc>
          <w:tcPr>
            <w:tcW w:type="dxa" w:w="1728"/>
          </w:tcPr>
          <w:p>
            <w:pPr>
              <w:spacing w:after="20"/>
            </w:pPr>
            <w:r>
              <w:rPr>
                <w:sz w:val="18"/>
              </w:rPr>
            </w:r>
            <w:r>
              <w:rPr>
                <w:b w:val="0"/>
                <w:sz w:val="18"/>
              </w:rPr>
              <w:t>Immediately</w:t>
            </w:r>
          </w:p>
        </w:tc>
        <w:tc>
          <w:tcPr>
            <w:tcW w:type="dxa" w:w="1152"/>
          </w:tcPr>
          <w:p>
            <w:pPr>
              <w:spacing w:after="20"/>
            </w:pPr>
            <w:r>
              <w:rPr>
                <w:sz w:val="18"/>
              </w:rPr>
            </w:r>
            <w:r>
              <w:rPr>
                <w:b w:val="0"/>
                <w:sz w:val="18"/>
              </w:rPr>
              <w:t>Flags 1, 27</w:t>
            </w:r>
          </w:p>
        </w:tc>
      </w:tr>
      <w:tr>
        <w:tc>
          <w:tcPr>
            <w:tcW w:type="dxa" w:w="5184"/>
          </w:tcPr>
          <w:p>
            <w:pPr>
              <w:spacing w:after="20"/>
            </w:pPr>
            <w:r>
              <w:rPr>
                <w:sz w:val="18"/>
              </w:rPr>
            </w:r>
            <w:r>
              <w:rPr>
                <w:b w:val="0"/>
                <w:sz w:val="18"/>
              </w:rPr>
              <w:t>Authorize the Clearfield Phase II; negotiate the access agreement for invasive testing; submit the DEQ FOIA request for VRP-00487</w:t>
            </w:r>
          </w:p>
        </w:tc>
        <w:tc>
          <w:tcPr>
            <w:tcW w:type="dxa" w:w="1872"/>
          </w:tcPr>
          <w:p>
            <w:pPr>
              <w:spacing w:after="20"/>
            </w:pPr>
            <w:r>
              <w:rPr>
                <w:sz w:val="18"/>
              </w:rPr>
            </w:r>
            <w:r>
              <w:rPr>
                <w:b w:val="0"/>
                <w:sz w:val="18"/>
              </w:rPr>
              <w:t>Client / HMS / Clearfield</w:t>
            </w:r>
          </w:p>
        </w:tc>
        <w:tc>
          <w:tcPr>
            <w:tcW w:type="dxa" w:w="1728"/>
          </w:tcPr>
          <w:p>
            <w:pPr>
              <w:spacing w:after="20"/>
            </w:pPr>
            <w:r>
              <w:rPr>
                <w:sz w:val="18"/>
              </w:rPr>
            </w:r>
            <w:r>
              <w:rPr>
                <w:b w:val="0"/>
                <w:sz w:val="18"/>
              </w:rPr>
              <w:t>By Oct. 16, 2024</w:t>
            </w:r>
          </w:p>
        </w:tc>
        <w:tc>
          <w:tcPr>
            <w:tcW w:type="dxa" w:w="1152"/>
          </w:tcPr>
          <w:p>
            <w:pPr>
              <w:spacing w:after="20"/>
            </w:pPr>
            <w:r>
              <w:rPr>
                <w:sz w:val="18"/>
              </w:rPr>
            </w:r>
            <w:r>
              <w:rPr>
                <w:b w:val="0"/>
                <w:sz w:val="18"/>
              </w:rPr>
              <w:t>Flags 5, 30</w:t>
            </w:r>
          </w:p>
        </w:tc>
      </w:tr>
      <w:tr>
        <w:tc>
          <w:tcPr>
            <w:tcW w:type="dxa" w:w="5184"/>
          </w:tcPr>
          <w:p>
            <w:pPr>
              <w:spacing w:after="20"/>
            </w:pPr>
            <w:r>
              <w:rPr>
                <w:sz w:val="18"/>
              </w:rPr>
            </w:r>
            <w:r>
              <w:rPr>
                <w:b w:val="0"/>
                <w:sz w:val="18"/>
              </w:rPr>
              <w:t>Open amendment negotiations with Seller’s counsel (Part V)</w:t>
            </w:r>
          </w:p>
        </w:tc>
        <w:tc>
          <w:tcPr>
            <w:tcW w:type="dxa" w:w="1872"/>
          </w:tcPr>
          <w:p>
            <w:pPr>
              <w:spacing w:after="20"/>
            </w:pPr>
            <w:r>
              <w:rPr>
                <w:sz w:val="18"/>
              </w:rPr>
            </w:r>
            <w:r>
              <w:rPr>
                <w:b w:val="0"/>
                <w:sz w:val="18"/>
              </w:rPr>
              <w:t>HMS</w:t>
            </w:r>
          </w:p>
        </w:tc>
        <w:tc>
          <w:tcPr>
            <w:tcW w:type="dxa" w:w="1728"/>
          </w:tcPr>
          <w:p>
            <w:pPr>
              <w:spacing w:after="20"/>
            </w:pPr>
            <w:r>
              <w:rPr>
                <w:sz w:val="18"/>
              </w:rPr>
            </w:r>
            <w:r>
              <w:rPr>
                <w:b w:val="0"/>
                <w:sz w:val="18"/>
              </w:rPr>
              <w:t>Week of Oct. 14, 2024</w:t>
            </w:r>
          </w:p>
        </w:tc>
        <w:tc>
          <w:tcPr>
            <w:tcW w:type="dxa" w:w="1152"/>
          </w:tcPr>
          <w:p>
            <w:pPr>
              <w:spacing w:after="20"/>
            </w:pPr>
            <w:r>
              <w:rPr>
                <w:sz w:val="18"/>
              </w:rPr>
            </w:r>
            <w:r>
              <w:rPr>
                <w:b w:val="0"/>
                <w:sz w:val="18"/>
              </w:rPr>
              <w:t>Part V</w:t>
            </w:r>
          </w:p>
        </w:tc>
      </w:tr>
      <w:tr>
        <w:tc>
          <w:tcPr>
            <w:tcW w:type="dxa" w:w="5184"/>
          </w:tcPr>
          <w:p>
            <w:pPr>
              <w:spacing w:after="20"/>
            </w:pPr>
            <w:r>
              <w:rPr>
                <w:sz w:val="18"/>
              </w:rPr>
            </w:r>
            <w:r>
              <w:rPr>
                <w:b w:val="0"/>
                <w:sz w:val="18"/>
              </w:rPr>
              <w:t>Order the title commitment (with exception documents) and the ALTA/NSPS survey; coordinate with Jennifer Walsh</w:t>
            </w:r>
          </w:p>
        </w:tc>
        <w:tc>
          <w:tcPr>
            <w:tcW w:type="dxa" w:w="1872"/>
          </w:tcPr>
          <w:p>
            <w:pPr>
              <w:spacing w:after="20"/>
            </w:pPr>
            <w:r>
              <w:rPr>
                <w:sz w:val="18"/>
              </w:rPr>
            </w:r>
            <w:r>
              <w:rPr>
                <w:b w:val="0"/>
                <w:sz w:val="18"/>
              </w:rPr>
              <w:t>HMS (L. Chen)</w:t>
            </w:r>
          </w:p>
        </w:tc>
        <w:tc>
          <w:tcPr>
            <w:tcW w:type="dxa" w:w="1728"/>
          </w:tcPr>
          <w:p>
            <w:pPr>
              <w:spacing w:after="20"/>
            </w:pPr>
            <w:r>
              <w:rPr>
                <w:sz w:val="18"/>
              </w:rPr>
            </w:r>
            <w:r>
              <w:rPr>
                <w:b w:val="0"/>
                <w:sz w:val="18"/>
              </w:rPr>
              <w:t>Immediately</w:t>
            </w:r>
          </w:p>
        </w:tc>
        <w:tc>
          <w:tcPr>
            <w:tcW w:type="dxa" w:w="1152"/>
          </w:tcPr>
          <w:p>
            <w:pPr>
              <w:spacing w:after="20"/>
            </w:pPr>
            <w:r>
              <w:rPr>
                <w:sz w:val="18"/>
              </w:rPr>
            </w:r>
            <w:r>
              <w:rPr>
                <w:b w:val="0"/>
                <w:sz w:val="18"/>
              </w:rPr>
              <w:t>§5.1; Flag 17</w:t>
            </w:r>
          </w:p>
        </w:tc>
      </w:tr>
      <w:tr>
        <w:tc>
          <w:tcPr>
            <w:tcW w:type="dxa" w:w="5184"/>
          </w:tcPr>
          <w:p>
            <w:pPr>
              <w:spacing w:after="20"/>
            </w:pPr>
            <w:r>
              <w:rPr>
                <w:sz w:val="18"/>
              </w:rPr>
            </w:r>
            <w:r>
              <w:rPr>
                <w:b w:val="0"/>
                <w:sz w:val="18"/>
              </w:rPr>
              <w:t>Data-room completeness review against §4.2; send a deficiency letter</w:t>
            </w:r>
          </w:p>
        </w:tc>
        <w:tc>
          <w:tcPr>
            <w:tcW w:type="dxa" w:w="1872"/>
          </w:tcPr>
          <w:p>
            <w:pPr>
              <w:spacing w:after="20"/>
            </w:pPr>
            <w:r>
              <w:rPr>
                <w:sz w:val="18"/>
              </w:rPr>
            </w:r>
            <w:r>
              <w:rPr>
                <w:b w:val="0"/>
                <w:sz w:val="18"/>
              </w:rPr>
              <w:t>HMS</w:t>
            </w:r>
          </w:p>
        </w:tc>
        <w:tc>
          <w:tcPr>
            <w:tcW w:type="dxa" w:w="1728"/>
          </w:tcPr>
          <w:p>
            <w:pPr>
              <w:spacing w:after="20"/>
            </w:pPr>
            <w:r>
              <w:rPr>
                <w:sz w:val="18"/>
              </w:rPr>
            </w:r>
            <w:r>
              <w:rPr>
                <w:b w:val="0"/>
                <w:sz w:val="18"/>
              </w:rPr>
              <w:t>Oct. 15–16, 2024</w:t>
            </w:r>
          </w:p>
        </w:tc>
        <w:tc>
          <w:tcPr>
            <w:tcW w:type="dxa" w:w="1152"/>
          </w:tcPr>
          <w:p>
            <w:pPr>
              <w:spacing w:after="20"/>
            </w:pPr>
            <w:r>
              <w:rPr>
                <w:sz w:val="18"/>
              </w:rPr>
            </w:r>
            <w:r>
              <w:rPr>
                <w:b w:val="0"/>
                <w:sz w:val="18"/>
              </w:rPr>
              <w:t>Flag 24</w:t>
            </w:r>
          </w:p>
        </w:tc>
      </w:tr>
      <w:tr>
        <w:tc>
          <w:tcPr>
            <w:tcW w:type="dxa" w:w="5184"/>
          </w:tcPr>
          <w:p>
            <w:pPr>
              <w:spacing w:after="20"/>
            </w:pPr>
            <w:r>
              <w:rPr>
                <w:sz w:val="18"/>
              </w:rPr>
            </w:r>
            <w:r>
              <w:rPr>
                <w:b w:val="0"/>
                <w:sz w:val="18"/>
              </w:rPr>
              <w:t>Lease abstracts for all 14 Leases (options, ROFR/ROFO, termination rights, SNDA and estoppel clauses, co-tenancy, relocation)</w:t>
            </w:r>
          </w:p>
        </w:tc>
        <w:tc>
          <w:tcPr>
            <w:tcW w:type="dxa" w:w="1872"/>
          </w:tcPr>
          <w:p>
            <w:pPr>
              <w:spacing w:after="20"/>
            </w:pPr>
            <w:r>
              <w:rPr>
                <w:sz w:val="18"/>
              </w:rPr>
            </w:r>
            <w:r>
              <w:rPr>
                <w:b w:val="0"/>
                <w:sz w:val="18"/>
              </w:rPr>
              <w:t>HMS</w:t>
            </w:r>
          </w:p>
        </w:tc>
        <w:tc>
          <w:tcPr>
            <w:tcW w:type="dxa" w:w="1728"/>
          </w:tcPr>
          <w:p>
            <w:pPr>
              <w:spacing w:after="20"/>
            </w:pPr>
            <w:r>
              <w:rPr>
                <w:sz w:val="18"/>
              </w:rPr>
            </w:r>
            <w:r>
              <w:rPr>
                <w:b w:val="0"/>
                <w:sz w:val="18"/>
              </w:rPr>
              <w:t>By Nov. 8, 2024</w:t>
            </w:r>
          </w:p>
        </w:tc>
        <w:tc>
          <w:tcPr>
            <w:tcW w:type="dxa" w:w="1152"/>
          </w:tcPr>
          <w:p>
            <w:pPr>
              <w:spacing w:after="20"/>
            </w:pPr>
            <w:r>
              <w:rPr>
                <w:sz w:val="18"/>
              </w:rPr>
            </w:r>
            <w:r>
              <w:rPr>
                <w:b w:val="0"/>
                <w:sz w:val="18"/>
              </w:rPr>
              <w:t>Flags 9, 21, 29</w:t>
            </w:r>
          </w:p>
        </w:tc>
      </w:tr>
      <w:tr>
        <w:tc>
          <w:tcPr>
            <w:tcW w:type="dxa" w:w="5184"/>
          </w:tcPr>
          <w:p>
            <w:pPr>
              <w:spacing w:after="20"/>
            </w:pPr>
            <w:r>
              <w:rPr>
                <w:sz w:val="18"/>
              </w:rPr>
            </w:r>
            <w:r>
              <w:rPr>
                <w:b w:val="0"/>
                <w:sz w:val="18"/>
              </w:rPr>
              <w:t>Circulate draft estoppels and SNDAs (revised Ex. E and Pinnacle form) through Seller</w:t>
            </w:r>
          </w:p>
        </w:tc>
        <w:tc>
          <w:tcPr>
            <w:tcW w:type="dxa" w:w="1872"/>
          </w:tcPr>
          <w:p>
            <w:pPr>
              <w:spacing w:after="20"/>
            </w:pPr>
            <w:r>
              <w:rPr>
                <w:sz w:val="18"/>
              </w:rPr>
            </w:r>
            <w:r>
              <w:rPr>
                <w:b w:val="0"/>
                <w:sz w:val="18"/>
              </w:rPr>
              <w:t>Seller / HMS</w:t>
            </w:r>
          </w:p>
        </w:tc>
        <w:tc>
          <w:tcPr>
            <w:tcW w:type="dxa" w:w="1728"/>
          </w:tcPr>
          <w:p>
            <w:pPr>
              <w:spacing w:after="20"/>
            </w:pPr>
            <w:r>
              <w:rPr>
                <w:sz w:val="18"/>
              </w:rPr>
            </w:r>
            <w:r>
              <w:rPr>
                <w:b w:val="0"/>
                <w:sz w:val="18"/>
              </w:rPr>
              <w:t>By Nov. 1, 2024</w:t>
            </w:r>
          </w:p>
        </w:tc>
        <w:tc>
          <w:tcPr>
            <w:tcW w:type="dxa" w:w="1152"/>
          </w:tcPr>
          <w:p>
            <w:pPr>
              <w:spacing w:after="20"/>
            </w:pPr>
            <w:r>
              <w:rPr>
                <w:sz w:val="18"/>
              </w:rPr>
            </w:r>
            <w:r>
              <w:rPr>
                <w:b w:val="0"/>
                <w:sz w:val="18"/>
              </w:rPr>
              <w:t>Flags 9, 10</w:t>
            </w:r>
          </w:p>
        </w:tc>
      </w:tr>
      <w:tr>
        <w:tc>
          <w:tcPr>
            <w:tcW w:type="dxa" w:w="5184"/>
          </w:tcPr>
          <w:p>
            <w:pPr>
              <w:spacing w:after="20"/>
            </w:pPr>
            <w:r>
              <w:rPr>
                <w:sz w:val="18"/>
              </w:rPr>
            </w:r>
            <w:r>
              <w:rPr>
                <w:b w:val="0"/>
                <w:sz w:val="18"/>
              </w:rPr>
              <w:t>Pinnacle: obtain the term sheet, SNDA and estoppel requirements, and environmental requirements; target commitment before Nov. 29</w:t>
            </w:r>
          </w:p>
        </w:tc>
        <w:tc>
          <w:tcPr>
            <w:tcW w:type="dxa" w:w="1872"/>
          </w:tcPr>
          <w:p>
            <w:pPr>
              <w:spacing w:after="20"/>
            </w:pPr>
            <w:r>
              <w:rPr>
                <w:sz w:val="18"/>
              </w:rPr>
            </w:r>
            <w:r>
              <w:rPr>
                <w:b w:val="0"/>
                <w:sz w:val="18"/>
              </w:rPr>
              <w:t>Client / Pinnacle</w:t>
            </w:r>
          </w:p>
        </w:tc>
        <w:tc>
          <w:tcPr>
            <w:tcW w:type="dxa" w:w="1728"/>
          </w:tcPr>
          <w:p>
            <w:pPr>
              <w:spacing w:after="20"/>
            </w:pPr>
            <w:r>
              <w:rPr>
                <w:sz w:val="18"/>
              </w:rPr>
            </w:r>
            <w:r>
              <w:rPr>
                <w:b w:val="0"/>
                <w:sz w:val="18"/>
              </w:rPr>
              <w:t>Ongoing</w:t>
            </w:r>
          </w:p>
        </w:tc>
        <w:tc>
          <w:tcPr>
            <w:tcW w:type="dxa" w:w="1152"/>
          </w:tcPr>
          <w:p>
            <w:pPr>
              <w:spacing w:after="20"/>
            </w:pPr>
            <w:r>
              <w:rPr>
                <w:sz w:val="18"/>
              </w:rPr>
            </w:r>
            <w:r>
              <w:rPr>
                <w:b w:val="0"/>
                <w:sz w:val="18"/>
              </w:rPr>
              <w:t>Flag 6</w:t>
            </w:r>
          </w:p>
        </w:tc>
      </w:tr>
      <w:tr>
        <w:tc>
          <w:tcPr>
            <w:tcW w:type="dxa" w:w="5184"/>
          </w:tcPr>
          <w:p>
            <w:pPr>
              <w:spacing w:after="20"/>
            </w:pPr>
            <w:r>
              <w:rPr>
                <w:sz w:val="18"/>
              </w:rPr>
            </w:r>
            <w:r>
              <w:rPr>
                <w:b w:val="0"/>
                <w:sz w:val="18"/>
              </w:rPr>
              <w:t>Updated Phase I reliance letter (Buyer, SPE, Lender); Phase I update within 180 days of Closing</w:t>
            </w:r>
          </w:p>
        </w:tc>
        <w:tc>
          <w:tcPr>
            <w:tcW w:type="dxa" w:w="1872"/>
          </w:tcPr>
          <w:p>
            <w:pPr>
              <w:spacing w:after="20"/>
            </w:pPr>
            <w:r>
              <w:rPr>
                <w:sz w:val="18"/>
              </w:rPr>
            </w:r>
            <w:r>
              <w:rPr>
                <w:b w:val="0"/>
                <w:sz w:val="18"/>
              </w:rPr>
              <w:t>Client / Clearfield</w:t>
            </w:r>
          </w:p>
        </w:tc>
        <w:tc>
          <w:tcPr>
            <w:tcW w:type="dxa" w:w="1728"/>
          </w:tcPr>
          <w:p>
            <w:pPr>
              <w:spacing w:after="20"/>
            </w:pPr>
            <w:r>
              <w:rPr>
                <w:sz w:val="18"/>
              </w:rPr>
            </w:r>
            <w:r>
              <w:rPr>
                <w:b w:val="0"/>
                <w:sz w:val="18"/>
              </w:rPr>
              <w:t>Before Closing</w:t>
            </w:r>
          </w:p>
        </w:tc>
        <w:tc>
          <w:tcPr>
            <w:tcW w:type="dxa" w:w="1152"/>
          </w:tcPr>
          <w:p>
            <w:pPr>
              <w:spacing w:after="20"/>
            </w:pPr>
            <w:r>
              <w:rPr>
                <w:sz w:val="18"/>
              </w:rPr>
            </w:r>
            <w:r>
              <w:rPr>
                <w:b w:val="0"/>
                <w:sz w:val="18"/>
              </w:rPr>
              <w:t>Flag 12</w:t>
            </w:r>
          </w:p>
        </w:tc>
      </w:tr>
      <w:tr>
        <w:tc>
          <w:tcPr>
            <w:tcW w:type="dxa" w:w="5184"/>
          </w:tcPr>
          <w:p>
            <w:pPr>
              <w:spacing w:after="20"/>
            </w:pPr>
            <w:r>
              <w:rPr>
                <w:sz w:val="18"/>
              </w:rPr>
            </w:r>
            <w:r>
              <w:rPr>
                <w:b w:val="0"/>
                <w:sz w:val="18"/>
              </w:rPr>
              <w:t>Service contract review; designate Assumed Contracts</w:t>
            </w:r>
          </w:p>
        </w:tc>
        <w:tc>
          <w:tcPr>
            <w:tcW w:type="dxa" w:w="1872"/>
          </w:tcPr>
          <w:p>
            <w:pPr>
              <w:spacing w:after="20"/>
            </w:pPr>
            <w:r>
              <w:rPr>
                <w:sz w:val="18"/>
              </w:rPr>
            </w:r>
            <w:r>
              <w:rPr>
                <w:b w:val="0"/>
                <w:sz w:val="18"/>
              </w:rPr>
              <w:t>Client / HMS</w:t>
            </w:r>
          </w:p>
        </w:tc>
        <w:tc>
          <w:tcPr>
            <w:tcW w:type="dxa" w:w="1728"/>
          </w:tcPr>
          <w:p>
            <w:pPr>
              <w:spacing w:after="20"/>
            </w:pPr>
            <w:r>
              <w:rPr>
                <w:sz w:val="18"/>
              </w:rPr>
            </w:r>
            <w:r>
              <w:rPr>
                <w:b w:val="0"/>
                <w:sz w:val="18"/>
              </w:rPr>
              <w:t>By Nov. 21, 2024</w:t>
            </w:r>
          </w:p>
        </w:tc>
        <w:tc>
          <w:tcPr>
            <w:tcW w:type="dxa" w:w="1152"/>
          </w:tcPr>
          <w:p>
            <w:pPr>
              <w:spacing w:after="20"/>
            </w:pPr>
            <w:r>
              <w:rPr>
                <w:sz w:val="18"/>
              </w:rPr>
            </w:r>
            <w:r>
              <w:rPr>
                <w:b w:val="0"/>
                <w:sz w:val="18"/>
              </w:rPr>
              <w:t>Flag 18</w:t>
            </w:r>
          </w:p>
        </w:tc>
      </w:tr>
      <w:tr>
        <w:tc>
          <w:tcPr>
            <w:tcW w:type="dxa" w:w="5184"/>
          </w:tcPr>
          <w:p>
            <w:pPr>
              <w:spacing w:after="20"/>
            </w:pPr>
            <w:r>
              <w:rPr>
                <w:sz w:val="18"/>
              </w:rPr>
            </w:r>
            <w:r>
              <w:rPr>
                <w:b w:val="0"/>
                <w:sz w:val="18"/>
              </w:rPr>
              <w:t>Zoning report (PD-TC-3; proffers RZ-2010-PR-024); review the CC&amp;Rs and the Cross-Access/Shared Parking Declaration</w:t>
            </w:r>
          </w:p>
        </w:tc>
        <w:tc>
          <w:tcPr>
            <w:tcW w:type="dxa" w:w="1872"/>
          </w:tcPr>
          <w:p>
            <w:pPr>
              <w:spacing w:after="20"/>
            </w:pPr>
            <w:r>
              <w:rPr>
                <w:sz w:val="18"/>
              </w:rPr>
            </w:r>
            <w:r>
              <w:rPr>
                <w:b w:val="0"/>
                <w:sz w:val="18"/>
              </w:rPr>
              <w:t>HMS</w:t>
            </w:r>
          </w:p>
        </w:tc>
        <w:tc>
          <w:tcPr>
            <w:tcW w:type="dxa" w:w="1728"/>
          </w:tcPr>
          <w:p>
            <w:pPr>
              <w:spacing w:after="20"/>
            </w:pPr>
            <w:r>
              <w:rPr>
                <w:sz w:val="18"/>
              </w:rPr>
            </w:r>
            <w:r>
              <w:rPr>
                <w:b w:val="0"/>
                <w:sz w:val="18"/>
              </w:rPr>
              <w:t>By Nov. 14, 2024</w:t>
            </w:r>
          </w:p>
        </w:tc>
        <w:tc>
          <w:tcPr>
            <w:tcW w:type="dxa" w:w="1152"/>
          </w:tcPr>
          <w:p>
            <w:pPr>
              <w:spacing w:after="20"/>
            </w:pPr>
            <w:r>
              <w:rPr>
                <w:sz w:val="18"/>
              </w:rPr>
            </w:r>
            <w:r>
              <w:rPr>
                <w:b w:val="0"/>
                <w:sz w:val="18"/>
              </w:rPr>
              <w:t>Flag 17</w:t>
            </w:r>
          </w:p>
        </w:tc>
      </w:tr>
      <w:tr>
        <w:tc>
          <w:tcPr>
            <w:tcW w:type="dxa" w:w="5184"/>
          </w:tcPr>
          <w:p>
            <w:pPr>
              <w:spacing w:after="20"/>
            </w:pPr>
            <w:r>
              <w:rPr>
                <w:sz w:val="18"/>
              </w:rPr>
            </w:r>
            <w:r>
              <w:rPr>
                <w:b w:val="0"/>
                <w:sz w:val="18"/>
              </w:rPr>
              <w:t>Deliver title objections</w:t>
            </w:r>
          </w:p>
        </w:tc>
        <w:tc>
          <w:tcPr>
            <w:tcW w:type="dxa" w:w="1872"/>
          </w:tcPr>
          <w:p>
            <w:pPr>
              <w:spacing w:after="20"/>
            </w:pPr>
            <w:r>
              <w:rPr>
                <w:sz w:val="18"/>
              </w:rPr>
            </w:r>
            <w:r>
              <w:rPr>
                <w:b w:val="0"/>
                <w:sz w:val="18"/>
              </w:rPr>
              <w:t>HMS</w:t>
            </w:r>
          </w:p>
        </w:tc>
        <w:tc>
          <w:tcPr>
            <w:tcW w:type="dxa" w:w="1728"/>
          </w:tcPr>
          <w:p>
            <w:pPr>
              <w:spacing w:after="20"/>
            </w:pPr>
            <w:r>
              <w:rPr>
                <w:sz w:val="18"/>
              </w:rPr>
            </w:r>
            <w:r>
              <w:rPr>
                <w:b/>
                <w:sz w:val="18"/>
              </w:rPr>
              <w:t>Nov. 14, 2024</w:t>
            </w:r>
          </w:p>
        </w:tc>
        <w:tc>
          <w:tcPr>
            <w:tcW w:type="dxa" w:w="1152"/>
          </w:tcPr>
          <w:p>
            <w:pPr>
              <w:spacing w:after="20"/>
            </w:pPr>
            <w:r>
              <w:rPr>
                <w:sz w:val="18"/>
              </w:rPr>
            </w:r>
            <w:r>
              <w:rPr>
                <w:b w:val="0"/>
                <w:sz w:val="18"/>
              </w:rPr>
              <w:t>§5.2</w:t>
            </w:r>
          </w:p>
        </w:tc>
      </w:tr>
      <w:tr>
        <w:tc>
          <w:tcPr>
            <w:tcW w:type="dxa" w:w="5184"/>
          </w:tcPr>
          <w:p>
            <w:pPr>
              <w:spacing w:after="20"/>
            </w:pPr>
            <w:r>
              <w:rPr>
                <w:sz w:val="18"/>
              </w:rPr>
            </w:r>
            <w:r>
              <w:rPr>
                <w:b w:val="0"/>
                <w:sz w:val="18"/>
              </w:rPr>
              <w:t>IC go/no-go decision on DD expiration</w:t>
            </w:r>
          </w:p>
        </w:tc>
        <w:tc>
          <w:tcPr>
            <w:tcW w:type="dxa" w:w="1872"/>
          </w:tcPr>
          <w:p>
            <w:pPr>
              <w:spacing w:after="20"/>
            </w:pPr>
            <w:r>
              <w:rPr>
                <w:sz w:val="18"/>
              </w:rPr>
            </w:r>
            <w:r>
              <w:rPr>
                <w:b w:val="0"/>
                <w:sz w:val="18"/>
              </w:rPr>
              <w:t>Client IC</w:t>
            </w:r>
          </w:p>
        </w:tc>
        <w:tc>
          <w:tcPr>
            <w:tcW w:type="dxa" w:w="1728"/>
          </w:tcPr>
          <w:p>
            <w:pPr>
              <w:spacing w:after="20"/>
            </w:pPr>
            <w:r>
              <w:rPr>
                <w:sz w:val="18"/>
              </w:rPr>
            </w:r>
            <w:r>
              <w:rPr>
                <w:b w:val="0"/>
                <w:sz w:val="18"/>
              </w:rPr>
              <w:t>By Nov. 19, 2024</w:t>
            </w:r>
          </w:p>
        </w:tc>
        <w:tc>
          <w:tcPr>
            <w:tcW w:type="dxa" w:w="1152"/>
          </w:tcPr>
          <w:p>
            <w:pPr>
              <w:spacing w:after="20"/>
            </w:pPr>
            <w:r>
              <w:rPr>
                <w:sz w:val="18"/>
              </w:rPr>
            </w:r>
            <w:r>
              <w:rPr>
                <w:b w:val="0"/>
                <w:sz w:val="18"/>
              </w:rPr>
              <w:t>§4.1</w:t>
            </w:r>
          </w:p>
        </w:tc>
      </w:tr>
      <w:tr>
        <w:tc>
          <w:tcPr>
            <w:tcW w:type="dxa" w:w="5184"/>
          </w:tcPr>
          <w:p>
            <w:pPr>
              <w:spacing w:after="20"/>
            </w:pPr>
            <w:r>
              <w:rPr>
                <w:sz w:val="18"/>
              </w:rPr>
            </w:r>
            <w:r>
              <w:rPr>
                <w:b w:val="0"/>
                <w:sz w:val="18"/>
              </w:rPr>
              <w:t>DD termination notice deadline (if needed), by hand or courier and e-mail</w:t>
            </w:r>
          </w:p>
        </w:tc>
        <w:tc>
          <w:tcPr>
            <w:tcW w:type="dxa" w:w="1872"/>
          </w:tcPr>
          <w:p>
            <w:pPr>
              <w:spacing w:after="20"/>
            </w:pPr>
            <w:r>
              <w:rPr>
                <w:sz w:val="18"/>
              </w:rPr>
            </w:r>
            <w:r>
              <w:rPr>
                <w:b w:val="0"/>
                <w:sz w:val="18"/>
              </w:rPr>
              <w:t>HMS</w:t>
            </w:r>
          </w:p>
        </w:tc>
        <w:tc>
          <w:tcPr>
            <w:tcW w:type="dxa" w:w="1728"/>
          </w:tcPr>
          <w:p>
            <w:pPr>
              <w:spacing w:after="20"/>
            </w:pPr>
            <w:r>
              <w:rPr>
                <w:sz w:val="18"/>
              </w:rPr>
            </w:r>
            <w:r>
              <w:rPr>
                <w:b/>
                <w:sz w:val="18"/>
              </w:rPr>
              <w:t>Nov. 21, 2024, 5:00 p.m. ET</w:t>
            </w:r>
          </w:p>
        </w:tc>
        <w:tc>
          <w:tcPr>
            <w:tcW w:type="dxa" w:w="1152"/>
          </w:tcPr>
          <w:p>
            <w:pPr>
              <w:spacing w:after="20"/>
            </w:pPr>
            <w:r>
              <w:rPr>
                <w:sz w:val="18"/>
              </w:rPr>
            </w:r>
            <w:r>
              <w:rPr>
                <w:b w:val="0"/>
                <w:sz w:val="18"/>
              </w:rPr>
              <w:t>§4.4</w:t>
            </w:r>
          </w:p>
        </w:tc>
      </w:tr>
      <w:tr>
        <w:tc>
          <w:tcPr>
            <w:tcW w:type="dxa" w:w="5184"/>
          </w:tcPr>
          <w:p>
            <w:pPr>
              <w:spacing w:after="20"/>
            </w:pPr>
            <w:r>
              <w:rPr>
                <w:sz w:val="18"/>
              </w:rPr>
            </w:r>
            <w:r>
              <w:rPr>
                <w:b w:val="0"/>
                <w:sz w:val="18"/>
              </w:rPr>
              <w:t>Additional Deposit wire ($1,500,000)</w:t>
            </w:r>
          </w:p>
        </w:tc>
        <w:tc>
          <w:tcPr>
            <w:tcW w:type="dxa" w:w="1872"/>
          </w:tcPr>
          <w:p>
            <w:pPr>
              <w:spacing w:after="20"/>
            </w:pPr>
            <w:r>
              <w:rPr>
                <w:sz w:val="18"/>
              </w:rPr>
            </w:r>
            <w:r>
              <w:rPr>
                <w:b w:val="0"/>
                <w:sz w:val="18"/>
              </w:rPr>
              <w:t>Client</w:t>
            </w:r>
          </w:p>
        </w:tc>
        <w:tc>
          <w:tcPr>
            <w:tcW w:type="dxa" w:w="1728"/>
          </w:tcPr>
          <w:p>
            <w:pPr>
              <w:spacing w:after="20"/>
            </w:pPr>
            <w:r>
              <w:rPr>
                <w:sz w:val="18"/>
              </w:rPr>
            </w:r>
            <w:r>
              <w:rPr>
                <w:b/>
                <w:sz w:val="18"/>
              </w:rPr>
              <w:t>Nov. 29, 2024</w:t>
            </w:r>
          </w:p>
        </w:tc>
        <w:tc>
          <w:tcPr>
            <w:tcW w:type="dxa" w:w="1152"/>
          </w:tcPr>
          <w:p>
            <w:pPr>
              <w:spacing w:after="20"/>
            </w:pPr>
            <w:r>
              <w:rPr>
                <w:sz w:val="18"/>
              </w:rPr>
            </w:r>
            <w:r>
              <w:rPr>
                <w:b w:val="0"/>
                <w:sz w:val="18"/>
              </w:rPr>
              <w:t>§3.3</w:t>
            </w:r>
          </w:p>
        </w:tc>
      </w:tr>
      <w:tr>
        <w:tc>
          <w:tcPr>
            <w:tcW w:type="dxa" w:w="5184"/>
          </w:tcPr>
          <w:p>
            <w:pPr>
              <w:spacing w:after="20"/>
            </w:pPr>
            <w:r>
              <w:rPr>
                <w:sz w:val="18"/>
              </w:rPr>
            </w:r>
            <w:r>
              <w:rPr>
                <w:b w:val="0"/>
                <w:sz w:val="18"/>
              </w:rPr>
              <w:t>Financing termination notice deadline (if needed)</w:t>
            </w:r>
          </w:p>
        </w:tc>
        <w:tc>
          <w:tcPr>
            <w:tcW w:type="dxa" w:w="1872"/>
          </w:tcPr>
          <w:p>
            <w:pPr>
              <w:spacing w:after="20"/>
            </w:pPr>
            <w:r>
              <w:rPr>
                <w:sz w:val="18"/>
              </w:rPr>
            </w:r>
            <w:r>
              <w:rPr>
                <w:b w:val="0"/>
                <w:sz w:val="18"/>
              </w:rPr>
              <w:t>Client / HMS</w:t>
            </w:r>
          </w:p>
        </w:tc>
        <w:tc>
          <w:tcPr>
            <w:tcW w:type="dxa" w:w="1728"/>
          </w:tcPr>
          <w:p>
            <w:pPr>
              <w:spacing w:after="20"/>
            </w:pPr>
            <w:r>
              <w:rPr>
                <w:sz w:val="18"/>
              </w:rPr>
            </w:r>
            <w:r>
              <w:rPr>
                <w:b/>
                <w:sz w:val="18"/>
              </w:rPr>
              <w:t>Dec. 6, 2024, 5:00 p.m. ET</w:t>
            </w:r>
          </w:p>
        </w:tc>
        <w:tc>
          <w:tcPr>
            <w:tcW w:type="dxa" w:w="1152"/>
          </w:tcPr>
          <w:p>
            <w:pPr>
              <w:spacing w:after="20"/>
            </w:pPr>
            <w:r>
              <w:rPr>
                <w:sz w:val="18"/>
              </w:rPr>
            </w:r>
            <w:r>
              <w:rPr>
                <w:b w:val="0"/>
                <w:sz w:val="18"/>
              </w:rPr>
              <w:t>§10.2</w:t>
            </w:r>
          </w:p>
        </w:tc>
      </w:tr>
      <w:tr>
        <w:tc>
          <w:tcPr>
            <w:tcW w:type="dxa" w:w="5184"/>
          </w:tcPr>
          <w:p>
            <w:pPr>
              <w:spacing w:after="20"/>
            </w:pPr>
            <w:r>
              <w:rPr>
                <w:sz w:val="18"/>
              </w:rPr>
            </w:r>
            <w:r>
              <w:rPr>
                <w:b w:val="0"/>
                <w:sz w:val="18"/>
              </w:rPr>
              <w:t>Form the SPE and qualify it in Virginia; deliver the assignment notice and executed assignment</w:t>
            </w:r>
          </w:p>
        </w:tc>
        <w:tc>
          <w:tcPr>
            <w:tcW w:type="dxa" w:w="1872"/>
          </w:tcPr>
          <w:p>
            <w:pPr>
              <w:spacing w:after="20"/>
            </w:pPr>
            <w:r>
              <w:rPr>
                <w:sz w:val="18"/>
              </w:rPr>
            </w:r>
            <w:r>
              <w:rPr>
                <w:b w:val="0"/>
                <w:sz w:val="18"/>
              </w:rPr>
              <w:t>Client / HMS</w:t>
            </w:r>
          </w:p>
        </w:tc>
        <w:tc>
          <w:tcPr>
            <w:tcW w:type="dxa" w:w="1728"/>
          </w:tcPr>
          <w:p>
            <w:pPr>
              <w:spacing w:after="20"/>
            </w:pPr>
            <w:r>
              <w:rPr>
                <w:sz w:val="18"/>
              </w:rPr>
            </w:r>
            <w:r>
              <w:rPr>
                <w:b/>
                <w:sz w:val="18"/>
              </w:rPr>
              <w:t>By Dec. 31, 2024</w:t>
            </w:r>
          </w:p>
        </w:tc>
        <w:tc>
          <w:tcPr>
            <w:tcW w:type="dxa" w:w="1152"/>
          </w:tcPr>
          <w:p>
            <w:pPr>
              <w:spacing w:after="20"/>
            </w:pPr>
            <w:r>
              <w:rPr>
                <w:sz w:val="18"/>
              </w:rPr>
            </w:r>
            <w:r>
              <w:rPr>
                <w:b w:val="0"/>
                <w:sz w:val="18"/>
              </w:rPr>
              <w:t>§14.3</w:t>
            </w:r>
          </w:p>
        </w:tc>
      </w:tr>
      <w:tr>
        <w:tc>
          <w:tcPr>
            <w:tcW w:type="dxa" w:w="5184"/>
          </w:tcPr>
          <w:p>
            <w:pPr>
              <w:spacing w:after="20"/>
            </w:pPr>
            <w:r>
              <w:rPr>
                <w:sz w:val="18"/>
              </w:rPr>
            </w:r>
            <w:r>
              <w:rPr>
                <w:b w:val="0"/>
                <w:sz w:val="18"/>
              </w:rPr>
              <w:t>Confirm estoppel delivery (80% threshold)</w:t>
            </w:r>
          </w:p>
        </w:tc>
        <w:tc>
          <w:tcPr>
            <w:tcW w:type="dxa" w:w="1872"/>
          </w:tcPr>
          <w:p>
            <w:pPr>
              <w:spacing w:after="20"/>
            </w:pPr>
            <w:r>
              <w:rPr>
                <w:sz w:val="18"/>
              </w:rPr>
            </w:r>
            <w:r>
              <w:rPr>
                <w:b w:val="0"/>
                <w:sz w:val="18"/>
              </w:rPr>
              <w:t>Seller / HMS</w:t>
            </w:r>
          </w:p>
        </w:tc>
        <w:tc>
          <w:tcPr>
            <w:tcW w:type="dxa" w:w="1728"/>
          </w:tcPr>
          <w:p>
            <w:pPr>
              <w:spacing w:after="20"/>
            </w:pPr>
            <w:r>
              <w:rPr>
                <w:sz w:val="18"/>
              </w:rPr>
            </w:r>
            <w:r>
              <w:rPr>
                <w:b/>
                <w:sz w:val="18"/>
              </w:rPr>
              <w:t>Dec. 31, 2024</w:t>
            </w:r>
          </w:p>
        </w:tc>
        <w:tc>
          <w:tcPr>
            <w:tcW w:type="dxa" w:w="1152"/>
          </w:tcPr>
          <w:p>
            <w:pPr>
              <w:spacing w:after="20"/>
            </w:pPr>
            <w:r>
              <w:rPr>
                <w:sz w:val="18"/>
              </w:rPr>
            </w:r>
            <w:r>
              <w:rPr>
                <w:b w:val="0"/>
                <w:sz w:val="18"/>
              </w:rPr>
              <w:t>§9.3</w:t>
            </w:r>
          </w:p>
        </w:tc>
      </w:tr>
      <w:tr>
        <w:tc>
          <w:tcPr>
            <w:tcW w:type="dxa" w:w="5184"/>
          </w:tcPr>
          <w:p>
            <w:pPr>
              <w:spacing w:after="20"/>
            </w:pPr>
            <w:r>
              <w:rPr>
                <w:sz w:val="18"/>
              </w:rPr>
            </w:r>
            <w:r>
              <w:rPr>
                <w:b w:val="0"/>
                <w:sz w:val="18"/>
              </w:rPr>
              <w:t>Closing</w:t>
            </w:r>
          </w:p>
        </w:tc>
        <w:tc>
          <w:tcPr>
            <w:tcW w:type="dxa" w:w="1872"/>
          </w:tcPr>
          <w:p>
            <w:pPr>
              <w:spacing w:after="20"/>
            </w:pPr>
            <w:r>
              <w:rPr>
                <w:sz w:val="18"/>
              </w:rPr>
            </w:r>
            <w:r>
              <w:rPr>
                <w:b w:val="0"/>
                <w:sz w:val="18"/>
              </w:rPr>
              <w:t>All</w:t>
            </w:r>
          </w:p>
        </w:tc>
        <w:tc>
          <w:tcPr>
            <w:tcW w:type="dxa" w:w="1728"/>
          </w:tcPr>
          <w:p>
            <w:pPr>
              <w:spacing w:after="20"/>
            </w:pPr>
            <w:r>
              <w:rPr>
                <w:sz w:val="18"/>
              </w:rPr>
            </w:r>
            <w:r>
              <w:rPr>
                <w:b/>
                <w:sz w:val="18"/>
              </w:rPr>
              <w:t>Jan. 15, 2025</w:t>
            </w:r>
          </w:p>
        </w:tc>
        <w:tc>
          <w:tcPr>
            <w:tcW w:type="dxa" w:w="1152"/>
          </w:tcPr>
          <w:p>
            <w:pPr>
              <w:spacing w:after="20"/>
            </w:pPr>
            <w:r>
              <w:rPr>
                <w:sz w:val="18"/>
              </w:rPr>
            </w:r>
            <w:r>
              <w:rPr>
                <w:b w:val="0"/>
                <w:sz w:val="18"/>
              </w:rPr>
              <w:t>§13.1</w:t>
            </w:r>
          </w:p>
        </w:tc>
      </w:tr>
    </w:tbl>
    <w:p>
      <w:pPr>
        <w:spacing w:after="40"/>
      </w:pPr>
    </w:p>
    <w:p>
      <w:pPr>
        <w:pStyle w:val="Heading1"/>
      </w:pPr>
      <w:r>
        <w:t>Appendix A — Rent Roll Summary (Exhibit F, as of September 15, 2024)</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rPr>
          <w:tblHeader w:val="true"/>
        </w:trPr>
        <w:tc>
          <w:tcPr>
            <w:tcW w:type="dxa" w:w="504"/>
            <w:shd w:val="clear" w:color="auto" w:fill="1F3A5F"/>
          </w:tcPr>
          <w:p>
            <w:r/>
            <w:r>
              <w:rPr>
                <w:b/>
                <w:color w:val="FFFFFF"/>
                <w:sz w:val="15"/>
              </w:rPr>
              <w:t>Bldg</w:t>
            </w:r>
          </w:p>
        </w:tc>
        <w:tc>
          <w:tcPr>
            <w:tcW w:type="dxa" w:w="2088"/>
            <w:shd w:val="clear" w:color="auto" w:fill="1F3A5F"/>
          </w:tcPr>
          <w:p>
            <w:r/>
            <w:r>
              <w:rPr>
                <w:b/>
                <w:color w:val="FFFFFF"/>
                <w:sz w:val="15"/>
              </w:rPr>
              <w:t>Tenant</w:t>
            </w:r>
          </w:p>
        </w:tc>
        <w:tc>
          <w:tcPr>
            <w:tcW w:type="dxa" w:w="648"/>
            <w:shd w:val="clear" w:color="auto" w:fill="1F3A5F"/>
          </w:tcPr>
          <w:p>
            <w:r/>
            <w:r>
              <w:rPr>
                <w:b/>
                <w:color w:val="FFFFFF"/>
                <w:sz w:val="15"/>
              </w:rPr>
              <w:t>Suite</w:t>
            </w:r>
          </w:p>
        </w:tc>
        <w:tc>
          <w:tcPr>
            <w:tcW w:type="dxa" w:w="1512"/>
            <w:shd w:val="clear" w:color="auto" w:fill="1F3A5F"/>
          </w:tcPr>
          <w:p>
            <w:r/>
            <w:r>
              <w:rPr>
                <w:b/>
                <w:color w:val="FFFFFF"/>
                <w:sz w:val="15"/>
              </w:rPr>
              <w:t>Term</w:t>
            </w:r>
          </w:p>
        </w:tc>
        <w:tc>
          <w:tcPr>
            <w:tcW w:type="dxa" w:w="720"/>
            <w:shd w:val="clear" w:color="auto" w:fill="1F3A5F"/>
          </w:tcPr>
          <w:p>
            <w:r/>
            <w:r>
              <w:rPr>
                <w:b/>
                <w:color w:val="FFFFFF"/>
                <w:sz w:val="15"/>
              </w:rPr>
              <w:t>RSF</w:t>
            </w:r>
          </w:p>
        </w:tc>
        <w:tc>
          <w:tcPr>
            <w:tcW w:type="dxa" w:w="720"/>
            <w:shd w:val="clear" w:color="auto" w:fill="1F3A5F"/>
          </w:tcPr>
          <w:p>
            <w:r/>
            <w:r>
              <w:rPr>
                <w:b/>
                <w:color w:val="FFFFFF"/>
                <w:sz w:val="15"/>
              </w:rPr>
              <w:t>% Leased</w:t>
            </w:r>
          </w:p>
        </w:tc>
        <w:tc>
          <w:tcPr>
            <w:tcW w:type="dxa" w:w="1080"/>
            <w:shd w:val="clear" w:color="auto" w:fill="1F3A5F"/>
          </w:tcPr>
          <w:p>
            <w:r/>
            <w:r>
              <w:rPr>
                <w:b/>
                <w:color w:val="FFFFFF"/>
                <w:sz w:val="15"/>
              </w:rPr>
              <w:t>Annual Base Rent</w:t>
            </w:r>
          </w:p>
        </w:tc>
        <w:tc>
          <w:tcPr>
            <w:tcW w:type="dxa" w:w="576"/>
            <w:shd w:val="clear" w:color="auto" w:fill="1F3A5F"/>
          </w:tcPr>
          <w:p>
            <w:r/>
            <w:r>
              <w:rPr>
                <w:b/>
                <w:color w:val="FFFFFF"/>
                <w:sz w:val="15"/>
              </w:rPr>
              <w:t>Esc.</w:t>
            </w:r>
          </w:p>
        </w:tc>
        <w:tc>
          <w:tcPr>
            <w:tcW w:type="dxa" w:w="864"/>
            <w:shd w:val="clear" w:color="auto" w:fill="1F3A5F"/>
          </w:tcPr>
          <w:p>
            <w:r/>
            <w:r>
              <w:rPr>
                <w:b/>
                <w:color w:val="FFFFFF"/>
                <w:sz w:val="15"/>
              </w:rPr>
              <w:t>Sec. Dep.</w:t>
            </w:r>
          </w:p>
        </w:tc>
        <w:tc>
          <w:tcPr>
            <w:tcW w:type="dxa" w:w="1584"/>
            <w:shd w:val="clear" w:color="auto" w:fill="1F3A5F"/>
          </w:tcPr>
          <w:p>
            <w:r/>
            <w:r>
              <w:rPr>
                <w:b/>
                <w:color w:val="FFFFFF"/>
                <w:sz w:val="15"/>
              </w:rPr>
              <w:t>Options / Notes</w:t>
            </w:r>
          </w:p>
        </w:tc>
      </w:tr>
      <w:tr>
        <w:tc>
          <w:tcPr>
            <w:tcW w:type="dxa" w:w="504"/>
          </w:tcPr>
          <w:p>
            <w:pPr>
              <w:spacing w:after="20"/>
            </w:pPr>
            <w:r>
              <w:rPr>
                <w:sz w:val="15"/>
              </w:rPr>
            </w:r>
            <w:r>
              <w:rPr>
                <w:b w:val="0"/>
                <w:sz w:val="15"/>
              </w:rPr>
              <w:t>A</w:t>
            </w:r>
          </w:p>
        </w:tc>
        <w:tc>
          <w:tcPr>
            <w:tcW w:type="dxa" w:w="2088"/>
          </w:tcPr>
          <w:p>
            <w:pPr>
              <w:spacing w:after="20"/>
            </w:pPr>
            <w:r>
              <w:rPr>
                <w:sz w:val="15"/>
              </w:rPr>
            </w:r>
            <w:r>
              <w:rPr>
                <w:b w:val="0"/>
                <w:sz w:val="15"/>
              </w:rPr>
              <w:t>Valerian Defense Systems Inc.</w:t>
            </w:r>
          </w:p>
        </w:tc>
        <w:tc>
          <w:tcPr>
            <w:tcW w:type="dxa" w:w="648"/>
          </w:tcPr>
          <w:p>
            <w:pPr>
              <w:spacing w:after="20"/>
            </w:pPr>
            <w:r>
              <w:rPr>
                <w:sz w:val="15"/>
              </w:rPr>
            </w:r>
            <w:r>
              <w:rPr>
                <w:b w:val="0"/>
                <w:sz w:val="15"/>
              </w:rPr>
              <w:t>A-100</w:t>
            </w:r>
          </w:p>
        </w:tc>
        <w:tc>
          <w:tcPr>
            <w:tcW w:type="dxa" w:w="1512"/>
          </w:tcPr>
          <w:p>
            <w:pPr>
              <w:spacing w:after="20"/>
            </w:pPr>
            <w:r>
              <w:rPr>
                <w:sz w:val="15"/>
              </w:rPr>
            </w:r>
            <w:r>
              <w:rPr>
                <w:b w:val="0"/>
                <w:sz w:val="15"/>
              </w:rPr>
              <w:t>04/01/2014–03/31/2029</w:t>
            </w:r>
          </w:p>
        </w:tc>
        <w:tc>
          <w:tcPr>
            <w:tcW w:type="dxa" w:w="720"/>
          </w:tcPr>
          <w:p>
            <w:pPr>
              <w:spacing w:after="20"/>
            </w:pPr>
            <w:r>
              <w:rPr>
                <w:sz w:val="15"/>
              </w:rPr>
            </w:r>
            <w:r>
              <w:rPr>
                <w:b w:val="0"/>
                <w:sz w:val="15"/>
              </w:rPr>
              <w:t>62,400</w:t>
            </w:r>
          </w:p>
        </w:tc>
        <w:tc>
          <w:tcPr>
            <w:tcW w:type="dxa" w:w="720"/>
          </w:tcPr>
          <w:p>
            <w:pPr>
              <w:spacing w:after="20"/>
            </w:pPr>
            <w:r>
              <w:rPr>
                <w:sz w:val="15"/>
              </w:rPr>
            </w:r>
            <w:r>
              <w:rPr>
                <w:b w:val="0"/>
                <w:sz w:val="15"/>
              </w:rPr>
              <w:t>24.2%</w:t>
            </w:r>
          </w:p>
        </w:tc>
        <w:tc>
          <w:tcPr>
            <w:tcW w:type="dxa" w:w="1080"/>
          </w:tcPr>
          <w:p>
            <w:pPr>
              <w:spacing w:after="20"/>
            </w:pPr>
            <w:r>
              <w:rPr>
                <w:sz w:val="15"/>
              </w:rPr>
            </w:r>
            <w:r>
              <w:rPr>
                <w:b w:val="0"/>
                <w:sz w:val="15"/>
              </w:rPr>
              <w:t>$2,246,400</w:t>
            </w:r>
          </w:p>
        </w:tc>
        <w:tc>
          <w:tcPr>
            <w:tcW w:type="dxa" w:w="576"/>
          </w:tcPr>
          <w:p>
            <w:pPr>
              <w:spacing w:after="20"/>
            </w:pPr>
            <w:r>
              <w:rPr>
                <w:sz w:val="15"/>
              </w:rPr>
            </w:r>
            <w:r>
              <w:rPr>
                <w:b w:val="0"/>
                <w:sz w:val="15"/>
              </w:rPr>
              <w:t>2.5%</w:t>
            </w:r>
          </w:p>
        </w:tc>
        <w:tc>
          <w:tcPr>
            <w:tcW w:type="dxa" w:w="864"/>
          </w:tcPr>
          <w:p>
            <w:pPr>
              <w:spacing w:after="20"/>
            </w:pPr>
            <w:r>
              <w:rPr>
                <w:sz w:val="15"/>
              </w:rPr>
            </w:r>
            <w:r>
              <w:rPr>
                <w:b w:val="0"/>
                <w:sz w:val="15"/>
              </w:rPr>
              <w:t>$168,480</w:t>
            </w:r>
          </w:p>
        </w:tc>
        <w:tc>
          <w:tcPr>
            <w:tcW w:type="dxa" w:w="1584"/>
          </w:tcPr>
          <w:p>
            <w:pPr>
              <w:spacing w:after="20"/>
            </w:pPr>
            <w:r>
              <w:rPr>
                <w:sz w:val="15"/>
              </w:rPr>
            </w:r>
            <w:r>
              <w:rPr>
                <w:b w:val="0"/>
                <w:sz w:val="15"/>
              </w:rPr>
              <w:t>Two 5-yr renewals; government contractor</w:t>
            </w:r>
          </w:p>
        </w:tc>
      </w:tr>
      <w:tr>
        <w:tc>
          <w:tcPr>
            <w:tcW w:type="dxa" w:w="504"/>
          </w:tcPr>
          <w:p>
            <w:pPr>
              <w:spacing w:after="20"/>
            </w:pPr>
            <w:r>
              <w:rPr>
                <w:sz w:val="15"/>
              </w:rPr>
            </w:r>
            <w:r>
              <w:rPr>
                <w:b w:val="0"/>
                <w:sz w:val="15"/>
              </w:rPr>
              <w:t>A</w:t>
            </w:r>
          </w:p>
        </w:tc>
        <w:tc>
          <w:tcPr>
            <w:tcW w:type="dxa" w:w="2088"/>
          </w:tcPr>
          <w:p>
            <w:pPr>
              <w:spacing w:after="20"/>
            </w:pPr>
            <w:r>
              <w:rPr>
                <w:sz w:val="15"/>
              </w:rPr>
            </w:r>
            <w:r>
              <w:rPr>
                <w:b w:val="0"/>
                <w:sz w:val="15"/>
              </w:rPr>
              <w:t>Chesapeake Financial Advisors Inc.</w:t>
            </w:r>
          </w:p>
        </w:tc>
        <w:tc>
          <w:tcPr>
            <w:tcW w:type="dxa" w:w="648"/>
          </w:tcPr>
          <w:p>
            <w:pPr>
              <w:spacing w:after="20"/>
            </w:pPr>
            <w:r>
              <w:rPr>
                <w:sz w:val="15"/>
              </w:rPr>
            </w:r>
            <w:r>
              <w:rPr>
                <w:b w:val="0"/>
                <w:sz w:val="15"/>
              </w:rPr>
              <w:t>A-300</w:t>
            </w:r>
          </w:p>
        </w:tc>
        <w:tc>
          <w:tcPr>
            <w:tcW w:type="dxa" w:w="1512"/>
          </w:tcPr>
          <w:p>
            <w:pPr>
              <w:spacing w:after="20"/>
            </w:pPr>
            <w:r>
              <w:rPr>
                <w:sz w:val="15"/>
              </w:rPr>
            </w:r>
            <w:r>
              <w:rPr>
                <w:b w:val="0"/>
                <w:sz w:val="15"/>
              </w:rPr>
              <w:t>01/01/2017–12/31/2026</w:t>
            </w:r>
          </w:p>
        </w:tc>
        <w:tc>
          <w:tcPr>
            <w:tcW w:type="dxa" w:w="720"/>
          </w:tcPr>
          <w:p>
            <w:pPr>
              <w:spacing w:after="20"/>
            </w:pPr>
            <w:r>
              <w:rPr>
                <w:sz w:val="15"/>
              </w:rPr>
            </w:r>
            <w:r>
              <w:rPr>
                <w:b w:val="0"/>
                <w:sz w:val="15"/>
              </w:rPr>
              <w:t>31,200</w:t>
            </w:r>
          </w:p>
        </w:tc>
        <w:tc>
          <w:tcPr>
            <w:tcW w:type="dxa" w:w="720"/>
          </w:tcPr>
          <w:p>
            <w:pPr>
              <w:spacing w:after="20"/>
            </w:pPr>
            <w:r>
              <w:rPr>
                <w:sz w:val="15"/>
              </w:rPr>
            </w:r>
            <w:r>
              <w:rPr>
                <w:b w:val="0"/>
                <w:sz w:val="15"/>
              </w:rPr>
              <w:t>12.1%</w:t>
            </w:r>
          </w:p>
        </w:tc>
        <w:tc>
          <w:tcPr>
            <w:tcW w:type="dxa" w:w="1080"/>
          </w:tcPr>
          <w:p>
            <w:pPr>
              <w:spacing w:after="20"/>
            </w:pPr>
            <w:r>
              <w:rPr>
                <w:sz w:val="15"/>
              </w:rPr>
            </w:r>
            <w:r>
              <w:rPr>
                <w:b w:val="0"/>
                <w:sz w:val="15"/>
              </w:rPr>
              <w:t>$1,060,800</w:t>
            </w:r>
          </w:p>
        </w:tc>
        <w:tc>
          <w:tcPr>
            <w:tcW w:type="dxa" w:w="576"/>
          </w:tcPr>
          <w:p>
            <w:pPr>
              <w:spacing w:after="20"/>
            </w:pPr>
            <w:r>
              <w:rPr>
                <w:sz w:val="15"/>
              </w:rPr>
            </w:r>
            <w:r>
              <w:rPr>
                <w:b w:val="0"/>
                <w:sz w:val="15"/>
              </w:rPr>
              <w:t>2.5%</w:t>
            </w:r>
          </w:p>
        </w:tc>
        <w:tc>
          <w:tcPr>
            <w:tcW w:type="dxa" w:w="864"/>
          </w:tcPr>
          <w:p>
            <w:pPr>
              <w:spacing w:after="20"/>
            </w:pPr>
            <w:r>
              <w:rPr>
                <w:sz w:val="15"/>
              </w:rPr>
            </w:r>
            <w:r>
              <w:rPr>
                <w:b w:val="0"/>
                <w:sz w:val="15"/>
              </w:rPr>
              <w:t>$53,040</w:t>
            </w:r>
          </w:p>
        </w:tc>
        <w:tc>
          <w:tcPr>
            <w:tcW w:type="dxa" w:w="1584"/>
          </w:tcPr>
          <w:p>
            <w:pPr>
              <w:spacing w:after="20"/>
            </w:pPr>
            <w:r>
              <w:rPr>
                <w:sz w:val="15"/>
              </w:rPr>
            </w:r>
            <w:r>
              <w:rPr>
                <w:b w:val="0"/>
                <w:sz w:val="15"/>
              </w:rPr>
              <w:t>No renewal option</w:t>
            </w:r>
          </w:p>
        </w:tc>
      </w:tr>
      <w:tr>
        <w:tc>
          <w:tcPr>
            <w:tcW w:type="dxa" w:w="504"/>
          </w:tcPr>
          <w:p>
            <w:pPr>
              <w:spacing w:after="20"/>
            </w:pPr>
            <w:r>
              <w:rPr>
                <w:sz w:val="15"/>
              </w:rPr>
            </w:r>
            <w:r>
              <w:rPr>
                <w:b w:val="0"/>
                <w:sz w:val="15"/>
              </w:rPr>
              <w:t>A</w:t>
            </w:r>
          </w:p>
        </w:tc>
        <w:tc>
          <w:tcPr>
            <w:tcW w:type="dxa" w:w="2088"/>
          </w:tcPr>
          <w:p>
            <w:pPr>
              <w:spacing w:after="20"/>
            </w:pPr>
            <w:r>
              <w:rPr>
                <w:sz w:val="15"/>
              </w:rPr>
            </w:r>
            <w:r>
              <w:rPr>
                <w:b w:val="0"/>
                <w:sz w:val="15"/>
              </w:rPr>
              <w:t>Pinnacle Ridge Consulting LLC</w:t>
            </w:r>
          </w:p>
        </w:tc>
        <w:tc>
          <w:tcPr>
            <w:tcW w:type="dxa" w:w="648"/>
          </w:tcPr>
          <w:p>
            <w:pPr>
              <w:spacing w:after="20"/>
            </w:pPr>
            <w:r>
              <w:rPr>
                <w:sz w:val="15"/>
              </w:rPr>
            </w:r>
            <w:r>
              <w:rPr>
                <w:b w:val="0"/>
                <w:sz w:val="15"/>
              </w:rPr>
              <w:t>A-400</w:t>
            </w:r>
          </w:p>
        </w:tc>
        <w:tc>
          <w:tcPr>
            <w:tcW w:type="dxa" w:w="1512"/>
          </w:tcPr>
          <w:p>
            <w:pPr>
              <w:spacing w:after="20"/>
            </w:pPr>
            <w:r>
              <w:rPr>
                <w:sz w:val="15"/>
              </w:rPr>
            </w:r>
            <w:r>
              <w:rPr>
                <w:b w:val="0"/>
                <w:sz w:val="15"/>
              </w:rPr>
              <w:t>06/01/2021–05/31/2026</w:t>
            </w:r>
          </w:p>
        </w:tc>
        <w:tc>
          <w:tcPr>
            <w:tcW w:type="dxa" w:w="720"/>
          </w:tcPr>
          <w:p>
            <w:pPr>
              <w:spacing w:after="20"/>
            </w:pPr>
            <w:r>
              <w:rPr>
                <w:sz w:val="15"/>
              </w:rPr>
            </w:r>
            <w:r>
              <w:rPr>
                <w:b w:val="0"/>
                <w:sz w:val="15"/>
              </w:rPr>
              <w:t>12,200</w:t>
            </w:r>
          </w:p>
        </w:tc>
        <w:tc>
          <w:tcPr>
            <w:tcW w:type="dxa" w:w="720"/>
          </w:tcPr>
          <w:p>
            <w:pPr>
              <w:spacing w:after="20"/>
            </w:pPr>
            <w:r>
              <w:rPr>
                <w:sz w:val="15"/>
              </w:rPr>
            </w:r>
            <w:r>
              <w:rPr>
                <w:b w:val="0"/>
                <w:sz w:val="15"/>
              </w:rPr>
              <w:t>4.7%</w:t>
            </w:r>
          </w:p>
        </w:tc>
        <w:tc>
          <w:tcPr>
            <w:tcW w:type="dxa" w:w="1080"/>
          </w:tcPr>
          <w:p>
            <w:pPr>
              <w:spacing w:after="20"/>
            </w:pPr>
            <w:r>
              <w:rPr>
                <w:sz w:val="15"/>
              </w:rPr>
            </w:r>
            <w:r>
              <w:rPr>
                <w:b w:val="0"/>
                <w:sz w:val="15"/>
              </w:rPr>
              <w:t>$380,640</w:t>
            </w:r>
          </w:p>
        </w:tc>
        <w:tc>
          <w:tcPr>
            <w:tcW w:type="dxa" w:w="576"/>
          </w:tcPr>
          <w:p>
            <w:pPr>
              <w:spacing w:after="20"/>
            </w:pPr>
            <w:r>
              <w:rPr>
                <w:sz w:val="15"/>
              </w:rPr>
            </w:r>
            <w:r>
              <w:rPr>
                <w:b w:val="0"/>
                <w:sz w:val="15"/>
              </w:rPr>
              <w:t>2.5%</w:t>
            </w:r>
          </w:p>
        </w:tc>
        <w:tc>
          <w:tcPr>
            <w:tcW w:type="dxa" w:w="864"/>
          </w:tcPr>
          <w:p>
            <w:pPr>
              <w:spacing w:after="20"/>
            </w:pPr>
            <w:r>
              <w:rPr>
                <w:sz w:val="15"/>
              </w:rPr>
            </w:r>
            <w:r>
              <w:rPr>
                <w:b w:val="0"/>
                <w:sz w:val="15"/>
              </w:rPr>
              <w:t>$19,032</w:t>
            </w:r>
          </w:p>
        </w:tc>
        <w:tc>
          <w:tcPr>
            <w:tcW w:type="dxa" w:w="1584"/>
          </w:tcPr>
          <w:p>
            <w:pPr>
              <w:spacing w:after="20"/>
            </w:pPr>
            <w:r>
              <w:rPr>
                <w:sz w:val="15"/>
              </w:rPr>
            </w:r>
            <w:r>
              <w:rPr>
                <w:b w:val="0"/>
                <w:sz w:val="15"/>
              </w:rPr>
              <w:t>—</w:t>
            </w:r>
          </w:p>
        </w:tc>
      </w:tr>
      <w:tr>
        <w:tc>
          <w:tcPr>
            <w:tcW w:type="dxa" w:w="504"/>
          </w:tcPr>
          <w:p>
            <w:pPr>
              <w:spacing w:after="20"/>
            </w:pPr>
            <w:r>
              <w:rPr>
                <w:sz w:val="15"/>
              </w:rPr>
            </w:r>
            <w:r>
              <w:rPr>
                <w:b w:val="0"/>
                <w:sz w:val="15"/>
              </w:rPr>
              <w:t>A</w:t>
            </w:r>
          </w:p>
        </w:tc>
        <w:tc>
          <w:tcPr>
            <w:tcW w:type="dxa" w:w="2088"/>
          </w:tcPr>
          <w:p>
            <w:pPr>
              <w:spacing w:after="20"/>
            </w:pPr>
            <w:r>
              <w:rPr>
                <w:sz w:val="15"/>
              </w:rPr>
            </w:r>
            <w:r>
              <w:rPr>
                <w:b w:val="0"/>
                <w:sz w:val="15"/>
              </w:rPr>
              <w:t>CrestLine Engineering LLC</w:t>
            </w:r>
          </w:p>
        </w:tc>
        <w:tc>
          <w:tcPr>
            <w:tcW w:type="dxa" w:w="648"/>
          </w:tcPr>
          <w:p>
            <w:pPr>
              <w:spacing w:after="20"/>
            </w:pPr>
            <w:r>
              <w:rPr>
                <w:sz w:val="15"/>
              </w:rPr>
            </w:r>
            <w:r>
              <w:rPr>
                <w:b w:val="0"/>
                <w:sz w:val="15"/>
              </w:rPr>
              <w:t>A-500</w:t>
            </w:r>
          </w:p>
        </w:tc>
        <w:tc>
          <w:tcPr>
            <w:tcW w:type="dxa" w:w="1512"/>
          </w:tcPr>
          <w:p>
            <w:pPr>
              <w:spacing w:after="20"/>
            </w:pPr>
            <w:r>
              <w:rPr>
                <w:sz w:val="15"/>
              </w:rPr>
            </w:r>
            <w:r>
              <w:rPr>
                <w:b w:val="0"/>
                <w:sz w:val="15"/>
              </w:rPr>
              <w:t>08/01/2022–07/31/2027</w:t>
            </w:r>
          </w:p>
        </w:tc>
        <w:tc>
          <w:tcPr>
            <w:tcW w:type="dxa" w:w="720"/>
          </w:tcPr>
          <w:p>
            <w:pPr>
              <w:spacing w:after="20"/>
            </w:pPr>
            <w:r>
              <w:rPr>
                <w:sz w:val="15"/>
              </w:rPr>
            </w:r>
            <w:r>
              <w:rPr>
                <w:b w:val="0"/>
                <w:sz w:val="15"/>
              </w:rPr>
              <w:t>7,140</w:t>
            </w:r>
          </w:p>
        </w:tc>
        <w:tc>
          <w:tcPr>
            <w:tcW w:type="dxa" w:w="720"/>
          </w:tcPr>
          <w:p>
            <w:pPr>
              <w:spacing w:after="20"/>
            </w:pPr>
            <w:r>
              <w:rPr>
                <w:sz w:val="15"/>
              </w:rPr>
            </w:r>
            <w:r>
              <w:rPr>
                <w:b w:val="0"/>
                <w:sz w:val="15"/>
              </w:rPr>
              <w:t>2.8%</w:t>
            </w:r>
          </w:p>
        </w:tc>
        <w:tc>
          <w:tcPr>
            <w:tcW w:type="dxa" w:w="1080"/>
          </w:tcPr>
          <w:p>
            <w:pPr>
              <w:spacing w:after="20"/>
            </w:pPr>
            <w:r>
              <w:rPr>
                <w:sz w:val="15"/>
              </w:rPr>
            </w:r>
            <w:r>
              <w:rPr>
                <w:b w:val="0"/>
                <w:sz w:val="15"/>
              </w:rPr>
              <w:t>$227,052</w:t>
            </w:r>
          </w:p>
        </w:tc>
        <w:tc>
          <w:tcPr>
            <w:tcW w:type="dxa" w:w="576"/>
          </w:tcPr>
          <w:p>
            <w:pPr>
              <w:spacing w:after="20"/>
            </w:pPr>
            <w:r>
              <w:rPr>
                <w:sz w:val="15"/>
              </w:rPr>
            </w:r>
            <w:r>
              <w:rPr>
                <w:b w:val="0"/>
                <w:sz w:val="15"/>
              </w:rPr>
              <w:t>3.0%</w:t>
            </w:r>
          </w:p>
        </w:tc>
        <w:tc>
          <w:tcPr>
            <w:tcW w:type="dxa" w:w="864"/>
          </w:tcPr>
          <w:p>
            <w:pPr>
              <w:spacing w:after="20"/>
            </w:pPr>
            <w:r>
              <w:rPr>
                <w:sz w:val="15"/>
              </w:rPr>
            </w:r>
            <w:r>
              <w:rPr>
                <w:b w:val="0"/>
                <w:sz w:val="15"/>
              </w:rPr>
              <w:t>$11,352</w:t>
            </w:r>
          </w:p>
        </w:tc>
        <w:tc>
          <w:tcPr>
            <w:tcW w:type="dxa" w:w="1584"/>
          </w:tcPr>
          <w:p>
            <w:pPr>
              <w:spacing w:after="20"/>
            </w:pPr>
            <w:r>
              <w:rPr>
                <w:sz w:val="15"/>
              </w:rPr>
            </w:r>
            <w:r>
              <w:rPr>
                <w:b w:val="0"/>
                <w:sz w:val="15"/>
              </w:rPr>
              <w:t>TI outstanding $485,000</w:t>
            </w:r>
          </w:p>
        </w:tc>
      </w:tr>
      <w:tr>
        <w:tc>
          <w:tcPr>
            <w:tcW w:type="dxa" w:w="504"/>
          </w:tcPr>
          <w:p>
            <w:pPr>
              <w:spacing w:after="20"/>
            </w:pPr>
            <w:r>
              <w:rPr>
                <w:sz w:val="15"/>
              </w:rPr>
            </w:r>
            <w:r>
              <w:rPr>
                <w:b w:val="0"/>
                <w:sz w:val="15"/>
              </w:rPr>
              <w:t>B</w:t>
            </w:r>
          </w:p>
        </w:tc>
        <w:tc>
          <w:tcPr>
            <w:tcW w:type="dxa" w:w="2088"/>
          </w:tcPr>
          <w:p>
            <w:pPr>
              <w:spacing w:after="20"/>
            </w:pPr>
            <w:r>
              <w:rPr>
                <w:sz w:val="15"/>
              </w:rPr>
            </w:r>
            <w:r>
              <w:rPr>
                <w:b w:val="0"/>
                <w:sz w:val="15"/>
              </w:rPr>
              <w:t>NovaTech Solutions LLC</w:t>
            </w:r>
          </w:p>
        </w:tc>
        <w:tc>
          <w:tcPr>
            <w:tcW w:type="dxa" w:w="648"/>
          </w:tcPr>
          <w:p>
            <w:pPr>
              <w:spacing w:after="20"/>
            </w:pPr>
            <w:r>
              <w:rPr>
                <w:sz w:val="15"/>
              </w:rPr>
            </w:r>
            <w:r>
              <w:rPr>
                <w:b w:val="0"/>
                <w:sz w:val="15"/>
              </w:rPr>
              <w:t>B-200</w:t>
            </w:r>
          </w:p>
        </w:tc>
        <w:tc>
          <w:tcPr>
            <w:tcW w:type="dxa" w:w="1512"/>
          </w:tcPr>
          <w:p>
            <w:pPr>
              <w:spacing w:after="20"/>
            </w:pPr>
            <w:r>
              <w:rPr>
                <w:sz w:val="15"/>
              </w:rPr>
            </w:r>
            <w:r>
              <w:rPr>
                <w:b w:val="0"/>
                <w:sz w:val="15"/>
              </w:rPr>
              <w:t>07/01/2017–06/30/2027</w:t>
            </w:r>
          </w:p>
        </w:tc>
        <w:tc>
          <w:tcPr>
            <w:tcW w:type="dxa" w:w="720"/>
          </w:tcPr>
          <w:p>
            <w:pPr>
              <w:spacing w:after="20"/>
            </w:pPr>
            <w:r>
              <w:rPr>
                <w:sz w:val="15"/>
              </w:rPr>
            </w:r>
            <w:r>
              <w:rPr>
                <w:b w:val="0"/>
                <w:sz w:val="15"/>
              </w:rPr>
              <w:t>38,500</w:t>
            </w:r>
          </w:p>
        </w:tc>
        <w:tc>
          <w:tcPr>
            <w:tcW w:type="dxa" w:w="720"/>
          </w:tcPr>
          <w:p>
            <w:pPr>
              <w:spacing w:after="20"/>
            </w:pPr>
            <w:r>
              <w:rPr>
                <w:sz w:val="15"/>
              </w:rPr>
            </w:r>
            <w:r>
              <w:rPr>
                <w:b w:val="0"/>
                <w:sz w:val="15"/>
              </w:rPr>
              <w:t>14.9%</w:t>
            </w:r>
          </w:p>
        </w:tc>
        <w:tc>
          <w:tcPr>
            <w:tcW w:type="dxa" w:w="1080"/>
          </w:tcPr>
          <w:p>
            <w:pPr>
              <w:spacing w:after="20"/>
            </w:pPr>
            <w:r>
              <w:rPr>
                <w:sz w:val="15"/>
              </w:rPr>
            </w:r>
            <w:r>
              <w:rPr>
                <w:b w:val="0"/>
                <w:sz w:val="15"/>
              </w:rPr>
              <w:t>$1,347,500</w:t>
            </w:r>
          </w:p>
        </w:tc>
        <w:tc>
          <w:tcPr>
            <w:tcW w:type="dxa" w:w="576"/>
          </w:tcPr>
          <w:p>
            <w:pPr>
              <w:spacing w:after="20"/>
            </w:pPr>
            <w:r>
              <w:rPr>
                <w:sz w:val="15"/>
              </w:rPr>
            </w:r>
            <w:r>
              <w:rPr>
                <w:b w:val="0"/>
                <w:sz w:val="15"/>
              </w:rPr>
              <w:t>3.0%</w:t>
            </w:r>
          </w:p>
        </w:tc>
        <w:tc>
          <w:tcPr>
            <w:tcW w:type="dxa" w:w="864"/>
          </w:tcPr>
          <w:p>
            <w:pPr>
              <w:spacing w:after="20"/>
            </w:pPr>
            <w:r>
              <w:rPr>
                <w:sz w:val="15"/>
              </w:rPr>
            </w:r>
            <w:r>
              <w:rPr>
                <w:b w:val="0"/>
                <w:sz w:val="15"/>
              </w:rPr>
              <w:t>$67,375</w:t>
            </w:r>
          </w:p>
        </w:tc>
        <w:tc>
          <w:tcPr>
            <w:tcW w:type="dxa" w:w="1584"/>
          </w:tcPr>
          <w:p>
            <w:pPr>
              <w:spacing w:after="20"/>
            </w:pPr>
            <w:r>
              <w:rPr>
                <w:sz w:val="15"/>
              </w:rPr>
            </w:r>
            <w:r>
              <w:rPr>
                <w:b w:val="0"/>
                <w:sz w:val="15"/>
              </w:rPr>
              <w:t>One 5-yr renewal</w:t>
            </w:r>
          </w:p>
        </w:tc>
      </w:tr>
      <w:tr>
        <w:tc>
          <w:tcPr>
            <w:tcW w:type="dxa" w:w="504"/>
          </w:tcPr>
          <w:p>
            <w:pPr>
              <w:spacing w:after="20"/>
            </w:pPr>
            <w:r>
              <w:rPr>
                <w:sz w:val="15"/>
              </w:rPr>
            </w:r>
            <w:r>
              <w:rPr>
                <w:b w:val="0"/>
                <w:sz w:val="15"/>
              </w:rPr>
              <w:t>B</w:t>
            </w:r>
          </w:p>
        </w:tc>
        <w:tc>
          <w:tcPr>
            <w:tcW w:type="dxa" w:w="2088"/>
          </w:tcPr>
          <w:p>
            <w:pPr>
              <w:spacing w:after="20"/>
            </w:pPr>
            <w:r>
              <w:rPr>
                <w:sz w:val="15"/>
              </w:rPr>
            </w:r>
            <w:r>
              <w:rPr>
                <w:b w:val="0"/>
                <w:sz w:val="15"/>
              </w:rPr>
              <w:t>RedPoint Marketing Inc.</w:t>
            </w:r>
          </w:p>
        </w:tc>
        <w:tc>
          <w:tcPr>
            <w:tcW w:type="dxa" w:w="648"/>
          </w:tcPr>
          <w:p>
            <w:pPr>
              <w:spacing w:after="20"/>
            </w:pPr>
            <w:r>
              <w:rPr>
                <w:sz w:val="15"/>
              </w:rPr>
            </w:r>
            <w:r>
              <w:rPr>
                <w:b w:val="0"/>
                <w:sz w:val="15"/>
              </w:rPr>
              <w:t>B-300</w:t>
            </w:r>
          </w:p>
        </w:tc>
        <w:tc>
          <w:tcPr>
            <w:tcW w:type="dxa" w:w="1512"/>
          </w:tcPr>
          <w:p>
            <w:pPr>
              <w:spacing w:after="20"/>
            </w:pPr>
            <w:r>
              <w:rPr>
                <w:sz w:val="15"/>
              </w:rPr>
            </w:r>
            <w:r>
              <w:rPr>
                <w:b w:val="0"/>
                <w:sz w:val="15"/>
              </w:rPr>
              <w:t>09/01/2020–08/31/2025</w:t>
            </w:r>
          </w:p>
        </w:tc>
        <w:tc>
          <w:tcPr>
            <w:tcW w:type="dxa" w:w="720"/>
          </w:tcPr>
          <w:p>
            <w:pPr>
              <w:spacing w:after="20"/>
            </w:pPr>
            <w:r>
              <w:rPr>
                <w:sz w:val="15"/>
              </w:rPr>
            </w:r>
            <w:r>
              <w:rPr>
                <w:b w:val="0"/>
                <w:sz w:val="15"/>
              </w:rPr>
              <w:t>22,500</w:t>
            </w:r>
          </w:p>
        </w:tc>
        <w:tc>
          <w:tcPr>
            <w:tcW w:type="dxa" w:w="720"/>
          </w:tcPr>
          <w:p>
            <w:pPr>
              <w:spacing w:after="20"/>
            </w:pPr>
            <w:r>
              <w:rPr>
                <w:sz w:val="15"/>
              </w:rPr>
            </w:r>
            <w:r>
              <w:rPr>
                <w:b w:val="0"/>
                <w:sz w:val="15"/>
              </w:rPr>
              <w:t>8.7%</w:t>
            </w:r>
          </w:p>
        </w:tc>
        <w:tc>
          <w:tcPr>
            <w:tcW w:type="dxa" w:w="1080"/>
          </w:tcPr>
          <w:p>
            <w:pPr>
              <w:spacing w:after="20"/>
            </w:pPr>
            <w:r>
              <w:rPr>
                <w:sz w:val="15"/>
              </w:rPr>
            </w:r>
            <w:r>
              <w:rPr>
                <w:b w:val="0"/>
                <w:sz w:val="15"/>
              </w:rPr>
              <w:t>$742,500</w:t>
            </w:r>
          </w:p>
        </w:tc>
        <w:tc>
          <w:tcPr>
            <w:tcW w:type="dxa" w:w="576"/>
          </w:tcPr>
          <w:p>
            <w:pPr>
              <w:spacing w:after="20"/>
            </w:pPr>
            <w:r>
              <w:rPr>
                <w:sz w:val="15"/>
              </w:rPr>
            </w:r>
            <w:r>
              <w:rPr>
                <w:b w:val="0"/>
                <w:sz w:val="15"/>
              </w:rPr>
              <w:t>2.0%</w:t>
            </w:r>
          </w:p>
        </w:tc>
        <w:tc>
          <w:tcPr>
            <w:tcW w:type="dxa" w:w="864"/>
          </w:tcPr>
          <w:p>
            <w:pPr>
              <w:spacing w:after="20"/>
            </w:pPr>
            <w:r>
              <w:rPr>
                <w:sz w:val="15"/>
              </w:rPr>
            </w:r>
            <w:r>
              <w:rPr>
                <w:b w:val="0"/>
                <w:sz w:val="15"/>
              </w:rPr>
              <w:t>$37,125</w:t>
            </w:r>
          </w:p>
        </w:tc>
        <w:tc>
          <w:tcPr>
            <w:tcW w:type="dxa" w:w="1584"/>
          </w:tcPr>
          <w:p>
            <w:pPr>
              <w:spacing w:after="20"/>
            </w:pPr>
            <w:r>
              <w:rPr>
                <w:sz w:val="15"/>
              </w:rPr>
            </w:r>
            <w:r>
              <w:rPr>
                <w:b w:val="0"/>
                <w:sz w:val="15"/>
              </w:rPr>
              <w:t>Early termination on 90 days’ notice</w:t>
            </w:r>
          </w:p>
        </w:tc>
      </w:tr>
      <w:tr>
        <w:tc>
          <w:tcPr>
            <w:tcW w:type="dxa" w:w="504"/>
          </w:tcPr>
          <w:p>
            <w:pPr>
              <w:spacing w:after="20"/>
            </w:pPr>
            <w:r>
              <w:rPr>
                <w:sz w:val="15"/>
              </w:rPr>
            </w:r>
            <w:r>
              <w:rPr>
                <w:b w:val="0"/>
                <w:sz w:val="15"/>
              </w:rPr>
              <w:t>B</w:t>
            </w:r>
          </w:p>
        </w:tc>
        <w:tc>
          <w:tcPr>
            <w:tcW w:type="dxa" w:w="2088"/>
          </w:tcPr>
          <w:p>
            <w:pPr>
              <w:spacing w:after="20"/>
            </w:pPr>
            <w:r>
              <w:rPr>
                <w:sz w:val="15"/>
              </w:rPr>
            </w:r>
            <w:r>
              <w:rPr>
                <w:b w:val="0"/>
                <w:sz w:val="15"/>
              </w:rPr>
              <w:t>Harborview Wealth Management Inc.</w:t>
            </w:r>
          </w:p>
        </w:tc>
        <w:tc>
          <w:tcPr>
            <w:tcW w:type="dxa" w:w="648"/>
          </w:tcPr>
          <w:p>
            <w:pPr>
              <w:spacing w:after="20"/>
            </w:pPr>
            <w:r>
              <w:rPr>
                <w:sz w:val="15"/>
              </w:rPr>
            </w:r>
            <w:r>
              <w:rPr>
                <w:b w:val="0"/>
                <w:sz w:val="15"/>
              </w:rPr>
              <w:t>B-400</w:t>
            </w:r>
          </w:p>
        </w:tc>
        <w:tc>
          <w:tcPr>
            <w:tcW w:type="dxa" w:w="1512"/>
          </w:tcPr>
          <w:p>
            <w:pPr>
              <w:spacing w:after="20"/>
            </w:pPr>
            <w:r>
              <w:rPr>
                <w:sz w:val="15"/>
              </w:rPr>
            </w:r>
            <w:r>
              <w:rPr>
                <w:b w:val="0"/>
                <w:sz w:val="15"/>
              </w:rPr>
              <w:t>11/01/2019–10/31/2026</w:t>
            </w:r>
          </w:p>
        </w:tc>
        <w:tc>
          <w:tcPr>
            <w:tcW w:type="dxa" w:w="720"/>
          </w:tcPr>
          <w:p>
            <w:pPr>
              <w:spacing w:after="20"/>
            </w:pPr>
            <w:r>
              <w:rPr>
                <w:sz w:val="15"/>
              </w:rPr>
            </w:r>
            <w:r>
              <w:rPr>
                <w:b w:val="0"/>
                <w:sz w:val="15"/>
              </w:rPr>
              <w:t>10,500</w:t>
            </w:r>
          </w:p>
        </w:tc>
        <w:tc>
          <w:tcPr>
            <w:tcW w:type="dxa" w:w="720"/>
          </w:tcPr>
          <w:p>
            <w:pPr>
              <w:spacing w:after="20"/>
            </w:pPr>
            <w:r>
              <w:rPr>
                <w:sz w:val="15"/>
              </w:rPr>
            </w:r>
            <w:r>
              <w:rPr>
                <w:b w:val="0"/>
                <w:sz w:val="15"/>
              </w:rPr>
              <w:t>4.1%</w:t>
            </w:r>
          </w:p>
        </w:tc>
        <w:tc>
          <w:tcPr>
            <w:tcW w:type="dxa" w:w="1080"/>
          </w:tcPr>
          <w:p>
            <w:pPr>
              <w:spacing w:after="20"/>
            </w:pPr>
            <w:r>
              <w:rPr>
                <w:sz w:val="15"/>
              </w:rPr>
            </w:r>
            <w:r>
              <w:rPr>
                <w:b w:val="0"/>
                <w:sz w:val="15"/>
              </w:rPr>
              <w:t>$327,600</w:t>
            </w:r>
          </w:p>
        </w:tc>
        <w:tc>
          <w:tcPr>
            <w:tcW w:type="dxa" w:w="576"/>
          </w:tcPr>
          <w:p>
            <w:pPr>
              <w:spacing w:after="20"/>
            </w:pPr>
            <w:r>
              <w:rPr>
                <w:sz w:val="15"/>
              </w:rPr>
            </w:r>
            <w:r>
              <w:rPr>
                <w:b w:val="0"/>
                <w:sz w:val="15"/>
              </w:rPr>
              <w:t>2.0%</w:t>
            </w:r>
          </w:p>
        </w:tc>
        <w:tc>
          <w:tcPr>
            <w:tcW w:type="dxa" w:w="864"/>
          </w:tcPr>
          <w:p>
            <w:pPr>
              <w:spacing w:after="20"/>
            </w:pPr>
            <w:r>
              <w:rPr>
                <w:sz w:val="15"/>
              </w:rPr>
            </w:r>
            <w:r>
              <w:rPr>
                <w:b w:val="0"/>
                <w:sz w:val="15"/>
              </w:rPr>
              <w:t>$16,380</w:t>
            </w:r>
          </w:p>
        </w:tc>
        <w:tc>
          <w:tcPr>
            <w:tcW w:type="dxa" w:w="1584"/>
          </w:tcPr>
          <w:p>
            <w:pPr>
              <w:spacing w:after="20"/>
            </w:pPr>
            <w:r>
              <w:rPr>
                <w:sz w:val="15"/>
              </w:rPr>
            </w:r>
            <w:r>
              <w:rPr>
                <w:b w:val="0"/>
                <w:sz w:val="15"/>
              </w:rPr>
              <w:t>One 3-yr renewal</w:t>
            </w:r>
          </w:p>
        </w:tc>
      </w:tr>
      <w:tr>
        <w:tc>
          <w:tcPr>
            <w:tcW w:type="dxa" w:w="504"/>
          </w:tcPr>
          <w:p>
            <w:pPr>
              <w:spacing w:after="20"/>
            </w:pPr>
            <w:r>
              <w:rPr>
                <w:sz w:val="15"/>
              </w:rPr>
            </w:r>
            <w:r>
              <w:rPr>
                <w:b w:val="0"/>
                <w:sz w:val="15"/>
              </w:rPr>
              <w:t>B</w:t>
            </w:r>
          </w:p>
        </w:tc>
        <w:tc>
          <w:tcPr>
            <w:tcW w:type="dxa" w:w="2088"/>
          </w:tcPr>
          <w:p>
            <w:pPr>
              <w:spacing w:after="20"/>
            </w:pPr>
            <w:r>
              <w:rPr>
                <w:sz w:val="15"/>
              </w:rPr>
            </w:r>
            <w:r>
              <w:rPr>
                <w:b w:val="0"/>
                <w:sz w:val="15"/>
              </w:rPr>
              <w:t>Quantum Staffing Solutions Inc.</w:t>
            </w:r>
          </w:p>
        </w:tc>
        <w:tc>
          <w:tcPr>
            <w:tcW w:type="dxa" w:w="648"/>
          </w:tcPr>
          <w:p>
            <w:pPr>
              <w:spacing w:after="20"/>
            </w:pPr>
            <w:r>
              <w:rPr>
                <w:sz w:val="15"/>
              </w:rPr>
            </w:r>
            <w:r>
              <w:rPr>
                <w:b w:val="0"/>
                <w:sz w:val="15"/>
              </w:rPr>
              <w:t>B-500</w:t>
            </w:r>
          </w:p>
        </w:tc>
        <w:tc>
          <w:tcPr>
            <w:tcW w:type="dxa" w:w="1512"/>
          </w:tcPr>
          <w:p>
            <w:pPr>
              <w:spacing w:after="20"/>
            </w:pPr>
            <w:r>
              <w:rPr>
                <w:sz w:val="15"/>
              </w:rPr>
            </w:r>
            <w:r>
              <w:rPr>
                <w:b w:val="0"/>
                <w:sz w:val="15"/>
              </w:rPr>
              <w:t>04/01/2020–03/31/2027</w:t>
            </w:r>
          </w:p>
        </w:tc>
        <w:tc>
          <w:tcPr>
            <w:tcW w:type="dxa" w:w="720"/>
          </w:tcPr>
          <w:p>
            <w:pPr>
              <w:spacing w:after="20"/>
            </w:pPr>
            <w:r>
              <w:rPr>
                <w:sz w:val="15"/>
              </w:rPr>
            </w:r>
            <w:r>
              <w:rPr>
                <w:b w:val="0"/>
                <w:sz w:val="15"/>
              </w:rPr>
              <w:t>8,600</w:t>
            </w:r>
          </w:p>
        </w:tc>
        <w:tc>
          <w:tcPr>
            <w:tcW w:type="dxa" w:w="720"/>
          </w:tcPr>
          <w:p>
            <w:pPr>
              <w:spacing w:after="20"/>
            </w:pPr>
            <w:r>
              <w:rPr>
                <w:sz w:val="15"/>
              </w:rPr>
            </w:r>
            <w:r>
              <w:rPr>
                <w:b w:val="0"/>
                <w:sz w:val="15"/>
              </w:rPr>
              <w:t>3.3%</w:t>
            </w:r>
          </w:p>
        </w:tc>
        <w:tc>
          <w:tcPr>
            <w:tcW w:type="dxa" w:w="1080"/>
          </w:tcPr>
          <w:p>
            <w:pPr>
              <w:spacing w:after="20"/>
            </w:pPr>
            <w:r>
              <w:rPr>
                <w:sz w:val="15"/>
              </w:rPr>
            </w:r>
            <w:r>
              <w:rPr>
                <w:b w:val="0"/>
                <w:sz w:val="15"/>
              </w:rPr>
              <w:t>$268,320</w:t>
            </w:r>
          </w:p>
        </w:tc>
        <w:tc>
          <w:tcPr>
            <w:tcW w:type="dxa" w:w="576"/>
          </w:tcPr>
          <w:p>
            <w:pPr>
              <w:spacing w:after="20"/>
            </w:pPr>
            <w:r>
              <w:rPr>
                <w:sz w:val="15"/>
              </w:rPr>
            </w:r>
            <w:r>
              <w:rPr>
                <w:b w:val="0"/>
                <w:sz w:val="15"/>
              </w:rPr>
              <w:t>2.0%</w:t>
            </w:r>
          </w:p>
        </w:tc>
        <w:tc>
          <w:tcPr>
            <w:tcW w:type="dxa" w:w="864"/>
          </w:tcPr>
          <w:p>
            <w:pPr>
              <w:spacing w:after="20"/>
            </w:pPr>
            <w:r>
              <w:rPr>
                <w:sz w:val="15"/>
              </w:rPr>
            </w:r>
            <w:r>
              <w:rPr>
                <w:b w:val="0"/>
                <w:sz w:val="15"/>
              </w:rPr>
              <w:t>$13,416</w:t>
            </w:r>
          </w:p>
        </w:tc>
        <w:tc>
          <w:tcPr>
            <w:tcW w:type="dxa" w:w="1584"/>
          </w:tcPr>
          <w:p>
            <w:pPr>
              <w:spacing w:after="20"/>
            </w:pPr>
            <w:r>
              <w:rPr>
                <w:sz w:val="15"/>
              </w:rPr>
            </w:r>
            <w:r>
              <w:rPr>
                <w:b w:val="0"/>
                <w:sz w:val="15"/>
              </w:rPr>
              <w:t>—</w:t>
            </w:r>
          </w:p>
        </w:tc>
      </w:tr>
      <w:tr>
        <w:tc>
          <w:tcPr>
            <w:tcW w:type="dxa" w:w="504"/>
          </w:tcPr>
          <w:p>
            <w:pPr>
              <w:spacing w:after="20"/>
            </w:pPr>
            <w:r>
              <w:rPr>
                <w:sz w:val="15"/>
              </w:rPr>
            </w:r>
            <w:r>
              <w:rPr>
                <w:b w:val="0"/>
                <w:sz w:val="15"/>
              </w:rPr>
              <w:t>B</w:t>
            </w:r>
          </w:p>
        </w:tc>
        <w:tc>
          <w:tcPr>
            <w:tcW w:type="dxa" w:w="2088"/>
          </w:tcPr>
          <w:p>
            <w:pPr>
              <w:spacing w:after="20"/>
            </w:pPr>
            <w:r>
              <w:rPr>
                <w:sz w:val="15"/>
              </w:rPr>
            </w:r>
            <w:r>
              <w:rPr>
                <w:b w:val="0"/>
                <w:sz w:val="15"/>
              </w:rPr>
              <w:t>Clearview Insurance Agency LLC</w:t>
            </w:r>
          </w:p>
        </w:tc>
        <w:tc>
          <w:tcPr>
            <w:tcW w:type="dxa" w:w="648"/>
          </w:tcPr>
          <w:p>
            <w:pPr>
              <w:spacing w:after="20"/>
            </w:pPr>
            <w:r>
              <w:rPr>
                <w:sz w:val="15"/>
              </w:rPr>
            </w:r>
            <w:r>
              <w:rPr>
                <w:b w:val="0"/>
                <w:sz w:val="15"/>
              </w:rPr>
              <w:t>B-600</w:t>
            </w:r>
          </w:p>
        </w:tc>
        <w:tc>
          <w:tcPr>
            <w:tcW w:type="dxa" w:w="1512"/>
          </w:tcPr>
          <w:p>
            <w:pPr>
              <w:spacing w:after="20"/>
            </w:pPr>
            <w:r>
              <w:rPr>
                <w:sz w:val="15"/>
              </w:rPr>
            </w:r>
            <w:r>
              <w:rPr>
                <w:b w:val="0"/>
                <w:sz w:val="15"/>
              </w:rPr>
              <w:t>05/01/2023–04/30/2028</w:t>
            </w:r>
          </w:p>
        </w:tc>
        <w:tc>
          <w:tcPr>
            <w:tcW w:type="dxa" w:w="720"/>
          </w:tcPr>
          <w:p>
            <w:pPr>
              <w:spacing w:after="20"/>
            </w:pPr>
            <w:r>
              <w:rPr>
                <w:sz w:val="15"/>
              </w:rPr>
            </w:r>
            <w:r>
              <w:rPr>
                <w:b w:val="0"/>
                <w:sz w:val="15"/>
              </w:rPr>
              <w:t>4,400</w:t>
            </w:r>
          </w:p>
        </w:tc>
        <w:tc>
          <w:tcPr>
            <w:tcW w:type="dxa" w:w="720"/>
          </w:tcPr>
          <w:p>
            <w:pPr>
              <w:spacing w:after="20"/>
            </w:pPr>
            <w:r>
              <w:rPr>
                <w:sz w:val="15"/>
              </w:rPr>
            </w:r>
            <w:r>
              <w:rPr>
                <w:b w:val="0"/>
                <w:sz w:val="15"/>
              </w:rPr>
              <w:t>1.7%</w:t>
            </w:r>
          </w:p>
        </w:tc>
        <w:tc>
          <w:tcPr>
            <w:tcW w:type="dxa" w:w="1080"/>
          </w:tcPr>
          <w:p>
            <w:pPr>
              <w:spacing w:after="20"/>
            </w:pPr>
            <w:r>
              <w:rPr>
                <w:sz w:val="15"/>
              </w:rPr>
            </w:r>
            <w:r>
              <w:rPr>
                <w:b w:val="0"/>
                <w:sz w:val="15"/>
              </w:rPr>
              <w:t>$142,560</w:t>
            </w:r>
          </w:p>
        </w:tc>
        <w:tc>
          <w:tcPr>
            <w:tcW w:type="dxa" w:w="576"/>
          </w:tcPr>
          <w:p>
            <w:pPr>
              <w:spacing w:after="20"/>
            </w:pPr>
            <w:r>
              <w:rPr>
                <w:sz w:val="15"/>
              </w:rPr>
            </w:r>
            <w:r>
              <w:rPr>
                <w:b w:val="0"/>
                <w:sz w:val="15"/>
              </w:rPr>
              <w:t>2.0%</w:t>
            </w:r>
          </w:p>
        </w:tc>
        <w:tc>
          <w:tcPr>
            <w:tcW w:type="dxa" w:w="864"/>
          </w:tcPr>
          <w:p>
            <w:pPr>
              <w:spacing w:after="20"/>
            </w:pPr>
            <w:r>
              <w:rPr>
                <w:sz w:val="15"/>
              </w:rPr>
            </w:r>
            <w:r>
              <w:rPr>
                <w:b w:val="0"/>
                <w:sz w:val="15"/>
              </w:rPr>
              <w:t>$5,712</w:t>
            </w:r>
          </w:p>
        </w:tc>
        <w:tc>
          <w:tcPr>
            <w:tcW w:type="dxa" w:w="1584"/>
          </w:tcPr>
          <w:p>
            <w:pPr>
              <w:spacing w:after="20"/>
            </w:pPr>
            <w:r>
              <w:rPr>
                <w:sz w:val="15"/>
              </w:rPr>
            </w:r>
            <w:r>
              <w:rPr>
                <w:b w:val="0"/>
                <w:sz w:val="15"/>
              </w:rPr>
              <w:t>TI/LC outstanding $396,000</w:t>
            </w:r>
          </w:p>
        </w:tc>
      </w:tr>
      <w:tr>
        <w:tc>
          <w:tcPr>
            <w:tcW w:type="dxa" w:w="504"/>
          </w:tcPr>
          <w:p>
            <w:pPr>
              <w:spacing w:after="20"/>
            </w:pPr>
            <w:r>
              <w:rPr>
                <w:sz w:val="15"/>
              </w:rPr>
            </w:r>
            <w:r>
              <w:rPr>
                <w:b w:val="0"/>
                <w:sz w:val="15"/>
              </w:rPr>
              <w:t>C</w:t>
            </w:r>
          </w:p>
        </w:tc>
        <w:tc>
          <w:tcPr>
            <w:tcW w:type="dxa" w:w="2088"/>
          </w:tcPr>
          <w:p>
            <w:pPr>
              <w:spacing w:after="20"/>
            </w:pPr>
            <w:r>
              <w:rPr>
                <w:sz w:val="15"/>
              </w:rPr>
            </w:r>
            <w:r>
              <w:rPr>
                <w:b w:val="0"/>
                <w:sz w:val="15"/>
              </w:rPr>
              <w:t>Athena Consulting Group LLC</w:t>
            </w:r>
          </w:p>
        </w:tc>
        <w:tc>
          <w:tcPr>
            <w:tcW w:type="dxa" w:w="648"/>
          </w:tcPr>
          <w:p>
            <w:pPr>
              <w:spacing w:after="20"/>
            </w:pPr>
            <w:r>
              <w:rPr>
                <w:sz w:val="15"/>
              </w:rPr>
            </w:r>
            <w:r>
              <w:rPr>
                <w:b w:val="0"/>
                <w:sz w:val="15"/>
              </w:rPr>
              <w:t>C-100</w:t>
            </w:r>
          </w:p>
        </w:tc>
        <w:tc>
          <w:tcPr>
            <w:tcW w:type="dxa" w:w="1512"/>
          </w:tcPr>
          <w:p>
            <w:pPr>
              <w:spacing w:after="20"/>
            </w:pPr>
            <w:r>
              <w:rPr>
                <w:sz w:val="15"/>
              </w:rPr>
            </w:r>
            <w:r>
              <w:rPr>
                <w:b w:val="0"/>
                <w:sz w:val="15"/>
              </w:rPr>
              <w:t>10/01/2018–09/30/2028</w:t>
            </w:r>
          </w:p>
        </w:tc>
        <w:tc>
          <w:tcPr>
            <w:tcW w:type="dxa" w:w="720"/>
          </w:tcPr>
          <w:p>
            <w:pPr>
              <w:spacing w:after="20"/>
            </w:pPr>
            <w:r>
              <w:rPr>
                <w:sz w:val="15"/>
              </w:rPr>
            </w:r>
            <w:r>
              <w:rPr>
                <w:b w:val="0"/>
                <w:sz w:val="15"/>
              </w:rPr>
              <w:t>27,000</w:t>
            </w:r>
          </w:p>
        </w:tc>
        <w:tc>
          <w:tcPr>
            <w:tcW w:type="dxa" w:w="720"/>
          </w:tcPr>
          <w:p>
            <w:pPr>
              <w:spacing w:after="20"/>
            </w:pPr>
            <w:r>
              <w:rPr>
                <w:sz w:val="15"/>
              </w:rPr>
            </w:r>
            <w:r>
              <w:rPr>
                <w:b w:val="0"/>
                <w:sz w:val="15"/>
              </w:rPr>
              <w:t>10.5%</w:t>
            </w:r>
          </w:p>
        </w:tc>
        <w:tc>
          <w:tcPr>
            <w:tcW w:type="dxa" w:w="1080"/>
          </w:tcPr>
          <w:p>
            <w:pPr>
              <w:spacing w:after="20"/>
            </w:pPr>
            <w:r>
              <w:rPr>
                <w:sz w:val="15"/>
              </w:rPr>
            </w:r>
            <w:r>
              <w:rPr>
                <w:b w:val="0"/>
                <w:sz w:val="15"/>
              </w:rPr>
              <w:t>$918,000</w:t>
            </w:r>
          </w:p>
        </w:tc>
        <w:tc>
          <w:tcPr>
            <w:tcW w:type="dxa" w:w="576"/>
          </w:tcPr>
          <w:p>
            <w:pPr>
              <w:spacing w:after="20"/>
            </w:pPr>
            <w:r>
              <w:rPr>
                <w:sz w:val="15"/>
              </w:rPr>
            </w:r>
            <w:r>
              <w:rPr>
                <w:b w:val="0"/>
                <w:sz w:val="15"/>
              </w:rPr>
              <w:t>3.0%</w:t>
            </w:r>
          </w:p>
        </w:tc>
        <w:tc>
          <w:tcPr>
            <w:tcW w:type="dxa" w:w="864"/>
          </w:tcPr>
          <w:p>
            <w:pPr>
              <w:spacing w:after="20"/>
            </w:pPr>
            <w:r>
              <w:rPr>
                <w:sz w:val="15"/>
              </w:rPr>
            </w:r>
            <w:r>
              <w:rPr>
                <w:b w:val="0"/>
                <w:sz w:val="15"/>
              </w:rPr>
              <w:t>$45,900</w:t>
            </w:r>
          </w:p>
        </w:tc>
        <w:tc>
          <w:tcPr>
            <w:tcW w:type="dxa" w:w="1584"/>
          </w:tcPr>
          <w:p>
            <w:pPr>
              <w:spacing w:after="20"/>
            </w:pPr>
            <w:r>
              <w:rPr>
                <w:sz w:val="15"/>
              </w:rPr>
            </w:r>
            <w:r>
              <w:rPr>
                <w:b w:val="0"/>
                <w:sz w:val="15"/>
              </w:rPr>
              <w:t>One 3-yr renewal</w:t>
            </w:r>
          </w:p>
        </w:tc>
      </w:tr>
      <w:tr>
        <w:tc>
          <w:tcPr>
            <w:tcW w:type="dxa" w:w="504"/>
          </w:tcPr>
          <w:p>
            <w:pPr>
              <w:spacing w:after="20"/>
            </w:pPr>
            <w:r>
              <w:rPr>
                <w:sz w:val="15"/>
              </w:rPr>
            </w:r>
            <w:r>
              <w:rPr>
                <w:b w:val="0"/>
                <w:sz w:val="15"/>
              </w:rPr>
              <w:t>C</w:t>
            </w:r>
          </w:p>
        </w:tc>
        <w:tc>
          <w:tcPr>
            <w:tcW w:type="dxa" w:w="2088"/>
          </w:tcPr>
          <w:p>
            <w:pPr>
              <w:spacing w:after="20"/>
            </w:pPr>
            <w:r>
              <w:rPr>
                <w:sz w:val="15"/>
              </w:rPr>
            </w:r>
            <w:r>
              <w:rPr>
                <w:b w:val="0"/>
                <w:sz w:val="15"/>
              </w:rPr>
              <w:t>Ironclad Data Services Inc.</w:t>
            </w:r>
          </w:p>
        </w:tc>
        <w:tc>
          <w:tcPr>
            <w:tcW w:type="dxa" w:w="648"/>
          </w:tcPr>
          <w:p>
            <w:pPr>
              <w:spacing w:after="20"/>
            </w:pPr>
            <w:r>
              <w:rPr>
                <w:sz w:val="15"/>
              </w:rPr>
            </w:r>
            <w:r>
              <w:rPr>
                <w:b w:val="0"/>
                <w:sz w:val="15"/>
              </w:rPr>
              <w:t>C-200</w:t>
            </w:r>
          </w:p>
        </w:tc>
        <w:tc>
          <w:tcPr>
            <w:tcW w:type="dxa" w:w="1512"/>
          </w:tcPr>
          <w:p>
            <w:pPr>
              <w:spacing w:after="20"/>
            </w:pPr>
            <w:r>
              <w:rPr>
                <w:sz w:val="15"/>
              </w:rPr>
            </w:r>
            <w:r>
              <w:rPr>
                <w:b w:val="0"/>
                <w:sz w:val="15"/>
              </w:rPr>
              <w:t>03/01/2019–02/28/2027</w:t>
            </w:r>
          </w:p>
        </w:tc>
        <w:tc>
          <w:tcPr>
            <w:tcW w:type="dxa" w:w="720"/>
          </w:tcPr>
          <w:p>
            <w:pPr>
              <w:spacing w:after="20"/>
            </w:pPr>
            <w:r>
              <w:rPr>
                <w:sz w:val="15"/>
              </w:rPr>
            </w:r>
            <w:r>
              <w:rPr>
                <w:b w:val="0"/>
                <w:sz w:val="15"/>
              </w:rPr>
              <w:t>14,800</w:t>
            </w:r>
          </w:p>
        </w:tc>
        <w:tc>
          <w:tcPr>
            <w:tcW w:type="dxa" w:w="720"/>
          </w:tcPr>
          <w:p>
            <w:pPr>
              <w:spacing w:after="20"/>
            </w:pPr>
            <w:r>
              <w:rPr>
                <w:sz w:val="15"/>
              </w:rPr>
            </w:r>
            <w:r>
              <w:rPr>
                <w:b w:val="0"/>
                <w:sz w:val="15"/>
              </w:rPr>
              <w:t>5.7%</w:t>
            </w:r>
          </w:p>
        </w:tc>
        <w:tc>
          <w:tcPr>
            <w:tcW w:type="dxa" w:w="1080"/>
          </w:tcPr>
          <w:p>
            <w:pPr>
              <w:spacing w:after="20"/>
            </w:pPr>
            <w:r>
              <w:rPr>
                <w:sz w:val="15"/>
              </w:rPr>
            </w:r>
            <w:r>
              <w:rPr>
                <w:b w:val="0"/>
                <w:sz w:val="15"/>
              </w:rPr>
              <w:t>$452,880</w:t>
            </w:r>
          </w:p>
        </w:tc>
        <w:tc>
          <w:tcPr>
            <w:tcW w:type="dxa" w:w="576"/>
          </w:tcPr>
          <w:p>
            <w:pPr>
              <w:spacing w:after="20"/>
            </w:pPr>
            <w:r>
              <w:rPr>
                <w:sz w:val="15"/>
              </w:rPr>
            </w:r>
            <w:r>
              <w:rPr>
                <w:b w:val="0"/>
                <w:sz w:val="15"/>
              </w:rPr>
              <w:t>2.5%</w:t>
            </w:r>
          </w:p>
        </w:tc>
        <w:tc>
          <w:tcPr>
            <w:tcW w:type="dxa" w:w="864"/>
          </w:tcPr>
          <w:p>
            <w:pPr>
              <w:spacing w:after="20"/>
            </w:pPr>
            <w:r>
              <w:rPr>
                <w:sz w:val="15"/>
              </w:rPr>
            </w:r>
            <w:r>
              <w:rPr>
                <w:b w:val="0"/>
                <w:sz w:val="15"/>
              </w:rPr>
              <w:t>$22,644</w:t>
            </w:r>
          </w:p>
        </w:tc>
        <w:tc>
          <w:tcPr>
            <w:tcW w:type="dxa" w:w="1584"/>
          </w:tcPr>
          <w:p>
            <w:pPr>
              <w:spacing w:after="20"/>
            </w:pPr>
            <w:r>
              <w:rPr>
                <w:sz w:val="15"/>
              </w:rPr>
            </w:r>
            <w:r>
              <w:rPr>
                <w:b w:val="0"/>
                <w:sz w:val="15"/>
              </w:rPr>
              <w:t>—</w:t>
            </w:r>
          </w:p>
        </w:tc>
      </w:tr>
      <w:tr>
        <w:tc>
          <w:tcPr>
            <w:tcW w:type="dxa" w:w="504"/>
          </w:tcPr>
          <w:p>
            <w:pPr>
              <w:spacing w:after="20"/>
            </w:pPr>
            <w:r>
              <w:rPr>
                <w:sz w:val="15"/>
              </w:rPr>
            </w:r>
            <w:r>
              <w:rPr>
                <w:b w:val="0"/>
                <w:sz w:val="15"/>
              </w:rPr>
              <w:t>C</w:t>
            </w:r>
          </w:p>
        </w:tc>
        <w:tc>
          <w:tcPr>
            <w:tcW w:type="dxa" w:w="2088"/>
          </w:tcPr>
          <w:p>
            <w:pPr>
              <w:spacing w:after="20"/>
            </w:pPr>
            <w:r>
              <w:rPr>
                <w:sz w:val="15"/>
              </w:rPr>
            </w:r>
            <w:r>
              <w:rPr>
                <w:b w:val="0"/>
                <w:sz w:val="15"/>
              </w:rPr>
              <w:t>Evergreen Policy Advisors LLC</w:t>
            </w:r>
          </w:p>
        </w:tc>
        <w:tc>
          <w:tcPr>
            <w:tcW w:type="dxa" w:w="648"/>
          </w:tcPr>
          <w:p>
            <w:pPr>
              <w:spacing w:after="20"/>
            </w:pPr>
            <w:r>
              <w:rPr>
                <w:sz w:val="15"/>
              </w:rPr>
            </w:r>
            <w:r>
              <w:rPr>
                <w:b w:val="0"/>
                <w:sz w:val="15"/>
              </w:rPr>
              <w:t>C-300</w:t>
            </w:r>
          </w:p>
        </w:tc>
        <w:tc>
          <w:tcPr>
            <w:tcW w:type="dxa" w:w="1512"/>
          </w:tcPr>
          <w:p>
            <w:pPr>
              <w:spacing w:after="20"/>
            </w:pPr>
            <w:r>
              <w:rPr>
                <w:sz w:val="15"/>
              </w:rPr>
            </w:r>
            <w:r>
              <w:rPr>
                <w:b w:val="0"/>
                <w:sz w:val="15"/>
              </w:rPr>
              <w:t>01/01/2022–12/31/2026</w:t>
            </w:r>
          </w:p>
        </w:tc>
        <w:tc>
          <w:tcPr>
            <w:tcW w:type="dxa" w:w="720"/>
          </w:tcPr>
          <w:p>
            <w:pPr>
              <w:spacing w:after="20"/>
            </w:pPr>
            <w:r>
              <w:rPr>
                <w:sz w:val="15"/>
              </w:rPr>
            </w:r>
            <w:r>
              <w:rPr>
                <w:b w:val="0"/>
                <w:sz w:val="15"/>
              </w:rPr>
              <w:t>9,800</w:t>
            </w:r>
          </w:p>
        </w:tc>
        <w:tc>
          <w:tcPr>
            <w:tcW w:type="dxa" w:w="720"/>
          </w:tcPr>
          <w:p>
            <w:pPr>
              <w:spacing w:after="20"/>
            </w:pPr>
            <w:r>
              <w:rPr>
                <w:sz w:val="15"/>
              </w:rPr>
            </w:r>
            <w:r>
              <w:rPr>
                <w:b w:val="0"/>
                <w:sz w:val="15"/>
              </w:rPr>
              <w:t>3.8%</w:t>
            </w:r>
          </w:p>
        </w:tc>
        <w:tc>
          <w:tcPr>
            <w:tcW w:type="dxa" w:w="1080"/>
          </w:tcPr>
          <w:p>
            <w:pPr>
              <w:spacing w:after="20"/>
            </w:pPr>
            <w:r>
              <w:rPr>
                <w:sz w:val="15"/>
              </w:rPr>
            </w:r>
            <w:r>
              <w:rPr>
                <w:b w:val="0"/>
                <w:sz w:val="15"/>
              </w:rPr>
              <w:t>$305,760</w:t>
            </w:r>
          </w:p>
        </w:tc>
        <w:tc>
          <w:tcPr>
            <w:tcW w:type="dxa" w:w="576"/>
          </w:tcPr>
          <w:p>
            <w:pPr>
              <w:spacing w:after="20"/>
            </w:pPr>
            <w:r>
              <w:rPr>
                <w:sz w:val="15"/>
              </w:rPr>
            </w:r>
            <w:r>
              <w:rPr>
                <w:b w:val="0"/>
                <w:sz w:val="15"/>
              </w:rPr>
              <w:t>2.5%</w:t>
            </w:r>
          </w:p>
        </w:tc>
        <w:tc>
          <w:tcPr>
            <w:tcW w:type="dxa" w:w="864"/>
          </w:tcPr>
          <w:p>
            <w:pPr>
              <w:spacing w:after="20"/>
            </w:pPr>
            <w:r>
              <w:rPr>
                <w:sz w:val="15"/>
              </w:rPr>
            </w:r>
            <w:r>
              <w:rPr>
                <w:b w:val="0"/>
                <w:sz w:val="15"/>
              </w:rPr>
              <w:t>$15,288</w:t>
            </w:r>
          </w:p>
        </w:tc>
        <w:tc>
          <w:tcPr>
            <w:tcW w:type="dxa" w:w="1584"/>
          </w:tcPr>
          <w:p>
            <w:pPr>
              <w:spacing w:after="20"/>
            </w:pPr>
            <w:r>
              <w:rPr>
                <w:sz w:val="15"/>
              </w:rPr>
            </w:r>
            <w:r>
              <w:rPr>
                <w:b w:val="0"/>
                <w:sz w:val="15"/>
              </w:rPr>
              <w:t>—</w:t>
            </w:r>
          </w:p>
        </w:tc>
      </w:tr>
      <w:tr>
        <w:tc>
          <w:tcPr>
            <w:tcW w:type="dxa" w:w="504"/>
          </w:tcPr>
          <w:p>
            <w:pPr>
              <w:spacing w:after="20"/>
            </w:pPr>
            <w:r>
              <w:rPr>
                <w:sz w:val="15"/>
              </w:rPr>
            </w:r>
            <w:r>
              <w:rPr>
                <w:b w:val="0"/>
                <w:sz w:val="15"/>
              </w:rPr>
              <w:t>C</w:t>
            </w:r>
          </w:p>
        </w:tc>
        <w:tc>
          <w:tcPr>
            <w:tcW w:type="dxa" w:w="2088"/>
          </w:tcPr>
          <w:p>
            <w:pPr>
              <w:spacing w:after="20"/>
            </w:pPr>
            <w:r>
              <w:rPr>
                <w:sz w:val="15"/>
              </w:rPr>
            </w:r>
            <w:r>
              <w:rPr>
                <w:b w:val="0"/>
                <w:sz w:val="15"/>
              </w:rPr>
              <w:t>Blue Ridge Behavioral Health PC</w:t>
            </w:r>
          </w:p>
        </w:tc>
        <w:tc>
          <w:tcPr>
            <w:tcW w:type="dxa" w:w="648"/>
          </w:tcPr>
          <w:p>
            <w:pPr>
              <w:spacing w:after="20"/>
            </w:pPr>
            <w:r>
              <w:rPr>
                <w:sz w:val="15"/>
              </w:rPr>
            </w:r>
            <w:r>
              <w:rPr>
                <w:b w:val="0"/>
                <w:sz w:val="15"/>
              </w:rPr>
              <w:t>C-400</w:t>
            </w:r>
          </w:p>
        </w:tc>
        <w:tc>
          <w:tcPr>
            <w:tcW w:type="dxa" w:w="1512"/>
          </w:tcPr>
          <w:p>
            <w:pPr>
              <w:spacing w:after="20"/>
            </w:pPr>
            <w:r>
              <w:rPr>
                <w:sz w:val="15"/>
              </w:rPr>
            </w:r>
            <w:r>
              <w:rPr>
                <w:b w:val="0"/>
                <w:sz w:val="15"/>
              </w:rPr>
              <w:t>02/01/2023–01/31/2028</w:t>
            </w:r>
          </w:p>
        </w:tc>
        <w:tc>
          <w:tcPr>
            <w:tcW w:type="dxa" w:w="720"/>
          </w:tcPr>
          <w:p>
            <w:pPr>
              <w:spacing w:after="20"/>
            </w:pPr>
            <w:r>
              <w:rPr>
                <w:sz w:val="15"/>
              </w:rPr>
            </w:r>
            <w:r>
              <w:rPr>
                <w:b w:val="0"/>
                <w:sz w:val="15"/>
              </w:rPr>
              <w:t>5,800</w:t>
            </w:r>
          </w:p>
        </w:tc>
        <w:tc>
          <w:tcPr>
            <w:tcW w:type="dxa" w:w="720"/>
          </w:tcPr>
          <w:p>
            <w:pPr>
              <w:spacing w:after="20"/>
            </w:pPr>
            <w:r>
              <w:rPr>
                <w:sz w:val="15"/>
              </w:rPr>
            </w:r>
            <w:r>
              <w:rPr>
                <w:b w:val="0"/>
                <w:sz w:val="15"/>
              </w:rPr>
              <w:t>2.2%</w:t>
            </w:r>
          </w:p>
        </w:tc>
        <w:tc>
          <w:tcPr>
            <w:tcW w:type="dxa" w:w="1080"/>
          </w:tcPr>
          <w:p>
            <w:pPr>
              <w:spacing w:after="20"/>
            </w:pPr>
            <w:r>
              <w:rPr>
                <w:sz w:val="15"/>
              </w:rPr>
            </w:r>
            <w:r>
              <w:rPr>
                <w:b w:val="0"/>
                <w:sz w:val="15"/>
              </w:rPr>
              <w:t>$180,960</w:t>
            </w:r>
          </w:p>
        </w:tc>
        <w:tc>
          <w:tcPr>
            <w:tcW w:type="dxa" w:w="576"/>
          </w:tcPr>
          <w:p>
            <w:pPr>
              <w:spacing w:after="20"/>
            </w:pPr>
            <w:r>
              <w:rPr>
                <w:sz w:val="15"/>
              </w:rPr>
            </w:r>
            <w:r>
              <w:rPr>
                <w:b w:val="0"/>
                <w:sz w:val="15"/>
              </w:rPr>
              <w:t>2.5%</w:t>
            </w:r>
          </w:p>
        </w:tc>
        <w:tc>
          <w:tcPr>
            <w:tcW w:type="dxa" w:w="864"/>
          </w:tcPr>
          <w:p>
            <w:pPr>
              <w:spacing w:after="20"/>
            </w:pPr>
            <w:r>
              <w:rPr>
                <w:sz w:val="15"/>
              </w:rPr>
            </w:r>
            <w:r>
              <w:rPr>
                <w:b w:val="0"/>
                <w:sz w:val="15"/>
              </w:rPr>
              <w:t>$9,048</w:t>
            </w:r>
          </w:p>
        </w:tc>
        <w:tc>
          <w:tcPr>
            <w:tcW w:type="dxa" w:w="1584"/>
          </w:tcPr>
          <w:p>
            <w:pPr>
              <w:spacing w:after="20"/>
            </w:pPr>
            <w:r>
              <w:rPr>
                <w:sz w:val="15"/>
              </w:rPr>
            </w:r>
            <w:r>
              <w:rPr>
                <w:b w:val="0"/>
                <w:sz w:val="15"/>
              </w:rPr>
              <w:t>Healthcare occupant in REC building</w:t>
            </w:r>
          </w:p>
        </w:tc>
      </w:tr>
      <w:tr>
        <w:tc>
          <w:tcPr>
            <w:tcW w:type="dxa" w:w="504"/>
          </w:tcPr>
          <w:p>
            <w:pPr>
              <w:spacing w:after="20"/>
            </w:pPr>
            <w:r>
              <w:rPr>
                <w:sz w:val="15"/>
              </w:rPr>
            </w:r>
            <w:r>
              <w:rPr>
                <w:b w:val="0"/>
                <w:sz w:val="15"/>
              </w:rPr>
              <w:t>C</w:t>
            </w:r>
          </w:p>
        </w:tc>
        <w:tc>
          <w:tcPr>
            <w:tcW w:type="dxa" w:w="2088"/>
          </w:tcPr>
          <w:p>
            <w:pPr>
              <w:spacing w:after="20"/>
            </w:pPr>
            <w:r>
              <w:rPr>
                <w:sz w:val="15"/>
              </w:rPr>
            </w:r>
            <w:r>
              <w:rPr>
                <w:b w:val="0"/>
                <w:sz w:val="15"/>
              </w:rPr>
              <w:t>Garrison &amp; Holt Architects LLP</w:t>
            </w:r>
          </w:p>
        </w:tc>
        <w:tc>
          <w:tcPr>
            <w:tcW w:type="dxa" w:w="648"/>
          </w:tcPr>
          <w:p>
            <w:pPr>
              <w:spacing w:after="20"/>
            </w:pPr>
            <w:r>
              <w:rPr>
                <w:sz w:val="15"/>
              </w:rPr>
            </w:r>
            <w:r>
              <w:rPr>
                <w:b w:val="0"/>
                <w:sz w:val="15"/>
              </w:rPr>
              <w:t>C-500</w:t>
            </w:r>
          </w:p>
        </w:tc>
        <w:tc>
          <w:tcPr>
            <w:tcW w:type="dxa" w:w="1512"/>
          </w:tcPr>
          <w:p>
            <w:pPr>
              <w:spacing w:after="20"/>
            </w:pPr>
            <w:r>
              <w:rPr>
                <w:sz w:val="15"/>
              </w:rPr>
            </w:r>
            <w:r>
              <w:rPr>
                <w:b w:val="0"/>
                <w:sz w:val="15"/>
              </w:rPr>
              <w:t>09/01/2023–08/31/2028</w:t>
            </w:r>
          </w:p>
        </w:tc>
        <w:tc>
          <w:tcPr>
            <w:tcW w:type="dxa" w:w="720"/>
          </w:tcPr>
          <w:p>
            <w:pPr>
              <w:spacing w:after="20"/>
            </w:pPr>
            <w:r>
              <w:rPr>
                <w:sz w:val="15"/>
              </w:rPr>
            </w:r>
            <w:r>
              <w:rPr>
                <w:b w:val="0"/>
                <w:sz w:val="15"/>
              </w:rPr>
              <w:t>3,300</w:t>
            </w:r>
          </w:p>
        </w:tc>
        <w:tc>
          <w:tcPr>
            <w:tcW w:type="dxa" w:w="720"/>
          </w:tcPr>
          <w:p>
            <w:pPr>
              <w:spacing w:after="20"/>
            </w:pPr>
            <w:r>
              <w:rPr>
                <w:sz w:val="15"/>
              </w:rPr>
            </w:r>
            <w:r>
              <w:rPr>
                <w:b w:val="0"/>
                <w:sz w:val="15"/>
              </w:rPr>
              <w:t>1.3%</w:t>
            </w:r>
          </w:p>
        </w:tc>
        <w:tc>
          <w:tcPr>
            <w:tcW w:type="dxa" w:w="1080"/>
          </w:tcPr>
          <w:p>
            <w:pPr>
              <w:spacing w:after="20"/>
            </w:pPr>
            <w:r>
              <w:rPr>
                <w:sz w:val="15"/>
              </w:rPr>
            </w:r>
            <w:r>
              <w:rPr>
                <w:b w:val="0"/>
                <w:sz w:val="15"/>
              </w:rPr>
              <w:t>$106,920</w:t>
            </w:r>
          </w:p>
        </w:tc>
        <w:tc>
          <w:tcPr>
            <w:tcW w:type="dxa" w:w="576"/>
          </w:tcPr>
          <w:p>
            <w:pPr>
              <w:spacing w:after="20"/>
            </w:pPr>
            <w:r>
              <w:rPr>
                <w:sz w:val="15"/>
              </w:rPr>
            </w:r>
            <w:r>
              <w:rPr>
                <w:b w:val="0"/>
                <w:sz w:val="15"/>
              </w:rPr>
              <w:t>3.0%</w:t>
            </w:r>
          </w:p>
        </w:tc>
        <w:tc>
          <w:tcPr>
            <w:tcW w:type="dxa" w:w="864"/>
          </w:tcPr>
          <w:p>
            <w:pPr>
              <w:spacing w:after="20"/>
            </w:pPr>
            <w:r>
              <w:rPr>
                <w:sz w:val="15"/>
              </w:rPr>
            </w:r>
            <w:r>
              <w:rPr>
                <w:b w:val="0"/>
                <w:sz w:val="15"/>
              </w:rPr>
              <w:t>$2,528</w:t>
            </w:r>
          </w:p>
        </w:tc>
        <w:tc>
          <w:tcPr>
            <w:tcW w:type="dxa" w:w="1584"/>
          </w:tcPr>
          <w:p>
            <w:pPr>
              <w:spacing w:after="20"/>
            </w:pPr>
            <w:r>
              <w:rPr>
                <w:sz w:val="15"/>
              </w:rPr>
            </w:r>
            <w:r>
              <w:rPr>
                <w:b w:val="0"/>
                <w:sz w:val="15"/>
              </w:rPr>
              <w:t>TI/LC $354,000; rent commencement est. 01/01/2025</w:t>
            </w:r>
          </w:p>
        </w:tc>
      </w:tr>
      <w:tr>
        <w:tc>
          <w:tcPr>
            <w:tcW w:type="dxa" w:w="504"/>
          </w:tcPr>
          <w:p>
            <w:pPr>
              <w:spacing w:after="20"/>
            </w:pPr>
            <w:r>
              <w:rPr>
                <w:sz w:val="15"/>
              </w:rPr>
            </w:r>
          </w:p>
        </w:tc>
        <w:tc>
          <w:tcPr>
            <w:tcW w:type="dxa" w:w="2088"/>
          </w:tcPr>
          <w:p>
            <w:pPr>
              <w:spacing w:after="20"/>
            </w:pPr>
            <w:r>
              <w:rPr>
                <w:sz w:val="15"/>
              </w:rPr>
            </w:r>
            <w:r>
              <w:rPr>
                <w:b/>
                <w:sz w:val="15"/>
              </w:rPr>
              <w:t>Total</w:t>
            </w:r>
          </w:p>
        </w:tc>
        <w:tc>
          <w:tcPr>
            <w:tcW w:type="dxa" w:w="648"/>
          </w:tcPr>
          <w:p>
            <w:pPr>
              <w:spacing w:after="20"/>
            </w:pPr>
            <w:r>
              <w:rPr>
                <w:sz w:val="15"/>
              </w:rPr>
            </w:r>
          </w:p>
        </w:tc>
        <w:tc>
          <w:tcPr>
            <w:tcW w:type="dxa" w:w="1512"/>
          </w:tcPr>
          <w:p>
            <w:pPr>
              <w:spacing w:after="20"/>
            </w:pPr>
            <w:r>
              <w:rPr>
                <w:sz w:val="15"/>
              </w:rPr>
            </w:r>
          </w:p>
        </w:tc>
        <w:tc>
          <w:tcPr>
            <w:tcW w:type="dxa" w:w="720"/>
          </w:tcPr>
          <w:p>
            <w:pPr>
              <w:spacing w:after="20"/>
            </w:pPr>
            <w:r>
              <w:rPr>
                <w:sz w:val="15"/>
              </w:rPr>
            </w:r>
            <w:r>
              <w:rPr>
                <w:b/>
                <w:sz w:val="15"/>
              </w:rPr>
              <w:t>258,140</w:t>
            </w:r>
          </w:p>
        </w:tc>
        <w:tc>
          <w:tcPr>
            <w:tcW w:type="dxa" w:w="720"/>
          </w:tcPr>
          <w:p>
            <w:pPr>
              <w:spacing w:after="20"/>
            </w:pPr>
            <w:r>
              <w:rPr>
                <w:sz w:val="15"/>
              </w:rPr>
            </w:r>
            <w:r>
              <w:rPr>
                <w:b/>
                <w:sz w:val="15"/>
              </w:rPr>
              <w:t>100%</w:t>
            </w:r>
          </w:p>
        </w:tc>
        <w:tc>
          <w:tcPr>
            <w:tcW w:type="dxa" w:w="1080"/>
          </w:tcPr>
          <w:p>
            <w:pPr>
              <w:spacing w:after="20"/>
            </w:pPr>
            <w:r>
              <w:rPr>
                <w:sz w:val="15"/>
              </w:rPr>
            </w:r>
            <w:r>
              <w:rPr>
                <w:b/>
                <w:sz w:val="15"/>
              </w:rPr>
              <w:t>$8,707,892</w:t>
            </w:r>
          </w:p>
        </w:tc>
        <w:tc>
          <w:tcPr>
            <w:tcW w:type="dxa" w:w="576"/>
          </w:tcPr>
          <w:p>
            <w:pPr>
              <w:spacing w:after="20"/>
            </w:pPr>
            <w:r>
              <w:rPr>
                <w:sz w:val="15"/>
              </w:rPr>
            </w:r>
          </w:p>
        </w:tc>
        <w:tc>
          <w:tcPr>
            <w:tcW w:type="dxa" w:w="864"/>
          </w:tcPr>
          <w:p>
            <w:pPr>
              <w:spacing w:after="20"/>
            </w:pPr>
            <w:r>
              <w:rPr>
                <w:sz w:val="15"/>
              </w:rPr>
            </w:r>
            <w:r>
              <w:rPr>
                <w:b/>
                <w:sz w:val="15"/>
              </w:rPr>
              <w:t>$487,320</w:t>
            </w:r>
          </w:p>
        </w:tc>
        <w:tc>
          <w:tcPr>
            <w:tcW w:type="dxa" w:w="1584"/>
          </w:tcPr>
          <w:p>
            <w:pPr>
              <w:spacing w:after="20"/>
            </w:pPr>
            <w:r>
              <w:rPr>
                <w:sz w:val="15"/>
              </w:rPr>
            </w:r>
            <w:r>
              <w:rPr>
                <w:b w:val="0"/>
                <w:sz w:val="15"/>
              </w:rPr>
              <w:t>82.7% leased; TI/LC $1,235,000</w:t>
            </w:r>
          </w:p>
        </w:tc>
      </w:tr>
    </w:tbl>
    <w:p>
      <w:pPr>
        <w:spacing w:after="40"/>
      </w:pPr>
    </w:p>
    <w:p>
      <w:pPr>
        <w:spacing w:after="80"/>
      </w:pPr>
      <w:r>
        <w:rPr>
          <w:b w:val="0"/>
          <w:sz w:val="18"/>
        </w:rPr>
        <w:t>Building occupancy: A 112,940/118,000 RSF (95.7%); B 84,500/104,000 (81.3%); C 60,700/90,000 (67.4%). Totals were verified by recomputation: leased RSF, monthly rent ($725,657.67, x12 = $8,707,892) and security deposits ($487,320) all tie to Exhibit F.</w:t>
      </w:r>
    </w:p>
    <w:p>
      <w:pPr>
        <w:pStyle w:val="Heading1"/>
      </w:pPr>
      <w:r>
        <w:t>Appendix B — Service Contracts (Exhibit G)</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432"/>
            <w:shd w:val="clear" w:color="auto" w:fill="1F3A5F"/>
          </w:tcPr>
          <w:p>
            <w:r/>
            <w:r>
              <w:rPr>
                <w:b/>
                <w:color w:val="FFFFFF"/>
                <w:sz w:val="16"/>
              </w:rPr>
              <w:t>#</w:t>
            </w:r>
          </w:p>
        </w:tc>
        <w:tc>
          <w:tcPr>
            <w:tcW w:type="dxa" w:w="2592"/>
            <w:shd w:val="clear" w:color="auto" w:fill="1F3A5F"/>
          </w:tcPr>
          <w:p>
            <w:r/>
            <w:r>
              <w:rPr>
                <w:b/>
                <w:color w:val="FFFFFF"/>
                <w:sz w:val="16"/>
              </w:rPr>
              <w:t>Contractor</w:t>
            </w:r>
          </w:p>
        </w:tc>
        <w:tc>
          <w:tcPr>
            <w:tcW w:type="dxa" w:w="2736"/>
            <w:shd w:val="clear" w:color="auto" w:fill="1F3A5F"/>
          </w:tcPr>
          <w:p>
            <w:r/>
            <w:r>
              <w:rPr>
                <w:b/>
                <w:color w:val="FFFFFF"/>
                <w:sz w:val="16"/>
              </w:rPr>
              <w:t>Service</w:t>
            </w:r>
          </w:p>
        </w:tc>
        <w:tc>
          <w:tcPr>
            <w:tcW w:type="dxa" w:w="1440"/>
            <w:shd w:val="clear" w:color="auto" w:fill="1F3A5F"/>
          </w:tcPr>
          <w:p>
            <w:r/>
            <w:r>
              <w:rPr>
                <w:b/>
                <w:color w:val="FFFFFF"/>
                <w:sz w:val="16"/>
              </w:rPr>
              <w:t>Expires</w:t>
            </w:r>
          </w:p>
        </w:tc>
        <w:tc>
          <w:tcPr>
            <w:tcW w:type="dxa" w:w="1296"/>
            <w:shd w:val="clear" w:color="auto" w:fill="1F3A5F"/>
          </w:tcPr>
          <w:p>
            <w:r/>
            <w:r>
              <w:rPr>
                <w:b/>
                <w:color w:val="FFFFFF"/>
                <w:sz w:val="16"/>
              </w:rPr>
              <w:t>Annual Fee</w:t>
            </w:r>
          </w:p>
        </w:tc>
        <w:tc>
          <w:tcPr>
            <w:tcW w:type="dxa" w:w="1440"/>
            <w:shd w:val="clear" w:color="auto" w:fill="1F3A5F"/>
          </w:tcPr>
          <w:p>
            <w:r/>
            <w:r>
              <w:rPr>
                <w:b/>
                <w:color w:val="FFFFFF"/>
                <w:sz w:val="16"/>
              </w:rPr>
              <w:t>Terminable?</w:t>
            </w:r>
          </w:p>
        </w:tc>
      </w:tr>
      <w:tr>
        <w:tc>
          <w:tcPr>
            <w:tcW w:type="dxa" w:w="432"/>
          </w:tcPr>
          <w:p>
            <w:pPr>
              <w:spacing w:after="20"/>
            </w:pPr>
            <w:r>
              <w:rPr>
                <w:sz w:val="16"/>
              </w:rPr>
            </w:r>
            <w:r>
              <w:rPr>
                <w:b w:val="0"/>
                <w:sz w:val="16"/>
              </w:rPr>
              <w:t>1</w:t>
            </w:r>
          </w:p>
        </w:tc>
        <w:tc>
          <w:tcPr>
            <w:tcW w:type="dxa" w:w="2592"/>
          </w:tcPr>
          <w:p>
            <w:pPr>
              <w:spacing w:after="20"/>
            </w:pPr>
            <w:r>
              <w:rPr>
                <w:sz w:val="16"/>
              </w:rPr>
            </w:r>
            <w:r>
              <w:rPr>
                <w:b w:val="0"/>
                <w:sz w:val="16"/>
              </w:rPr>
              <w:t>Apex Elevator Corp.</w:t>
            </w:r>
          </w:p>
        </w:tc>
        <w:tc>
          <w:tcPr>
            <w:tcW w:type="dxa" w:w="2736"/>
          </w:tcPr>
          <w:p>
            <w:pPr>
              <w:spacing w:after="20"/>
            </w:pPr>
            <w:r>
              <w:rPr>
                <w:sz w:val="16"/>
              </w:rPr>
            </w:r>
            <w:r>
              <w:rPr>
                <w:b w:val="0"/>
                <w:sz w:val="16"/>
              </w:rPr>
              <w:t>Elevators (8 passenger, 2 freight)</w:t>
            </w:r>
          </w:p>
        </w:tc>
        <w:tc>
          <w:tcPr>
            <w:tcW w:type="dxa" w:w="1440"/>
          </w:tcPr>
          <w:p>
            <w:pPr>
              <w:spacing w:after="20"/>
            </w:pPr>
            <w:r>
              <w:rPr>
                <w:sz w:val="16"/>
              </w:rPr>
            </w:r>
            <w:r>
              <w:rPr>
                <w:b w:val="0"/>
                <w:sz w:val="16"/>
              </w:rPr>
              <w:t>06/30/2026</w:t>
            </w:r>
          </w:p>
        </w:tc>
        <w:tc>
          <w:tcPr>
            <w:tcW w:type="dxa" w:w="1296"/>
          </w:tcPr>
          <w:p>
            <w:pPr>
              <w:spacing w:after="20"/>
            </w:pPr>
            <w:r>
              <w:rPr>
                <w:sz w:val="16"/>
              </w:rPr>
            </w:r>
            <w:r>
              <w:rPr>
                <w:b w:val="0"/>
                <w:sz w:val="16"/>
              </w:rPr>
              <w:t>$148,800</w:t>
            </w:r>
          </w:p>
        </w:tc>
        <w:tc>
          <w:tcPr>
            <w:tcW w:type="dxa" w:w="1440"/>
          </w:tcPr>
          <w:p>
            <w:pPr>
              <w:spacing w:after="20"/>
            </w:pPr>
            <w:r>
              <w:rPr>
                <w:sz w:val="16"/>
              </w:rPr>
            </w:r>
            <w:r>
              <w:rPr>
                <w:b/>
                <w:sz w:val="16"/>
              </w:rPr>
              <w:t>NON-TERMINABLE</w:t>
            </w:r>
          </w:p>
        </w:tc>
      </w:tr>
      <w:tr>
        <w:tc>
          <w:tcPr>
            <w:tcW w:type="dxa" w:w="432"/>
          </w:tcPr>
          <w:p>
            <w:pPr>
              <w:spacing w:after="20"/>
            </w:pPr>
            <w:r>
              <w:rPr>
                <w:sz w:val="16"/>
              </w:rPr>
            </w:r>
            <w:r>
              <w:rPr>
                <w:b w:val="0"/>
                <w:sz w:val="16"/>
              </w:rPr>
              <w:t>2</w:t>
            </w:r>
          </w:p>
        </w:tc>
        <w:tc>
          <w:tcPr>
            <w:tcW w:type="dxa" w:w="2592"/>
          </w:tcPr>
          <w:p>
            <w:pPr>
              <w:spacing w:after="20"/>
            </w:pPr>
            <w:r>
              <w:rPr>
                <w:sz w:val="16"/>
              </w:rPr>
            </w:r>
            <w:r>
              <w:rPr>
                <w:b w:val="0"/>
                <w:sz w:val="16"/>
              </w:rPr>
              <w:t>Sentinel Fire Protection LLC</w:t>
            </w:r>
          </w:p>
        </w:tc>
        <w:tc>
          <w:tcPr>
            <w:tcW w:type="dxa" w:w="2736"/>
          </w:tcPr>
          <w:p>
            <w:pPr>
              <w:spacing w:after="20"/>
            </w:pPr>
            <w:r>
              <w:rPr>
                <w:sz w:val="16"/>
              </w:rPr>
            </w:r>
            <w:r>
              <w:rPr>
                <w:b w:val="0"/>
                <w:sz w:val="16"/>
              </w:rPr>
              <w:t>Fire alarm and sprinkler</w:t>
            </w:r>
          </w:p>
        </w:tc>
        <w:tc>
          <w:tcPr>
            <w:tcW w:type="dxa" w:w="1440"/>
          </w:tcPr>
          <w:p>
            <w:pPr>
              <w:spacing w:after="20"/>
            </w:pPr>
            <w:r>
              <w:rPr>
                <w:sz w:val="16"/>
              </w:rPr>
            </w:r>
            <w:r>
              <w:rPr>
                <w:b w:val="0"/>
                <w:sz w:val="16"/>
              </w:rPr>
              <w:t>12/31/2025</w:t>
            </w:r>
          </w:p>
        </w:tc>
        <w:tc>
          <w:tcPr>
            <w:tcW w:type="dxa" w:w="1296"/>
          </w:tcPr>
          <w:p>
            <w:pPr>
              <w:spacing w:after="20"/>
            </w:pPr>
            <w:r>
              <w:rPr>
                <w:sz w:val="16"/>
              </w:rPr>
            </w:r>
            <w:r>
              <w:rPr>
                <w:b w:val="0"/>
                <w:sz w:val="16"/>
              </w:rPr>
              <w:t>$38,400</w:t>
            </w:r>
          </w:p>
        </w:tc>
        <w:tc>
          <w:tcPr>
            <w:tcW w:type="dxa" w:w="1440"/>
          </w:tcPr>
          <w:p>
            <w:pPr>
              <w:spacing w:after="20"/>
            </w:pPr>
            <w:r>
              <w:rPr>
                <w:sz w:val="16"/>
              </w:rPr>
            </w:r>
            <w:r>
              <w:rPr>
                <w:b/>
                <w:sz w:val="16"/>
              </w:rPr>
              <w:t>NON-TERMINABLE</w:t>
            </w:r>
          </w:p>
        </w:tc>
      </w:tr>
      <w:tr>
        <w:tc>
          <w:tcPr>
            <w:tcW w:type="dxa" w:w="432"/>
          </w:tcPr>
          <w:p>
            <w:pPr>
              <w:spacing w:after="20"/>
            </w:pPr>
            <w:r>
              <w:rPr>
                <w:sz w:val="16"/>
              </w:rPr>
            </w:r>
            <w:r>
              <w:rPr>
                <w:b w:val="0"/>
                <w:sz w:val="16"/>
              </w:rPr>
              <w:t>3</w:t>
            </w:r>
          </w:p>
        </w:tc>
        <w:tc>
          <w:tcPr>
            <w:tcW w:type="dxa" w:w="2592"/>
          </w:tcPr>
          <w:p>
            <w:pPr>
              <w:spacing w:after="20"/>
            </w:pPr>
            <w:r>
              <w:rPr>
                <w:sz w:val="16"/>
              </w:rPr>
            </w:r>
            <w:r>
              <w:rPr>
                <w:b w:val="0"/>
                <w:sz w:val="16"/>
              </w:rPr>
              <w:t>Metro Parking Solutions Inc.</w:t>
            </w:r>
          </w:p>
        </w:tc>
        <w:tc>
          <w:tcPr>
            <w:tcW w:type="dxa" w:w="2736"/>
          </w:tcPr>
          <w:p>
            <w:pPr>
              <w:spacing w:after="20"/>
            </w:pPr>
            <w:r>
              <w:rPr>
                <w:sz w:val="16"/>
              </w:rPr>
            </w:r>
            <w:r>
              <w:rPr>
                <w:b w:val="0"/>
                <w:sz w:val="16"/>
              </w:rPr>
              <w:t>Garage management (1,248 spaces)</w:t>
            </w:r>
          </w:p>
        </w:tc>
        <w:tc>
          <w:tcPr>
            <w:tcW w:type="dxa" w:w="1440"/>
          </w:tcPr>
          <w:p>
            <w:pPr>
              <w:spacing w:after="20"/>
            </w:pPr>
            <w:r>
              <w:rPr>
                <w:sz w:val="16"/>
              </w:rPr>
            </w:r>
            <w:r>
              <w:rPr>
                <w:b w:val="0"/>
                <w:sz w:val="16"/>
              </w:rPr>
              <w:t>03/31/2027</w:t>
            </w:r>
          </w:p>
        </w:tc>
        <w:tc>
          <w:tcPr>
            <w:tcW w:type="dxa" w:w="1296"/>
          </w:tcPr>
          <w:p>
            <w:pPr>
              <w:spacing w:after="20"/>
            </w:pPr>
            <w:r>
              <w:rPr>
                <w:sz w:val="16"/>
              </w:rPr>
            </w:r>
            <w:r>
              <w:rPr>
                <w:b w:val="0"/>
                <w:sz w:val="16"/>
              </w:rPr>
              <w:t>$222,000</w:t>
            </w:r>
          </w:p>
        </w:tc>
        <w:tc>
          <w:tcPr>
            <w:tcW w:type="dxa" w:w="1440"/>
          </w:tcPr>
          <w:p>
            <w:pPr>
              <w:spacing w:after="20"/>
            </w:pPr>
            <w:r>
              <w:rPr>
                <w:sz w:val="16"/>
              </w:rPr>
            </w:r>
            <w:r>
              <w:rPr>
                <w:b/>
                <w:sz w:val="16"/>
              </w:rPr>
              <w:t>NON-TERMINABLE</w:t>
            </w:r>
          </w:p>
        </w:tc>
      </w:tr>
      <w:tr>
        <w:tc>
          <w:tcPr>
            <w:tcW w:type="dxa" w:w="432"/>
          </w:tcPr>
          <w:p>
            <w:pPr>
              <w:spacing w:after="20"/>
            </w:pPr>
            <w:r>
              <w:rPr>
                <w:sz w:val="16"/>
              </w:rPr>
            </w:r>
            <w:r>
              <w:rPr>
                <w:b w:val="0"/>
                <w:sz w:val="16"/>
              </w:rPr>
              <w:t>4</w:t>
            </w:r>
          </w:p>
        </w:tc>
        <w:tc>
          <w:tcPr>
            <w:tcW w:type="dxa" w:w="2592"/>
          </w:tcPr>
          <w:p>
            <w:pPr>
              <w:spacing w:after="20"/>
            </w:pPr>
            <w:r>
              <w:rPr>
                <w:sz w:val="16"/>
              </w:rPr>
            </w:r>
            <w:r>
              <w:rPr>
                <w:b w:val="0"/>
                <w:sz w:val="16"/>
              </w:rPr>
              <w:t>Greenscape Landscaping Inc.</w:t>
            </w:r>
          </w:p>
        </w:tc>
        <w:tc>
          <w:tcPr>
            <w:tcW w:type="dxa" w:w="2736"/>
          </w:tcPr>
          <w:p>
            <w:pPr>
              <w:spacing w:after="20"/>
            </w:pPr>
            <w:r>
              <w:rPr>
                <w:sz w:val="16"/>
              </w:rPr>
            </w:r>
            <w:r>
              <w:rPr>
                <w:b w:val="0"/>
                <w:sz w:val="16"/>
              </w:rPr>
              <w:t>Landscaping and snow removal</w:t>
            </w:r>
          </w:p>
        </w:tc>
        <w:tc>
          <w:tcPr>
            <w:tcW w:type="dxa" w:w="1440"/>
          </w:tcPr>
          <w:p>
            <w:pPr>
              <w:spacing w:after="20"/>
            </w:pPr>
            <w:r>
              <w:rPr>
                <w:sz w:val="16"/>
              </w:rPr>
            </w:r>
            <w:r>
              <w:rPr>
                <w:b w:val="0"/>
                <w:sz w:val="16"/>
              </w:rPr>
              <w:t>03/31/2025</w:t>
            </w:r>
          </w:p>
        </w:tc>
        <w:tc>
          <w:tcPr>
            <w:tcW w:type="dxa" w:w="1296"/>
          </w:tcPr>
          <w:p>
            <w:pPr>
              <w:spacing w:after="20"/>
            </w:pPr>
            <w:r>
              <w:rPr>
                <w:sz w:val="16"/>
              </w:rPr>
            </w:r>
            <w:r>
              <w:rPr>
                <w:b w:val="0"/>
                <w:sz w:val="16"/>
              </w:rPr>
              <w:t>$105,000</w:t>
            </w:r>
          </w:p>
        </w:tc>
        <w:tc>
          <w:tcPr>
            <w:tcW w:type="dxa" w:w="1440"/>
          </w:tcPr>
          <w:p>
            <w:pPr>
              <w:spacing w:after="20"/>
            </w:pPr>
            <w:r>
              <w:rPr>
                <w:sz w:val="16"/>
              </w:rPr>
            </w:r>
            <w:r>
              <w:rPr>
                <w:b w:val="0"/>
                <w:sz w:val="16"/>
              </w:rPr>
              <w:t>30 days</w:t>
            </w:r>
          </w:p>
        </w:tc>
      </w:tr>
      <w:tr>
        <w:tc>
          <w:tcPr>
            <w:tcW w:type="dxa" w:w="432"/>
          </w:tcPr>
          <w:p>
            <w:pPr>
              <w:spacing w:after="20"/>
            </w:pPr>
            <w:r>
              <w:rPr>
                <w:sz w:val="16"/>
              </w:rPr>
            </w:r>
            <w:r>
              <w:rPr>
                <w:b w:val="0"/>
                <w:sz w:val="16"/>
              </w:rPr>
              <w:t>5</w:t>
            </w:r>
          </w:p>
        </w:tc>
        <w:tc>
          <w:tcPr>
            <w:tcW w:type="dxa" w:w="2592"/>
          </w:tcPr>
          <w:p>
            <w:pPr>
              <w:spacing w:after="20"/>
            </w:pPr>
            <w:r>
              <w:rPr>
                <w:sz w:val="16"/>
              </w:rPr>
            </w:r>
            <w:r>
              <w:rPr>
                <w:b w:val="0"/>
                <w:sz w:val="16"/>
              </w:rPr>
              <w:t>ProClean Janitorial Services LLC</w:t>
            </w:r>
          </w:p>
        </w:tc>
        <w:tc>
          <w:tcPr>
            <w:tcW w:type="dxa" w:w="2736"/>
          </w:tcPr>
          <w:p>
            <w:pPr>
              <w:spacing w:after="20"/>
            </w:pPr>
            <w:r>
              <w:rPr>
                <w:sz w:val="16"/>
              </w:rPr>
            </w:r>
            <w:r>
              <w:rPr>
                <w:b w:val="0"/>
                <w:sz w:val="16"/>
              </w:rPr>
              <w:t>Janitorial, day porter, windows</w:t>
            </w:r>
          </w:p>
        </w:tc>
        <w:tc>
          <w:tcPr>
            <w:tcW w:type="dxa" w:w="1440"/>
          </w:tcPr>
          <w:p>
            <w:pPr>
              <w:spacing w:after="20"/>
            </w:pPr>
            <w:r>
              <w:rPr>
                <w:sz w:val="16"/>
              </w:rPr>
            </w:r>
            <w:r>
              <w:rPr>
                <w:b w:val="0"/>
                <w:sz w:val="16"/>
              </w:rPr>
              <w:t>06/30/2025</w:t>
            </w:r>
          </w:p>
        </w:tc>
        <w:tc>
          <w:tcPr>
            <w:tcW w:type="dxa" w:w="1296"/>
          </w:tcPr>
          <w:p>
            <w:pPr>
              <w:spacing w:after="20"/>
            </w:pPr>
            <w:r>
              <w:rPr>
                <w:sz w:val="16"/>
              </w:rPr>
            </w:r>
            <w:r>
              <w:rPr>
                <w:b w:val="0"/>
                <w:sz w:val="16"/>
              </w:rPr>
              <w:t>$271,200</w:t>
            </w:r>
          </w:p>
        </w:tc>
        <w:tc>
          <w:tcPr>
            <w:tcW w:type="dxa" w:w="1440"/>
          </w:tcPr>
          <w:p>
            <w:pPr>
              <w:spacing w:after="20"/>
            </w:pPr>
            <w:r>
              <w:rPr>
                <w:sz w:val="16"/>
              </w:rPr>
            </w:r>
            <w:r>
              <w:rPr>
                <w:b w:val="0"/>
                <w:sz w:val="16"/>
              </w:rPr>
              <w:t>60 days</w:t>
            </w:r>
          </w:p>
        </w:tc>
      </w:tr>
      <w:tr>
        <w:tc>
          <w:tcPr>
            <w:tcW w:type="dxa" w:w="432"/>
          </w:tcPr>
          <w:p>
            <w:pPr>
              <w:spacing w:after="20"/>
            </w:pPr>
            <w:r>
              <w:rPr>
                <w:sz w:val="16"/>
              </w:rPr>
            </w:r>
            <w:r>
              <w:rPr>
                <w:b w:val="0"/>
                <w:sz w:val="16"/>
              </w:rPr>
              <w:t>6</w:t>
            </w:r>
          </w:p>
        </w:tc>
        <w:tc>
          <w:tcPr>
            <w:tcW w:type="dxa" w:w="2592"/>
          </w:tcPr>
          <w:p>
            <w:pPr>
              <w:spacing w:after="20"/>
            </w:pPr>
            <w:r>
              <w:rPr>
                <w:sz w:val="16"/>
              </w:rPr>
            </w:r>
            <w:r>
              <w:rPr>
                <w:b w:val="0"/>
                <w:sz w:val="16"/>
              </w:rPr>
              <w:t>AirTech Mechanical LLC</w:t>
            </w:r>
          </w:p>
        </w:tc>
        <w:tc>
          <w:tcPr>
            <w:tcW w:type="dxa" w:w="2736"/>
          </w:tcPr>
          <w:p>
            <w:pPr>
              <w:spacing w:after="20"/>
            </w:pPr>
            <w:r>
              <w:rPr>
                <w:sz w:val="16"/>
              </w:rPr>
            </w:r>
            <w:r>
              <w:rPr>
                <w:b w:val="0"/>
                <w:sz w:val="16"/>
              </w:rPr>
              <w:t>HVAC PM and repair</w:t>
            </w:r>
          </w:p>
        </w:tc>
        <w:tc>
          <w:tcPr>
            <w:tcW w:type="dxa" w:w="1440"/>
          </w:tcPr>
          <w:p>
            <w:pPr>
              <w:spacing w:after="20"/>
            </w:pPr>
            <w:r>
              <w:rPr>
                <w:sz w:val="16"/>
              </w:rPr>
            </w:r>
            <w:r>
              <w:rPr>
                <w:b w:val="0"/>
                <w:sz w:val="16"/>
              </w:rPr>
              <w:t>12/31/2025</w:t>
            </w:r>
          </w:p>
        </w:tc>
        <w:tc>
          <w:tcPr>
            <w:tcW w:type="dxa" w:w="1296"/>
          </w:tcPr>
          <w:p>
            <w:pPr>
              <w:spacing w:after="20"/>
            </w:pPr>
            <w:r>
              <w:rPr>
                <w:sz w:val="16"/>
              </w:rPr>
            </w:r>
            <w:r>
              <w:rPr>
                <w:b w:val="0"/>
                <w:sz w:val="16"/>
              </w:rPr>
              <w:t>$81,600</w:t>
            </w:r>
          </w:p>
        </w:tc>
        <w:tc>
          <w:tcPr>
            <w:tcW w:type="dxa" w:w="1440"/>
          </w:tcPr>
          <w:p>
            <w:pPr>
              <w:spacing w:after="20"/>
            </w:pPr>
            <w:r>
              <w:rPr>
                <w:sz w:val="16"/>
              </w:rPr>
            </w:r>
            <w:r>
              <w:rPr>
                <w:b w:val="0"/>
                <w:sz w:val="16"/>
              </w:rPr>
              <w:t>90 days</w:t>
            </w:r>
          </w:p>
        </w:tc>
      </w:tr>
      <w:tr>
        <w:tc>
          <w:tcPr>
            <w:tcW w:type="dxa" w:w="432"/>
          </w:tcPr>
          <w:p>
            <w:pPr>
              <w:spacing w:after="20"/>
            </w:pPr>
            <w:r>
              <w:rPr>
                <w:sz w:val="16"/>
              </w:rPr>
            </w:r>
            <w:r>
              <w:rPr>
                <w:b w:val="0"/>
                <w:sz w:val="16"/>
              </w:rPr>
              <w:t>7</w:t>
            </w:r>
          </w:p>
        </w:tc>
        <w:tc>
          <w:tcPr>
            <w:tcW w:type="dxa" w:w="2592"/>
          </w:tcPr>
          <w:p>
            <w:pPr>
              <w:spacing w:after="20"/>
            </w:pPr>
            <w:r>
              <w:rPr>
                <w:sz w:val="16"/>
              </w:rPr>
            </w:r>
            <w:r>
              <w:rPr>
                <w:b w:val="0"/>
                <w:sz w:val="16"/>
              </w:rPr>
              <w:t>Brightline Electric Inc.</w:t>
            </w:r>
          </w:p>
        </w:tc>
        <w:tc>
          <w:tcPr>
            <w:tcW w:type="dxa" w:w="2736"/>
          </w:tcPr>
          <w:p>
            <w:pPr>
              <w:spacing w:after="20"/>
            </w:pPr>
            <w:r>
              <w:rPr>
                <w:sz w:val="16"/>
              </w:rPr>
            </w:r>
            <w:r>
              <w:rPr>
                <w:b w:val="0"/>
                <w:sz w:val="16"/>
              </w:rPr>
              <w:t>Electrical</w:t>
            </w:r>
          </w:p>
        </w:tc>
        <w:tc>
          <w:tcPr>
            <w:tcW w:type="dxa" w:w="1440"/>
          </w:tcPr>
          <w:p>
            <w:pPr>
              <w:spacing w:after="20"/>
            </w:pPr>
            <w:r>
              <w:rPr>
                <w:sz w:val="16"/>
              </w:rPr>
            </w:r>
            <w:r>
              <w:rPr>
                <w:b w:val="0"/>
                <w:sz w:val="16"/>
              </w:rPr>
              <w:t>01/31/2026</w:t>
            </w:r>
          </w:p>
        </w:tc>
        <w:tc>
          <w:tcPr>
            <w:tcW w:type="dxa" w:w="1296"/>
          </w:tcPr>
          <w:p>
            <w:pPr>
              <w:spacing w:after="20"/>
            </w:pPr>
            <w:r>
              <w:rPr>
                <w:sz w:val="16"/>
              </w:rPr>
            </w:r>
            <w:r>
              <w:rPr>
                <w:b w:val="0"/>
                <w:sz w:val="16"/>
              </w:rPr>
              <w:t>$40,800</w:t>
            </w:r>
          </w:p>
        </w:tc>
        <w:tc>
          <w:tcPr>
            <w:tcW w:type="dxa" w:w="1440"/>
          </w:tcPr>
          <w:p>
            <w:pPr>
              <w:spacing w:after="20"/>
            </w:pPr>
            <w:r>
              <w:rPr>
                <w:sz w:val="16"/>
              </w:rPr>
            </w:r>
            <w:r>
              <w:rPr>
                <w:b w:val="0"/>
                <w:sz w:val="16"/>
              </w:rPr>
              <w:t>30 days</w:t>
            </w:r>
          </w:p>
        </w:tc>
      </w:tr>
      <w:tr>
        <w:tc>
          <w:tcPr>
            <w:tcW w:type="dxa" w:w="432"/>
          </w:tcPr>
          <w:p>
            <w:pPr>
              <w:spacing w:after="20"/>
            </w:pPr>
            <w:r>
              <w:rPr>
                <w:sz w:val="16"/>
              </w:rPr>
            </w:r>
            <w:r>
              <w:rPr>
                <w:b w:val="0"/>
                <w:sz w:val="16"/>
              </w:rPr>
              <w:t>8</w:t>
            </w:r>
          </w:p>
        </w:tc>
        <w:tc>
          <w:tcPr>
            <w:tcW w:type="dxa" w:w="2592"/>
          </w:tcPr>
          <w:p>
            <w:pPr>
              <w:spacing w:after="20"/>
            </w:pPr>
            <w:r>
              <w:rPr>
                <w:sz w:val="16"/>
              </w:rPr>
            </w:r>
            <w:r>
              <w:rPr>
                <w:b w:val="0"/>
                <w:sz w:val="16"/>
              </w:rPr>
              <w:t>SecurePoint Security LLC</w:t>
            </w:r>
          </w:p>
        </w:tc>
        <w:tc>
          <w:tcPr>
            <w:tcW w:type="dxa" w:w="2736"/>
          </w:tcPr>
          <w:p>
            <w:pPr>
              <w:spacing w:after="20"/>
            </w:pPr>
            <w:r>
              <w:rPr>
                <w:sz w:val="16"/>
              </w:rPr>
            </w:r>
            <w:r>
              <w:rPr>
                <w:b w:val="0"/>
                <w:sz w:val="16"/>
              </w:rPr>
              <w:t>24/7 security</w:t>
            </w:r>
          </w:p>
        </w:tc>
        <w:tc>
          <w:tcPr>
            <w:tcW w:type="dxa" w:w="1440"/>
          </w:tcPr>
          <w:p>
            <w:pPr>
              <w:spacing w:after="20"/>
            </w:pPr>
            <w:r>
              <w:rPr>
                <w:sz w:val="16"/>
              </w:rPr>
            </w:r>
            <w:r>
              <w:rPr>
                <w:b w:val="0"/>
                <w:sz w:val="16"/>
              </w:rPr>
              <w:t>09/30/2025</w:t>
            </w:r>
          </w:p>
        </w:tc>
        <w:tc>
          <w:tcPr>
            <w:tcW w:type="dxa" w:w="1296"/>
          </w:tcPr>
          <w:p>
            <w:pPr>
              <w:spacing w:after="20"/>
            </w:pPr>
            <w:r>
              <w:rPr>
                <w:sz w:val="16"/>
              </w:rPr>
            </w:r>
            <w:r>
              <w:rPr>
                <w:b w:val="0"/>
                <w:sz w:val="16"/>
              </w:rPr>
              <w:t>$170,400</w:t>
            </w:r>
          </w:p>
        </w:tc>
        <w:tc>
          <w:tcPr>
            <w:tcW w:type="dxa" w:w="1440"/>
          </w:tcPr>
          <w:p>
            <w:pPr>
              <w:spacing w:after="20"/>
            </w:pPr>
            <w:r>
              <w:rPr>
                <w:sz w:val="16"/>
              </w:rPr>
            </w:r>
            <w:r>
              <w:rPr>
                <w:b w:val="0"/>
                <w:sz w:val="16"/>
              </w:rPr>
              <w:t>60 days</w:t>
            </w:r>
          </w:p>
        </w:tc>
      </w:tr>
      <w:tr>
        <w:tc>
          <w:tcPr>
            <w:tcW w:type="dxa" w:w="432"/>
          </w:tcPr>
          <w:p>
            <w:pPr>
              <w:spacing w:after="20"/>
            </w:pPr>
            <w:r>
              <w:rPr>
                <w:sz w:val="16"/>
              </w:rPr>
            </w:r>
            <w:r>
              <w:rPr>
                <w:b w:val="0"/>
                <w:sz w:val="16"/>
              </w:rPr>
              <w:t>9</w:t>
            </w:r>
          </w:p>
        </w:tc>
        <w:tc>
          <w:tcPr>
            <w:tcW w:type="dxa" w:w="2592"/>
          </w:tcPr>
          <w:p>
            <w:pPr>
              <w:spacing w:after="20"/>
            </w:pPr>
            <w:r>
              <w:rPr>
                <w:sz w:val="16"/>
              </w:rPr>
            </w:r>
            <w:r>
              <w:rPr>
                <w:b w:val="0"/>
                <w:sz w:val="16"/>
              </w:rPr>
              <w:t>ClearWater Plumbing LLC</w:t>
            </w:r>
          </w:p>
        </w:tc>
        <w:tc>
          <w:tcPr>
            <w:tcW w:type="dxa" w:w="2736"/>
          </w:tcPr>
          <w:p>
            <w:pPr>
              <w:spacing w:after="20"/>
            </w:pPr>
            <w:r>
              <w:rPr>
                <w:sz w:val="16"/>
              </w:rPr>
            </w:r>
            <w:r>
              <w:rPr>
                <w:b w:val="0"/>
                <w:sz w:val="16"/>
              </w:rPr>
              <w:t>Plumbing</w:t>
            </w:r>
          </w:p>
        </w:tc>
        <w:tc>
          <w:tcPr>
            <w:tcW w:type="dxa" w:w="1440"/>
          </w:tcPr>
          <w:p>
            <w:pPr>
              <w:spacing w:after="20"/>
            </w:pPr>
            <w:r>
              <w:rPr>
                <w:sz w:val="16"/>
              </w:rPr>
            </w:r>
            <w:r>
              <w:rPr>
                <w:b w:val="0"/>
                <w:sz w:val="16"/>
              </w:rPr>
              <w:t>02/28/2026</w:t>
            </w:r>
          </w:p>
        </w:tc>
        <w:tc>
          <w:tcPr>
            <w:tcW w:type="dxa" w:w="1296"/>
          </w:tcPr>
          <w:p>
            <w:pPr>
              <w:spacing w:after="20"/>
            </w:pPr>
            <w:r>
              <w:rPr>
                <w:sz w:val="16"/>
              </w:rPr>
            </w:r>
            <w:r>
              <w:rPr>
                <w:b w:val="0"/>
                <w:sz w:val="16"/>
              </w:rPr>
              <w:t>$25,200</w:t>
            </w:r>
          </w:p>
        </w:tc>
        <w:tc>
          <w:tcPr>
            <w:tcW w:type="dxa" w:w="1440"/>
          </w:tcPr>
          <w:p>
            <w:pPr>
              <w:spacing w:after="20"/>
            </w:pPr>
            <w:r>
              <w:rPr>
                <w:sz w:val="16"/>
              </w:rPr>
            </w:r>
            <w:r>
              <w:rPr>
                <w:b w:val="0"/>
                <w:sz w:val="16"/>
              </w:rPr>
              <w:t>30 days</w:t>
            </w:r>
          </w:p>
        </w:tc>
      </w:tr>
      <w:tr>
        <w:tc>
          <w:tcPr>
            <w:tcW w:type="dxa" w:w="432"/>
          </w:tcPr>
          <w:p>
            <w:pPr>
              <w:spacing w:after="20"/>
            </w:pPr>
            <w:r>
              <w:rPr>
                <w:sz w:val="16"/>
              </w:rPr>
            </w:r>
            <w:r>
              <w:rPr>
                <w:b w:val="0"/>
                <w:sz w:val="16"/>
              </w:rPr>
              <w:t>10</w:t>
            </w:r>
          </w:p>
        </w:tc>
        <w:tc>
          <w:tcPr>
            <w:tcW w:type="dxa" w:w="2592"/>
          </w:tcPr>
          <w:p>
            <w:pPr>
              <w:spacing w:after="20"/>
            </w:pPr>
            <w:r>
              <w:rPr>
                <w:sz w:val="16"/>
              </w:rPr>
            </w:r>
            <w:r>
              <w:rPr>
                <w:b w:val="0"/>
                <w:sz w:val="16"/>
              </w:rPr>
              <w:t>PeakView Window Cleaning Co.</w:t>
            </w:r>
          </w:p>
        </w:tc>
        <w:tc>
          <w:tcPr>
            <w:tcW w:type="dxa" w:w="2736"/>
          </w:tcPr>
          <w:p>
            <w:pPr>
              <w:spacing w:after="20"/>
            </w:pPr>
            <w:r>
              <w:rPr>
                <w:sz w:val="16"/>
              </w:rPr>
            </w:r>
            <w:r>
              <w:rPr>
                <w:b w:val="0"/>
                <w:sz w:val="16"/>
              </w:rPr>
              <w:t>Exterior windows (quarterly)</w:t>
            </w:r>
          </w:p>
        </w:tc>
        <w:tc>
          <w:tcPr>
            <w:tcW w:type="dxa" w:w="1440"/>
          </w:tcPr>
          <w:p>
            <w:pPr>
              <w:spacing w:after="20"/>
            </w:pPr>
            <w:r>
              <w:rPr>
                <w:sz w:val="16"/>
              </w:rPr>
            </w:r>
            <w:r>
              <w:rPr>
                <w:b w:val="0"/>
                <w:sz w:val="16"/>
              </w:rPr>
              <w:t>Month-to-month</w:t>
            </w:r>
          </w:p>
        </w:tc>
        <w:tc>
          <w:tcPr>
            <w:tcW w:type="dxa" w:w="1296"/>
          </w:tcPr>
          <w:p>
            <w:pPr>
              <w:spacing w:after="20"/>
            </w:pPr>
            <w:r>
              <w:rPr>
                <w:sz w:val="16"/>
              </w:rPr>
            </w:r>
            <w:r>
              <w:rPr>
                <w:b w:val="0"/>
                <w:sz w:val="16"/>
              </w:rPr>
              <w:t>$19,200</w:t>
            </w:r>
          </w:p>
        </w:tc>
        <w:tc>
          <w:tcPr>
            <w:tcW w:type="dxa" w:w="1440"/>
          </w:tcPr>
          <w:p>
            <w:pPr>
              <w:spacing w:after="20"/>
            </w:pPr>
            <w:r>
              <w:rPr>
                <w:sz w:val="16"/>
              </w:rPr>
            </w:r>
            <w:r>
              <w:rPr>
                <w:b w:val="0"/>
                <w:sz w:val="16"/>
              </w:rPr>
              <w:t>30 days</w:t>
            </w:r>
          </w:p>
        </w:tc>
      </w:tr>
      <w:tr>
        <w:tc>
          <w:tcPr>
            <w:tcW w:type="dxa" w:w="432"/>
          </w:tcPr>
          <w:p>
            <w:pPr>
              <w:spacing w:after="20"/>
            </w:pPr>
            <w:r>
              <w:rPr>
                <w:sz w:val="16"/>
              </w:rPr>
            </w:r>
            <w:r>
              <w:rPr>
                <w:b w:val="0"/>
                <w:sz w:val="16"/>
              </w:rPr>
              <w:t>11</w:t>
            </w:r>
          </w:p>
        </w:tc>
        <w:tc>
          <w:tcPr>
            <w:tcW w:type="dxa" w:w="2592"/>
          </w:tcPr>
          <w:p>
            <w:pPr>
              <w:spacing w:after="20"/>
            </w:pPr>
            <w:r>
              <w:rPr>
                <w:sz w:val="16"/>
              </w:rPr>
            </w:r>
            <w:r>
              <w:rPr>
                <w:b w:val="0"/>
                <w:sz w:val="16"/>
              </w:rPr>
              <w:t>Rooftop Systems Inc.</w:t>
            </w:r>
          </w:p>
        </w:tc>
        <w:tc>
          <w:tcPr>
            <w:tcW w:type="dxa" w:w="2736"/>
          </w:tcPr>
          <w:p>
            <w:pPr>
              <w:spacing w:after="20"/>
            </w:pPr>
            <w:r>
              <w:rPr>
                <w:sz w:val="16"/>
              </w:rPr>
            </w:r>
            <w:r>
              <w:rPr>
                <w:b w:val="0"/>
                <w:sz w:val="16"/>
              </w:rPr>
              <w:t>Roof inspection (2 visits/yr)</w:t>
            </w:r>
          </w:p>
        </w:tc>
        <w:tc>
          <w:tcPr>
            <w:tcW w:type="dxa" w:w="1440"/>
          </w:tcPr>
          <w:p>
            <w:pPr>
              <w:spacing w:after="20"/>
            </w:pPr>
            <w:r>
              <w:rPr>
                <w:sz w:val="16"/>
              </w:rPr>
            </w:r>
            <w:r>
              <w:rPr>
                <w:b w:val="0"/>
                <w:sz w:val="16"/>
              </w:rPr>
              <w:t>05/31/2025</w:t>
            </w:r>
          </w:p>
        </w:tc>
        <w:tc>
          <w:tcPr>
            <w:tcW w:type="dxa" w:w="1296"/>
          </w:tcPr>
          <w:p>
            <w:pPr>
              <w:spacing w:after="20"/>
            </w:pPr>
            <w:r>
              <w:rPr>
                <w:sz w:val="16"/>
              </w:rPr>
            </w:r>
            <w:r>
              <w:rPr>
                <w:b w:val="0"/>
                <w:sz w:val="16"/>
              </w:rPr>
              <w:t>$5,600</w:t>
            </w:r>
          </w:p>
        </w:tc>
        <w:tc>
          <w:tcPr>
            <w:tcW w:type="dxa" w:w="1440"/>
          </w:tcPr>
          <w:p>
            <w:pPr>
              <w:spacing w:after="20"/>
            </w:pPr>
            <w:r>
              <w:rPr>
                <w:sz w:val="16"/>
              </w:rPr>
            </w:r>
            <w:r>
              <w:rPr>
                <w:b w:val="0"/>
                <w:sz w:val="16"/>
              </w:rPr>
              <w:t>30 days</w:t>
            </w:r>
          </w:p>
        </w:tc>
      </w:tr>
      <w:tr>
        <w:tc>
          <w:tcPr>
            <w:tcW w:type="dxa" w:w="432"/>
          </w:tcPr>
          <w:p>
            <w:pPr>
              <w:spacing w:after="20"/>
            </w:pPr>
            <w:r>
              <w:rPr>
                <w:sz w:val="16"/>
              </w:rPr>
            </w:r>
          </w:p>
        </w:tc>
        <w:tc>
          <w:tcPr>
            <w:tcW w:type="dxa" w:w="2592"/>
          </w:tcPr>
          <w:p>
            <w:pPr>
              <w:spacing w:after="20"/>
            </w:pPr>
            <w:r>
              <w:rPr>
                <w:sz w:val="16"/>
              </w:rPr>
            </w:r>
            <w:r>
              <w:rPr>
                <w:b/>
                <w:sz w:val="16"/>
              </w:rPr>
              <w:t>Total</w:t>
            </w:r>
          </w:p>
        </w:tc>
        <w:tc>
          <w:tcPr>
            <w:tcW w:type="dxa" w:w="2736"/>
          </w:tcPr>
          <w:p>
            <w:pPr>
              <w:spacing w:after="20"/>
            </w:pPr>
            <w:r>
              <w:rPr>
                <w:sz w:val="16"/>
              </w:rPr>
            </w:r>
          </w:p>
        </w:tc>
        <w:tc>
          <w:tcPr>
            <w:tcW w:type="dxa" w:w="1440"/>
          </w:tcPr>
          <w:p>
            <w:pPr>
              <w:spacing w:after="20"/>
            </w:pPr>
            <w:r>
              <w:rPr>
                <w:sz w:val="16"/>
              </w:rPr>
            </w:r>
          </w:p>
        </w:tc>
        <w:tc>
          <w:tcPr>
            <w:tcW w:type="dxa" w:w="1296"/>
          </w:tcPr>
          <w:p>
            <w:pPr>
              <w:spacing w:after="20"/>
            </w:pPr>
            <w:r>
              <w:rPr>
                <w:sz w:val="16"/>
              </w:rPr>
            </w:r>
            <w:r>
              <w:rPr>
                <w:b/>
                <w:sz w:val="16"/>
              </w:rPr>
              <w:t>$1,128,200</w:t>
            </w:r>
          </w:p>
        </w:tc>
        <w:tc>
          <w:tcPr>
            <w:tcW w:type="dxa" w:w="1440"/>
          </w:tcPr>
          <w:p>
            <w:pPr>
              <w:spacing w:after="20"/>
            </w:pPr>
            <w:r>
              <w:rPr>
                <w:sz w:val="16"/>
              </w:rPr>
            </w:r>
            <w:r>
              <w:rPr>
                <w:b w:val="0"/>
                <w:sz w:val="16"/>
              </w:rPr>
              <w:t>3 non-terminable / 8 terminable</w:t>
            </w:r>
          </w:p>
        </w:tc>
      </w:tr>
    </w:tbl>
    <w:p>
      <w:pPr>
        <w:spacing w:after="40"/>
      </w:pPr>
    </w:p>
    <w:p>
      <w:pPr>
        <w:pStyle w:val="Heading1"/>
      </w:pPr>
      <w:r>
        <w:t>Appendix C — Verification of PSA Figures and Dates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160"/>
            <w:shd w:val="clear" w:color="auto" w:fill="1F3A5F"/>
          </w:tcPr>
          <w:p>
            <w:r/>
            <w:r>
              <w:rPr>
                <w:b/>
                <w:color w:val="FFFFFF"/>
                <w:sz w:val="16"/>
              </w:rPr>
              <w:t>Item</w:t>
            </w:r>
          </w:p>
        </w:tc>
        <w:tc>
          <w:tcPr>
            <w:tcW w:type="dxa" w:w="3168"/>
            <w:shd w:val="clear" w:color="auto" w:fill="1F3A5F"/>
          </w:tcPr>
          <w:p>
            <w:r/>
            <w:r>
              <w:rPr>
                <w:b/>
                <w:color w:val="FFFFFF"/>
                <w:sz w:val="16"/>
              </w:rPr>
              <w:t>PSA statement</w:t>
            </w:r>
          </w:p>
        </w:tc>
        <w:tc>
          <w:tcPr>
            <w:tcW w:type="dxa" w:w="2448"/>
            <w:shd w:val="clear" w:color="auto" w:fill="1F3A5F"/>
          </w:tcPr>
          <w:p>
            <w:r/>
            <w:r>
              <w:rPr>
                <w:b/>
                <w:color w:val="FFFFFF"/>
                <w:sz w:val="16"/>
              </w:rPr>
              <w:t>HMS check</w:t>
            </w:r>
          </w:p>
        </w:tc>
        <w:tc>
          <w:tcPr>
            <w:tcW w:type="dxa" w:w="2160"/>
            <w:shd w:val="clear" w:color="auto" w:fill="1F3A5F"/>
          </w:tcPr>
          <w:p>
            <w:r/>
            <w:r>
              <w:rPr>
                <w:b/>
                <w:color w:val="FFFFFF"/>
                <w:sz w:val="16"/>
              </w:rPr>
              <w:t>Result</w:t>
            </w:r>
          </w:p>
        </w:tc>
      </w:tr>
      <w:tr>
        <w:tc>
          <w:tcPr>
            <w:tcW w:type="dxa" w:w="2160"/>
          </w:tcPr>
          <w:p>
            <w:pPr>
              <w:spacing w:after="20"/>
            </w:pPr>
            <w:r>
              <w:rPr>
                <w:sz w:val="16"/>
              </w:rPr>
            </w:r>
            <w:r>
              <w:rPr>
                <w:b w:val="0"/>
                <w:sz w:val="16"/>
              </w:rPr>
              <w:t>Initial Deposit due</w:t>
            </w:r>
          </w:p>
        </w:tc>
        <w:tc>
          <w:tcPr>
            <w:tcW w:type="dxa" w:w="3168"/>
          </w:tcPr>
          <w:p>
            <w:pPr>
              <w:spacing w:after="20"/>
            </w:pPr>
            <w:r>
              <w:rPr>
                <w:sz w:val="16"/>
              </w:rPr>
            </w:r>
            <w:r>
              <w:rPr>
                <w:b w:val="0"/>
                <w:sz w:val="16"/>
              </w:rPr>
              <w:t>Oct. 10, 2024 (3 business days)</w:t>
            </w:r>
          </w:p>
        </w:tc>
        <w:tc>
          <w:tcPr>
            <w:tcW w:type="dxa" w:w="2448"/>
          </w:tcPr>
          <w:p>
            <w:pPr>
              <w:spacing w:after="20"/>
            </w:pPr>
            <w:r>
              <w:rPr>
                <w:sz w:val="16"/>
              </w:rPr>
            </w:r>
            <w:r>
              <w:rPr>
                <w:b w:val="0"/>
                <w:sz w:val="16"/>
              </w:rPr>
              <w:t>Oct. 7 (Mon.) + 3 business days</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Title Objection Deadline</w:t>
            </w:r>
          </w:p>
        </w:tc>
        <w:tc>
          <w:tcPr>
            <w:tcW w:type="dxa" w:w="3168"/>
          </w:tcPr>
          <w:p>
            <w:pPr>
              <w:spacing w:after="20"/>
            </w:pPr>
            <w:r>
              <w:rPr>
                <w:sz w:val="16"/>
              </w:rPr>
            </w:r>
            <w:r>
              <w:rPr>
                <w:b w:val="0"/>
                <w:sz w:val="16"/>
              </w:rPr>
              <w:t>Nov. 14, 2024 (38 days)</w:t>
            </w:r>
          </w:p>
        </w:tc>
        <w:tc>
          <w:tcPr>
            <w:tcW w:type="dxa" w:w="2448"/>
          </w:tcPr>
          <w:p>
            <w:pPr>
              <w:spacing w:after="20"/>
            </w:pPr>
            <w:r>
              <w:rPr>
                <w:sz w:val="16"/>
              </w:rPr>
            </w:r>
            <w:r>
              <w:rPr>
                <w:b w:val="0"/>
                <w:sz w:val="16"/>
              </w:rPr>
              <w:t>Oct. 7 + 38 days</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DD expiration</w:t>
            </w:r>
          </w:p>
        </w:tc>
        <w:tc>
          <w:tcPr>
            <w:tcW w:type="dxa" w:w="3168"/>
          </w:tcPr>
          <w:p>
            <w:pPr>
              <w:spacing w:after="20"/>
            </w:pPr>
            <w:r>
              <w:rPr>
                <w:sz w:val="16"/>
              </w:rPr>
            </w:r>
            <w:r>
              <w:rPr>
                <w:b w:val="0"/>
                <w:sz w:val="16"/>
              </w:rPr>
              <w:t>Nov. 21, 2024 (45 days)</w:t>
            </w:r>
          </w:p>
        </w:tc>
        <w:tc>
          <w:tcPr>
            <w:tcW w:type="dxa" w:w="2448"/>
          </w:tcPr>
          <w:p>
            <w:pPr>
              <w:spacing w:after="20"/>
            </w:pPr>
            <w:r>
              <w:rPr>
                <w:sz w:val="16"/>
              </w:rPr>
            </w:r>
            <w:r>
              <w:rPr>
                <w:b w:val="0"/>
                <w:sz w:val="16"/>
              </w:rPr>
              <w:t>Oct. 7 + 45 days</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Additional Deposit due</w:t>
            </w:r>
          </w:p>
        </w:tc>
        <w:tc>
          <w:tcPr>
            <w:tcW w:type="dxa" w:w="3168"/>
          </w:tcPr>
          <w:p>
            <w:pPr>
              <w:spacing w:after="20"/>
            </w:pPr>
            <w:r>
              <w:rPr>
                <w:sz w:val="16"/>
              </w:rPr>
            </w:r>
            <w:r>
              <w:rPr>
                <w:b w:val="0"/>
                <w:sz w:val="16"/>
              </w:rPr>
              <w:t>Nov. 29, 2024 (5 business days, excluding Thanksgiving)</w:t>
            </w:r>
          </w:p>
        </w:tc>
        <w:tc>
          <w:tcPr>
            <w:tcW w:type="dxa" w:w="2448"/>
          </w:tcPr>
          <w:p>
            <w:pPr>
              <w:spacing w:after="20"/>
            </w:pPr>
            <w:r>
              <w:rPr>
                <w:sz w:val="16"/>
              </w:rPr>
            </w:r>
            <w:r>
              <w:rPr>
                <w:b w:val="0"/>
                <w:sz w:val="16"/>
              </w:rPr>
              <w:t>Nov. 22, 25, 26, 27, 29</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Financing Contingency Deadline</w:t>
            </w:r>
          </w:p>
        </w:tc>
        <w:tc>
          <w:tcPr>
            <w:tcW w:type="dxa" w:w="3168"/>
          </w:tcPr>
          <w:p>
            <w:pPr>
              <w:spacing w:after="20"/>
            </w:pPr>
            <w:r>
              <w:rPr>
                <w:sz w:val="16"/>
              </w:rPr>
            </w:r>
            <w:r>
              <w:rPr>
                <w:b w:val="0"/>
                <w:sz w:val="16"/>
              </w:rPr>
              <w:t>Dec. 6, 2024 (60 days)</w:t>
            </w:r>
          </w:p>
        </w:tc>
        <w:tc>
          <w:tcPr>
            <w:tcW w:type="dxa" w:w="2448"/>
          </w:tcPr>
          <w:p>
            <w:pPr>
              <w:spacing w:after="20"/>
            </w:pPr>
            <w:r>
              <w:rPr>
                <w:sz w:val="16"/>
              </w:rPr>
            </w:r>
            <w:r>
              <w:rPr>
                <w:b w:val="0"/>
                <w:sz w:val="16"/>
              </w:rPr>
              <w:t>Oct. 7 + 60 days</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Closing Date</w:t>
            </w:r>
          </w:p>
        </w:tc>
        <w:tc>
          <w:tcPr>
            <w:tcW w:type="dxa" w:w="3168"/>
          </w:tcPr>
          <w:p>
            <w:pPr>
              <w:spacing w:after="20"/>
            </w:pPr>
            <w:r>
              <w:rPr>
                <w:sz w:val="16"/>
              </w:rPr>
            </w:r>
            <w:r>
              <w:rPr>
                <w:b w:val="0"/>
                <w:sz w:val="16"/>
              </w:rPr>
              <w:t>Jan. 15, 2025 (100 days)</w:t>
            </w:r>
          </w:p>
        </w:tc>
        <w:tc>
          <w:tcPr>
            <w:tcW w:type="dxa" w:w="2448"/>
          </w:tcPr>
          <w:p>
            <w:pPr>
              <w:spacing w:after="20"/>
            </w:pPr>
            <w:r>
              <w:rPr>
                <w:sz w:val="16"/>
              </w:rPr>
            </w:r>
            <w:r>
              <w:rPr>
                <w:b w:val="0"/>
                <w:sz w:val="16"/>
              </w:rPr>
              <w:t>Oct. 7 + 100 days</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Outside Closing Date / final</w:t>
            </w:r>
          </w:p>
        </w:tc>
        <w:tc>
          <w:tcPr>
            <w:tcW w:type="dxa" w:w="3168"/>
          </w:tcPr>
          <w:p>
            <w:pPr>
              <w:spacing w:after="20"/>
            </w:pPr>
            <w:r>
              <w:rPr>
                <w:sz w:val="16"/>
              </w:rPr>
            </w:r>
            <w:r>
              <w:rPr>
                <w:b w:val="0"/>
                <w:sz w:val="16"/>
              </w:rPr>
              <w:t>Feb. 14, 2025 (130 days) / Mar. 1, 2025</w:t>
            </w:r>
          </w:p>
        </w:tc>
        <w:tc>
          <w:tcPr>
            <w:tcW w:type="dxa" w:w="2448"/>
          </w:tcPr>
          <w:p>
            <w:pPr>
              <w:spacing w:after="20"/>
            </w:pPr>
            <w:r>
              <w:rPr>
                <w:sz w:val="16"/>
              </w:rPr>
            </w:r>
            <w:r>
              <w:rPr>
                <w:b w:val="0"/>
                <w:sz w:val="16"/>
              </w:rPr>
              <w:t>Oct. 7 + 130; Feb. 14 + 15</w:t>
            </w:r>
          </w:p>
        </w:tc>
        <w:tc>
          <w:tcPr>
            <w:tcW w:type="dxa" w:w="2160"/>
          </w:tcPr>
          <w:p>
            <w:pPr>
              <w:spacing w:after="20"/>
            </w:pPr>
            <w:r>
              <w:rPr>
                <w:sz w:val="16"/>
              </w:rPr>
            </w:r>
            <w:r>
              <w:rPr>
                <w:b w:val="0"/>
                <w:sz w:val="16"/>
              </w:rPr>
              <w:t>Consistent (Mar. 1 is a Saturday)</w:t>
            </w:r>
          </w:p>
        </w:tc>
      </w:tr>
      <w:tr>
        <w:tc>
          <w:tcPr>
            <w:tcW w:type="dxa" w:w="2160"/>
          </w:tcPr>
          <w:p>
            <w:pPr>
              <w:spacing w:after="20"/>
            </w:pPr>
            <w:r>
              <w:rPr>
                <w:sz w:val="16"/>
              </w:rPr>
            </w:r>
            <w:r>
              <w:rPr>
                <w:b w:val="0"/>
                <w:sz w:val="16"/>
              </w:rPr>
              <w:t>Environmental survival</w:t>
            </w:r>
          </w:p>
        </w:tc>
        <w:tc>
          <w:tcPr>
            <w:tcW w:type="dxa" w:w="3168"/>
          </w:tcPr>
          <w:p>
            <w:pPr>
              <w:spacing w:after="20"/>
            </w:pPr>
            <w:r>
              <w:rPr>
                <w:sz w:val="16"/>
              </w:rPr>
            </w:r>
            <w:r>
              <w:rPr>
                <w:b w:val="0"/>
                <w:sz w:val="16"/>
              </w:rPr>
              <w:t>Jan. 15, 2028 (36 months)</w:t>
            </w:r>
          </w:p>
        </w:tc>
        <w:tc>
          <w:tcPr>
            <w:tcW w:type="dxa" w:w="2448"/>
          </w:tcPr>
          <w:p>
            <w:pPr>
              <w:spacing w:after="20"/>
            </w:pPr>
            <w:r>
              <w:rPr>
                <w:sz w:val="16"/>
              </w:rPr>
            </w:r>
            <w:r>
              <w:rPr>
                <w:b w:val="0"/>
                <w:sz w:val="16"/>
              </w:rPr>
              <w:t>Closing + 36 months</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Reconciliation / cooperation</w:t>
            </w:r>
          </w:p>
        </w:tc>
        <w:tc>
          <w:tcPr>
            <w:tcW w:type="dxa" w:w="3168"/>
          </w:tcPr>
          <w:p>
            <w:pPr>
              <w:spacing w:after="20"/>
            </w:pPr>
            <w:r>
              <w:rPr>
                <w:sz w:val="16"/>
              </w:rPr>
            </w:r>
            <w:r>
              <w:rPr>
                <w:b w:val="0"/>
                <w:sz w:val="16"/>
              </w:rPr>
              <w:t>Apr. 15, 2025 (90 days)</w:t>
            </w:r>
          </w:p>
        </w:tc>
        <w:tc>
          <w:tcPr>
            <w:tcW w:type="dxa" w:w="2448"/>
          </w:tcPr>
          <w:p>
            <w:pPr>
              <w:spacing w:after="20"/>
            </w:pPr>
            <w:r>
              <w:rPr>
                <w:sz w:val="16"/>
              </w:rPr>
            </w:r>
            <w:r>
              <w:rPr>
                <w:b w:val="0"/>
                <w:sz w:val="16"/>
              </w:rPr>
              <w:t>Jan. 15 + 90 days</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Rep Cap</w:t>
            </w:r>
          </w:p>
        </w:tc>
        <w:tc>
          <w:tcPr>
            <w:tcW w:type="dxa" w:w="3168"/>
          </w:tcPr>
          <w:p>
            <w:pPr>
              <w:spacing w:after="20"/>
            </w:pPr>
            <w:r>
              <w:rPr>
                <w:sz w:val="16"/>
              </w:rPr>
            </w:r>
            <w:r>
              <w:rPr>
                <w:b w:val="0"/>
                <w:sz w:val="16"/>
              </w:rPr>
              <w:t>$4,387,500 (5%)</w:t>
            </w:r>
          </w:p>
        </w:tc>
        <w:tc>
          <w:tcPr>
            <w:tcW w:type="dxa" w:w="2448"/>
          </w:tcPr>
          <w:p>
            <w:pPr>
              <w:spacing w:after="20"/>
            </w:pPr>
            <w:r>
              <w:rPr>
                <w:sz w:val="16"/>
              </w:rPr>
            </w:r>
            <w:r>
              <w:rPr>
                <w:b w:val="0"/>
                <w:sz w:val="16"/>
              </w:rPr>
              <w:t>5% x $87,750,000</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Loan / LTV</w:t>
            </w:r>
          </w:p>
        </w:tc>
        <w:tc>
          <w:tcPr>
            <w:tcW w:type="dxa" w:w="3168"/>
          </w:tcPr>
          <w:p>
            <w:pPr>
              <w:spacing w:after="20"/>
            </w:pPr>
            <w:r>
              <w:rPr>
                <w:sz w:val="16"/>
              </w:rPr>
            </w:r>
            <w:r>
              <w:rPr>
                <w:b w:val="0"/>
                <w:sz w:val="16"/>
              </w:rPr>
              <w:t>$57,037,500 (65%)</w:t>
            </w:r>
          </w:p>
        </w:tc>
        <w:tc>
          <w:tcPr>
            <w:tcW w:type="dxa" w:w="2448"/>
          </w:tcPr>
          <w:p>
            <w:pPr>
              <w:spacing w:after="20"/>
            </w:pPr>
            <w:r>
              <w:rPr>
                <w:sz w:val="16"/>
              </w:rPr>
            </w:r>
            <w:r>
              <w:rPr>
                <w:b w:val="0"/>
                <w:sz w:val="16"/>
              </w:rPr>
              <w:t>65% x $87,750,000</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Brokerage</w:t>
            </w:r>
          </w:p>
        </w:tc>
        <w:tc>
          <w:tcPr>
            <w:tcW w:type="dxa" w:w="3168"/>
          </w:tcPr>
          <w:p>
            <w:pPr>
              <w:spacing w:after="20"/>
            </w:pPr>
            <w:r>
              <w:rPr>
                <w:sz w:val="16"/>
              </w:rPr>
            </w:r>
            <w:r>
              <w:rPr>
                <w:b w:val="0"/>
                <w:sz w:val="16"/>
              </w:rPr>
              <w:t>$1,316,250 (1.5%); $789,750 / $526,500</w:t>
            </w:r>
          </w:p>
        </w:tc>
        <w:tc>
          <w:tcPr>
            <w:tcW w:type="dxa" w:w="2448"/>
          </w:tcPr>
          <w:p>
            <w:pPr>
              <w:spacing w:after="20"/>
            </w:pPr>
            <w:r>
              <w:rPr>
                <w:sz w:val="16"/>
              </w:rPr>
            </w:r>
            <w:r>
              <w:rPr>
                <w:b w:val="0"/>
                <w:sz w:val="16"/>
              </w:rPr>
              <w:t>1.5% x price; 60/40 split</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Condemnation thresholds</w:t>
            </w:r>
          </w:p>
        </w:tc>
        <w:tc>
          <w:tcPr>
            <w:tcW w:type="dxa" w:w="3168"/>
          </w:tcPr>
          <w:p>
            <w:pPr>
              <w:spacing w:after="20"/>
            </w:pPr>
            <w:r>
              <w:rPr>
                <w:sz w:val="16"/>
              </w:rPr>
            </w:r>
            <w:r>
              <w:rPr>
                <w:b w:val="0"/>
                <w:sz w:val="16"/>
              </w:rPr>
              <w:t>1.14 acres; 15,600 RSF</w:t>
            </w:r>
          </w:p>
        </w:tc>
        <w:tc>
          <w:tcPr>
            <w:tcW w:type="dxa" w:w="2448"/>
          </w:tcPr>
          <w:p>
            <w:pPr>
              <w:spacing w:after="20"/>
            </w:pPr>
            <w:r>
              <w:rPr>
                <w:sz w:val="16"/>
              </w:rPr>
            </w:r>
            <w:r>
              <w:rPr>
                <w:b w:val="0"/>
                <w:sz w:val="16"/>
              </w:rPr>
              <w:t>5% x 22.8 ac.; 5% x 312,000</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Buyer credits</w:t>
            </w:r>
          </w:p>
        </w:tc>
        <w:tc>
          <w:tcPr>
            <w:tcW w:type="dxa" w:w="3168"/>
          </w:tcPr>
          <w:p>
            <w:pPr>
              <w:spacing w:after="20"/>
            </w:pPr>
            <w:r>
              <w:rPr>
                <w:sz w:val="16"/>
              </w:rPr>
            </w:r>
            <w:r>
              <w:rPr>
                <w:b w:val="0"/>
                <w:sz w:val="16"/>
              </w:rPr>
              <w:t>$1,722,320</w:t>
            </w:r>
          </w:p>
        </w:tc>
        <w:tc>
          <w:tcPr>
            <w:tcW w:type="dxa" w:w="2448"/>
          </w:tcPr>
          <w:p>
            <w:pPr>
              <w:spacing w:after="20"/>
            </w:pPr>
            <w:r>
              <w:rPr>
                <w:sz w:val="16"/>
              </w:rPr>
            </w:r>
            <w:r>
              <w:rPr>
                <w:b w:val="0"/>
                <w:sz w:val="16"/>
              </w:rPr>
              <w:t>$487,320 + $1,235,000</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Occupancy</w:t>
            </w:r>
          </w:p>
        </w:tc>
        <w:tc>
          <w:tcPr>
            <w:tcW w:type="dxa" w:w="3168"/>
          </w:tcPr>
          <w:p>
            <w:pPr>
              <w:spacing w:after="20"/>
            </w:pPr>
            <w:r>
              <w:rPr>
                <w:sz w:val="16"/>
              </w:rPr>
            </w:r>
            <w:r>
              <w:rPr>
                <w:b w:val="0"/>
                <w:sz w:val="16"/>
              </w:rPr>
              <w:t>“Approximately 82%”</w:t>
            </w:r>
          </w:p>
        </w:tc>
        <w:tc>
          <w:tcPr>
            <w:tcW w:type="dxa" w:w="2448"/>
          </w:tcPr>
          <w:p>
            <w:pPr>
              <w:spacing w:after="20"/>
            </w:pPr>
            <w:r>
              <w:rPr>
                <w:sz w:val="16"/>
              </w:rPr>
            </w:r>
            <w:r>
              <w:rPr>
                <w:b w:val="0"/>
                <w:sz w:val="16"/>
              </w:rPr>
              <w:t>258,140 / 312,000</w:t>
            </w:r>
          </w:p>
        </w:tc>
        <w:tc>
          <w:tcPr>
            <w:tcW w:type="dxa" w:w="2160"/>
          </w:tcPr>
          <w:p>
            <w:pPr>
              <w:spacing w:after="20"/>
            </w:pPr>
            <w:r>
              <w:rPr>
                <w:sz w:val="16"/>
              </w:rPr>
            </w:r>
            <w:r>
              <w:rPr>
                <w:b w:val="0"/>
                <w:sz w:val="16"/>
              </w:rPr>
              <w:t>82.7%; consistent</w:t>
            </w:r>
          </w:p>
        </w:tc>
      </w:tr>
      <w:tr>
        <w:tc>
          <w:tcPr>
            <w:tcW w:type="dxa" w:w="2160"/>
          </w:tcPr>
          <w:p>
            <w:pPr>
              <w:spacing w:after="20"/>
            </w:pPr>
            <w:r>
              <w:rPr>
                <w:sz w:val="16"/>
              </w:rPr>
            </w:r>
            <w:r>
              <w:rPr>
                <w:b w:val="0"/>
                <w:sz w:val="16"/>
              </w:rPr>
              <w:t>Parking ratio</w:t>
            </w:r>
          </w:p>
        </w:tc>
        <w:tc>
          <w:tcPr>
            <w:tcW w:type="dxa" w:w="3168"/>
          </w:tcPr>
          <w:p>
            <w:pPr>
              <w:spacing w:after="20"/>
            </w:pPr>
            <w:r>
              <w:rPr>
                <w:sz w:val="16"/>
              </w:rPr>
            </w:r>
            <w:r>
              <w:rPr>
                <w:b w:val="0"/>
                <w:sz w:val="16"/>
              </w:rPr>
              <w:t>4.0 / 1,000 RSF</w:t>
            </w:r>
          </w:p>
        </w:tc>
        <w:tc>
          <w:tcPr>
            <w:tcW w:type="dxa" w:w="2448"/>
          </w:tcPr>
          <w:p>
            <w:pPr>
              <w:spacing w:after="20"/>
            </w:pPr>
            <w:r>
              <w:rPr>
                <w:sz w:val="16"/>
              </w:rPr>
            </w:r>
            <w:r>
              <w:rPr>
                <w:b w:val="0"/>
                <w:sz w:val="16"/>
              </w:rPr>
              <w:t>1,248 / 312</w:t>
            </w:r>
          </w:p>
        </w:tc>
        <w:tc>
          <w:tcPr>
            <w:tcW w:type="dxa" w:w="2160"/>
          </w:tcPr>
          <w:p>
            <w:pPr>
              <w:spacing w:after="20"/>
            </w:pPr>
            <w:r>
              <w:rPr>
                <w:sz w:val="16"/>
              </w:rPr>
            </w:r>
            <w:r>
              <w:rPr>
                <w:b w:val="0"/>
                <w:sz w:val="16"/>
              </w:rPr>
              <w:t>Consistent</w:t>
            </w:r>
          </w:p>
        </w:tc>
      </w:tr>
      <w:tr>
        <w:tc>
          <w:tcPr>
            <w:tcW w:type="dxa" w:w="2160"/>
          </w:tcPr>
          <w:p>
            <w:pPr>
              <w:spacing w:after="20"/>
            </w:pPr>
            <w:r>
              <w:rPr>
                <w:sz w:val="16"/>
              </w:rPr>
            </w:r>
            <w:r>
              <w:rPr>
                <w:b w:val="0"/>
                <w:sz w:val="16"/>
              </w:rPr>
              <w:t>Litigation vs. deductible</w:t>
            </w:r>
          </w:p>
        </w:tc>
        <w:tc>
          <w:tcPr>
            <w:tcW w:type="dxa" w:w="3168"/>
          </w:tcPr>
          <w:p>
            <w:pPr>
              <w:spacing w:after="20"/>
            </w:pPr>
            <w:r>
              <w:rPr>
                <w:sz w:val="16"/>
              </w:rPr>
            </w:r>
            <w:r>
              <w:rPr>
                <w:b w:val="0"/>
                <w:sz w:val="16"/>
              </w:rPr>
              <w:t>$175,000 claim “within” $25,000 deductible</w:t>
            </w:r>
          </w:p>
        </w:tc>
        <w:tc>
          <w:tcPr>
            <w:tcW w:type="dxa" w:w="2448"/>
          </w:tcPr>
          <w:p>
            <w:pPr>
              <w:spacing w:after="20"/>
            </w:pPr>
            <w:r>
              <w:rPr>
                <w:sz w:val="16"/>
              </w:rPr>
            </w:r>
            <w:r>
              <w:rPr>
                <w:b w:val="0"/>
                <w:sz w:val="16"/>
              </w:rPr>
              <w:t>—</w:t>
            </w:r>
          </w:p>
        </w:tc>
        <w:tc>
          <w:tcPr>
            <w:tcW w:type="dxa" w:w="2160"/>
          </w:tcPr>
          <w:p>
            <w:pPr>
              <w:spacing w:after="20"/>
            </w:pPr>
            <w:r>
              <w:rPr>
                <w:sz w:val="16"/>
              </w:rPr>
            </w:r>
            <w:r>
              <w:rPr>
                <w:b/>
                <w:sz w:val="16"/>
              </w:rPr>
              <w:t>Inconsistent</w:t>
            </w:r>
            <w:r>
              <w:rPr>
                <w:b w:val="0"/>
                <w:sz w:val="16"/>
              </w:rPr>
              <w:t xml:space="preserve"> (Flag 20)</w:t>
            </w:r>
          </w:p>
        </w:tc>
      </w:tr>
      <w:tr>
        <w:tc>
          <w:tcPr>
            <w:tcW w:type="dxa" w:w="2160"/>
          </w:tcPr>
          <w:p>
            <w:pPr>
              <w:spacing w:after="20"/>
            </w:pPr>
            <w:r>
              <w:rPr>
                <w:sz w:val="16"/>
              </w:rPr>
            </w:r>
            <w:r>
              <w:rPr>
                <w:b w:val="0"/>
                <w:sz w:val="16"/>
              </w:rPr>
              <w:t>Buyer identity</w:t>
            </w:r>
          </w:p>
        </w:tc>
        <w:tc>
          <w:tcPr>
            <w:tcW w:type="dxa" w:w="3168"/>
          </w:tcPr>
          <w:p>
            <w:pPr>
              <w:spacing w:after="20"/>
            </w:pPr>
            <w:r>
              <w:rPr>
                <w:sz w:val="16"/>
              </w:rPr>
            </w:r>
            <w:r>
              <w:rPr>
                <w:b w:val="0"/>
                <w:sz w:val="16"/>
              </w:rPr>
              <w:t>Bridgewater (PSA) vs. Calverley (notices, Ex. E, Phase I)</w:t>
            </w:r>
          </w:p>
        </w:tc>
        <w:tc>
          <w:tcPr>
            <w:tcW w:type="dxa" w:w="2448"/>
          </w:tcPr>
          <w:p>
            <w:pPr>
              <w:spacing w:after="20"/>
            </w:pPr>
            <w:r>
              <w:rPr>
                <w:sz w:val="16"/>
              </w:rPr>
            </w:r>
            <w:r>
              <w:rPr>
                <w:b w:val="0"/>
                <w:sz w:val="16"/>
              </w:rPr>
              <w:t>—</w:t>
            </w:r>
          </w:p>
        </w:tc>
        <w:tc>
          <w:tcPr>
            <w:tcW w:type="dxa" w:w="2160"/>
          </w:tcPr>
          <w:p>
            <w:pPr>
              <w:spacing w:after="20"/>
            </w:pPr>
            <w:r>
              <w:rPr>
                <w:sz w:val="16"/>
              </w:rPr>
            </w:r>
            <w:r>
              <w:rPr>
                <w:b/>
                <w:sz w:val="16"/>
              </w:rPr>
              <w:t>Inconsistent</w:t>
            </w:r>
            <w:r>
              <w:rPr>
                <w:b w:val="0"/>
                <w:sz w:val="16"/>
              </w:rPr>
              <w:t xml:space="preserve"> (Flag 1)</w:t>
            </w:r>
          </w:p>
        </w:tc>
      </w:tr>
      <w:tr>
        <w:tc>
          <w:tcPr>
            <w:tcW w:type="dxa" w:w="2160"/>
          </w:tcPr>
          <w:p>
            <w:pPr>
              <w:spacing w:after="20"/>
            </w:pPr>
            <w:r>
              <w:rPr>
                <w:sz w:val="16"/>
              </w:rPr>
            </w:r>
            <w:r>
              <w:rPr>
                <w:b w:val="0"/>
                <w:sz w:val="16"/>
              </w:rPr>
              <w:t>SNDA condition</w:t>
            </w:r>
          </w:p>
        </w:tc>
        <w:tc>
          <w:tcPr>
            <w:tcW w:type="dxa" w:w="3168"/>
          </w:tcPr>
          <w:p>
            <w:pPr>
              <w:spacing w:after="20"/>
            </w:pPr>
            <w:r>
              <w:rPr>
                <w:sz w:val="16"/>
              </w:rPr>
            </w:r>
            <w:r>
              <w:rPr>
                <w:b w:val="0"/>
                <w:sz w:val="16"/>
              </w:rPr>
              <w:t>§9.1(f) condition vs. §9.4 not a condition</w:t>
            </w:r>
          </w:p>
        </w:tc>
        <w:tc>
          <w:tcPr>
            <w:tcW w:type="dxa" w:w="2448"/>
          </w:tcPr>
          <w:p>
            <w:pPr>
              <w:spacing w:after="20"/>
            </w:pPr>
            <w:r>
              <w:rPr>
                <w:sz w:val="16"/>
              </w:rPr>
            </w:r>
            <w:r>
              <w:rPr>
                <w:b w:val="0"/>
                <w:sz w:val="16"/>
              </w:rPr>
              <w:t>—</w:t>
            </w:r>
          </w:p>
        </w:tc>
        <w:tc>
          <w:tcPr>
            <w:tcW w:type="dxa" w:w="2160"/>
          </w:tcPr>
          <w:p>
            <w:pPr>
              <w:spacing w:after="20"/>
            </w:pPr>
            <w:r>
              <w:rPr>
                <w:sz w:val="16"/>
              </w:rPr>
            </w:r>
            <w:r>
              <w:rPr>
                <w:b/>
                <w:sz w:val="16"/>
              </w:rPr>
              <w:t>Inconsistent</w:t>
            </w:r>
            <w:r>
              <w:rPr>
                <w:b w:val="0"/>
                <w:sz w:val="16"/>
              </w:rPr>
              <w:t xml:space="preserve"> (Flag 10)</w:t>
            </w:r>
          </w:p>
        </w:tc>
      </w:tr>
    </w:tbl>
    <w:p>
      <w:pPr>
        <w:spacing w:after="40"/>
      </w:pPr>
    </w:p>
    <w:p>
      <w:pPr>
        <w:spacing w:after="80"/>
      </w:pPr>
      <w:r>
        <w:rPr>
          <w:b w:val="0"/>
          <w:i/>
          <w:sz w:val="16"/>
        </w:rPr>
        <w:t>This term sheet summarizes the PSA for convenience. If this summary and the PSA differ, the PSA controls. Our analysis is based on the documents listed on page 1 and will be updated as diligence materials are received.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Privileged &amp; Confidential — HMS Draft 10/14/2024 — Meridian Corporate Center PSA Term Sheet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