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8"/>
        </w:rPr>
        <w:t>PRIVILEGED &amp; CONFIDENTIAL — ATTORNEY–CLIENT COMMUNICATION / ATTORNEY WORK PRODUCT</w:t>
      </w:r>
    </w:p>
    <w:p>
      <w:pPr>
        <w:spacing w:after="240"/>
        <w:jc w:val="center"/>
      </w:pPr>
      <w:r>
        <w:rPr>
          <w:b/>
          <w:i w:val="0"/>
          <w:sz w:val="18"/>
        </w:rPr>
        <w:t>DRAFT FOR PARTNER REVIEW — NOT FOR DISTRIBUTION OUTSIDE ASHWORTH &amp; BELLAMY LLP</w:t>
      </w:r>
    </w:p>
    <w:p>
      <w:pPr>
        <w:spacing w:after="40"/>
        <w:jc w:val="center"/>
      </w:pPr>
      <w:r>
        <w:rPr>
          <w:b/>
          <w:i w:val="0"/>
          <w:sz w:val="28"/>
        </w:rPr>
        <w:t>ASHWORTH &amp; BELLAMY LLP</w:t>
      </w:r>
    </w:p>
    <w:p>
      <w:pPr>
        <w:spacing w:after="280"/>
        <w:jc w:val="center"/>
      </w:pPr>
      <w:r>
        <w:rPr>
          <w:b w:val="0"/>
          <w:i w:val="0"/>
          <w:sz w:val="20"/>
        </w:rPr>
        <w:t>380 Park Avenue, 30th Floor, New York, NY 10152</w:t>
      </w:r>
    </w:p>
    <w:p>
      <w:pPr>
        <w:spacing w:after="240"/>
        <w:jc w:val="center"/>
      </w:pPr>
      <w:r>
        <w:rPr>
          <w:b/>
          <w:i w:val="0"/>
          <w:sz w:val="26"/>
        </w:rPr>
        <w:t>MEMORANDUM — OFFERING MEMORANDUM / INDENTURE DISCREPANCY REPORT</w:t>
      </w:r>
    </w:p>
    <w:tbl>
      <w:tblPr>
        <w:tblW w:type="auto" w:w="0"/>
        <w:tblLook w:firstColumn="1" w:firstRow="1" w:lastColumn="0" w:lastRow="0" w:noHBand="0" w:noVBand="1" w:val="04A0"/>
      </w:tblPr>
      <w:tblGrid>
        <w:gridCol w:w="4680"/>
        <w:gridCol w:w="4680"/>
      </w:tblGrid>
      <w:tr>
        <w:tc>
          <w:tcPr>
            <w:tcW w:type="dxa" w:w="1296"/>
          </w:tcPr>
          <w:p>
            <w:r/>
            <w:r>
              <w:rPr>
                <w:b/>
              </w:rPr>
              <w:t>TO:</w:t>
            </w:r>
          </w:p>
        </w:tc>
        <w:tc>
          <w:tcPr>
            <w:tcW w:type="dxa" w:w="8064"/>
          </w:tcPr>
          <w:p>
            <w:r>
              <w:t>Samantha K. Everett, Partner</w:t>
            </w:r>
          </w:p>
        </w:tc>
      </w:tr>
      <w:tr>
        <w:tc>
          <w:tcPr>
            <w:tcW w:type="dxa" w:w="1296"/>
          </w:tcPr>
          <w:p>
            <w:r/>
            <w:r>
              <w:rPr>
                <w:b/>
              </w:rPr>
              <w:t>CC:</w:t>
            </w:r>
          </w:p>
        </w:tc>
        <w:tc>
          <w:tcPr>
            <w:tcW w:type="dxa" w:w="8064"/>
          </w:tcPr>
          <w:p>
            <w:r>
              <w:t>Terrence L. Gage, Associate</w:t>
            </w:r>
          </w:p>
        </w:tc>
      </w:tr>
      <w:tr>
        <w:tc>
          <w:tcPr>
            <w:tcW w:type="dxa" w:w="1296"/>
          </w:tcPr>
          <w:p>
            <w:r/>
            <w:r>
              <w:rPr>
                <w:b/>
              </w:rPr>
              <w:t>FROM:</w:t>
            </w:r>
          </w:p>
        </w:tc>
        <w:tc>
          <w:tcPr>
            <w:tcW w:type="dxa" w:w="8064"/>
          </w:tcPr>
          <w:p>
            <w:r>
              <w:t>CART 2024-2 Deal Team (Issuer’s Counsel)</w:t>
            </w:r>
          </w:p>
        </w:tc>
      </w:tr>
      <w:tr>
        <w:tc>
          <w:tcPr>
            <w:tcW w:type="dxa" w:w="1296"/>
          </w:tcPr>
          <w:p>
            <w:r/>
            <w:r>
              <w:rPr>
                <w:b/>
              </w:rPr>
              <w:t>DATE:</w:t>
            </w:r>
          </w:p>
        </w:tc>
        <w:tc>
          <w:tcPr>
            <w:tcW w:type="dxa" w:w="8064"/>
          </w:tcPr>
          <w:p>
            <w:r>
              <w:t>November 21, 2024</w:t>
            </w:r>
          </w:p>
        </w:tc>
      </w:tr>
      <w:tr>
        <w:tc>
          <w:tcPr>
            <w:tcW w:type="dxa" w:w="1296"/>
          </w:tcPr>
          <w:p>
            <w:r/>
            <w:r>
              <w:rPr>
                <w:b/>
              </w:rPr>
              <w:t>RE:</w:t>
            </w:r>
          </w:p>
        </w:tc>
        <w:tc>
          <w:tcPr>
            <w:tcW w:type="dxa" w:w="8064"/>
          </w:tcPr>
          <w:p>
            <w:r>
              <w:t>Crescent Auto Receivables Trust 2024-2 — $687,500,000 Asset-Backed Notes: Comparison of the Confidential Offering Memorandum dated November 18, 2024 against the executed Indenture dated as of November 15, 2024</w:t>
            </w:r>
          </w:p>
        </w:tc>
      </w:tr>
    </w:tbl>
    <w:p>
      <w:pPr>
        <w:spacing w:after="80"/>
        <w:pBdr>
          <w:bottom w:val="single" w:sz="8" w:space="1" w:color="1F2A44"/>
        </w:pBdr>
      </w:pPr>
    </w:p>
    <w:p>
      <w:pPr>
        <w:pStyle w:val="Heading1"/>
      </w:pPr>
      <w:r>
        <w:t>I. Executive Summary</w:t>
      </w:r>
    </w:p>
    <w:p>
      <w:pPr>
        <w:spacing w:after="120"/>
      </w:pPr>
      <w:r>
        <w:rPr>
          <w:b w:val="0"/>
          <w:i w:val="0"/>
        </w:rPr>
        <w:t>Bottom line: the November 18 Offering Memorandum (the “OM”) should not be distributed further, used for pricing on November 25, or incorporated into roadshow materials until it is corrected. Our systematic, section-by-section comparison against the executed Indenture identified 50 discrepancies and omissions in the OM (6 Critical, 16 High, 16 Medium and 12 Low), plus 7 drafting points in the Indenture itself that should be resolved before closing on November 27. Both issues raised in Terrence’s November 20 email are confirmed; however, they are only two of six Critical items, and several of the most significant problems are in sections that were not reviewed in the preliminary pass.</w:t>
      </w:r>
    </w:p>
    <w:p>
      <w:pPr>
        <w:spacing w:after="60"/>
      </w:pPr>
      <w:r>
        <w:rPr>
          <w:b w:val="0"/>
          <w:i w:val="0"/>
        </w:rPr>
        <w:t>The Critical items, each of which goes to the economics or the rated credit structure of the Notes, are:</w:t>
      </w:r>
    </w:p>
    <w:p>
      <w:pPr>
        <w:pStyle w:val="ListBullet"/>
        <w:spacing w:after="60"/>
      </w:pPr>
      <w:r>
        <w:rPr>
          <w:b/>
        </w:rPr>
        <w:t>A-1:</w:t>
      </w:r>
      <w:r>
        <w:t xml:space="preserve"> Class C Note interest rate stated as 6.50% in Description of the Notes (Associate Issue 2 — CONFIRMED)</w:t>
      </w:r>
    </w:p>
    <w:p>
      <w:pPr>
        <w:pStyle w:val="ListBullet"/>
        <w:spacing w:after="60"/>
      </w:pPr>
      <w:r>
        <w:rPr>
          <w:b/>
        </w:rPr>
        <w:t>A-2:</w:t>
      </w:r>
      <w:r>
        <w:t xml:space="preserve"> Interest day-count convention — OM states actual/360; Indenture provides 30/360 for every class (NOT flagged by associate)</w:t>
      </w:r>
    </w:p>
    <w:p>
      <w:pPr>
        <w:pStyle w:val="ListBullet"/>
        <w:spacing w:after="60"/>
      </w:pPr>
      <w:r>
        <w:rPr>
          <w:b/>
        </w:rPr>
        <w:t>A-3:</w:t>
      </w:r>
      <w:r>
        <w:t xml:space="preserve"> Final Scheduled Payment Dates differ for all five classes</w:t>
      </w:r>
    </w:p>
    <w:p>
      <w:pPr>
        <w:pStyle w:val="ListBullet"/>
        <w:spacing w:after="60"/>
      </w:pPr>
      <w:r>
        <w:rPr>
          <w:b/>
        </w:rPr>
        <w:t>B-1:</w:t>
      </w:r>
      <w:r>
        <w:t xml:space="preserve"> Reserve Account replenishment placed ahead of Class B and Class C principal (Associate Issue 1 — CONFIRMED, with citation corrections)</w:t>
      </w:r>
    </w:p>
    <w:p>
      <w:pPr>
        <w:pStyle w:val="ListBullet"/>
        <w:spacing w:after="60"/>
      </w:pPr>
      <w:r>
        <w:rPr>
          <w:b/>
        </w:rPr>
        <w:t>C-1:</w:t>
      </w:r>
      <w:r>
        <w:t xml:space="preserve"> Minimum OC Amount — fixed $10,684,500 (1.50% of initial pool) in OM vs. 1.50% of current Pool Balance in Indenture</w:t>
      </w:r>
    </w:p>
    <w:p>
      <w:pPr>
        <w:pStyle w:val="ListBullet"/>
        <w:spacing w:after="60"/>
      </w:pPr>
      <w:r>
        <w:rPr>
          <w:b/>
        </w:rPr>
        <w:t>D-1:</w:t>
      </w:r>
      <w:r>
        <w:t xml:space="preserve"> “Defaulted Receivable” — 90 days/repossession in OM vs. 120 days in Indenture</w:t>
      </w:r>
    </w:p>
    <w:p>
      <w:pPr>
        <w:spacing w:after="40"/>
      </w:pPr>
    </w:p>
    <w:p>
      <w:pPr>
        <w:spacing w:after="120"/>
      </w:pPr>
      <w:r>
        <w:rPr>
          <w:b w:val="0"/>
          <w:i w:val="0"/>
        </w:rPr>
        <w:t>Among the High items, two warrant particular attention because they may reflect a problem in the Indenture rather than the OM: (i) the OM’s description of an overcollateralization target with release of excess spread to the Certificateholder has no corresponding mechanic in Indenture §5.01(c), whose Principal Distribution Amounts sweep all remaining Available Funds to principal every month (B-5/K-7); and (ii) the 90-day/repossession versus 120-day “Defaulted Receivable” definition (D-1), which drives every performance trigger. For those items, and for the Minimum OC Amount (C-1), the CNL table (E-1) and the 72- versus 75-month term representation (G-1), the threshold question is which document reflects the negotiated deal and Kensington’s model — the answer determines whether the OM is conformed or the Indenture is amended before closing.</w:t>
      </w:r>
    </w:p>
    <w:p>
      <w:pPr>
        <w:spacing w:after="120"/>
      </w:pPr>
      <w:r>
        <w:rPr>
          <w:b w:val="0"/>
          <w:i w:val="0"/>
        </w:rPr>
        <w:t>Governing principle. The Indenture is the operative instrument, and the OM’s own conflict clause provides that the transaction documents control. That clause does not cure a disclosure problem: an OM that misdescribes the coupon, day count, maturities, waterfall, triggers or credit enhancement is materially misleading for purposes of Rule 10b-5 regardless of what the Indenture provides, and would undermine the 10b-5 negative assurance letters expected from this firm and Blackthorn &amp; Kessler LLP. Unless the business parties confirm that the Indenture is wrong on a given point, our recommendation is to conform the OM to the Indenture.</w:t>
      </w:r>
    </w:p>
    <w:p>
      <w:pPr>
        <w:pStyle w:val="Heading3"/>
      </w:pPr>
      <w:r>
        <w:t>Severity Scale</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1F2A44"/>
          </w:tcPr>
          <w:p>
            <w:r/>
            <w:r>
              <w:rPr>
                <w:b/>
                <w:color w:val="FFFFFF"/>
                <w:sz w:val="18"/>
              </w:rPr>
              <w:t>Severity</w:t>
            </w:r>
          </w:p>
        </w:tc>
        <w:tc>
          <w:tcPr>
            <w:tcW w:type="dxa" w:w="7920"/>
            <w:shd w:val="clear" w:color="auto" w:fill="1F2A44"/>
          </w:tcPr>
          <w:p>
            <w:r/>
            <w:r>
              <w:rPr>
                <w:b/>
                <w:color w:val="FFFFFF"/>
                <w:sz w:val="18"/>
              </w:rPr>
              <w:t>Meaning</w:t>
            </w:r>
          </w:p>
        </w:tc>
      </w:tr>
      <w:tr>
        <w:tc>
          <w:tcPr>
            <w:tcW w:type="dxa" w:w="1440"/>
          </w:tcPr>
          <w:p>
            <w:r/>
            <w:r>
              <w:rPr>
                <w:b/>
                <w:color w:val="C00000"/>
                <w:sz w:val="18"/>
              </w:rPr>
              <w:t>Critical</w:t>
            </w:r>
          </w:p>
        </w:tc>
        <w:tc>
          <w:tcPr>
            <w:tcW w:type="dxa" w:w="7920"/>
          </w:tcPr>
          <w:p>
            <w:r/>
            <w:r>
              <w:rPr>
                <w:sz w:val="18"/>
              </w:rPr>
              <w:t>Misstates a core economic or rated structural term (coupon, day count, maturity, priority of payments, trigger/OC base, default definition). Must be corrected before any further distribution or pricing.</w:t>
            </w:r>
          </w:p>
        </w:tc>
      </w:tr>
      <w:tr>
        <w:tc>
          <w:tcPr>
            <w:tcW w:type="dxa" w:w="1440"/>
          </w:tcPr>
          <w:p>
            <w:r/>
            <w:r>
              <w:rPr>
                <w:b/>
                <w:color w:val="E46C0A"/>
                <w:sz w:val="18"/>
              </w:rPr>
              <w:t>High</w:t>
            </w:r>
          </w:p>
        </w:tc>
        <w:tc>
          <w:tcPr>
            <w:tcW w:type="dxa" w:w="7920"/>
          </w:tcPr>
          <w:p>
            <w:r/>
            <w:r>
              <w:rPr>
                <w:sz w:val="18"/>
              </w:rPr>
              <w:t>Material misdescription or omission likely to affect an investor’s or the rating agency’s analysis (fees, reserve mechanics, CNL level, servicing/back-up servicing, R&amp;W scope, call threshold, pool count). Correct before pricing.</w:t>
            </w:r>
          </w:p>
        </w:tc>
      </w:tr>
      <w:tr>
        <w:tc>
          <w:tcPr>
            <w:tcW w:type="dxa" w:w="1440"/>
          </w:tcPr>
          <w:p>
            <w:r/>
            <w:r>
              <w:rPr>
                <w:b/>
                <w:color w:val="BF9000"/>
                <w:sz w:val="18"/>
              </w:rPr>
              <w:t>Medium</w:t>
            </w:r>
          </w:p>
        </w:tc>
        <w:tc>
          <w:tcPr>
            <w:tcW w:type="dxa" w:w="7920"/>
          </w:tcPr>
          <w:p>
            <w:r/>
            <w:r>
              <w:rPr>
                <w:sz w:val="18"/>
              </w:rPr>
              <w:t>Inaccurate or incomplete description of a contractual mechanic or defined term; correct in the revised OM.</w:t>
            </w:r>
          </w:p>
        </w:tc>
      </w:tr>
      <w:tr>
        <w:tc>
          <w:tcPr>
            <w:tcW w:type="dxa" w:w="1440"/>
          </w:tcPr>
          <w:p>
            <w:r/>
            <w:r>
              <w:rPr>
                <w:b/>
                <w:color w:val="548235"/>
                <w:sz w:val="18"/>
              </w:rPr>
              <w:t>Low</w:t>
            </w:r>
          </w:p>
        </w:tc>
        <w:tc>
          <w:tcPr>
            <w:tcW w:type="dxa" w:w="7920"/>
          </w:tcPr>
          <w:p>
            <w:r/>
            <w:r>
              <w:rPr>
                <w:sz w:val="18"/>
              </w:rPr>
              <w:t>Conforming, presentation or administrative point; correct in the revised OM.</w:t>
            </w:r>
          </w:p>
        </w:tc>
      </w:tr>
    </w:tbl>
    <w:p>
      <w:pPr>
        <w:spacing w:after="40"/>
      </w:pPr>
    </w:p>
    <w:p>
      <w:pPr>
        <w:pStyle w:val="Heading1"/>
      </w:pPr>
      <w:r>
        <w:t>II. Scope, Documents Reviewed and Methodology</w:t>
      </w:r>
    </w:p>
    <w:p>
      <w:pPr>
        <w:spacing w:after="60"/>
      </w:pPr>
      <w:r>
        <w:rPr>
          <w:b w:val="0"/>
          <w:i w:val="0"/>
        </w:rPr>
        <w:t>Documents reviewed in full:</w:t>
      </w:r>
    </w:p>
    <w:p>
      <w:pPr>
        <w:pStyle w:val="ListBullet"/>
        <w:spacing w:after="60"/>
      </w:pPr>
      <w:r>
        <w:rPr>
          <w:b/>
        </w:rPr>
        <w:t>OM.</w:t>
      </w:r>
      <w:r>
        <w:t xml:space="preserve"> Confidential Offering Memorandum, Crescent Auto Receivables Trust 2024-2, $687,500,000 Asset-Backed Notes, dated November 18, 2024 (all sections, Glossary and Appendix A).</w:t>
      </w:r>
    </w:p>
    <w:p>
      <w:pPr>
        <w:pStyle w:val="ListBullet"/>
        <w:spacing w:after="60"/>
      </w:pPr>
      <w:r>
        <w:rPr>
          <w:b/>
        </w:rPr>
        <w:t>Indenture.</w:t>
      </w:r>
      <w:r>
        <w:t xml:space="preserve"> Indenture dated as of November 15, 2024 between Crescent Auto Receivables Trust 2024-2 and Halcyon National Trust Company, as Indenture Trustee and Paying Agent (Articles I–XV, Collateral Pool Summary, Schedule I and Exhibit A).</w:t>
      </w:r>
    </w:p>
    <w:p>
      <w:pPr>
        <w:pStyle w:val="ListBullet"/>
        <w:spacing w:after="60"/>
      </w:pPr>
      <w:r>
        <w:rPr>
          <w:b/>
        </w:rPr>
        <w:t>Associate email.</w:t>
      </w:r>
      <w:r>
        <w:t xml:space="preserve"> Email from Terrence L. Gage to Samantha K. Everett dated November 20, 2024 (“CART 2024-2: Preliminary OM/Indenture Discrepancies — Need Full Review”).</w:t>
      </w:r>
    </w:p>
    <w:p>
      <w:pPr>
        <w:spacing w:after="120"/>
      </w:pPr>
      <w:r>
        <w:rPr>
          <w:b w:val="0"/>
          <w:i w:val="0"/>
        </w:rPr>
        <w:t>Methodology. Every OM section was walked against the corresponding Indenture provisions, covering each area the associate identified as outstanding: defined terms (OM Glossary vs. Indenture §1.01); Trigger Events and the CNL table; credit enhancement (OC and Reserve Account); servicing provisions and fee calculations; representations and warranties; transfer restriction and securities-law language; collateral pool statistics and receivable count; and the clean-up call. We also re-checked the two flagged issues, recomputed all stated percentages and dollar figures, and checked the OM for internal inconsistencies (including between the Summary of Terms and the body). Cross-references in this report are to Indenture section numbers and OM section headings (the OM page numbers in the table of contents could not be verified against the electronic draft).</w:t>
      </w:r>
    </w:p>
    <w:p>
      <w:pPr>
        <w:spacing w:after="120"/>
      </w:pPr>
      <w:r>
        <w:rPr>
          <w:b w:val="0"/>
          <w:i w:val="0"/>
        </w:rPr>
        <w:t>Limitations. We have not reviewed the Sale and Servicing Agreement, the Amended and Restated Trust Agreement, the Back-Up Servicing Agreement, the Placement Agreement, the Kensington rating presale/letters, the Saxonbrook agreed-upon procedures letter or the data tape. Several items below (notably G-2, G-3 and the Servicer provisions) should be confirmed against the Sale and Servicing Agreement, which the Indenture references for capitalized terms not defined in it and which may contain additional representations.</w:t>
      </w:r>
    </w:p>
    <w:p>
      <w:pPr>
        <w:pStyle w:val="Heading1"/>
      </w:pPr>
      <w:r>
        <w:t>III. Verification of the Associate’s Flagged Issues</w:t>
      </w:r>
    </w:p>
    <w:p>
      <w:pPr>
        <w:pStyle w:val="Heading2"/>
      </w:pPr>
      <w:r>
        <w:t>Issue 1 — Reserve Account Replenishment Priority: CONFIRMED (see B-1)</w:t>
      </w:r>
    </w:p>
    <w:p>
      <w:pPr>
        <w:spacing w:after="120"/>
      </w:pPr>
      <w:r>
        <w:rPr>
          <w:b w:val="0"/>
          <w:i w:val="0"/>
        </w:rPr>
        <w:t>The OM Flow of Funds places Reserve Account replenishment at step (10), between Class A-3 principal (9) and Class B principal (11). The Indenture places it at step Thirteenth of §5.01(a), after principal on all classes (Eighth through Twelfth), and restates that replenishment “is subordinated in priority to all principal payments on the Notes” (§4.04) and “follows all principal distributions to all classes of Notes” (§6.02). Terrence’s analysis of the consequence is correct: the OM ordering would subordinate Class B and Class C principal to reserve replenishment, which misdescribes the credit enhancement for the mezzanine and subordinate classes and is a rating-methodology-sensitive feature.</w:t>
      </w:r>
    </w:p>
    <w:p>
      <w:pPr>
        <w:spacing w:after="120"/>
      </w:pPr>
      <w:r>
        <w:rPr>
          <w:b w:val="0"/>
          <w:i w:val="0"/>
        </w:rPr>
        <w:t>Corrections to the email: (a) the waterfall is in Indenture §5.01(a), not “Section 5.04(a)” (the Indenture has no §5.04); (b) the Indenture waterfall has 14 steps, not 13, because it separates the Servicing Fee (First) from the Indenture Trustee Fee (Second) — the OM combines them, so every OM step number after (1) is one lower than the Indenture’s; and (c) the issue is broader than the step position: the OM also misdescribes the fee priority (B-3), the reserve draw scope (C-3), the Required Balance floor (C-2) and the turbo-period treatment of reserve replenishment (B-4). We agree the OM must be conformed to the Indenture ordering.</w:t>
      </w:r>
    </w:p>
    <w:p>
      <w:pPr>
        <w:pStyle w:val="Heading2"/>
      </w:pPr>
      <w:r>
        <w:t>Issue 2 — Class C Coupon: CONFIRMED (see A-1)</w:t>
      </w:r>
    </w:p>
    <w:p>
      <w:pPr>
        <w:spacing w:after="120"/>
      </w:pPr>
      <w:r>
        <w:rPr>
          <w:b w:val="0"/>
          <w:i w:val="0"/>
        </w:rPr>
        <w:t>The Summary of Terms (and cover) state 6.75%; the Description of the Notes states 6.50%. The Indenture is 6.75% throughout. Terrence’s $125,000 per annum computation is correct ($50,000,000 × 0.25%). Correction to the email: the coupon is set in Indenture §2.01(e) (and in the §1.01 “Class C Notes” and “Class C Interest Distribution Amount” definitions, §5.01(a) Seventh and Exhibit A); §2.03 is the Denominations section.</w:t>
      </w:r>
    </w:p>
    <w:p>
      <w:pPr>
        <w:spacing w:after="120"/>
      </w:pPr>
      <w:r>
        <w:rPr>
          <w:b w:val="0"/>
          <w:i w:val="0"/>
        </w:rPr>
        <w:t>Terrence’s concern that the Description of the Notes may contain further errors was well founded. The same section also misstates the day-count convention for every class (actual/360 vs. 30/360; A-2), every Final Scheduled Payment Date (A-3), and the treatment of interest shortfalls (A-4).</w:t>
      </w:r>
    </w:p>
    <w:p>
      <w:pPr>
        <w:pStyle w:val="Heading1"/>
      </w:pPr>
      <w:r>
        <w:t>IV. Summary Discrepancy Matrix</w:t>
      </w:r>
    </w:p>
    <w:p>
      <w:pPr>
        <w:spacing w:after="80"/>
      </w:pPr>
      <w:r>
        <w:rPr>
          <w:b w:val="0"/>
          <w:i w:val="0"/>
        </w:rPr>
        <w:t>All items, grouped by subject area. Detailed analysis, governing Indenture references and proposed corrections follow in Part V.</w:t>
      </w:r>
    </w:p>
    <w:tbl>
      <w:tblPr>
        <w:tblStyle w:val="TableGrid"/>
        <w:tblW w:type="auto" w:w="0"/>
        <w:jc w:val="center"/>
        <w:tblLook w:firstColumn="1" w:firstRow="1" w:lastColumn="0" w:lastRow="0" w:noHBand="0" w:noVBand="1" w:val="04A0"/>
      </w:tblPr>
      <w:tblGrid>
        <w:gridCol w:w="3120"/>
        <w:gridCol w:w="3120"/>
        <w:gridCol w:w="3120"/>
      </w:tblGrid>
      <w:tr>
        <w:tc>
          <w:tcPr>
            <w:tcW w:type="dxa" w:w="864"/>
            <w:shd w:val="clear" w:color="auto" w:fill="1F2A44"/>
          </w:tcPr>
          <w:p>
            <w:r/>
            <w:r>
              <w:rPr>
                <w:b/>
                <w:color w:val="FFFFFF"/>
                <w:sz w:val="18"/>
              </w:rPr>
              <w:t>No.</w:t>
            </w:r>
          </w:p>
        </w:tc>
        <w:tc>
          <w:tcPr>
            <w:tcW w:type="dxa" w:w="7200"/>
            <w:shd w:val="clear" w:color="auto" w:fill="1F2A44"/>
          </w:tcPr>
          <w:p>
            <w:r/>
            <w:r>
              <w:rPr>
                <w:b/>
                <w:color w:val="FFFFFF"/>
                <w:sz w:val="18"/>
              </w:rPr>
              <w:t>Discrepancy</w:t>
            </w:r>
          </w:p>
        </w:tc>
        <w:tc>
          <w:tcPr>
            <w:tcW w:type="dxa" w:w="1296"/>
            <w:shd w:val="clear" w:color="auto" w:fill="1F2A44"/>
          </w:tcPr>
          <w:p>
            <w:r/>
            <w:r>
              <w:rPr>
                <w:b/>
                <w:color w:val="FFFFFF"/>
                <w:sz w:val="18"/>
              </w:rPr>
              <w:t>Severity</w:t>
            </w:r>
          </w:p>
        </w:tc>
      </w:tr>
      <w:tr>
        <w:tc>
          <w:tcPr>
            <w:tcW w:type="dxa" w:w="864"/>
          </w:tcPr>
          <w:p>
            <w:r/>
            <w:r>
              <w:rPr>
                <w:sz w:val="18"/>
              </w:rPr>
              <w:t>A-1</w:t>
            </w:r>
          </w:p>
        </w:tc>
        <w:tc>
          <w:tcPr>
            <w:tcW w:type="dxa" w:w="7200"/>
          </w:tcPr>
          <w:p>
            <w:r/>
            <w:r>
              <w:rPr>
                <w:sz w:val="18"/>
              </w:rPr>
              <w:t>Class C Note interest rate stated as 6.50% in Description of the Notes (Associate Issue 2 — CONFIRMED)</w:t>
            </w:r>
          </w:p>
        </w:tc>
        <w:tc>
          <w:tcPr>
            <w:tcW w:type="dxa" w:w="1296"/>
          </w:tcPr>
          <w:p>
            <w:r/>
            <w:r>
              <w:rPr>
                <w:b/>
                <w:color w:val="C00000"/>
                <w:sz w:val="18"/>
              </w:rPr>
              <w:t>Critical</w:t>
            </w:r>
          </w:p>
        </w:tc>
      </w:tr>
      <w:tr>
        <w:tc>
          <w:tcPr>
            <w:tcW w:type="dxa" w:w="864"/>
          </w:tcPr>
          <w:p>
            <w:r/>
            <w:r>
              <w:rPr>
                <w:sz w:val="18"/>
              </w:rPr>
              <w:t>A-2</w:t>
            </w:r>
          </w:p>
        </w:tc>
        <w:tc>
          <w:tcPr>
            <w:tcW w:type="dxa" w:w="7200"/>
          </w:tcPr>
          <w:p>
            <w:r/>
            <w:r>
              <w:rPr>
                <w:sz w:val="18"/>
              </w:rPr>
              <w:t>Interest day-count convention — OM states actual/360; Indenture provides 30/360 for every class (NOT flagged by associate)</w:t>
            </w:r>
          </w:p>
        </w:tc>
        <w:tc>
          <w:tcPr>
            <w:tcW w:type="dxa" w:w="1296"/>
          </w:tcPr>
          <w:p>
            <w:r/>
            <w:r>
              <w:rPr>
                <w:b/>
                <w:color w:val="C00000"/>
                <w:sz w:val="18"/>
              </w:rPr>
              <w:t>Critical</w:t>
            </w:r>
          </w:p>
        </w:tc>
      </w:tr>
      <w:tr>
        <w:tc>
          <w:tcPr>
            <w:tcW w:type="dxa" w:w="864"/>
          </w:tcPr>
          <w:p>
            <w:r/>
            <w:r>
              <w:rPr>
                <w:sz w:val="18"/>
              </w:rPr>
              <w:t>A-3</w:t>
            </w:r>
          </w:p>
        </w:tc>
        <w:tc>
          <w:tcPr>
            <w:tcW w:type="dxa" w:w="7200"/>
          </w:tcPr>
          <w:p>
            <w:r/>
            <w:r>
              <w:rPr>
                <w:sz w:val="18"/>
              </w:rPr>
              <w:t>Final Scheduled Payment Dates differ for all five classes</w:t>
            </w:r>
          </w:p>
        </w:tc>
        <w:tc>
          <w:tcPr>
            <w:tcW w:type="dxa" w:w="1296"/>
          </w:tcPr>
          <w:p>
            <w:r/>
            <w:r>
              <w:rPr>
                <w:b/>
                <w:color w:val="C00000"/>
                <w:sz w:val="18"/>
              </w:rPr>
              <w:t>Critical</w:t>
            </w:r>
          </w:p>
        </w:tc>
      </w:tr>
      <w:tr>
        <w:tc>
          <w:tcPr>
            <w:tcW w:type="dxa" w:w="864"/>
          </w:tcPr>
          <w:p>
            <w:r/>
            <w:r>
              <w:rPr>
                <w:sz w:val="18"/>
              </w:rPr>
              <w:t>A-4</w:t>
            </w:r>
          </w:p>
        </w:tc>
        <w:tc>
          <w:tcPr>
            <w:tcW w:type="dxa" w:w="7200"/>
          </w:tcPr>
          <w:p>
            <w:r/>
            <w:r>
              <w:rPr>
                <w:sz w:val="18"/>
              </w:rPr>
              <w:t>Interest-on-interest for interest shortfalls</w:t>
            </w:r>
          </w:p>
        </w:tc>
        <w:tc>
          <w:tcPr>
            <w:tcW w:type="dxa" w:w="1296"/>
          </w:tcPr>
          <w:p>
            <w:r/>
            <w:r>
              <w:rPr>
                <w:b/>
                <w:color w:val="E46C0A"/>
                <w:sz w:val="18"/>
              </w:rPr>
              <w:t>High</w:t>
            </w:r>
          </w:p>
        </w:tc>
      </w:tr>
      <w:tr>
        <w:tc>
          <w:tcPr>
            <w:tcW w:type="dxa" w:w="864"/>
          </w:tcPr>
          <w:p>
            <w:r/>
            <w:r>
              <w:rPr>
                <w:sz w:val="18"/>
              </w:rPr>
              <w:t>A-5</w:t>
            </w:r>
          </w:p>
        </w:tc>
        <w:tc>
          <w:tcPr>
            <w:tcW w:type="dxa" w:w="7200"/>
          </w:tcPr>
          <w:p>
            <w:r/>
            <w:r>
              <w:rPr>
                <w:sz w:val="18"/>
              </w:rPr>
              <w:t>Weighted average note coupon (5.36%) is arithmetically incorrect</w:t>
            </w:r>
          </w:p>
        </w:tc>
        <w:tc>
          <w:tcPr>
            <w:tcW w:type="dxa" w:w="1296"/>
          </w:tcPr>
          <w:p>
            <w:r/>
            <w:r>
              <w:rPr>
                <w:b/>
                <w:color w:val="BF9000"/>
                <w:sz w:val="18"/>
              </w:rPr>
              <w:t>Medium</w:t>
            </w:r>
          </w:p>
        </w:tc>
      </w:tr>
      <w:tr>
        <w:tc>
          <w:tcPr>
            <w:tcW w:type="dxa" w:w="864"/>
          </w:tcPr>
          <w:p>
            <w:r/>
            <w:r>
              <w:rPr>
                <w:sz w:val="18"/>
              </w:rPr>
              <w:t>A-6</w:t>
            </w:r>
          </w:p>
        </w:tc>
        <w:tc>
          <w:tcPr>
            <w:tcW w:type="dxa" w:w="7200"/>
          </w:tcPr>
          <w:p>
            <w:r/>
            <w:r>
              <w:rPr>
                <w:sz w:val="18"/>
              </w:rPr>
              <w:t>Expected WAL figures rounded differently within the OM</w:t>
            </w:r>
          </w:p>
        </w:tc>
        <w:tc>
          <w:tcPr>
            <w:tcW w:type="dxa" w:w="1296"/>
          </w:tcPr>
          <w:p>
            <w:r/>
            <w:r>
              <w:rPr>
                <w:b/>
                <w:color w:val="548235"/>
                <w:sz w:val="18"/>
              </w:rPr>
              <w:t>Low</w:t>
            </w:r>
          </w:p>
        </w:tc>
      </w:tr>
      <w:tr>
        <w:tc>
          <w:tcPr>
            <w:tcW w:type="dxa" w:w="864"/>
          </w:tcPr>
          <w:p>
            <w:r/>
            <w:r>
              <w:rPr>
                <w:sz w:val="18"/>
              </w:rPr>
              <w:t>A-7</w:t>
            </w:r>
          </w:p>
        </w:tc>
        <w:tc>
          <w:tcPr>
            <w:tcW w:type="dxa" w:w="7200"/>
          </w:tcPr>
          <w:p>
            <w:r/>
            <w:r>
              <w:rPr>
                <w:sz w:val="18"/>
              </w:rPr>
              <w:t>First Collection Period and first interest accrual period not accurately described</w:t>
            </w:r>
          </w:p>
        </w:tc>
        <w:tc>
          <w:tcPr>
            <w:tcW w:type="dxa" w:w="1296"/>
          </w:tcPr>
          <w:p>
            <w:r/>
            <w:r>
              <w:rPr>
                <w:b/>
                <w:color w:val="BF9000"/>
                <w:sz w:val="18"/>
              </w:rPr>
              <w:t>Medium</w:t>
            </w:r>
          </w:p>
        </w:tc>
      </w:tr>
      <w:tr>
        <w:tc>
          <w:tcPr>
            <w:tcW w:type="dxa" w:w="864"/>
          </w:tcPr>
          <w:p>
            <w:r/>
            <w:r>
              <w:rPr>
                <w:sz w:val="18"/>
              </w:rPr>
              <w:t>B-1</w:t>
            </w:r>
          </w:p>
        </w:tc>
        <w:tc>
          <w:tcPr>
            <w:tcW w:type="dxa" w:w="7200"/>
          </w:tcPr>
          <w:p>
            <w:r/>
            <w:r>
              <w:rPr>
                <w:sz w:val="18"/>
              </w:rPr>
              <w:t>Reserve Account replenishment placed ahead of Class B and Class C principal (Associate Issue 1 — CONFIRMED, with citation corrections)</w:t>
            </w:r>
          </w:p>
        </w:tc>
        <w:tc>
          <w:tcPr>
            <w:tcW w:type="dxa" w:w="1296"/>
          </w:tcPr>
          <w:p>
            <w:r/>
            <w:r>
              <w:rPr>
                <w:b/>
                <w:color w:val="C00000"/>
                <w:sz w:val="18"/>
              </w:rPr>
              <w:t>Critical</w:t>
            </w:r>
          </w:p>
        </w:tc>
      </w:tr>
      <w:tr>
        <w:tc>
          <w:tcPr>
            <w:tcW w:type="dxa" w:w="864"/>
          </w:tcPr>
          <w:p>
            <w:r/>
            <w:r>
              <w:rPr>
                <w:sz w:val="18"/>
              </w:rPr>
              <w:t>B-2</w:t>
            </w:r>
          </w:p>
        </w:tc>
        <w:tc>
          <w:tcPr>
            <w:tcW w:type="dxa" w:w="7200"/>
          </w:tcPr>
          <w:p>
            <w:r/>
            <w:r>
              <w:rPr>
                <w:sz w:val="18"/>
              </w:rPr>
              <w:t>Servicing Fee base — OM uses outstanding note balance; Indenture uses Pool Balance</w:t>
            </w:r>
          </w:p>
        </w:tc>
        <w:tc>
          <w:tcPr>
            <w:tcW w:type="dxa" w:w="1296"/>
          </w:tcPr>
          <w:p>
            <w:r/>
            <w:r>
              <w:rPr>
                <w:b/>
                <w:color w:val="E46C0A"/>
                <w:sz w:val="18"/>
              </w:rPr>
              <w:t>High</w:t>
            </w:r>
          </w:p>
        </w:tc>
      </w:tr>
      <w:tr>
        <w:tc>
          <w:tcPr>
            <w:tcW w:type="dxa" w:w="864"/>
          </w:tcPr>
          <w:p>
            <w:r/>
            <w:r>
              <w:rPr>
                <w:sz w:val="18"/>
              </w:rPr>
              <w:t>B-3</w:t>
            </w:r>
          </w:p>
        </w:tc>
        <w:tc>
          <w:tcPr>
            <w:tcW w:type="dxa" w:w="7200"/>
          </w:tcPr>
          <w:p>
            <w:r/>
            <w:r>
              <w:rPr>
                <w:sz w:val="18"/>
              </w:rPr>
              <w:t>Indenture Trustee Fee priority — OM describes it as first priority; Indenture makes it second</w:t>
            </w:r>
          </w:p>
        </w:tc>
        <w:tc>
          <w:tcPr>
            <w:tcW w:type="dxa" w:w="1296"/>
          </w:tcPr>
          <w:p>
            <w:r/>
            <w:r>
              <w:rPr>
                <w:b/>
                <w:color w:val="BF9000"/>
                <w:sz w:val="18"/>
              </w:rPr>
              <w:t>Medium</w:t>
            </w:r>
          </w:p>
        </w:tc>
      </w:tr>
      <w:tr>
        <w:tc>
          <w:tcPr>
            <w:tcW w:type="dxa" w:w="864"/>
          </w:tcPr>
          <w:p>
            <w:r/>
            <w:r>
              <w:rPr>
                <w:sz w:val="18"/>
              </w:rPr>
              <w:t>B-4</w:t>
            </w:r>
          </w:p>
        </w:tc>
        <w:tc>
          <w:tcPr>
            <w:tcW w:type="dxa" w:w="7200"/>
          </w:tcPr>
          <w:p>
            <w:r/>
            <w:r>
              <w:rPr>
                <w:sz w:val="18"/>
              </w:rPr>
              <w:t>Trigger Event (turbo) waterfall mechanics misdescribed</w:t>
            </w:r>
          </w:p>
        </w:tc>
        <w:tc>
          <w:tcPr>
            <w:tcW w:type="dxa" w:w="1296"/>
          </w:tcPr>
          <w:p>
            <w:r/>
            <w:r>
              <w:rPr>
                <w:b/>
                <w:color w:val="E46C0A"/>
                <w:sz w:val="18"/>
              </w:rPr>
              <w:t>High</w:t>
            </w:r>
          </w:p>
        </w:tc>
      </w:tr>
      <w:tr>
        <w:tc>
          <w:tcPr>
            <w:tcW w:type="dxa" w:w="864"/>
          </w:tcPr>
          <w:p>
            <w:r/>
            <w:r>
              <w:rPr>
                <w:sz w:val="18"/>
              </w:rPr>
              <w:t>B-5</w:t>
            </w:r>
          </w:p>
        </w:tc>
        <w:tc>
          <w:tcPr>
            <w:tcW w:type="dxa" w:w="7200"/>
          </w:tcPr>
          <w:p>
            <w:r/>
            <w:r>
              <w:rPr>
                <w:sz w:val="18"/>
              </w:rPr>
              <w:t>Release of excess spread to the Certificateholder once Target OC is reached — no corresponding Indenture mechanic</w:t>
            </w:r>
          </w:p>
        </w:tc>
        <w:tc>
          <w:tcPr>
            <w:tcW w:type="dxa" w:w="1296"/>
          </w:tcPr>
          <w:p>
            <w:r/>
            <w:r>
              <w:rPr>
                <w:b/>
                <w:color w:val="E46C0A"/>
                <w:sz w:val="18"/>
              </w:rPr>
              <w:t>High</w:t>
            </w:r>
          </w:p>
        </w:tc>
      </w:tr>
      <w:tr>
        <w:tc>
          <w:tcPr>
            <w:tcW w:type="dxa" w:w="864"/>
          </w:tcPr>
          <w:p>
            <w:r/>
            <w:r>
              <w:rPr>
                <w:sz w:val="18"/>
              </w:rPr>
              <w:t>C-1</w:t>
            </w:r>
          </w:p>
        </w:tc>
        <w:tc>
          <w:tcPr>
            <w:tcW w:type="dxa" w:w="7200"/>
          </w:tcPr>
          <w:p>
            <w:r/>
            <w:r>
              <w:rPr>
                <w:sz w:val="18"/>
              </w:rPr>
              <w:t>Minimum OC Amount — fixed $10,684,500 (1.50% of initial pool) in OM vs. 1.50% of current Pool Balance in Indenture</w:t>
            </w:r>
          </w:p>
        </w:tc>
        <w:tc>
          <w:tcPr>
            <w:tcW w:type="dxa" w:w="1296"/>
          </w:tcPr>
          <w:p>
            <w:r/>
            <w:r>
              <w:rPr>
                <w:b/>
                <w:color w:val="C00000"/>
                <w:sz w:val="18"/>
              </w:rPr>
              <w:t>Critical</w:t>
            </w:r>
          </w:p>
        </w:tc>
      </w:tr>
      <w:tr>
        <w:tc>
          <w:tcPr>
            <w:tcW w:type="dxa" w:w="864"/>
          </w:tcPr>
          <w:p>
            <w:r/>
            <w:r>
              <w:rPr>
                <w:sz w:val="18"/>
              </w:rPr>
              <w:t>C-2</w:t>
            </w:r>
          </w:p>
        </w:tc>
        <w:tc>
          <w:tcPr>
            <w:tcW w:type="dxa" w:w="7200"/>
          </w:tcPr>
          <w:p>
            <w:r/>
            <w:r>
              <w:rPr>
                <w:sz w:val="18"/>
              </w:rPr>
              <w:t>Reserve Account Required Balance — OM omits the $3,437,500 floor</w:t>
            </w:r>
          </w:p>
        </w:tc>
        <w:tc>
          <w:tcPr>
            <w:tcW w:type="dxa" w:w="1296"/>
          </w:tcPr>
          <w:p>
            <w:r/>
            <w:r>
              <w:rPr>
                <w:b/>
                <w:color w:val="E46C0A"/>
                <w:sz w:val="18"/>
              </w:rPr>
              <w:t>High</w:t>
            </w:r>
          </w:p>
        </w:tc>
      </w:tr>
      <w:tr>
        <w:tc>
          <w:tcPr>
            <w:tcW w:type="dxa" w:w="864"/>
          </w:tcPr>
          <w:p>
            <w:r/>
            <w:r>
              <w:rPr>
                <w:sz w:val="18"/>
              </w:rPr>
              <w:t>C-3</w:t>
            </w:r>
          </w:p>
        </w:tc>
        <w:tc>
          <w:tcPr>
            <w:tcW w:type="dxa" w:w="7200"/>
          </w:tcPr>
          <w:p>
            <w:r/>
            <w:r>
              <w:rPr>
                <w:sz w:val="18"/>
              </w:rPr>
              <w:t>Scope of Reserve Account draws — OM includes required principal; Indenture limits draws to fees and interest</w:t>
            </w:r>
          </w:p>
        </w:tc>
        <w:tc>
          <w:tcPr>
            <w:tcW w:type="dxa" w:w="1296"/>
          </w:tcPr>
          <w:p>
            <w:r/>
            <w:r>
              <w:rPr>
                <w:b/>
                <w:color w:val="E46C0A"/>
                <w:sz w:val="18"/>
              </w:rPr>
              <w:t>High</w:t>
            </w:r>
          </w:p>
        </w:tc>
      </w:tr>
      <w:tr>
        <w:tc>
          <w:tcPr>
            <w:tcW w:type="dxa" w:w="864"/>
          </w:tcPr>
          <w:p>
            <w:r/>
            <w:r>
              <w:rPr>
                <w:sz w:val="18"/>
              </w:rPr>
              <w:t>C-4</w:t>
            </w:r>
          </w:p>
        </w:tc>
        <w:tc>
          <w:tcPr>
            <w:tcW w:type="dxa" w:w="7200"/>
          </w:tcPr>
          <w:p>
            <w:r/>
            <w:r>
              <w:rPr>
                <w:sz w:val="18"/>
              </w:rPr>
              <w:t>Reserve Account excess release and investment earnings</w:t>
            </w:r>
          </w:p>
        </w:tc>
        <w:tc>
          <w:tcPr>
            <w:tcW w:type="dxa" w:w="1296"/>
          </w:tcPr>
          <w:p>
            <w:r/>
            <w:r>
              <w:rPr>
                <w:b/>
                <w:color w:val="BF9000"/>
                <w:sz w:val="18"/>
              </w:rPr>
              <w:t>Medium</w:t>
            </w:r>
          </w:p>
        </w:tc>
      </w:tr>
      <w:tr>
        <w:tc>
          <w:tcPr>
            <w:tcW w:type="dxa" w:w="864"/>
          </w:tcPr>
          <w:p>
            <w:r/>
            <w:r>
              <w:rPr>
                <w:sz w:val="18"/>
              </w:rPr>
              <w:t>C-5</w:t>
            </w:r>
          </w:p>
        </w:tc>
        <w:tc>
          <w:tcPr>
            <w:tcW w:type="dxa" w:w="7200"/>
          </w:tcPr>
          <w:p>
            <w:r/>
            <w:r>
              <w:rPr>
                <w:sz w:val="18"/>
              </w:rPr>
              <w:t>Target OC Amount measurement date</w:t>
            </w:r>
          </w:p>
        </w:tc>
        <w:tc>
          <w:tcPr>
            <w:tcW w:type="dxa" w:w="1296"/>
          </w:tcPr>
          <w:p>
            <w:r/>
            <w:r>
              <w:rPr>
                <w:b/>
                <w:color w:val="548235"/>
                <w:sz w:val="18"/>
              </w:rPr>
              <w:t>Low</w:t>
            </w:r>
          </w:p>
        </w:tc>
      </w:tr>
      <w:tr>
        <w:tc>
          <w:tcPr>
            <w:tcW w:type="dxa" w:w="864"/>
          </w:tcPr>
          <w:p>
            <w:r/>
            <w:r>
              <w:rPr>
                <w:sz w:val="18"/>
              </w:rPr>
              <w:t>D-1</w:t>
            </w:r>
          </w:p>
        </w:tc>
        <w:tc>
          <w:tcPr>
            <w:tcW w:type="dxa" w:w="7200"/>
          </w:tcPr>
          <w:p>
            <w:r/>
            <w:r>
              <w:rPr>
                <w:sz w:val="18"/>
              </w:rPr>
              <w:t>“Defaulted Receivable” — 90 days/repossession in OM vs. 120 days in Indenture</w:t>
            </w:r>
          </w:p>
        </w:tc>
        <w:tc>
          <w:tcPr>
            <w:tcW w:type="dxa" w:w="1296"/>
          </w:tcPr>
          <w:p>
            <w:r/>
            <w:r>
              <w:rPr>
                <w:b/>
                <w:color w:val="C00000"/>
                <w:sz w:val="18"/>
              </w:rPr>
              <w:t>Critical</w:t>
            </w:r>
          </w:p>
        </w:tc>
      </w:tr>
      <w:tr>
        <w:tc>
          <w:tcPr>
            <w:tcW w:type="dxa" w:w="864"/>
          </w:tcPr>
          <w:p>
            <w:r/>
            <w:r>
              <w:rPr>
                <w:sz w:val="18"/>
              </w:rPr>
              <w:t>D-2</w:t>
            </w:r>
          </w:p>
        </w:tc>
        <w:tc>
          <w:tcPr>
            <w:tcW w:type="dxa" w:w="7200"/>
          </w:tcPr>
          <w:p>
            <w:r/>
            <w:r>
              <w:rPr>
                <w:sz w:val="18"/>
              </w:rPr>
              <w:t>“Business Day” omits Wilmington, Delaware</w:t>
            </w:r>
          </w:p>
        </w:tc>
        <w:tc>
          <w:tcPr>
            <w:tcW w:type="dxa" w:w="1296"/>
          </w:tcPr>
          <w:p>
            <w:r/>
            <w:r>
              <w:rPr>
                <w:b/>
                <w:color w:val="BF9000"/>
                <w:sz w:val="18"/>
              </w:rPr>
              <w:t>Medium</w:t>
            </w:r>
          </w:p>
        </w:tc>
      </w:tr>
      <w:tr>
        <w:tc>
          <w:tcPr>
            <w:tcW w:type="dxa" w:w="864"/>
          </w:tcPr>
          <w:p>
            <w:r/>
            <w:r>
              <w:rPr>
                <w:sz w:val="18"/>
              </w:rPr>
              <w:t>D-3</w:t>
            </w:r>
          </w:p>
        </w:tc>
        <w:tc>
          <w:tcPr>
            <w:tcW w:type="dxa" w:w="7200"/>
          </w:tcPr>
          <w:p>
            <w:r/>
            <w:r>
              <w:rPr>
                <w:sz w:val="18"/>
              </w:rPr>
              <w:t>“Cumulative Net Loss Rate” computation</w:t>
            </w:r>
          </w:p>
        </w:tc>
        <w:tc>
          <w:tcPr>
            <w:tcW w:type="dxa" w:w="1296"/>
          </w:tcPr>
          <w:p>
            <w:r/>
            <w:r>
              <w:rPr>
                <w:b/>
                <w:color w:val="BF9000"/>
                <w:sz w:val="18"/>
              </w:rPr>
              <w:t>Medium</w:t>
            </w:r>
          </w:p>
        </w:tc>
      </w:tr>
      <w:tr>
        <w:tc>
          <w:tcPr>
            <w:tcW w:type="dxa" w:w="864"/>
          </w:tcPr>
          <w:p>
            <w:r/>
            <w:r>
              <w:rPr>
                <w:sz w:val="18"/>
              </w:rPr>
              <w:t>D-4</w:t>
            </w:r>
          </w:p>
        </w:tc>
        <w:tc>
          <w:tcPr>
            <w:tcW w:type="dxa" w:w="7200"/>
          </w:tcPr>
          <w:p>
            <w:r/>
            <w:r>
              <w:rPr>
                <w:sz w:val="18"/>
              </w:rPr>
              <w:t>“Financed Vehicle” and collateral description — vehicle types</w:t>
            </w:r>
          </w:p>
        </w:tc>
        <w:tc>
          <w:tcPr>
            <w:tcW w:type="dxa" w:w="1296"/>
          </w:tcPr>
          <w:p>
            <w:r/>
            <w:r>
              <w:rPr>
                <w:b/>
                <w:color w:val="548235"/>
                <w:sz w:val="18"/>
              </w:rPr>
              <w:t>Low</w:t>
            </w:r>
          </w:p>
        </w:tc>
      </w:tr>
      <w:tr>
        <w:tc>
          <w:tcPr>
            <w:tcW w:type="dxa" w:w="864"/>
          </w:tcPr>
          <w:p>
            <w:r/>
            <w:r>
              <w:rPr>
                <w:sz w:val="18"/>
              </w:rPr>
              <w:t>D-5</w:t>
            </w:r>
          </w:p>
        </w:tc>
        <w:tc>
          <w:tcPr>
            <w:tcW w:type="dxa" w:w="7200"/>
          </w:tcPr>
          <w:p>
            <w:r/>
            <w:r>
              <w:rPr>
                <w:sz w:val="18"/>
              </w:rPr>
              <w:t>Transaction document names and dates — “Servicing Agreement” and “Trust Agreement”</w:t>
            </w:r>
          </w:p>
        </w:tc>
        <w:tc>
          <w:tcPr>
            <w:tcW w:type="dxa" w:w="1296"/>
          </w:tcPr>
          <w:p>
            <w:r/>
            <w:r>
              <w:rPr>
                <w:b/>
                <w:color w:val="BF9000"/>
                <w:sz w:val="18"/>
              </w:rPr>
              <w:t>Medium</w:t>
            </w:r>
          </w:p>
        </w:tc>
      </w:tr>
      <w:tr>
        <w:tc>
          <w:tcPr>
            <w:tcW w:type="dxa" w:w="864"/>
          </w:tcPr>
          <w:p>
            <w:r/>
            <w:r>
              <w:rPr>
                <w:sz w:val="18"/>
              </w:rPr>
              <w:t>D-6</w:t>
            </w:r>
          </w:p>
        </w:tc>
        <w:tc>
          <w:tcPr>
            <w:tcW w:type="dxa" w:w="7200"/>
          </w:tcPr>
          <w:p>
            <w:r/>
            <w:r>
              <w:rPr>
                <w:sz w:val="18"/>
              </w:rPr>
              <w:t>Defined terms and accounts in the Indenture not carried into the OM</w:t>
            </w:r>
          </w:p>
        </w:tc>
        <w:tc>
          <w:tcPr>
            <w:tcW w:type="dxa" w:w="1296"/>
          </w:tcPr>
          <w:p>
            <w:r/>
            <w:r>
              <w:rPr>
                <w:b/>
                <w:color w:val="BF9000"/>
                <w:sz w:val="18"/>
              </w:rPr>
              <w:t>Medium</w:t>
            </w:r>
          </w:p>
        </w:tc>
      </w:tr>
      <w:tr>
        <w:tc>
          <w:tcPr>
            <w:tcW w:type="dxa" w:w="864"/>
          </w:tcPr>
          <w:p>
            <w:r/>
            <w:r>
              <w:rPr>
                <w:sz w:val="18"/>
              </w:rPr>
              <w:t>E-1</w:t>
            </w:r>
          </w:p>
        </w:tc>
        <w:tc>
          <w:tcPr>
            <w:tcW w:type="dxa" w:w="7200"/>
          </w:tcPr>
          <w:p>
            <w:r/>
            <w:r>
              <w:rPr>
                <w:sz w:val="18"/>
              </w:rPr>
              <w:t>Cumulative Net Loss Trigger Table — final period level 5.75% vs. 6.00%</w:t>
            </w:r>
          </w:p>
        </w:tc>
        <w:tc>
          <w:tcPr>
            <w:tcW w:type="dxa" w:w="1296"/>
          </w:tcPr>
          <w:p>
            <w:r/>
            <w:r>
              <w:rPr>
                <w:b/>
                <w:color w:val="E46C0A"/>
                <w:sz w:val="18"/>
              </w:rPr>
              <w:t>High</w:t>
            </w:r>
          </w:p>
        </w:tc>
      </w:tr>
      <w:tr>
        <w:tc>
          <w:tcPr>
            <w:tcW w:type="dxa" w:w="864"/>
          </w:tcPr>
          <w:p>
            <w:r/>
            <w:r>
              <w:rPr>
                <w:sz w:val="18"/>
              </w:rPr>
              <w:t>E-2</w:t>
            </w:r>
          </w:p>
        </w:tc>
        <w:tc>
          <w:tcPr>
            <w:tcW w:type="dxa" w:w="7200"/>
          </w:tcPr>
          <w:p>
            <w:r/>
            <w:r>
              <w:rPr>
                <w:sz w:val="18"/>
              </w:rPr>
              <w:t>Servicer report delivery date</w:t>
            </w:r>
          </w:p>
        </w:tc>
        <w:tc>
          <w:tcPr>
            <w:tcW w:type="dxa" w:w="1296"/>
          </w:tcPr>
          <w:p>
            <w:r/>
            <w:r>
              <w:rPr>
                <w:b/>
                <w:color w:val="BF9000"/>
                <w:sz w:val="18"/>
              </w:rPr>
              <w:t>Medium</w:t>
            </w:r>
          </w:p>
        </w:tc>
      </w:tr>
      <w:tr>
        <w:tc>
          <w:tcPr>
            <w:tcW w:type="dxa" w:w="864"/>
          </w:tcPr>
          <w:p>
            <w:r/>
            <w:r>
              <w:rPr>
                <w:sz w:val="18"/>
              </w:rPr>
              <w:t>E-3</w:t>
            </w:r>
          </w:p>
        </w:tc>
        <w:tc>
          <w:tcPr>
            <w:tcW w:type="dxa" w:w="7200"/>
          </w:tcPr>
          <w:p>
            <w:r/>
            <w:r>
              <w:rPr>
                <w:sz w:val="18"/>
              </w:rPr>
              <w:t>Delinquency reporting buckets</w:t>
            </w:r>
          </w:p>
        </w:tc>
        <w:tc>
          <w:tcPr>
            <w:tcW w:type="dxa" w:w="1296"/>
          </w:tcPr>
          <w:p>
            <w:r/>
            <w:r>
              <w:rPr>
                <w:b/>
                <w:color w:val="548235"/>
                <w:sz w:val="18"/>
              </w:rPr>
              <w:t>Low</w:t>
            </w:r>
          </w:p>
        </w:tc>
      </w:tr>
      <w:tr>
        <w:tc>
          <w:tcPr>
            <w:tcW w:type="dxa" w:w="864"/>
          </w:tcPr>
          <w:p>
            <w:r/>
            <w:r>
              <w:rPr>
                <w:sz w:val="18"/>
              </w:rPr>
              <w:t>E-4</w:t>
            </w:r>
          </w:p>
        </w:tc>
        <w:tc>
          <w:tcPr>
            <w:tcW w:type="dxa" w:w="7200"/>
          </w:tcPr>
          <w:p>
            <w:r/>
            <w:r>
              <w:rPr>
                <w:sz w:val="18"/>
              </w:rPr>
              <w:t>Trigger cure language — minor wording</w:t>
            </w:r>
          </w:p>
        </w:tc>
        <w:tc>
          <w:tcPr>
            <w:tcW w:type="dxa" w:w="1296"/>
          </w:tcPr>
          <w:p>
            <w:r/>
            <w:r>
              <w:rPr>
                <w:b/>
                <w:color w:val="548235"/>
                <w:sz w:val="18"/>
              </w:rPr>
              <w:t>Low</w:t>
            </w:r>
          </w:p>
        </w:tc>
      </w:tr>
      <w:tr>
        <w:tc>
          <w:tcPr>
            <w:tcW w:type="dxa" w:w="864"/>
          </w:tcPr>
          <w:p>
            <w:r/>
            <w:r>
              <w:rPr>
                <w:sz w:val="18"/>
              </w:rPr>
              <w:t>F-1</w:t>
            </w:r>
          </w:p>
        </w:tc>
        <w:tc>
          <w:tcPr>
            <w:tcW w:type="dxa" w:w="7200"/>
          </w:tcPr>
          <w:p>
            <w:r/>
            <w:r>
              <w:rPr>
                <w:sz w:val="18"/>
              </w:rPr>
              <w:t>Back-Up Servicer (Granite Loan Servicing LLC) omitted from OM entirely</w:t>
            </w:r>
          </w:p>
        </w:tc>
        <w:tc>
          <w:tcPr>
            <w:tcW w:type="dxa" w:w="1296"/>
          </w:tcPr>
          <w:p>
            <w:r/>
            <w:r>
              <w:rPr>
                <w:b/>
                <w:color w:val="E46C0A"/>
                <w:sz w:val="18"/>
              </w:rPr>
              <w:t>High</w:t>
            </w:r>
          </w:p>
        </w:tc>
      </w:tr>
      <w:tr>
        <w:tc>
          <w:tcPr>
            <w:tcW w:type="dxa" w:w="864"/>
          </w:tcPr>
          <w:p>
            <w:r/>
            <w:r>
              <w:rPr>
                <w:sz w:val="18"/>
              </w:rPr>
              <w:t>F-2</w:t>
            </w:r>
          </w:p>
        </w:tc>
        <w:tc>
          <w:tcPr>
            <w:tcW w:type="dxa" w:w="7200"/>
          </w:tcPr>
          <w:p>
            <w:r/>
            <w:r>
              <w:rPr>
                <w:sz w:val="18"/>
              </w:rPr>
              <w:t>Servicer Termination Events — triggers, cure periods and direction rights</w:t>
            </w:r>
          </w:p>
        </w:tc>
        <w:tc>
          <w:tcPr>
            <w:tcW w:type="dxa" w:w="1296"/>
          </w:tcPr>
          <w:p>
            <w:r/>
            <w:r>
              <w:rPr>
                <w:b/>
                <w:color w:val="E46C0A"/>
                <w:sz w:val="18"/>
              </w:rPr>
              <w:t>High</w:t>
            </w:r>
          </w:p>
        </w:tc>
      </w:tr>
      <w:tr>
        <w:tc>
          <w:tcPr>
            <w:tcW w:type="dxa" w:w="864"/>
          </w:tcPr>
          <w:p>
            <w:r/>
            <w:r>
              <w:rPr>
                <w:sz w:val="18"/>
              </w:rPr>
              <w:t>F-3</w:t>
            </w:r>
          </w:p>
        </w:tc>
        <w:tc>
          <w:tcPr>
            <w:tcW w:type="dxa" w:w="7200"/>
          </w:tcPr>
          <w:p>
            <w:r/>
            <w:r>
              <w:rPr>
                <w:sz w:val="18"/>
              </w:rPr>
              <w:t>Servicing standard and collection-effort wording</w:t>
            </w:r>
          </w:p>
        </w:tc>
        <w:tc>
          <w:tcPr>
            <w:tcW w:type="dxa" w:w="1296"/>
          </w:tcPr>
          <w:p>
            <w:r/>
            <w:r>
              <w:rPr>
                <w:b/>
                <w:color w:val="548235"/>
                <w:sz w:val="18"/>
              </w:rPr>
              <w:t>Low</w:t>
            </w:r>
          </w:p>
        </w:tc>
      </w:tr>
      <w:tr>
        <w:tc>
          <w:tcPr>
            <w:tcW w:type="dxa" w:w="864"/>
          </w:tcPr>
          <w:p>
            <w:r/>
            <w:r>
              <w:rPr>
                <w:sz w:val="18"/>
              </w:rPr>
              <w:t>G-1</w:t>
            </w:r>
          </w:p>
        </w:tc>
        <w:tc>
          <w:tcPr>
            <w:tcW w:type="dxa" w:w="7200"/>
          </w:tcPr>
          <w:p>
            <w:r/>
            <w:r>
              <w:rPr>
                <w:sz w:val="18"/>
              </w:rPr>
              <w:t>Maximum original term — 72 months in OM vs. 75 months in Indenture</w:t>
            </w:r>
          </w:p>
        </w:tc>
        <w:tc>
          <w:tcPr>
            <w:tcW w:type="dxa" w:w="1296"/>
          </w:tcPr>
          <w:p>
            <w:r/>
            <w:r>
              <w:rPr>
                <w:b/>
                <w:color w:val="E46C0A"/>
                <w:sz w:val="18"/>
              </w:rPr>
              <w:t>High</w:t>
            </w:r>
          </w:p>
        </w:tc>
      </w:tr>
      <w:tr>
        <w:tc>
          <w:tcPr>
            <w:tcW w:type="dxa" w:w="864"/>
          </w:tcPr>
          <w:p>
            <w:r/>
            <w:r>
              <w:rPr>
                <w:sz w:val="18"/>
              </w:rPr>
              <w:t>G-2</w:t>
            </w:r>
          </w:p>
        </w:tc>
        <w:tc>
          <w:tcPr>
            <w:tcW w:type="dxa" w:w="7200"/>
          </w:tcPr>
          <w:p>
            <w:r/>
            <w:r>
              <w:rPr>
                <w:sz w:val="18"/>
              </w:rPr>
              <w:t>Date as of which the Receivables representations are made</w:t>
            </w:r>
          </w:p>
        </w:tc>
        <w:tc>
          <w:tcPr>
            <w:tcW w:type="dxa" w:w="1296"/>
          </w:tcPr>
          <w:p>
            <w:r/>
            <w:r>
              <w:rPr>
                <w:b/>
                <w:color w:val="E46C0A"/>
                <w:sz w:val="18"/>
              </w:rPr>
              <w:t>High</w:t>
            </w:r>
          </w:p>
        </w:tc>
      </w:tr>
      <w:tr>
        <w:tc>
          <w:tcPr>
            <w:tcW w:type="dxa" w:w="864"/>
          </w:tcPr>
          <w:p>
            <w:r/>
            <w:r>
              <w:rPr>
                <w:sz w:val="18"/>
              </w:rPr>
              <w:t>G-3</w:t>
            </w:r>
          </w:p>
        </w:tc>
        <w:tc>
          <w:tcPr>
            <w:tcW w:type="dxa" w:w="7200"/>
          </w:tcPr>
          <w:p>
            <w:r/>
            <w:r>
              <w:rPr>
                <w:sz w:val="18"/>
              </w:rPr>
              <w:t>Representations listed in the OM but not in Indenture §8.01, and vice versa</w:t>
            </w:r>
          </w:p>
        </w:tc>
        <w:tc>
          <w:tcPr>
            <w:tcW w:type="dxa" w:w="1296"/>
          </w:tcPr>
          <w:p>
            <w:r/>
            <w:r>
              <w:rPr>
                <w:b/>
                <w:color w:val="BF9000"/>
                <w:sz w:val="18"/>
              </w:rPr>
              <w:t>Medium</w:t>
            </w:r>
          </w:p>
        </w:tc>
      </w:tr>
      <w:tr>
        <w:tc>
          <w:tcPr>
            <w:tcW w:type="dxa" w:w="864"/>
          </w:tcPr>
          <w:p>
            <w:r/>
            <w:r>
              <w:rPr>
                <w:sz w:val="18"/>
              </w:rPr>
              <w:t>G-4</w:t>
            </w:r>
          </w:p>
        </w:tc>
        <w:tc>
          <w:tcPr>
            <w:tcW w:type="dxa" w:w="7200"/>
          </w:tcPr>
          <w:p>
            <w:r/>
            <w:r>
              <w:rPr>
                <w:sz w:val="18"/>
              </w:rPr>
              <w:t>Loan-to-value methodology</w:t>
            </w:r>
          </w:p>
        </w:tc>
        <w:tc>
          <w:tcPr>
            <w:tcW w:type="dxa" w:w="1296"/>
          </w:tcPr>
          <w:p>
            <w:r/>
            <w:r>
              <w:rPr>
                <w:b/>
                <w:color w:val="BF9000"/>
                <w:sz w:val="18"/>
              </w:rPr>
              <w:t>Medium</w:t>
            </w:r>
          </w:p>
        </w:tc>
      </w:tr>
      <w:tr>
        <w:tc>
          <w:tcPr>
            <w:tcW w:type="dxa" w:w="864"/>
          </w:tcPr>
          <w:p>
            <w:r/>
            <w:r>
              <w:rPr>
                <w:sz w:val="18"/>
              </w:rPr>
              <w:t>G-5</w:t>
            </w:r>
          </w:p>
        </w:tc>
        <w:tc>
          <w:tcPr>
            <w:tcW w:type="dxa" w:w="7200"/>
          </w:tcPr>
          <w:p>
            <w:r/>
            <w:r>
              <w:rPr>
                <w:sz w:val="18"/>
              </w:rPr>
              <w:t>Repurchase mechanics — cure period, trigger, who may give notice, remittance</w:t>
            </w:r>
          </w:p>
        </w:tc>
        <w:tc>
          <w:tcPr>
            <w:tcW w:type="dxa" w:w="1296"/>
          </w:tcPr>
          <w:p>
            <w:r/>
            <w:r>
              <w:rPr>
                <w:b/>
                <w:color w:val="E46C0A"/>
                <w:sz w:val="18"/>
              </w:rPr>
              <w:t>High</w:t>
            </w:r>
          </w:p>
        </w:tc>
      </w:tr>
      <w:tr>
        <w:tc>
          <w:tcPr>
            <w:tcW w:type="dxa" w:w="864"/>
          </w:tcPr>
          <w:p>
            <w:r/>
            <w:r>
              <w:rPr>
                <w:sz w:val="18"/>
              </w:rPr>
              <w:t>H-1</w:t>
            </w:r>
          </w:p>
        </w:tc>
        <w:tc>
          <w:tcPr>
            <w:tcW w:type="dxa" w:w="7200"/>
          </w:tcPr>
          <w:p>
            <w:r/>
            <w:r>
              <w:rPr>
                <w:sz w:val="18"/>
              </w:rPr>
              <w:t>Permitted transfers — OM omits the “other exempt transaction” channel</w:t>
            </w:r>
          </w:p>
        </w:tc>
        <w:tc>
          <w:tcPr>
            <w:tcW w:type="dxa" w:w="1296"/>
          </w:tcPr>
          <w:p>
            <w:r/>
            <w:r>
              <w:rPr>
                <w:b/>
                <w:color w:val="BF9000"/>
                <w:sz w:val="18"/>
              </w:rPr>
              <w:t>Medium</w:t>
            </w:r>
          </w:p>
        </w:tc>
      </w:tr>
      <w:tr>
        <w:tc>
          <w:tcPr>
            <w:tcW w:type="dxa" w:w="864"/>
          </w:tcPr>
          <w:p>
            <w:r/>
            <w:r>
              <w:rPr>
                <w:sz w:val="18"/>
              </w:rPr>
              <w:t>H-2</w:t>
            </w:r>
          </w:p>
        </w:tc>
        <w:tc>
          <w:tcPr>
            <w:tcW w:type="dxa" w:w="7200"/>
          </w:tcPr>
          <w:p>
            <w:r/>
            <w:r>
              <w:rPr>
                <w:sz w:val="18"/>
              </w:rPr>
              <w:t>Transfer certificate vs. deemed representations</w:t>
            </w:r>
          </w:p>
        </w:tc>
        <w:tc>
          <w:tcPr>
            <w:tcW w:type="dxa" w:w="1296"/>
          </w:tcPr>
          <w:p>
            <w:r/>
            <w:r>
              <w:rPr>
                <w:b/>
                <w:color w:val="BF9000"/>
                <w:sz w:val="18"/>
              </w:rPr>
              <w:t>Medium</w:t>
            </w:r>
          </w:p>
        </w:tc>
      </w:tr>
      <w:tr>
        <w:tc>
          <w:tcPr>
            <w:tcW w:type="dxa" w:w="864"/>
          </w:tcPr>
          <w:p>
            <w:r/>
            <w:r>
              <w:rPr>
                <w:sz w:val="18"/>
              </w:rPr>
              <w:t>H-3</w:t>
            </w:r>
          </w:p>
        </w:tc>
        <w:tc>
          <w:tcPr>
            <w:tcW w:type="dxa" w:w="7200"/>
          </w:tcPr>
          <w:p>
            <w:r/>
            <w:r>
              <w:rPr>
                <w:sz w:val="18"/>
              </w:rPr>
              <w:t>ERISA representation</w:t>
            </w:r>
          </w:p>
        </w:tc>
        <w:tc>
          <w:tcPr>
            <w:tcW w:type="dxa" w:w="1296"/>
          </w:tcPr>
          <w:p>
            <w:r/>
            <w:r>
              <w:rPr>
                <w:b/>
                <w:color w:val="BF9000"/>
                <w:sz w:val="18"/>
              </w:rPr>
              <w:t>Medium</w:t>
            </w:r>
          </w:p>
        </w:tc>
      </w:tr>
      <w:tr>
        <w:tc>
          <w:tcPr>
            <w:tcW w:type="dxa" w:w="864"/>
          </w:tcPr>
          <w:p>
            <w:r/>
            <w:r>
              <w:rPr>
                <w:sz w:val="18"/>
              </w:rPr>
              <w:t>H-4</w:t>
            </w:r>
          </w:p>
        </w:tc>
        <w:tc>
          <w:tcPr>
            <w:tcW w:type="dxa" w:w="7200"/>
          </w:tcPr>
          <w:p>
            <w:r/>
            <w:r>
              <w:rPr>
                <w:sz w:val="18"/>
              </w:rPr>
              <w:t>Rule 144A conditions and legend</w:t>
            </w:r>
          </w:p>
        </w:tc>
        <w:tc>
          <w:tcPr>
            <w:tcW w:type="dxa" w:w="1296"/>
          </w:tcPr>
          <w:p>
            <w:r/>
            <w:r>
              <w:rPr>
                <w:b/>
                <w:color w:val="548235"/>
                <w:sz w:val="18"/>
              </w:rPr>
              <w:t>Low</w:t>
            </w:r>
          </w:p>
        </w:tc>
      </w:tr>
      <w:tr>
        <w:tc>
          <w:tcPr>
            <w:tcW w:type="dxa" w:w="864"/>
          </w:tcPr>
          <w:p>
            <w:r/>
            <w:r>
              <w:rPr>
                <w:sz w:val="18"/>
              </w:rPr>
              <w:t>I-1</w:t>
            </w:r>
          </w:p>
        </w:tc>
        <w:tc>
          <w:tcPr>
            <w:tcW w:type="dxa" w:w="7200"/>
          </w:tcPr>
          <w:p>
            <w:r/>
            <w:r>
              <w:rPr>
                <w:sz w:val="18"/>
              </w:rPr>
              <w:t>Number of Receivables — approximately 31,200 in OM vs. 31,412 in Indenture</w:t>
            </w:r>
          </w:p>
        </w:tc>
        <w:tc>
          <w:tcPr>
            <w:tcW w:type="dxa" w:w="1296"/>
          </w:tcPr>
          <w:p>
            <w:r/>
            <w:r>
              <w:rPr>
                <w:b/>
                <w:color w:val="E46C0A"/>
                <w:sz w:val="18"/>
              </w:rPr>
              <w:t>High</w:t>
            </w:r>
          </w:p>
        </w:tc>
      </w:tr>
      <w:tr>
        <w:tc>
          <w:tcPr>
            <w:tcW w:type="dxa" w:w="864"/>
          </w:tcPr>
          <w:p>
            <w:r/>
            <w:r>
              <w:rPr>
                <w:sz w:val="18"/>
              </w:rPr>
              <w:t>I-2</w:t>
            </w:r>
          </w:p>
        </w:tc>
        <w:tc>
          <w:tcPr>
            <w:tcW w:type="dxa" w:w="7200"/>
          </w:tcPr>
          <w:p>
            <w:r/>
            <w:r>
              <w:rPr>
                <w:sz w:val="18"/>
              </w:rPr>
              <w:t>New/used vehicle mix — 72.8%/27.2% in text vs. 62.4%/37.6% in table and Indenture</w:t>
            </w:r>
          </w:p>
        </w:tc>
        <w:tc>
          <w:tcPr>
            <w:tcW w:type="dxa" w:w="1296"/>
          </w:tcPr>
          <w:p>
            <w:r/>
            <w:r>
              <w:rPr>
                <w:b/>
                <w:color w:val="E46C0A"/>
                <w:sz w:val="18"/>
              </w:rPr>
              <w:t>High</w:t>
            </w:r>
          </w:p>
        </w:tc>
      </w:tr>
      <w:tr>
        <w:tc>
          <w:tcPr>
            <w:tcW w:type="dxa" w:w="864"/>
          </w:tcPr>
          <w:p>
            <w:r/>
            <w:r>
              <w:rPr>
                <w:sz w:val="18"/>
              </w:rPr>
              <w:t>I-3</w:t>
            </w:r>
          </w:p>
        </w:tc>
        <w:tc>
          <w:tcPr>
            <w:tcW w:type="dxa" w:w="7200"/>
          </w:tcPr>
          <w:p>
            <w:r/>
            <w:r>
              <w:rPr>
                <w:sz w:val="18"/>
              </w:rPr>
              <w:t>Aggregate original balance of prior securitizations</w:t>
            </w:r>
          </w:p>
        </w:tc>
        <w:tc>
          <w:tcPr>
            <w:tcW w:type="dxa" w:w="1296"/>
          </w:tcPr>
          <w:p>
            <w:r/>
            <w:r>
              <w:rPr>
                <w:b/>
                <w:color w:val="548235"/>
                <w:sz w:val="18"/>
              </w:rPr>
              <w:t>Low</w:t>
            </w:r>
          </w:p>
        </w:tc>
      </w:tr>
      <w:tr>
        <w:tc>
          <w:tcPr>
            <w:tcW w:type="dxa" w:w="864"/>
          </w:tcPr>
          <w:p>
            <w:r/>
            <w:r>
              <w:rPr>
                <w:sz w:val="18"/>
              </w:rPr>
              <w:t>I-4</w:t>
            </w:r>
          </w:p>
        </w:tc>
        <w:tc>
          <w:tcPr>
            <w:tcW w:type="dxa" w:w="7200"/>
          </w:tcPr>
          <w:p>
            <w:r/>
            <w:r>
              <w:rPr>
                <w:sz w:val="18"/>
              </w:rPr>
              <w:t>Geographic footprint and state-level data</w:t>
            </w:r>
          </w:p>
        </w:tc>
        <w:tc>
          <w:tcPr>
            <w:tcW w:type="dxa" w:w="1296"/>
          </w:tcPr>
          <w:p>
            <w:r/>
            <w:r>
              <w:rPr>
                <w:b/>
                <w:color w:val="548235"/>
                <w:sz w:val="18"/>
              </w:rPr>
              <w:t>Low</w:t>
            </w:r>
          </w:p>
        </w:tc>
      </w:tr>
      <w:tr>
        <w:tc>
          <w:tcPr>
            <w:tcW w:type="dxa" w:w="864"/>
          </w:tcPr>
          <w:p>
            <w:r/>
            <w:r>
              <w:rPr>
                <w:sz w:val="18"/>
              </w:rPr>
              <w:t>J-1</w:t>
            </w:r>
          </w:p>
        </w:tc>
        <w:tc>
          <w:tcPr>
            <w:tcW w:type="dxa" w:w="7200"/>
          </w:tcPr>
          <w:p>
            <w:r/>
            <w:r>
              <w:rPr>
                <w:sz w:val="18"/>
              </w:rPr>
              <w:t>Clean-up call threshold — 10% of initial Note Balance ($68,750,000) vs. 10% of Initial Pool Balance ($71,230,000)</w:t>
            </w:r>
          </w:p>
        </w:tc>
        <w:tc>
          <w:tcPr>
            <w:tcW w:type="dxa" w:w="1296"/>
          </w:tcPr>
          <w:p>
            <w:r/>
            <w:r>
              <w:rPr>
                <w:b/>
                <w:color w:val="E46C0A"/>
                <w:sz w:val="18"/>
              </w:rPr>
              <w:t>High</w:t>
            </w:r>
          </w:p>
        </w:tc>
      </w:tr>
      <w:tr>
        <w:tc>
          <w:tcPr>
            <w:tcW w:type="dxa" w:w="864"/>
          </w:tcPr>
          <w:p>
            <w:r/>
            <w:r>
              <w:rPr>
                <w:sz w:val="18"/>
              </w:rPr>
              <w:t>J-2</w:t>
            </w:r>
          </w:p>
        </w:tc>
        <w:tc>
          <w:tcPr>
            <w:tcW w:type="dxa" w:w="7200"/>
          </w:tcPr>
          <w:p>
            <w:r/>
            <w:r>
              <w:rPr>
                <w:sz w:val="18"/>
              </w:rPr>
              <w:t>Redemption price components and interest accrual end-point</w:t>
            </w:r>
          </w:p>
        </w:tc>
        <w:tc>
          <w:tcPr>
            <w:tcW w:type="dxa" w:w="1296"/>
          </w:tcPr>
          <w:p>
            <w:r/>
            <w:r>
              <w:rPr>
                <w:b/>
                <w:color w:val="BF9000"/>
                <w:sz w:val="18"/>
              </w:rPr>
              <w:t>Medium</w:t>
            </w:r>
          </w:p>
        </w:tc>
      </w:tr>
      <w:tr>
        <w:tc>
          <w:tcPr>
            <w:tcW w:type="dxa" w:w="864"/>
          </w:tcPr>
          <w:p>
            <w:r/>
            <w:r>
              <w:rPr>
                <w:sz w:val="18"/>
              </w:rPr>
              <w:t>J-3</w:t>
            </w:r>
          </w:p>
        </w:tc>
        <w:tc>
          <w:tcPr>
            <w:tcW w:type="dxa" w:w="7200"/>
          </w:tcPr>
          <w:p>
            <w:r/>
            <w:r>
              <w:rPr>
                <w:sz w:val="18"/>
              </w:rPr>
              <w:t>Redemption notice, irrevocability, whole-only exercise and deposit timing</w:t>
            </w:r>
          </w:p>
        </w:tc>
        <w:tc>
          <w:tcPr>
            <w:tcW w:type="dxa" w:w="1296"/>
          </w:tcPr>
          <w:p>
            <w:r/>
            <w:r>
              <w:rPr>
                <w:b/>
                <w:color w:val="BF9000"/>
                <w:sz w:val="18"/>
              </w:rPr>
              <w:t>Medium</w:t>
            </w:r>
          </w:p>
        </w:tc>
      </w:tr>
      <w:tr>
        <w:tc>
          <w:tcPr>
            <w:tcW w:type="dxa" w:w="864"/>
          </w:tcPr>
          <w:p>
            <w:r/>
            <w:r>
              <w:rPr>
                <w:sz w:val="18"/>
              </w:rPr>
              <w:t>K-1</w:t>
            </w:r>
          </w:p>
        </w:tc>
        <w:tc>
          <w:tcPr>
            <w:tcW w:type="dxa" w:w="7200"/>
          </w:tcPr>
          <w:p>
            <w:r/>
            <w:r>
              <w:rPr>
                <w:sz w:val="18"/>
              </w:rPr>
              <w:t>Events of Default, acceleration, remedies, waivers and amendments not described in the OM</w:t>
            </w:r>
          </w:p>
        </w:tc>
        <w:tc>
          <w:tcPr>
            <w:tcW w:type="dxa" w:w="1296"/>
          </w:tcPr>
          <w:p>
            <w:r/>
            <w:r>
              <w:rPr>
                <w:b/>
                <w:color w:val="E46C0A"/>
                <w:sz w:val="18"/>
              </w:rPr>
              <w:t>High</w:t>
            </w:r>
          </w:p>
        </w:tc>
      </w:tr>
      <w:tr>
        <w:tc>
          <w:tcPr>
            <w:tcW w:type="dxa" w:w="864"/>
          </w:tcPr>
          <w:p>
            <w:r/>
            <w:r>
              <w:rPr>
                <w:sz w:val="18"/>
              </w:rPr>
              <w:t>K-2</w:t>
            </w:r>
          </w:p>
        </w:tc>
        <w:tc>
          <w:tcPr>
            <w:tcW w:type="dxa" w:w="7200"/>
          </w:tcPr>
          <w:p>
            <w:r/>
            <w:r>
              <w:rPr>
                <w:sz w:val="18"/>
              </w:rPr>
              <w:t>Indenture Trustee indemnity — source of indemnity</w:t>
            </w:r>
          </w:p>
        </w:tc>
        <w:tc>
          <w:tcPr>
            <w:tcW w:type="dxa" w:w="1296"/>
          </w:tcPr>
          <w:p>
            <w:r/>
            <w:r>
              <w:rPr>
                <w:b/>
                <w:color w:val="548235"/>
                <w:sz w:val="18"/>
              </w:rPr>
              <w:t>Low</w:t>
            </w:r>
          </w:p>
        </w:tc>
      </w:tr>
      <w:tr>
        <w:tc>
          <w:tcPr>
            <w:tcW w:type="dxa" w:w="864"/>
          </w:tcPr>
          <w:p>
            <w:r/>
            <w:r>
              <w:rPr>
                <w:sz w:val="18"/>
              </w:rPr>
              <w:t>K-3</w:t>
            </w:r>
          </w:p>
        </w:tc>
        <w:tc>
          <w:tcPr>
            <w:tcW w:type="dxa" w:w="7200"/>
          </w:tcPr>
          <w:p>
            <w:r/>
            <w:r>
              <w:rPr>
                <w:sz w:val="18"/>
              </w:rPr>
              <w:t>Account structure — Note Payment Account and Pre-Funding Account not disclosed</w:t>
            </w:r>
          </w:p>
        </w:tc>
        <w:tc>
          <w:tcPr>
            <w:tcW w:type="dxa" w:w="1296"/>
          </w:tcPr>
          <w:p>
            <w:r/>
            <w:r>
              <w:rPr>
                <w:b/>
                <w:color w:val="548235"/>
                <w:sz w:val="18"/>
              </w:rPr>
              <w:t>Low</w:t>
            </w:r>
          </w:p>
        </w:tc>
      </w:tr>
      <w:tr>
        <w:tc>
          <w:tcPr>
            <w:tcW w:type="dxa" w:w="864"/>
          </w:tcPr>
          <w:p>
            <w:r/>
            <w:r>
              <w:rPr>
                <w:sz w:val="18"/>
              </w:rPr>
              <w:t>K-4</w:t>
            </w:r>
          </w:p>
        </w:tc>
        <w:tc>
          <w:tcPr>
            <w:tcW w:type="dxa" w:w="7200"/>
          </w:tcPr>
          <w:p>
            <w:r/>
            <w:r>
              <w:rPr>
                <w:sz w:val="18"/>
              </w:rPr>
              <w:t>Placement Agent contact telephone number</w:t>
            </w:r>
          </w:p>
        </w:tc>
        <w:tc>
          <w:tcPr>
            <w:tcW w:type="dxa" w:w="1296"/>
          </w:tcPr>
          <w:p>
            <w:r/>
            <w:r>
              <w:rPr>
                <w:b/>
                <w:color w:val="548235"/>
                <w:sz w:val="18"/>
              </w:rPr>
              <w:t>Low</w:t>
            </w:r>
          </w:p>
        </w:tc>
      </w:tr>
    </w:tbl>
    <w:p>
      <w:pPr>
        <w:spacing w:after="40"/>
      </w:pPr>
    </w:p>
    <w:p>
      <w:pPr>
        <w:spacing w:after="120"/>
      </w:pPr>
      <w:r>
        <w:rPr>
          <w:b w:val="0"/>
          <w:i/>
          <w:sz w:val="20"/>
        </w:rPr>
        <w:t>Totals: Critical 6; High 16; Medium 16; Low 12; total 50 OM items. Indenture-side drafting points: 7 (Part VI).</w:t>
      </w:r>
    </w:p>
    <w:p>
      <w:pPr>
        <w:pStyle w:val="Heading1"/>
      </w:pPr>
      <w:r>
        <w:t>V. Issue-by-Issue Analysis and Proposed Corrections</w:t>
      </w:r>
    </w:p>
    <w:p>
      <w:pPr>
        <w:pStyle w:val="Heading2"/>
      </w:pPr>
      <w:r>
        <w:t>A. Note Terms (Interest Rates, Day Count, Maturities)</w:t>
      </w:r>
    </w:p>
    <w:p>
      <w:pPr>
        <w:pStyle w:val="Heading3"/>
      </w:pPr>
      <w:r>
        <w:t xml:space="preserve">A-1  Class C Note interest rate stated as 6.50% in Description of the Notes (Associate Issue 2 — CONFIRMED)  </w:t>
      </w:r>
      <w:r>
        <w:rPr>
          <w:color w:val="C00000"/>
        </w:rPr>
        <w:t>[Critical]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Description of the Notes — Interest: “Class C Notes: 6.50% per annum.” (Cover table, Summary of Terms — The Notes table, and the Ratings discussion are otherwise consistent at 6.75%.)</w:t>
            </w:r>
          </w:p>
        </w:tc>
      </w:tr>
      <w:tr>
        <w:tc>
          <w:tcPr>
            <w:tcW w:type="dxa" w:w="2088"/>
            <w:shd w:val="clear" w:color="auto" w:fill="E7ECF3"/>
          </w:tcPr>
          <w:p>
            <w:r/>
            <w:r>
              <w:rPr>
                <w:b/>
                <w:sz w:val="19"/>
              </w:rPr>
              <w:t>Indenture (governing)</w:t>
            </w:r>
          </w:p>
        </w:tc>
        <w:tc>
          <w:tcPr>
            <w:tcW w:type="dxa" w:w="7272"/>
          </w:tcPr>
          <w:p>
            <w:r/>
            <w:r>
              <w:rPr>
                <w:sz w:val="19"/>
              </w:rPr>
              <w:t>§2.01(e) (6.75% fixed; designated “6.75% Class C Asset-Backed Notes”); §1.01 “Class C Notes” and “Class C Interest Distribution Amount” (6.75%); §5.01(a) Seventh (6.75%); Exhibit A (Class C form of Note at 6.75%); cover page.</w:t>
            </w:r>
          </w:p>
        </w:tc>
      </w:tr>
      <w:tr>
        <w:tc>
          <w:tcPr>
            <w:tcW w:type="dxa" w:w="2088"/>
            <w:shd w:val="clear" w:color="auto" w:fill="E7ECF3"/>
          </w:tcPr>
          <w:p>
            <w:r/>
            <w:r>
              <w:rPr>
                <w:b/>
                <w:sz w:val="19"/>
              </w:rPr>
              <w:t>Discrepancy</w:t>
            </w:r>
          </w:p>
        </w:tc>
        <w:tc>
          <w:tcPr>
            <w:tcW w:type="dxa" w:w="7272"/>
          </w:tcPr>
          <w:p>
            <w:r/>
            <w:r>
              <w:rPr>
                <w:sz w:val="19"/>
              </w:rPr>
              <w:t>The OM is internally inconsistent and the Description of the Notes conflicts with the Indenture by 25 bps. Note: the associate’s email cites “Section 2.03” of the Indenture for the coupon; §2.03 is Denominations — the operative coupon provision is §2.01(e) (and the related §1.01 definition and §5.01(a) Seventh).</w:t>
            </w:r>
          </w:p>
        </w:tc>
      </w:tr>
      <w:tr>
        <w:tc>
          <w:tcPr>
            <w:tcW w:type="dxa" w:w="2088"/>
            <w:shd w:val="clear" w:color="auto" w:fill="E7ECF3"/>
          </w:tcPr>
          <w:p>
            <w:r/>
            <w:r>
              <w:rPr>
                <w:b/>
                <w:sz w:val="19"/>
              </w:rPr>
              <w:t>Significance</w:t>
            </w:r>
          </w:p>
        </w:tc>
        <w:tc>
          <w:tcPr>
            <w:tcW w:type="dxa" w:w="7272"/>
          </w:tcPr>
          <w:p>
            <w:r/>
            <w:r>
              <w:rPr>
                <w:sz w:val="19"/>
              </w:rPr>
              <w:t>On the $50,000,000 initial Class C balance, 25 bps equals $125,000 per annum (approx. $10,416.67 per month on a 30/360 basis). The coupon is a core economic term; a misstatement in the body of the OM is a material misstatement for Rule 10b-5 purposes regardless of the correct figure in the Summary of Terms, and could also infect the pricing/yield tables used by the Placement Agent. Associate’s analysis is correct; it should be corrected regardless of the remainder of this review.</w:t>
            </w:r>
          </w:p>
        </w:tc>
      </w:tr>
      <w:tr>
        <w:tc>
          <w:tcPr>
            <w:tcW w:type="dxa" w:w="2088"/>
            <w:shd w:val="clear" w:color="auto" w:fill="E7ECF3"/>
          </w:tcPr>
          <w:p>
            <w:r/>
            <w:r>
              <w:rPr>
                <w:b/>
                <w:sz w:val="19"/>
              </w:rPr>
              <w:t>Proposed correction</w:t>
            </w:r>
          </w:p>
        </w:tc>
        <w:tc>
          <w:tcPr>
            <w:tcW w:type="dxa" w:w="7272"/>
            <w:shd w:val="clear" w:color="auto" w:fill="F2F8EE"/>
          </w:tcPr>
          <w:p>
            <w:r/>
            <w:r>
              <w:rPr>
                <w:sz w:val="19"/>
              </w:rPr>
              <w:t>Revise Description of the Notes — Interest to read: “Class C Notes: 6.75% per annum.” Re-verify every other reference to the Class C rate (including any yield, excess-spread and WAC computations — see A-5).</w:t>
            </w:r>
          </w:p>
        </w:tc>
      </w:tr>
    </w:tbl>
    <w:p>
      <w:pPr>
        <w:spacing w:after="40"/>
      </w:pPr>
    </w:p>
    <w:p>
      <w:pPr>
        <w:pStyle w:val="Heading3"/>
      </w:pPr>
      <w:r>
        <w:t xml:space="preserve">A-2  Interest day-count convention — OM states actual/360; Indenture provides 30/360 for every class (NOT flagged by associate)  </w:t>
      </w:r>
      <w:r>
        <w:rPr>
          <w:color w:val="C00000"/>
        </w:rPr>
        <w:t>[Critical]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Description of the Notes — Interest: interest is “calculated on the basis of the actual number of days elapsed … divided by 360 (actual/360 day-count convention)”; and the per-Payment Date computation paragraph multiplies by “the actual number of days in the related interest accrual period, divided by 360.”</w:t>
            </w:r>
          </w:p>
        </w:tc>
      </w:tr>
      <w:tr>
        <w:tc>
          <w:tcPr>
            <w:tcW w:type="dxa" w:w="2088"/>
            <w:shd w:val="clear" w:color="auto" w:fill="E7ECF3"/>
          </w:tcPr>
          <w:p>
            <w:r/>
            <w:r>
              <w:rPr>
                <w:b/>
                <w:sz w:val="19"/>
              </w:rPr>
              <w:t>Indenture (governing)</w:t>
            </w:r>
          </w:p>
        </w:tc>
        <w:tc>
          <w:tcPr>
            <w:tcW w:type="dxa" w:w="7272"/>
          </w:tcPr>
          <w:p>
            <w:r/>
            <w:r>
              <w:rPr>
                <w:sz w:val="19"/>
              </w:rPr>
              <w:t>§2.01(a)–(e) (each class “calculated on a 30/360 day count basis”); §2.01 closing paragraph (“computed on the basis of a 360-day year consisting of twelve 30-day months (30/360)”); §1.01 Class A-1 through Class C Interest Distribution Amount definitions (one-twelfth of the rate, 30/360); §5.01(a) Third–Seventh; Exhibit A (“30/360 day count convention”).</w:t>
            </w:r>
          </w:p>
        </w:tc>
      </w:tr>
      <w:tr>
        <w:tc>
          <w:tcPr>
            <w:tcW w:type="dxa" w:w="2088"/>
            <w:shd w:val="clear" w:color="auto" w:fill="E7ECF3"/>
          </w:tcPr>
          <w:p>
            <w:r/>
            <w:r>
              <w:rPr>
                <w:b/>
                <w:sz w:val="19"/>
              </w:rPr>
              <w:t>Discrepancy</w:t>
            </w:r>
          </w:p>
        </w:tc>
        <w:tc>
          <w:tcPr>
            <w:tcW w:type="dxa" w:w="7272"/>
          </w:tcPr>
          <w:p>
            <w:r/>
            <w:r>
              <w:rPr>
                <w:sz w:val="19"/>
              </w:rPr>
              <w:t>Every class is affected. Actual/360 pays approximately 365/360 of the 30/360 amount over a full year and differs on every irregular period.</w:t>
            </w:r>
          </w:p>
        </w:tc>
      </w:tr>
      <w:tr>
        <w:tc>
          <w:tcPr>
            <w:tcW w:type="dxa" w:w="2088"/>
            <w:shd w:val="clear" w:color="auto" w:fill="E7ECF3"/>
          </w:tcPr>
          <w:p>
            <w:r/>
            <w:r>
              <w:rPr>
                <w:b/>
                <w:sz w:val="19"/>
              </w:rPr>
              <w:t>Significance</w:t>
            </w:r>
          </w:p>
        </w:tc>
        <w:tc>
          <w:tcPr>
            <w:tcW w:type="dxa" w:w="7272"/>
          </w:tcPr>
          <w:p>
            <w:r/>
            <w:r>
              <w:rPr>
                <w:sz w:val="19"/>
              </w:rPr>
              <w:t>At the initial note balances, the annual difference is approximately $521,300 across all classes (approx. 1.39% more interest under actual/360). For the long first accrual period (Closing Date, November 27, 2024, to January 15, 2025 — 49 actual days versus 48 days on a 30/360 basis) the overstatement is approximately $104,260. Day count drives yield, price and the cash-flow model used by Kensington and investors; misstatement is material.</w:t>
            </w:r>
          </w:p>
        </w:tc>
      </w:tr>
      <w:tr>
        <w:tc>
          <w:tcPr>
            <w:tcW w:type="dxa" w:w="2088"/>
            <w:shd w:val="clear" w:color="auto" w:fill="E7ECF3"/>
          </w:tcPr>
          <w:p>
            <w:r/>
            <w:r>
              <w:rPr>
                <w:b/>
                <w:sz w:val="19"/>
              </w:rPr>
              <w:t>Proposed correction</w:t>
            </w:r>
          </w:p>
        </w:tc>
        <w:tc>
          <w:tcPr>
            <w:tcW w:type="dxa" w:w="7272"/>
            <w:shd w:val="clear" w:color="auto" w:fill="F2F8EE"/>
          </w:tcPr>
          <w:p>
            <w:r/>
            <w:r>
              <w:rPr>
                <w:sz w:val="19"/>
              </w:rPr>
              <w:t>Replace the actual/360 language with: “Interest on each class of Notes will be calculated on the basis of a 360-day year consisting of twelve 30-day months (30/360).” Conform the computation paragraph to the Indenture’s Interest Distribution Amount definitions (one-twelfth of the note rate times the outstanding principal amount as of the preceding Payment Date). Confirm with Ridgeline that the pricing and yield tables were run on 30/360. See also K-6 regarding the first-period accrual mechanics in the Indenture.</w:t>
            </w:r>
          </w:p>
        </w:tc>
      </w:tr>
    </w:tbl>
    <w:p>
      <w:pPr>
        <w:spacing w:after="40"/>
      </w:pPr>
    </w:p>
    <w:p>
      <w:pPr>
        <w:pStyle w:val="Heading3"/>
      </w:pPr>
      <w:r>
        <w:t xml:space="preserve">A-3  Final Scheduled Payment Dates differ for all five classes  </w:t>
      </w:r>
      <w:r>
        <w:rPr>
          <w:color w:val="C00000"/>
        </w:rPr>
        <w:t>[Critical]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Description of the Notes — Principal (WAL table): A-1 September 15, 2025; A-2 March 15, 2027; A-3 November 15, 2028; B May 15, 2029; C January 15, 2030.</w:t>
            </w:r>
          </w:p>
        </w:tc>
      </w:tr>
      <w:tr>
        <w:tc>
          <w:tcPr>
            <w:tcW w:type="dxa" w:w="2088"/>
            <w:shd w:val="clear" w:color="auto" w:fill="E7ECF3"/>
          </w:tcPr>
          <w:p>
            <w:r/>
            <w:r>
              <w:rPr>
                <w:b/>
                <w:sz w:val="19"/>
              </w:rPr>
              <w:t>Indenture (governing)</w:t>
            </w:r>
          </w:p>
        </w:tc>
        <w:tc>
          <w:tcPr>
            <w:tcW w:type="dxa" w:w="7272"/>
          </w:tcPr>
          <w:p>
            <w:r/>
            <w:r>
              <w:rPr>
                <w:sz w:val="19"/>
              </w:rPr>
              <w:t>§2.01(a)–(e) and §1.01 class definitions: A-1 December 15, 2026; A-2 March 15, 2028; A-3 September 15, 2029; B June 15, 2030; C March 15, 2031. Exhibit A form of Note and remaining-class table are consistent with §2.01.</w:t>
            </w:r>
          </w:p>
        </w:tc>
      </w:tr>
      <w:tr>
        <w:tc>
          <w:tcPr>
            <w:tcW w:type="dxa" w:w="2088"/>
            <w:shd w:val="clear" w:color="auto" w:fill="E7ECF3"/>
          </w:tcPr>
          <w:p>
            <w:r/>
            <w:r>
              <w:rPr>
                <w:b/>
                <w:sz w:val="19"/>
              </w:rPr>
              <w:t>Discrepancy</w:t>
            </w:r>
          </w:p>
        </w:tc>
        <w:tc>
          <w:tcPr>
            <w:tcW w:type="dxa" w:w="7272"/>
          </w:tcPr>
          <w:p>
            <w:r/>
            <w:r>
              <w:rPr>
                <w:sz w:val="19"/>
              </w:rPr>
              <w:t>Each OM date is earlier than the Indenture date (by 15, 12, 10, 13 and 14 months, respectively).</w:t>
            </w:r>
          </w:p>
        </w:tc>
      </w:tr>
      <w:tr>
        <w:tc>
          <w:tcPr>
            <w:tcW w:type="dxa" w:w="2088"/>
            <w:shd w:val="clear" w:color="auto" w:fill="E7ECF3"/>
          </w:tcPr>
          <w:p>
            <w:r/>
            <w:r>
              <w:rPr>
                <w:b/>
                <w:sz w:val="19"/>
              </w:rPr>
              <w:t>Significance</w:t>
            </w:r>
          </w:p>
        </w:tc>
        <w:tc>
          <w:tcPr>
            <w:tcW w:type="dxa" w:w="7272"/>
          </w:tcPr>
          <w:p>
            <w:r/>
            <w:r>
              <w:rPr>
                <w:sz w:val="19"/>
              </w:rPr>
              <w:t>Final maturity is the date on which failure to pay principal is an Event of Default (§10.01(b)), a term that cannot be changed without each affected Noteholder’s consent (§13.02(i)), and the date to which Kensington’s ratings speak (“ultimate payment of principal … by their respective final scheduled Payment Dates”). Investors relying on the OM would understate legal final maturity and misjudge extension risk. Material.</w:t>
            </w:r>
          </w:p>
        </w:tc>
      </w:tr>
      <w:tr>
        <w:tc>
          <w:tcPr>
            <w:tcW w:type="dxa" w:w="2088"/>
            <w:shd w:val="clear" w:color="auto" w:fill="E7ECF3"/>
          </w:tcPr>
          <w:p>
            <w:r/>
            <w:r>
              <w:rPr>
                <w:b/>
                <w:sz w:val="19"/>
              </w:rPr>
              <w:t>Proposed correction</w:t>
            </w:r>
          </w:p>
        </w:tc>
        <w:tc>
          <w:tcPr>
            <w:tcW w:type="dxa" w:w="7272"/>
            <w:shd w:val="clear" w:color="auto" w:fill="F2F8EE"/>
          </w:tcPr>
          <w:p>
            <w:r/>
            <w:r>
              <w:rPr>
                <w:sz w:val="19"/>
              </w:rPr>
              <w:t>Conform the table to §2.01: A-1 December 15, 2026; A-2 March 15, 2028; A-3 September 15, 2029; B June 15, 2030; C March 15, 2031. Confirm with Kensington that its rating letters reference the Indenture dates.</w:t>
            </w:r>
          </w:p>
        </w:tc>
      </w:tr>
    </w:tbl>
    <w:p>
      <w:pPr>
        <w:spacing w:after="40"/>
      </w:pPr>
    </w:p>
    <w:p>
      <w:pPr>
        <w:pStyle w:val="Heading3"/>
      </w:pPr>
      <w:r>
        <w:t xml:space="preserve">A-4  Interest-on-interest for interest shortfalls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Description of the Notes — Interest: shortfalls are carried forward and “will accrue additional interest at the applicable note rate”; waterfall steps (2)–(6) include carryover “together with interest thereon at the [class] note rate.”</w:t>
            </w:r>
          </w:p>
        </w:tc>
      </w:tr>
      <w:tr>
        <w:tc>
          <w:tcPr>
            <w:tcW w:type="dxa" w:w="2088"/>
            <w:shd w:val="clear" w:color="auto" w:fill="E7ECF3"/>
          </w:tcPr>
          <w:p>
            <w:r/>
            <w:r>
              <w:rPr>
                <w:b/>
                <w:sz w:val="19"/>
              </w:rPr>
              <w:t>Indenture (governing)</w:t>
            </w:r>
          </w:p>
        </w:tc>
        <w:tc>
          <w:tcPr>
            <w:tcW w:type="dxa" w:w="7272"/>
          </w:tcPr>
          <w:p>
            <w:r/>
            <w:r>
              <w:rPr>
                <w:sz w:val="19"/>
              </w:rPr>
              <w:t>§5.01(a) Third–Seventh: pay the Interest Distribution Amount “together with any … Interest Distribution Amount remaining unpaid from any prior Payment Date.” No provision for interest on unpaid interest appears in §1.01 or §5.01.</w:t>
            </w:r>
          </w:p>
        </w:tc>
      </w:tr>
      <w:tr>
        <w:tc>
          <w:tcPr>
            <w:tcW w:type="dxa" w:w="2088"/>
            <w:shd w:val="clear" w:color="auto" w:fill="E7ECF3"/>
          </w:tcPr>
          <w:p>
            <w:r/>
            <w:r>
              <w:rPr>
                <w:b/>
                <w:sz w:val="19"/>
              </w:rPr>
              <w:t>Discrepancy</w:t>
            </w:r>
          </w:p>
        </w:tc>
        <w:tc>
          <w:tcPr>
            <w:tcW w:type="dxa" w:w="7272"/>
          </w:tcPr>
          <w:p>
            <w:r/>
            <w:r>
              <w:rPr>
                <w:sz w:val="19"/>
              </w:rPr>
              <w:t>The OM promises compounding on interest shortfalls that the Indenture does not provide.</w:t>
            </w:r>
          </w:p>
        </w:tc>
      </w:tr>
      <w:tr>
        <w:tc>
          <w:tcPr>
            <w:tcW w:type="dxa" w:w="2088"/>
            <w:shd w:val="clear" w:color="auto" w:fill="E7ECF3"/>
          </w:tcPr>
          <w:p>
            <w:r/>
            <w:r>
              <w:rPr>
                <w:b/>
                <w:sz w:val="19"/>
              </w:rPr>
              <w:t>Significance</w:t>
            </w:r>
          </w:p>
        </w:tc>
        <w:tc>
          <w:tcPr>
            <w:tcW w:type="dxa" w:w="7272"/>
          </w:tcPr>
          <w:p>
            <w:r/>
            <w:r>
              <w:rPr>
                <w:sz w:val="19"/>
              </w:rPr>
              <w:t>Overstates Noteholder entitlements following a shortfall, particularly for Class B and Class C. Material to subordinate investors.</w:t>
            </w:r>
          </w:p>
        </w:tc>
      </w:tr>
      <w:tr>
        <w:tc>
          <w:tcPr>
            <w:tcW w:type="dxa" w:w="2088"/>
            <w:shd w:val="clear" w:color="auto" w:fill="E7ECF3"/>
          </w:tcPr>
          <w:p>
            <w:r/>
            <w:r>
              <w:rPr>
                <w:b/>
                <w:sz w:val="19"/>
              </w:rPr>
              <w:t>Proposed correction</w:t>
            </w:r>
          </w:p>
        </w:tc>
        <w:tc>
          <w:tcPr>
            <w:tcW w:type="dxa" w:w="7272"/>
            <w:shd w:val="clear" w:color="auto" w:fill="F2F8EE"/>
          </w:tcPr>
          <w:p>
            <w:r/>
            <w:r>
              <w:rPr>
                <w:sz w:val="19"/>
              </w:rPr>
              <w:t>Delete “and will accrue additional interest at the applicable note rate for such class” and the “together with interest thereon” clauses in waterfall steps (2)–(6), or, if interest-on-interest is the commercial deal, amend the Indenture before closing (pre-closing amendment does not require Noteholder consent under Article XIII).</w:t>
            </w:r>
          </w:p>
        </w:tc>
      </w:tr>
    </w:tbl>
    <w:p>
      <w:pPr>
        <w:spacing w:after="40"/>
      </w:pPr>
    </w:p>
    <w:p>
      <w:pPr>
        <w:pStyle w:val="Heading3"/>
      </w:pPr>
      <w:r>
        <w:t xml:space="preserve">A-5  Weighted average note coupon (5.36%) is arithmetically incorrect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Credit Enhancement — Excess Spread: weighted average coupon on the Notes “approximately 5.36% per annum, based on the initial principal balances of each class.”</w:t>
            </w:r>
          </w:p>
        </w:tc>
      </w:tr>
      <w:tr>
        <w:tc>
          <w:tcPr>
            <w:tcW w:type="dxa" w:w="2088"/>
            <w:shd w:val="clear" w:color="auto" w:fill="E7ECF3"/>
          </w:tcPr>
          <w:p>
            <w:r/>
            <w:r>
              <w:rPr>
                <w:b/>
                <w:sz w:val="19"/>
              </w:rPr>
              <w:t>Indenture (governing)</w:t>
            </w:r>
          </w:p>
        </w:tc>
        <w:tc>
          <w:tcPr>
            <w:tcW w:type="dxa" w:w="7272"/>
          </w:tcPr>
          <w:p>
            <w:r/>
            <w:r>
              <w:rPr>
                <w:sz w:val="19"/>
              </w:rPr>
              <w:t>Note rates and balances in §2.01. Computed weighted average = $37,533,750 / $687,500,000 = 5.46% (5.4595%). Even using the erroneous 6.50% Class C rate, the result is 5.44%.</w:t>
            </w:r>
          </w:p>
        </w:tc>
      </w:tr>
      <w:tr>
        <w:tc>
          <w:tcPr>
            <w:tcW w:type="dxa" w:w="2088"/>
            <w:shd w:val="clear" w:color="auto" w:fill="E7ECF3"/>
          </w:tcPr>
          <w:p>
            <w:r/>
            <w:r>
              <w:rPr>
                <w:b/>
                <w:sz w:val="19"/>
              </w:rPr>
              <w:t>Discrepancy</w:t>
            </w:r>
          </w:p>
        </w:tc>
        <w:tc>
          <w:tcPr>
            <w:tcW w:type="dxa" w:w="7272"/>
          </w:tcPr>
          <w:p>
            <w:r/>
            <w:r>
              <w:rPr>
                <w:sz w:val="19"/>
              </w:rPr>
              <w:t>The stated figure cannot be reproduced from either set of coupons and overstates the initial gross excess spread (7.83% WAC less 5.36% = 2.47%, versus 2.37% on the correct figures).</w:t>
            </w:r>
          </w:p>
        </w:tc>
      </w:tr>
      <w:tr>
        <w:tc>
          <w:tcPr>
            <w:tcW w:type="dxa" w:w="2088"/>
            <w:shd w:val="clear" w:color="auto" w:fill="E7ECF3"/>
          </w:tcPr>
          <w:p>
            <w:r/>
            <w:r>
              <w:rPr>
                <w:b/>
                <w:sz w:val="19"/>
              </w:rPr>
              <w:t>Significance</w:t>
            </w:r>
          </w:p>
        </w:tc>
        <w:tc>
          <w:tcPr>
            <w:tcW w:type="dxa" w:w="7272"/>
          </w:tcPr>
          <w:p>
            <w:r/>
            <w:r>
              <w:rPr>
                <w:sz w:val="19"/>
              </w:rPr>
              <w:t>Excess spread is a disclosed credit-enhancement feature and the overstatement (~10 bps) flatters the structure. Also ignores servicing fee drag (see B-2).</w:t>
            </w:r>
          </w:p>
        </w:tc>
      </w:tr>
      <w:tr>
        <w:tc>
          <w:tcPr>
            <w:tcW w:type="dxa" w:w="2088"/>
            <w:shd w:val="clear" w:color="auto" w:fill="E7ECF3"/>
          </w:tcPr>
          <w:p>
            <w:r/>
            <w:r>
              <w:rPr>
                <w:b/>
                <w:sz w:val="19"/>
              </w:rPr>
              <w:t>Proposed correction</w:t>
            </w:r>
          </w:p>
        </w:tc>
        <w:tc>
          <w:tcPr>
            <w:tcW w:type="dxa" w:w="7272"/>
            <w:shd w:val="clear" w:color="auto" w:fill="F2F8EE"/>
          </w:tcPr>
          <w:p>
            <w:r/>
            <w:r>
              <w:rPr>
                <w:sz w:val="19"/>
              </w:rPr>
              <w:t>Revise to “approximately 5.46% per annum.” Ask Ridgeline/Saxonbrook to confirm the computation and any excess-spread figures in marketing materials.</w:t>
            </w:r>
          </w:p>
        </w:tc>
      </w:tr>
    </w:tbl>
    <w:p>
      <w:pPr>
        <w:spacing w:after="40"/>
      </w:pPr>
    </w:p>
    <w:p>
      <w:pPr>
        <w:pStyle w:val="Heading3"/>
      </w:pPr>
      <w:r>
        <w:t xml:space="preserve">A-6  Expected WAL figures rounded differently within the OM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Summary of Terms and cover table: 0.48 / 1.62 / 2.87 / 3.41 / 4.12 years. Description of the Notes table: 0.5 / 1.6 / 2.9 / 3.4 / 4.1 years.</w:t>
            </w:r>
          </w:p>
        </w:tc>
      </w:tr>
      <w:tr>
        <w:tc>
          <w:tcPr>
            <w:tcW w:type="dxa" w:w="2088"/>
            <w:shd w:val="clear" w:color="auto" w:fill="E7ECF3"/>
          </w:tcPr>
          <w:p>
            <w:r/>
            <w:r>
              <w:rPr>
                <w:b/>
                <w:sz w:val="19"/>
              </w:rPr>
              <w:t>Indenture (governing)</w:t>
            </w:r>
          </w:p>
        </w:tc>
        <w:tc>
          <w:tcPr>
            <w:tcW w:type="dxa" w:w="7272"/>
          </w:tcPr>
          <w:p>
            <w:r/>
            <w:r>
              <w:rPr>
                <w:sz w:val="19"/>
              </w:rPr>
              <w:t>§2.01(a)–(e): 0.48 / 1.62 / 2.87 / 3.41 / 4.12 years (Pricing Prepayment Assumption).</w:t>
            </w:r>
          </w:p>
        </w:tc>
      </w:tr>
      <w:tr>
        <w:tc>
          <w:tcPr>
            <w:tcW w:type="dxa" w:w="2088"/>
            <w:shd w:val="clear" w:color="auto" w:fill="E7ECF3"/>
          </w:tcPr>
          <w:p>
            <w:r/>
            <w:r>
              <w:rPr>
                <w:b/>
                <w:sz w:val="19"/>
              </w:rPr>
              <w:t>Discrepancy</w:t>
            </w:r>
          </w:p>
        </w:tc>
        <w:tc>
          <w:tcPr>
            <w:tcW w:type="dxa" w:w="7272"/>
          </w:tcPr>
          <w:p>
            <w:r/>
            <w:r>
              <w:rPr>
                <w:sz w:val="19"/>
              </w:rPr>
              <w:t>Not a substantive conflict (rounding), but inconsistent presentation.</w:t>
            </w:r>
          </w:p>
        </w:tc>
      </w:tr>
      <w:tr>
        <w:tc>
          <w:tcPr>
            <w:tcW w:type="dxa" w:w="2088"/>
            <w:shd w:val="clear" w:color="auto" w:fill="E7ECF3"/>
          </w:tcPr>
          <w:p>
            <w:r/>
            <w:r>
              <w:rPr>
                <w:b/>
                <w:sz w:val="19"/>
              </w:rPr>
              <w:t>Significance</w:t>
            </w:r>
          </w:p>
        </w:tc>
        <w:tc>
          <w:tcPr>
            <w:tcW w:type="dxa" w:w="7272"/>
          </w:tcPr>
          <w:p>
            <w:r/>
            <w:r>
              <w:rPr>
                <w:sz w:val="19"/>
              </w:rPr>
              <w:t>Minor; consistency reduces investor confusion and diligence questions.</w:t>
            </w:r>
          </w:p>
        </w:tc>
      </w:tr>
      <w:tr>
        <w:tc>
          <w:tcPr>
            <w:tcW w:type="dxa" w:w="2088"/>
            <w:shd w:val="clear" w:color="auto" w:fill="E7ECF3"/>
          </w:tcPr>
          <w:p>
            <w:r/>
            <w:r>
              <w:rPr>
                <w:b/>
                <w:sz w:val="19"/>
              </w:rPr>
              <w:t>Proposed correction</w:t>
            </w:r>
          </w:p>
        </w:tc>
        <w:tc>
          <w:tcPr>
            <w:tcW w:type="dxa" w:w="7272"/>
            <w:shd w:val="clear" w:color="auto" w:fill="F2F8EE"/>
          </w:tcPr>
          <w:p>
            <w:r/>
            <w:r>
              <w:rPr>
                <w:sz w:val="19"/>
              </w:rPr>
              <w:t>Use two-decimal figures throughout (0.48, 1.62, 2.87, 3.41, 4.12) and define the “Pricing Prepayment Assumption” in the OM consistently with the Indenture.</w:t>
            </w:r>
          </w:p>
        </w:tc>
      </w:tr>
    </w:tbl>
    <w:p>
      <w:pPr>
        <w:spacing w:after="40"/>
      </w:pPr>
    </w:p>
    <w:p>
      <w:pPr>
        <w:pStyle w:val="Heading3"/>
      </w:pPr>
      <w:r>
        <w:t xml:space="preserve">A-7  First Collection Period and first interest accrual period not accurately described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Flow of Funds and Glossary: “Collection Period” means the calendar month immediately preceding the Payment Date (no special first period).</w:t>
            </w:r>
          </w:p>
        </w:tc>
      </w:tr>
      <w:tr>
        <w:tc>
          <w:tcPr>
            <w:tcW w:type="dxa" w:w="2088"/>
            <w:shd w:val="clear" w:color="auto" w:fill="E7ECF3"/>
          </w:tcPr>
          <w:p>
            <w:r/>
            <w:r>
              <w:rPr>
                <w:b/>
                <w:sz w:val="19"/>
              </w:rPr>
              <w:t>Indenture (governing)</w:t>
            </w:r>
          </w:p>
        </w:tc>
        <w:tc>
          <w:tcPr>
            <w:tcW w:type="dxa" w:w="7272"/>
          </w:tcPr>
          <w:p>
            <w:r/>
            <w:r>
              <w:rPr>
                <w:sz w:val="19"/>
              </w:rPr>
              <w:t>§1.01 “Collection Period”: initial Collection Period runs from and including November 1, 2024 through and including December 31, 2024. §1.01 “Determination Date” commences December 10, 2024.</w:t>
            </w:r>
          </w:p>
        </w:tc>
      </w:tr>
      <w:tr>
        <w:tc>
          <w:tcPr>
            <w:tcW w:type="dxa" w:w="2088"/>
            <w:shd w:val="clear" w:color="auto" w:fill="E7ECF3"/>
          </w:tcPr>
          <w:p>
            <w:r/>
            <w:r>
              <w:rPr>
                <w:b/>
                <w:sz w:val="19"/>
              </w:rPr>
              <w:t>Discrepancy</w:t>
            </w:r>
          </w:p>
        </w:tc>
        <w:tc>
          <w:tcPr>
            <w:tcW w:type="dxa" w:w="7272"/>
          </w:tcPr>
          <w:p>
            <w:r/>
            <w:r>
              <w:rPr>
                <w:sz w:val="19"/>
              </w:rPr>
              <w:t>Read literally, the OM would make December 2024 the only Collection Period for the January 15, 2025 Payment Date, omitting November 2024 collections.</w:t>
            </w:r>
          </w:p>
        </w:tc>
      </w:tr>
      <w:tr>
        <w:tc>
          <w:tcPr>
            <w:tcW w:type="dxa" w:w="2088"/>
            <w:shd w:val="clear" w:color="auto" w:fill="E7ECF3"/>
          </w:tcPr>
          <w:p>
            <w:r/>
            <w:r>
              <w:rPr>
                <w:b/>
                <w:sz w:val="19"/>
              </w:rPr>
              <w:t>Significance</w:t>
            </w:r>
          </w:p>
        </w:tc>
        <w:tc>
          <w:tcPr>
            <w:tcW w:type="dxa" w:w="7272"/>
          </w:tcPr>
          <w:p>
            <w:r/>
            <w:r>
              <w:rPr>
                <w:sz w:val="19"/>
              </w:rPr>
              <w:t>Affects the first Payment Date’s Available Funds and first-period trigger testing; investors should know the first period is two months.</w:t>
            </w:r>
          </w:p>
        </w:tc>
      </w:tr>
      <w:tr>
        <w:tc>
          <w:tcPr>
            <w:tcW w:type="dxa" w:w="2088"/>
            <w:shd w:val="clear" w:color="auto" w:fill="E7ECF3"/>
          </w:tcPr>
          <w:p>
            <w:r/>
            <w:r>
              <w:rPr>
                <w:b/>
                <w:sz w:val="19"/>
              </w:rPr>
              <w:t>Proposed correction</w:t>
            </w:r>
          </w:p>
        </w:tc>
        <w:tc>
          <w:tcPr>
            <w:tcW w:type="dxa" w:w="7272"/>
            <w:shd w:val="clear" w:color="auto" w:fill="F2F8EE"/>
          </w:tcPr>
          <w:p>
            <w:r/>
            <w:r>
              <w:rPr>
                <w:sz w:val="19"/>
              </w:rPr>
              <w:t>Add to the Collection Period definition: “, except that the initial Collection Period will be the period from and including November 1, 2024 to and including December 31, 2024.” Add that the first Determination Date is December 10, 2024 (and reconcile with the first Collection Period ending December 31, 2024 — see K-6).</w:t>
            </w:r>
          </w:p>
        </w:tc>
      </w:tr>
    </w:tbl>
    <w:p>
      <w:pPr>
        <w:spacing w:after="40"/>
      </w:pPr>
    </w:p>
    <w:p>
      <w:pPr>
        <w:pStyle w:val="Heading2"/>
      </w:pPr>
      <w:r>
        <w:t>B. Priority of Payments (Flow of Funds) and Fees</w:t>
      </w:r>
    </w:p>
    <w:p>
      <w:pPr>
        <w:pStyle w:val="Heading3"/>
      </w:pPr>
      <w:r>
        <w:t xml:space="preserve">B-1  Reserve Account replenishment placed ahead of Class B and Class C principal (Associate Issue 1 — CONFIRMED, with citation corrections)  </w:t>
      </w:r>
      <w:r>
        <w:rPr>
          <w:color w:val="C00000"/>
        </w:rPr>
        <w:t>[Critical]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Flow of Funds — Priority of Payments: step (10) Reserve Account replenishment, after Class A-3 principal (9) and before Class B principal (11) and Class C principal (12); 13 steps in total. Credit Enhancement — Reserve Account cross-refers to Flow of Funds for replenishment.</w:t>
            </w:r>
          </w:p>
        </w:tc>
      </w:tr>
      <w:tr>
        <w:tc>
          <w:tcPr>
            <w:tcW w:type="dxa" w:w="2088"/>
            <w:shd w:val="clear" w:color="auto" w:fill="E7ECF3"/>
          </w:tcPr>
          <w:p>
            <w:r/>
            <w:r>
              <w:rPr>
                <w:b/>
                <w:sz w:val="19"/>
              </w:rPr>
              <w:t>Indenture (governing)</w:t>
            </w:r>
          </w:p>
        </w:tc>
        <w:tc>
          <w:tcPr>
            <w:tcW w:type="dxa" w:w="7272"/>
          </w:tcPr>
          <w:p>
            <w:r/>
            <w:r>
              <w:rPr>
                <w:sz w:val="19"/>
              </w:rPr>
              <w:t>§5.01(a) Thirteenth (replenishment after Eighth–Twelfth principal on all classes; 14 steps in total); §4.04 (“the replenishment of the Reserve Account is subordinated in priority to all principal payments on the Notes”); §6.02 (replenishment “follows all principal distributions to all classes of Notes”). The associate’s email cites “Section 5.04(a)”; there is no §5.04 — the waterfall is §5.01(a), and the subordination is restated in §4.04 and §6.02.</w:t>
            </w:r>
          </w:p>
        </w:tc>
      </w:tr>
      <w:tr>
        <w:tc>
          <w:tcPr>
            <w:tcW w:type="dxa" w:w="2088"/>
            <w:shd w:val="clear" w:color="auto" w:fill="E7ECF3"/>
          </w:tcPr>
          <w:p>
            <w:r/>
            <w:r>
              <w:rPr>
                <w:b/>
                <w:sz w:val="19"/>
              </w:rPr>
              <w:t>Discrepancy</w:t>
            </w:r>
          </w:p>
        </w:tc>
        <w:tc>
          <w:tcPr>
            <w:tcW w:type="dxa" w:w="7272"/>
          </w:tcPr>
          <w:p>
            <w:r/>
            <w:r>
              <w:rPr>
                <w:sz w:val="19"/>
              </w:rPr>
              <w:t>Positional conflict confirmed. Because the OM combines the servicing fee and trustee fee into a single step (1), its step numbering runs one behind the Indenture’s throughout; the reserve replenishment is OM step 10 but Indenture step Thirteenth, and the Certificateholder residual is OM step 13 but Indenture step Fourteenth.</w:t>
            </w:r>
          </w:p>
        </w:tc>
      </w:tr>
      <w:tr>
        <w:tc>
          <w:tcPr>
            <w:tcW w:type="dxa" w:w="2088"/>
            <w:shd w:val="clear" w:color="auto" w:fill="E7ECF3"/>
          </w:tcPr>
          <w:p>
            <w:r/>
            <w:r>
              <w:rPr>
                <w:b/>
                <w:sz w:val="19"/>
              </w:rPr>
              <w:t>Significance</w:t>
            </w:r>
          </w:p>
        </w:tc>
        <w:tc>
          <w:tcPr>
            <w:tcW w:type="dxa" w:w="7272"/>
          </w:tcPr>
          <w:p>
            <w:r/>
            <w:r>
              <w:rPr>
                <w:sz w:val="19"/>
              </w:rPr>
              <w:t>As the associate notes, the OM ordering would subordinate Class B and Class C principal to reserve replenishment — an inferior position to what the Indenture actually grants. This misdescribes the credit enhancement for the mezzanine/subordinate classes and is exactly the structural feature Kensington’s methodology focuses on. Material.</w:t>
            </w:r>
          </w:p>
        </w:tc>
      </w:tr>
      <w:tr>
        <w:tc>
          <w:tcPr>
            <w:tcW w:type="dxa" w:w="2088"/>
            <w:shd w:val="clear" w:color="auto" w:fill="E7ECF3"/>
          </w:tcPr>
          <w:p>
            <w:r/>
            <w:r>
              <w:rPr>
                <w:b/>
                <w:sz w:val="19"/>
              </w:rPr>
              <w:t>Proposed correction</w:t>
            </w:r>
          </w:p>
        </w:tc>
        <w:tc>
          <w:tcPr>
            <w:tcW w:type="dxa" w:w="7272"/>
            <w:shd w:val="clear" w:color="auto" w:fill="F2F8EE"/>
          </w:tcPr>
          <w:p>
            <w:r/>
            <w:r>
              <w:rPr>
                <w:sz w:val="19"/>
              </w:rPr>
              <w:t>Reorder the OM waterfall to track §5.01(a) exactly in 14 steps: (1) Servicing Fee; (2) Indenture Trustee Fee and unreimbursed expenses; (3)–(7) interest A-1, A-2, A-3, B, C; (8)–(12) principal A-1, A-2, A-3, B, C; (13) Reserve Account replenishment to the Reserve Account Required Balance; (14) remainder to the Certificateholder. Add: “Replenishment of the Reserve Account is subordinate to all payments of principal on the Notes.” Confirm with Kensington that its cash-flow model used the Indenture ordering.</w:t>
            </w:r>
          </w:p>
        </w:tc>
      </w:tr>
    </w:tbl>
    <w:p>
      <w:pPr>
        <w:spacing w:after="40"/>
      </w:pPr>
    </w:p>
    <w:p>
      <w:pPr>
        <w:pStyle w:val="Heading3"/>
      </w:pPr>
      <w:r>
        <w:t xml:space="preserve">B-2  Servicing Fee base — OM uses outstanding note balance; Indenture uses Pool Balance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Summary of Terms — Servicing Fee; The Sponsor, Seller and Servicer — Servicing Operations; Flow of Funds step (1); Servicing — Servicing Fee: 1/12 of 1.00% per annum “of the outstanding note balance” (four separate places).</w:t>
            </w:r>
          </w:p>
        </w:tc>
      </w:tr>
      <w:tr>
        <w:tc>
          <w:tcPr>
            <w:tcW w:type="dxa" w:w="2088"/>
            <w:shd w:val="clear" w:color="auto" w:fill="E7ECF3"/>
          </w:tcPr>
          <w:p>
            <w:r/>
            <w:r>
              <w:rPr>
                <w:b/>
                <w:sz w:val="19"/>
              </w:rPr>
              <w:t>Indenture (governing)</w:t>
            </w:r>
          </w:p>
        </w:tc>
        <w:tc>
          <w:tcPr>
            <w:tcW w:type="dxa" w:w="7272"/>
          </w:tcPr>
          <w:p>
            <w:r/>
            <w:r>
              <w:rPr>
                <w:sz w:val="19"/>
              </w:rPr>
              <w:t>§1.01 “Servicing Fee”; §5.01(a) First; §7.03: 1/12 of 1.00% per annum of the Pool Balance as of the first day of the related Collection Period — expressly “not on the basis of the Outstanding Note Balance or the Initial Note Balance.”</w:t>
            </w:r>
          </w:p>
        </w:tc>
      </w:tr>
      <w:tr>
        <w:tc>
          <w:tcPr>
            <w:tcW w:type="dxa" w:w="2088"/>
            <w:shd w:val="clear" w:color="auto" w:fill="E7ECF3"/>
          </w:tcPr>
          <w:p>
            <w:r/>
            <w:r>
              <w:rPr>
                <w:b/>
                <w:sz w:val="19"/>
              </w:rPr>
              <w:t>Discrepancy</w:t>
            </w:r>
          </w:p>
        </w:tc>
        <w:tc>
          <w:tcPr>
            <w:tcW w:type="dxa" w:w="7272"/>
          </w:tcPr>
          <w:p>
            <w:r/>
            <w:r>
              <w:rPr>
                <w:sz w:val="19"/>
              </w:rPr>
              <w:t>Different fee base. The Indenture fee is larger whenever the Pool Balance exceeds the Note Balance (i.e., whenever there is positive OC).</w:t>
            </w:r>
          </w:p>
        </w:tc>
      </w:tr>
      <w:tr>
        <w:tc>
          <w:tcPr>
            <w:tcW w:type="dxa" w:w="2088"/>
            <w:shd w:val="clear" w:color="auto" w:fill="E7ECF3"/>
          </w:tcPr>
          <w:p>
            <w:r/>
            <w:r>
              <w:rPr>
                <w:b/>
                <w:sz w:val="19"/>
              </w:rPr>
              <w:t>Significance</w:t>
            </w:r>
          </w:p>
        </w:tc>
        <w:tc>
          <w:tcPr>
            <w:tcW w:type="dxa" w:w="7272"/>
          </w:tcPr>
          <w:p>
            <w:r/>
            <w:r>
              <w:rPr>
                <w:sz w:val="19"/>
              </w:rPr>
              <w:t>At closing the difference is 1.00% × $24,800,000 = $248,000 per annum (approx. $20,667 per month), growing as OC builds toward the 5.25% target. Because the fee is senior to all interest, the OM overstates excess spread and Available Funds for Noteholders.</w:t>
            </w:r>
          </w:p>
        </w:tc>
      </w:tr>
      <w:tr>
        <w:tc>
          <w:tcPr>
            <w:tcW w:type="dxa" w:w="2088"/>
            <w:shd w:val="clear" w:color="auto" w:fill="E7ECF3"/>
          </w:tcPr>
          <w:p>
            <w:r/>
            <w:r>
              <w:rPr>
                <w:b/>
                <w:sz w:val="19"/>
              </w:rPr>
              <w:t>Proposed correction</w:t>
            </w:r>
          </w:p>
        </w:tc>
        <w:tc>
          <w:tcPr>
            <w:tcW w:type="dxa" w:w="7272"/>
            <w:shd w:val="clear" w:color="auto" w:fill="F2F8EE"/>
          </w:tcPr>
          <w:p>
            <w:r/>
            <w:r>
              <w:rPr>
                <w:sz w:val="19"/>
              </w:rPr>
              <w:t>In all four places, replace “of the outstanding note balance” with “of the Pool Balance as of the first day of the related Collection Period.” Add that upon activation of the Back-Up Servicer, the Back-Up Servicer Fee is paid as part of the step (1) Servicing Fee (§7.05) — see F-1.</w:t>
            </w:r>
          </w:p>
        </w:tc>
      </w:tr>
    </w:tbl>
    <w:p>
      <w:pPr>
        <w:spacing w:after="40"/>
      </w:pPr>
    </w:p>
    <w:p>
      <w:pPr>
        <w:pStyle w:val="Heading3"/>
      </w:pPr>
      <w:r>
        <w:t xml:space="preserve">B-3  Indenture Trustee Fee priority — OM describes it as first priority; Indenture makes it second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Summary of Terms (fee “payable … from Available Funds”); The Indenture Trustee and Paying Agent (“payable … as a first-priority expense in the payment waterfall”); Flow of Funds step (1) combines Servicing Fee and Indenture Trustee Fee and expenses in a single first step. The OM simultaneously describes the Servicing Fee as “the first priority.”</w:t>
            </w:r>
          </w:p>
        </w:tc>
      </w:tr>
      <w:tr>
        <w:tc>
          <w:tcPr>
            <w:tcW w:type="dxa" w:w="2088"/>
            <w:shd w:val="clear" w:color="auto" w:fill="E7ECF3"/>
          </w:tcPr>
          <w:p>
            <w:r/>
            <w:r>
              <w:rPr>
                <w:b/>
                <w:sz w:val="19"/>
              </w:rPr>
              <w:t>Indenture (governing)</w:t>
            </w:r>
          </w:p>
        </w:tc>
        <w:tc>
          <w:tcPr>
            <w:tcW w:type="dxa" w:w="7272"/>
          </w:tcPr>
          <w:p>
            <w:r/>
            <w:r>
              <w:rPr>
                <w:sz w:val="19"/>
              </w:rPr>
              <w:t>§1.01 “Indenture Trustee Fee” and §11.03 (payable “as the second priority”); §5.01(a) Second (fee of $15,000, unpaid prior fees and unreimbursed expenses).</w:t>
            </w:r>
          </w:p>
        </w:tc>
      </w:tr>
      <w:tr>
        <w:tc>
          <w:tcPr>
            <w:tcW w:type="dxa" w:w="2088"/>
            <w:shd w:val="clear" w:color="auto" w:fill="E7ECF3"/>
          </w:tcPr>
          <w:p>
            <w:r/>
            <w:r>
              <w:rPr>
                <w:b/>
                <w:sz w:val="19"/>
              </w:rPr>
              <w:t>Discrepancy</w:t>
            </w:r>
          </w:p>
        </w:tc>
        <w:tc>
          <w:tcPr>
            <w:tcW w:type="dxa" w:w="7272"/>
          </w:tcPr>
          <w:p>
            <w:r/>
            <w:r>
              <w:rPr>
                <w:sz w:val="19"/>
              </w:rPr>
              <w:t>OM is internally contradictory (two “first” priorities) and treats the Servicer and Indenture Trustee as pari passu, whereas the Indenture pays the Servicer first in full.</w:t>
            </w:r>
          </w:p>
        </w:tc>
      </w:tr>
      <w:tr>
        <w:tc>
          <w:tcPr>
            <w:tcW w:type="dxa" w:w="2088"/>
            <w:shd w:val="clear" w:color="auto" w:fill="E7ECF3"/>
          </w:tcPr>
          <w:p>
            <w:r/>
            <w:r>
              <w:rPr>
                <w:b/>
                <w:sz w:val="19"/>
              </w:rPr>
              <w:t>Significance</w:t>
            </w:r>
          </w:p>
        </w:tc>
        <w:tc>
          <w:tcPr>
            <w:tcW w:type="dxa" w:w="7272"/>
          </w:tcPr>
          <w:p>
            <w:r/>
            <w:r>
              <w:rPr>
                <w:sz w:val="19"/>
              </w:rPr>
              <w:t>Matters on any shortfall date and for the Servicer/Trustee relationship; also affects how the reserve-draw coverage (First–Seventh) is described. The dollar amount ($15,000 per month; $180,000 per annum) is consistent.</w:t>
            </w:r>
          </w:p>
        </w:tc>
      </w:tr>
      <w:tr>
        <w:tc>
          <w:tcPr>
            <w:tcW w:type="dxa" w:w="2088"/>
            <w:shd w:val="clear" w:color="auto" w:fill="E7ECF3"/>
          </w:tcPr>
          <w:p>
            <w:r/>
            <w:r>
              <w:rPr>
                <w:b/>
                <w:sz w:val="19"/>
              </w:rPr>
              <w:t>Proposed correction</w:t>
            </w:r>
          </w:p>
        </w:tc>
        <w:tc>
          <w:tcPr>
            <w:tcW w:type="dxa" w:w="7272"/>
            <w:shd w:val="clear" w:color="auto" w:fill="F2F8EE"/>
          </w:tcPr>
          <w:p>
            <w:r/>
            <w:r>
              <w:rPr>
                <w:sz w:val="19"/>
              </w:rPr>
              <w:t>Split OM step (1) into two steps per §5.01(a) First and Second; delete “as a first-priority expense” in the Indenture Trustee section and replace with “as the second priority in the payment waterfall, after the Servicing Fee.” Add that unpaid Indenture Trustee Fees from prior months are also paid at that step.</w:t>
            </w:r>
          </w:p>
        </w:tc>
      </w:tr>
    </w:tbl>
    <w:p>
      <w:pPr>
        <w:spacing w:after="40"/>
      </w:pPr>
    </w:p>
    <w:p>
      <w:pPr>
        <w:pStyle w:val="Heading3"/>
      </w:pPr>
      <w:r>
        <w:t xml:space="preserve">B-4  Trigger Event (turbo) waterfall mechanics misdescribed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Flow of Funds — Trigger Event Waterfall: excess spread is used to accelerate principal “after payment of fees, interest, and required principal distributions on the Class A Notes”; no Certificateholder release “until all Notes have been paid in full and the OC amount has been restored.” Trigger Events — Consequences: “all excess spread (after payment of fees and interest)” is applied to principal. Silent on Reserve Account replenishment during a Trigger Event.</w:t>
            </w:r>
          </w:p>
        </w:tc>
      </w:tr>
      <w:tr>
        <w:tc>
          <w:tcPr>
            <w:tcW w:type="dxa" w:w="2088"/>
            <w:shd w:val="clear" w:color="auto" w:fill="E7ECF3"/>
          </w:tcPr>
          <w:p>
            <w:r/>
            <w:r>
              <w:rPr>
                <w:b/>
                <w:sz w:val="19"/>
              </w:rPr>
              <w:t>Indenture (governing)</w:t>
            </w:r>
          </w:p>
        </w:tc>
        <w:tc>
          <w:tcPr>
            <w:tcW w:type="dxa" w:w="7272"/>
          </w:tcPr>
          <w:p>
            <w:r/>
            <w:r>
              <w:rPr>
                <w:sz w:val="19"/>
              </w:rPr>
              <w:t>§5.01(b): after First–Seventh (fees and all interest), “all remaining Available Funds” are applied sequentially to principal until the OC Amount equals or exceeds the Target OC Amount; no Reserve Account deposit at Thirteenth until the Target OC Amount is achieved; no Certificateholder distribution until both the Target OC Amount is achieved and the Reserve Account is replenished; turbo continues until the earlier of cure of all Trigger Events and payment in full.</w:t>
            </w:r>
          </w:p>
        </w:tc>
      </w:tr>
      <w:tr>
        <w:tc>
          <w:tcPr>
            <w:tcW w:type="dxa" w:w="2088"/>
            <w:shd w:val="clear" w:color="auto" w:fill="E7ECF3"/>
          </w:tcPr>
          <w:p>
            <w:r/>
            <w:r>
              <w:rPr>
                <w:b/>
                <w:sz w:val="19"/>
              </w:rPr>
              <w:t>Discrepancy</w:t>
            </w:r>
          </w:p>
        </w:tc>
        <w:tc>
          <w:tcPr>
            <w:tcW w:type="dxa" w:w="7272"/>
          </w:tcPr>
          <w:p>
            <w:r/>
            <w:r>
              <w:rPr>
                <w:sz w:val="19"/>
              </w:rPr>
              <w:t>The OM gives two inconsistent formulations (one carving out “required principal distributions on the Class A Notes” first, one not), states the wrong release condition (Notes paid in full vs. Target OC achieved and Reserve replenished), and omits the suspension of reserve replenishment during the turbo period.</w:t>
            </w:r>
          </w:p>
        </w:tc>
      </w:tr>
      <w:tr>
        <w:tc>
          <w:tcPr>
            <w:tcW w:type="dxa" w:w="2088"/>
            <w:shd w:val="clear" w:color="auto" w:fill="E7ECF3"/>
          </w:tcPr>
          <w:p>
            <w:r/>
            <w:r>
              <w:rPr>
                <w:b/>
                <w:sz w:val="19"/>
              </w:rPr>
              <w:t>Significance</w:t>
            </w:r>
          </w:p>
        </w:tc>
        <w:tc>
          <w:tcPr>
            <w:tcW w:type="dxa" w:w="7272"/>
          </w:tcPr>
          <w:p>
            <w:r/>
            <w:r>
              <w:rPr>
                <w:sz w:val="19"/>
              </w:rPr>
              <w:t>Turbo mechanics are a core credit feature for Kensington and for Class B/C extension risk. The OM should describe one rule that matches §5.01(b).</w:t>
            </w:r>
          </w:p>
        </w:tc>
      </w:tr>
      <w:tr>
        <w:tc>
          <w:tcPr>
            <w:tcW w:type="dxa" w:w="2088"/>
            <w:shd w:val="clear" w:color="auto" w:fill="E7ECF3"/>
          </w:tcPr>
          <w:p>
            <w:r/>
            <w:r>
              <w:rPr>
                <w:b/>
                <w:sz w:val="19"/>
              </w:rPr>
              <w:t>Proposed correction</w:t>
            </w:r>
          </w:p>
        </w:tc>
        <w:tc>
          <w:tcPr>
            <w:tcW w:type="dxa" w:w="7272"/>
            <w:shd w:val="clear" w:color="auto" w:fill="F2F8EE"/>
          </w:tcPr>
          <w:p>
            <w:r/>
            <w:r>
              <w:rPr>
                <w:sz w:val="19"/>
              </w:rPr>
              <w:t>Replace both OM passages with a single description tracking §5.01(b), including: (i) after fees and all interest, all remaining Available Funds go to principal sequentially until OC ≥ Target OC Amount; (ii) no Reserve Account replenishment until the Target OC Amount is reached; (iii) no Certificateholder distributions until the Target OC Amount is reached and the Reserve Account equals the Reserve Account Required Balance; and (iv) the turbo ends on cure of all Trigger Events or payment in full.</w:t>
            </w:r>
          </w:p>
        </w:tc>
      </w:tr>
    </w:tbl>
    <w:p>
      <w:pPr>
        <w:spacing w:after="40"/>
      </w:pPr>
    </w:p>
    <w:p>
      <w:pPr>
        <w:pStyle w:val="Heading3"/>
      </w:pPr>
      <w:r>
        <w:t xml:space="preserve">B-5  Release of excess spread to the Certificateholder once Target OC is reached — no corresponding Indenture mechanic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Credit Enhancement — Target OC Amount: excess spread builds OC to the Target OC Amount and, “[o]nce the Target OC Amount has been reached, excess spread in excess of the Target OC Amount will be released to the Certificateholder.” Principal is described as a “Note Principal Distribution Amount” (undefined in the OM).</w:t>
            </w:r>
          </w:p>
        </w:tc>
      </w:tr>
      <w:tr>
        <w:tc>
          <w:tcPr>
            <w:tcW w:type="dxa" w:w="2088"/>
            <w:shd w:val="clear" w:color="auto" w:fill="E7ECF3"/>
          </w:tcPr>
          <w:p>
            <w:r/>
            <w:r>
              <w:rPr>
                <w:b/>
                <w:sz w:val="19"/>
              </w:rPr>
              <w:t>Indenture (governing)</w:t>
            </w:r>
          </w:p>
        </w:tc>
        <w:tc>
          <w:tcPr>
            <w:tcW w:type="dxa" w:w="7272"/>
          </w:tcPr>
          <w:p>
            <w:r/>
            <w:r>
              <w:rPr>
                <w:sz w:val="19"/>
              </w:rPr>
              <w:t>§5.01(c)(i)–(v): each Class Principal Distribution Amount equals the lesser of (x) all Available Funds remaining after prior steps and (y) the class balance. As drafted, all funds remaining after fees and interest are applied to principal in every period (not only in a Trigger Event), so nothing reaches step Thirteenth/Fourteenth until the Notes are retired; there is no OC-target-based principal cap or release mechanism outside of §5.01(b).</w:t>
            </w:r>
          </w:p>
        </w:tc>
      </w:tr>
      <w:tr>
        <w:tc>
          <w:tcPr>
            <w:tcW w:type="dxa" w:w="2088"/>
            <w:shd w:val="clear" w:color="auto" w:fill="E7ECF3"/>
          </w:tcPr>
          <w:p>
            <w:r/>
            <w:r>
              <w:rPr>
                <w:b/>
                <w:sz w:val="19"/>
              </w:rPr>
              <w:t>Discrepancy</w:t>
            </w:r>
          </w:p>
        </w:tc>
        <w:tc>
          <w:tcPr>
            <w:tcW w:type="dxa" w:w="7272"/>
          </w:tcPr>
          <w:p>
            <w:r/>
            <w:r>
              <w:rPr>
                <w:sz w:val="19"/>
              </w:rPr>
              <w:t>Either the OM describes a commercial deal (OC target with release of excess) that the executed Indenture does not implement, or the Indenture’s Principal Distribution Amount definitions are mis-drafted (a full-turbo structure that makes the Target OC Amount and the §5.01(b) turbo largely meaningless).</w:t>
            </w:r>
          </w:p>
        </w:tc>
      </w:tr>
      <w:tr>
        <w:tc>
          <w:tcPr>
            <w:tcW w:type="dxa" w:w="2088"/>
            <w:shd w:val="clear" w:color="auto" w:fill="E7ECF3"/>
          </w:tcPr>
          <w:p>
            <w:r/>
            <w:r>
              <w:rPr>
                <w:b/>
                <w:sz w:val="19"/>
              </w:rPr>
              <w:t>Significance</w:t>
            </w:r>
          </w:p>
        </w:tc>
        <w:tc>
          <w:tcPr>
            <w:tcW w:type="dxa" w:w="7272"/>
          </w:tcPr>
          <w:p>
            <w:r/>
            <w:r>
              <w:rPr>
                <w:sz w:val="19"/>
              </w:rPr>
              <w:t>Significant structural point affecting the Certificateholder’s economics, Reserve Account replenishment and the WAL/expected maturities in both documents (WALs were presumably modeled with an OC target). Must be resolved with the Sponsor, Ridgeline and Kensington before pricing.</w:t>
            </w:r>
          </w:p>
        </w:tc>
      </w:tr>
      <w:tr>
        <w:tc>
          <w:tcPr>
            <w:tcW w:type="dxa" w:w="2088"/>
            <w:shd w:val="clear" w:color="auto" w:fill="E7ECF3"/>
          </w:tcPr>
          <w:p>
            <w:r/>
            <w:r>
              <w:rPr>
                <w:b/>
                <w:sz w:val="19"/>
              </w:rPr>
              <w:t>Proposed correction</w:t>
            </w:r>
          </w:p>
        </w:tc>
        <w:tc>
          <w:tcPr>
            <w:tcW w:type="dxa" w:w="7272"/>
            <w:shd w:val="clear" w:color="auto" w:fill="F2F8EE"/>
          </w:tcPr>
          <w:p>
            <w:r/>
            <w:r>
              <w:rPr>
                <w:sz w:val="19"/>
              </w:rPr>
              <w:t>Escalate. If the intended deal is an OC target with release, amend §5.01(c) before closing to define the principal distribution amount by reference to the excess of the Note Balance over (Pool Balance minus Target OC Amount), and keep the OM description. If the Indenture reflects the deal (full turbo), revise the OM to delete the release language and describe principal as all remaining Available Funds after interest. Define “Principal Distribution Amount” in the OM Glossary either way.</w:t>
            </w:r>
          </w:p>
        </w:tc>
      </w:tr>
    </w:tbl>
    <w:p>
      <w:pPr>
        <w:spacing w:after="40"/>
      </w:pPr>
    </w:p>
    <w:p>
      <w:pPr>
        <w:pStyle w:val="Heading2"/>
      </w:pPr>
      <w:r>
        <w:t>C. Credit Enhancement (Overcollateralization and Reserve Account)</w:t>
      </w:r>
    </w:p>
    <w:p>
      <w:pPr>
        <w:pStyle w:val="Heading3"/>
      </w:pPr>
      <w:r>
        <w:t xml:space="preserve">C-1  Minimum OC Amount — fixed $10,684,500 (1.50% of initial pool) in OM vs. 1.50% of current Pool Balance in Indenture  </w:t>
      </w:r>
      <w:r>
        <w:rPr>
          <w:color w:val="C00000"/>
        </w:rPr>
        <w:t>[Critical]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Risk Factors — Overcollateralization Erosion; Credit Enhancement — Minimum OC Amount; Trigger Events — (c) OC Trigger; Glossary “Minimum OC Amount”: 1.50% “of the initial pool balance, which equals $10,684,500.”</w:t>
            </w:r>
          </w:p>
        </w:tc>
      </w:tr>
      <w:tr>
        <w:tc>
          <w:tcPr>
            <w:tcW w:type="dxa" w:w="2088"/>
            <w:shd w:val="clear" w:color="auto" w:fill="E7ECF3"/>
          </w:tcPr>
          <w:p>
            <w:r/>
            <w:r>
              <w:rPr>
                <w:b/>
                <w:sz w:val="19"/>
              </w:rPr>
              <w:t>Indenture (governing)</w:t>
            </w:r>
          </w:p>
        </w:tc>
        <w:tc>
          <w:tcPr>
            <w:tcW w:type="dxa" w:w="7272"/>
          </w:tcPr>
          <w:p>
            <w:r/>
            <w:r>
              <w:rPr>
                <w:sz w:val="19"/>
              </w:rPr>
              <w:t>§1.01 “Minimum OC Amount”; §5.01(d)(c); §6.01: 1.50% of the Pool Balance as of the last day of the related Collection Period — “the dollar amount of the Minimum OC Amount will decrease over time as the pool amortizes.”</w:t>
            </w:r>
          </w:p>
        </w:tc>
      </w:tr>
      <w:tr>
        <w:tc>
          <w:tcPr>
            <w:tcW w:type="dxa" w:w="2088"/>
            <w:shd w:val="clear" w:color="auto" w:fill="E7ECF3"/>
          </w:tcPr>
          <w:p>
            <w:r/>
            <w:r>
              <w:rPr>
                <w:b/>
                <w:sz w:val="19"/>
              </w:rPr>
              <w:t>Discrepancy</w:t>
            </w:r>
          </w:p>
        </w:tc>
        <w:tc>
          <w:tcPr>
            <w:tcW w:type="dxa" w:w="7272"/>
          </w:tcPr>
          <w:p>
            <w:r/>
            <w:r>
              <w:rPr>
                <w:sz w:val="19"/>
              </w:rPr>
              <w:t>Different measurement base. The two match only at the Cutoff Date; thereafter the Indenture floor declines with the pool while the OM floor stays fixed.</w:t>
            </w:r>
          </w:p>
        </w:tc>
      </w:tr>
      <w:tr>
        <w:tc>
          <w:tcPr>
            <w:tcW w:type="dxa" w:w="2088"/>
            <w:shd w:val="clear" w:color="auto" w:fill="E7ECF3"/>
          </w:tcPr>
          <w:p>
            <w:r/>
            <w:r>
              <w:rPr>
                <w:b/>
                <w:sz w:val="19"/>
              </w:rPr>
              <w:t>Significance</w:t>
            </w:r>
          </w:p>
        </w:tc>
        <w:tc>
          <w:tcPr>
            <w:tcW w:type="dxa" w:w="7272"/>
          </w:tcPr>
          <w:p>
            <w:r/>
            <w:r>
              <w:rPr>
                <w:sz w:val="19"/>
              </w:rPr>
              <w:t>The OC Trigger is a primary credit protection. The OM tells investors the trigger trips if OC falls below $10.68 million at all times; under the Indenture, by the time the pool has amortized to 50% ($356.15 million), the trigger level is only about $5.34 million. The OM therefore materially overstates the protection the OC Trigger provides, especially late in the deal when Class B and Class C are outstanding. Rating-sensitive.</w:t>
            </w:r>
          </w:p>
        </w:tc>
      </w:tr>
      <w:tr>
        <w:tc>
          <w:tcPr>
            <w:tcW w:type="dxa" w:w="2088"/>
            <w:shd w:val="clear" w:color="auto" w:fill="E7ECF3"/>
          </w:tcPr>
          <w:p>
            <w:r/>
            <w:r>
              <w:rPr>
                <w:b/>
                <w:sz w:val="19"/>
              </w:rPr>
              <w:t>Proposed correction</w:t>
            </w:r>
          </w:p>
        </w:tc>
        <w:tc>
          <w:tcPr>
            <w:tcW w:type="dxa" w:w="7272"/>
            <w:shd w:val="clear" w:color="auto" w:fill="F2F8EE"/>
          </w:tcPr>
          <w:p>
            <w:r/>
            <w:r>
              <w:rPr>
                <w:sz w:val="19"/>
              </w:rPr>
              <w:t>In all four places, replace with: “The Minimum OC Amount on any Determination Date is 1.50% of the Pool Balance as of the last day of the related Collection Period. Because it is based on the current Pool Balance, the dollar amount of the Minimum OC Amount will decline as the Receivables amortize.” Delete the $10,684,500 figure (or present it only as the initial amount). Confirm with Kensington which formulation it modeled.</w:t>
            </w:r>
          </w:p>
        </w:tc>
      </w:tr>
    </w:tbl>
    <w:p>
      <w:pPr>
        <w:spacing w:after="40"/>
      </w:pPr>
    </w:p>
    <w:p>
      <w:pPr>
        <w:pStyle w:val="Heading3"/>
      </w:pPr>
      <w:r>
        <w:t xml:space="preserve">C-2  Reserve Account Required Balance — OM omits the $3,437,500 floor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Summary of Terms — Reserve Account; Credit Enhancement — Reserve Account Required Balance; Glossary: “1.00% of the then-current aggregate outstanding principal balance of the Notes.”</w:t>
            </w:r>
          </w:p>
        </w:tc>
      </w:tr>
      <w:tr>
        <w:tc>
          <w:tcPr>
            <w:tcW w:type="dxa" w:w="2088"/>
            <w:shd w:val="clear" w:color="auto" w:fill="E7ECF3"/>
          </w:tcPr>
          <w:p>
            <w:r/>
            <w:r>
              <w:rPr>
                <w:b/>
                <w:sz w:val="19"/>
              </w:rPr>
              <w:t>Indenture (governing)</w:t>
            </w:r>
          </w:p>
        </w:tc>
        <w:tc>
          <w:tcPr>
            <w:tcW w:type="dxa" w:w="7272"/>
          </w:tcPr>
          <w:p>
            <w:r/>
            <w:r>
              <w:rPr>
                <w:sz w:val="19"/>
              </w:rPr>
              <w:t>§1.01 “Reserve Account Required Balance”; §4.01(b); §4.04; §6.02: the greater of (a) 1.00% of the Outstanding Note Balance and (b) 0.50% of the Initial Note Balance ($3,437,500) — a floor “regardless of the amortization of the Notes.”</w:t>
            </w:r>
          </w:p>
        </w:tc>
      </w:tr>
      <w:tr>
        <w:tc>
          <w:tcPr>
            <w:tcW w:type="dxa" w:w="2088"/>
            <w:shd w:val="clear" w:color="auto" w:fill="E7ECF3"/>
          </w:tcPr>
          <w:p>
            <w:r/>
            <w:r>
              <w:rPr>
                <w:b/>
                <w:sz w:val="19"/>
              </w:rPr>
              <w:t>Discrepancy</w:t>
            </w:r>
          </w:p>
        </w:tc>
        <w:tc>
          <w:tcPr>
            <w:tcW w:type="dxa" w:w="7272"/>
          </w:tcPr>
          <w:p>
            <w:r/>
            <w:r>
              <w:rPr>
                <w:sz w:val="19"/>
              </w:rPr>
              <w:t>The OM omits the floor (part (b)) entirely.</w:t>
            </w:r>
          </w:p>
        </w:tc>
      </w:tr>
      <w:tr>
        <w:tc>
          <w:tcPr>
            <w:tcW w:type="dxa" w:w="2088"/>
            <w:shd w:val="clear" w:color="auto" w:fill="E7ECF3"/>
          </w:tcPr>
          <w:p>
            <w:r/>
            <w:r>
              <w:rPr>
                <w:b/>
                <w:sz w:val="19"/>
              </w:rPr>
              <w:t>Significance</w:t>
            </w:r>
          </w:p>
        </w:tc>
        <w:tc>
          <w:tcPr>
            <w:tcW w:type="dxa" w:w="7272"/>
          </w:tcPr>
          <w:p>
            <w:r/>
            <w:r>
              <w:rPr>
                <w:sz w:val="19"/>
              </w:rPr>
              <w:t>The omission understates credit enhancement late in the deal (e.g., at a $200 million Note Balance, the OM formula yields $2.0 million versus $3,437,500 under the Indenture) and misstates when excess is released. Although the error is investor-unfavorable rather than favorable, it misdescribes a rated structural feature and the tail-end protection for Class B and Class C.</w:t>
            </w:r>
          </w:p>
        </w:tc>
      </w:tr>
      <w:tr>
        <w:tc>
          <w:tcPr>
            <w:tcW w:type="dxa" w:w="2088"/>
            <w:shd w:val="clear" w:color="auto" w:fill="E7ECF3"/>
          </w:tcPr>
          <w:p>
            <w:r/>
            <w:r>
              <w:rPr>
                <w:b/>
                <w:sz w:val="19"/>
              </w:rPr>
              <w:t>Proposed correction</w:t>
            </w:r>
          </w:p>
        </w:tc>
        <w:tc>
          <w:tcPr>
            <w:tcW w:type="dxa" w:w="7272"/>
            <w:shd w:val="clear" w:color="auto" w:fill="F2F8EE"/>
          </w:tcPr>
          <w:p>
            <w:r/>
            <w:r>
              <w:rPr>
                <w:sz w:val="19"/>
              </w:rPr>
              <w:t>Revise all three references to: “the greater of (a) 1.00% of the Outstanding Note Balance and (b) 0.50% of the Initial Note Balance ($3,437,500).”</w:t>
            </w:r>
          </w:p>
        </w:tc>
      </w:tr>
    </w:tbl>
    <w:p>
      <w:pPr>
        <w:spacing w:after="40"/>
      </w:pPr>
    </w:p>
    <w:p>
      <w:pPr>
        <w:pStyle w:val="Heading3"/>
      </w:pPr>
      <w:r>
        <w:t xml:space="preserve">C-3  Scope of Reserve Account draws — OM includes required principal; Indenture limits draws to fees and interest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Credit Enhancement — Reserve Account: may be drawn to cover shortfalls for “(i) the servicing fee and Indenture Trustee fee, (ii) accrued interest on the Notes, and (iii) the required principal distributions on the Notes.” Summary of Terms and Use of Proceeds: may be drawn “to cover shortfalls in Available Funds.”</w:t>
            </w:r>
          </w:p>
        </w:tc>
      </w:tr>
      <w:tr>
        <w:tc>
          <w:tcPr>
            <w:tcW w:type="dxa" w:w="2088"/>
            <w:shd w:val="clear" w:color="auto" w:fill="E7ECF3"/>
          </w:tcPr>
          <w:p>
            <w:r/>
            <w:r>
              <w:rPr>
                <w:b/>
                <w:sz w:val="19"/>
              </w:rPr>
              <w:t>Indenture (governing)</w:t>
            </w:r>
          </w:p>
        </w:tc>
        <w:tc>
          <w:tcPr>
            <w:tcW w:type="dxa" w:w="7272"/>
          </w:tcPr>
          <w:p>
            <w:r/>
            <w:r>
              <w:rPr>
                <w:sz w:val="19"/>
              </w:rPr>
              <w:t>§4.04 and §6.02: draws limited to shortfalls in priorities First through Seventh (Servicing Fee, Indenture Trustee Fee and interest on all classes). No principal draw (including at final maturity) is provided.</w:t>
            </w:r>
          </w:p>
        </w:tc>
      </w:tr>
      <w:tr>
        <w:tc>
          <w:tcPr>
            <w:tcW w:type="dxa" w:w="2088"/>
            <w:shd w:val="clear" w:color="auto" w:fill="E7ECF3"/>
          </w:tcPr>
          <w:p>
            <w:r/>
            <w:r>
              <w:rPr>
                <w:b/>
                <w:sz w:val="19"/>
              </w:rPr>
              <w:t>Discrepancy</w:t>
            </w:r>
          </w:p>
        </w:tc>
        <w:tc>
          <w:tcPr>
            <w:tcW w:type="dxa" w:w="7272"/>
          </w:tcPr>
          <w:p>
            <w:r/>
            <w:r>
              <w:rPr>
                <w:sz w:val="19"/>
              </w:rPr>
              <w:t>OM overstates the reserve’s coverage by adding principal.</w:t>
            </w:r>
          </w:p>
        </w:tc>
      </w:tr>
      <w:tr>
        <w:tc>
          <w:tcPr>
            <w:tcW w:type="dxa" w:w="2088"/>
            <w:shd w:val="clear" w:color="auto" w:fill="E7ECF3"/>
          </w:tcPr>
          <w:p>
            <w:r/>
            <w:r>
              <w:rPr>
                <w:b/>
                <w:sz w:val="19"/>
              </w:rPr>
              <w:t>Significance</w:t>
            </w:r>
          </w:p>
        </w:tc>
        <w:tc>
          <w:tcPr>
            <w:tcW w:type="dxa" w:w="7272"/>
          </w:tcPr>
          <w:p>
            <w:r/>
            <w:r>
              <w:rPr>
                <w:sz w:val="19"/>
              </w:rPr>
              <w:t>Investors (particularly in Class C at final maturity) may believe the reserve supports principal; it does not. Liquidity vs. credit support is a key rating-agency distinction.</w:t>
            </w:r>
          </w:p>
        </w:tc>
      </w:tr>
      <w:tr>
        <w:tc>
          <w:tcPr>
            <w:tcW w:type="dxa" w:w="2088"/>
            <w:shd w:val="clear" w:color="auto" w:fill="E7ECF3"/>
          </w:tcPr>
          <w:p>
            <w:r/>
            <w:r>
              <w:rPr>
                <w:b/>
                <w:sz w:val="19"/>
              </w:rPr>
              <w:t>Proposed correction</w:t>
            </w:r>
          </w:p>
        </w:tc>
        <w:tc>
          <w:tcPr>
            <w:tcW w:type="dxa" w:w="7272"/>
            <w:shd w:val="clear" w:color="auto" w:fill="F2F8EE"/>
          </w:tcPr>
          <w:p>
            <w:r/>
            <w:r>
              <w:rPr>
                <w:sz w:val="19"/>
              </w:rPr>
              <w:t>Delete clause (iii). State: “Amounts in the Reserve Account are available only to cover shortfalls in the Servicing Fee, the Indenture Trustee Fee and interest on the Notes (priorities (1) through (7)), and not to pay principal.” Conform the Summary of Terms and Use of Proceeds. If a final-maturity principal draw is intended, amend §4.04 before closing.</w:t>
            </w:r>
          </w:p>
        </w:tc>
      </w:tr>
    </w:tbl>
    <w:p>
      <w:pPr>
        <w:spacing w:after="40"/>
      </w:pPr>
    </w:p>
    <w:p>
      <w:pPr>
        <w:pStyle w:val="Heading3"/>
      </w:pPr>
      <w:r>
        <w:t xml:space="preserve">C-4  Reserve Account excess release and investment earnings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Credit Enhancement — Reserve Account: excess over the Required Balance on any Payment Date “will be released to the Certificateholder.” Flow of Funds — Available Funds: includes “investment earnings on amounts on deposit in … the Reserve Account.”</w:t>
            </w:r>
          </w:p>
        </w:tc>
      </w:tr>
      <w:tr>
        <w:tc>
          <w:tcPr>
            <w:tcW w:type="dxa" w:w="2088"/>
            <w:shd w:val="clear" w:color="auto" w:fill="E7ECF3"/>
          </w:tcPr>
          <w:p>
            <w:r/>
            <w:r>
              <w:rPr>
                <w:b/>
                <w:sz w:val="19"/>
              </w:rPr>
              <w:t>Indenture (governing)</w:t>
            </w:r>
          </w:p>
        </w:tc>
        <w:tc>
          <w:tcPr>
            <w:tcW w:type="dxa" w:w="7272"/>
          </w:tcPr>
          <w:p>
            <w:r/>
            <w:r>
              <w:rPr>
                <w:sz w:val="19"/>
              </w:rPr>
              <w:t>§4.03: Reserve Account earnings are retained to the extent needed to maintain the Required Balance and only the excess is transferred to the Collection Account as Available Funds (to run through the waterfall). §4.04: remaining reserve funds are released to the Certificateholder only upon payment in full, optional redemption or final maturity of the last class. §1.01 “Available Funds” includes only reserve amounts transferred under §4.04.</w:t>
            </w:r>
          </w:p>
        </w:tc>
      </w:tr>
      <w:tr>
        <w:tc>
          <w:tcPr>
            <w:tcW w:type="dxa" w:w="2088"/>
            <w:shd w:val="clear" w:color="auto" w:fill="E7ECF3"/>
          </w:tcPr>
          <w:p>
            <w:r/>
            <w:r>
              <w:rPr>
                <w:b/>
                <w:sz w:val="19"/>
              </w:rPr>
              <w:t>Discrepancy</w:t>
            </w:r>
          </w:p>
        </w:tc>
        <w:tc>
          <w:tcPr>
            <w:tcW w:type="dxa" w:w="7272"/>
          </w:tcPr>
          <w:p>
            <w:r/>
            <w:r>
              <w:rPr>
                <w:sz w:val="19"/>
              </w:rPr>
              <w:t>The OM provides for periodic direct release of reserve excess to the Certificateholder; the Indenture does not (excess earnings go through the waterfall; principal of the reserve is released only at the end).</w:t>
            </w:r>
          </w:p>
        </w:tc>
      </w:tr>
      <w:tr>
        <w:tc>
          <w:tcPr>
            <w:tcW w:type="dxa" w:w="2088"/>
            <w:shd w:val="clear" w:color="auto" w:fill="E7ECF3"/>
          </w:tcPr>
          <w:p>
            <w:r/>
            <w:r>
              <w:rPr>
                <w:b/>
                <w:sz w:val="19"/>
              </w:rPr>
              <w:t>Significance</w:t>
            </w:r>
          </w:p>
        </w:tc>
        <w:tc>
          <w:tcPr>
            <w:tcW w:type="dxa" w:w="7272"/>
          </w:tcPr>
          <w:p>
            <w:r/>
            <w:r>
              <w:rPr>
                <w:sz w:val="19"/>
              </w:rPr>
              <w:t>Mischaracterizes leakage from the structure to the residual holder.</w:t>
            </w:r>
          </w:p>
        </w:tc>
      </w:tr>
      <w:tr>
        <w:tc>
          <w:tcPr>
            <w:tcW w:type="dxa" w:w="2088"/>
            <w:shd w:val="clear" w:color="auto" w:fill="E7ECF3"/>
          </w:tcPr>
          <w:p>
            <w:r/>
            <w:r>
              <w:rPr>
                <w:b/>
                <w:sz w:val="19"/>
              </w:rPr>
              <w:t>Proposed correction</w:t>
            </w:r>
          </w:p>
        </w:tc>
        <w:tc>
          <w:tcPr>
            <w:tcW w:type="dxa" w:w="7272"/>
            <w:shd w:val="clear" w:color="auto" w:fill="F2F8EE"/>
          </w:tcPr>
          <w:p>
            <w:r/>
            <w:r>
              <w:rPr>
                <w:sz w:val="19"/>
              </w:rPr>
              <w:t>Replace with: “Investment earnings on the Reserve Account in excess of the Reserve Account Required Balance will be deposited into the Collection Account and applied as Available Funds. Amounts remaining in the Reserve Account will be released to the Certificateholder only after the Notes have been paid in full (including upon an optional redemption or final maturity).” Conform the OM Available Funds definition accordingly (see also D-6).</w:t>
            </w:r>
          </w:p>
        </w:tc>
      </w:tr>
    </w:tbl>
    <w:p>
      <w:pPr>
        <w:spacing w:after="40"/>
      </w:pPr>
    </w:p>
    <w:p>
      <w:pPr>
        <w:pStyle w:val="Heading3"/>
      </w:pPr>
      <w:r>
        <w:t xml:space="preserve">C-5  Target OC Amount measurement date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Summary of Terms, Credit Enhancement and Glossary: 5.25% “of the current pool balance” / “current Pool Balance.”</w:t>
            </w:r>
          </w:p>
        </w:tc>
      </w:tr>
      <w:tr>
        <w:tc>
          <w:tcPr>
            <w:tcW w:type="dxa" w:w="2088"/>
            <w:shd w:val="clear" w:color="auto" w:fill="E7ECF3"/>
          </w:tcPr>
          <w:p>
            <w:r/>
            <w:r>
              <w:rPr>
                <w:b/>
                <w:sz w:val="19"/>
              </w:rPr>
              <w:t>Indenture (governing)</w:t>
            </w:r>
          </w:p>
        </w:tc>
        <w:tc>
          <w:tcPr>
            <w:tcW w:type="dxa" w:w="7272"/>
          </w:tcPr>
          <w:p>
            <w:r/>
            <w:r>
              <w:rPr>
                <w:sz w:val="19"/>
              </w:rPr>
              <w:t>§1.01 “Target OC Amount”; §5.01(b); §6.01: 5.25% of the Pool Balance as of the last day of the related Collection Period.</w:t>
            </w:r>
          </w:p>
        </w:tc>
      </w:tr>
      <w:tr>
        <w:tc>
          <w:tcPr>
            <w:tcW w:type="dxa" w:w="2088"/>
            <w:shd w:val="clear" w:color="auto" w:fill="E7ECF3"/>
          </w:tcPr>
          <w:p>
            <w:r/>
            <w:r>
              <w:rPr>
                <w:b/>
                <w:sz w:val="19"/>
              </w:rPr>
              <w:t>Discrepancy</w:t>
            </w:r>
          </w:p>
        </w:tc>
        <w:tc>
          <w:tcPr>
            <w:tcW w:type="dxa" w:w="7272"/>
          </w:tcPr>
          <w:p>
            <w:r/>
            <w:r>
              <w:rPr>
                <w:sz w:val="19"/>
              </w:rPr>
              <w:t>Percentage consistent; measurement date not specified in the OM.</w:t>
            </w:r>
          </w:p>
        </w:tc>
      </w:tr>
      <w:tr>
        <w:tc>
          <w:tcPr>
            <w:tcW w:type="dxa" w:w="2088"/>
            <w:shd w:val="clear" w:color="auto" w:fill="E7ECF3"/>
          </w:tcPr>
          <w:p>
            <w:r/>
            <w:r>
              <w:rPr>
                <w:b/>
                <w:sz w:val="19"/>
              </w:rPr>
              <w:t>Significance</w:t>
            </w:r>
          </w:p>
        </w:tc>
        <w:tc>
          <w:tcPr>
            <w:tcW w:type="dxa" w:w="7272"/>
          </w:tcPr>
          <w:p>
            <w:r/>
            <w:r>
              <w:rPr>
                <w:sz w:val="19"/>
              </w:rPr>
              <w:t>Precision point; avoids ambiguity in investor modeling.</w:t>
            </w:r>
          </w:p>
        </w:tc>
      </w:tr>
      <w:tr>
        <w:tc>
          <w:tcPr>
            <w:tcW w:type="dxa" w:w="2088"/>
            <w:shd w:val="clear" w:color="auto" w:fill="E7ECF3"/>
          </w:tcPr>
          <w:p>
            <w:r/>
            <w:r>
              <w:rPr>
                <w:b/>
                <w:sz w:val="19"/>
              </w:rPr>
              <w:t>Proposed correction</w:t>
            </w:r>
          </w:p>
        </w:tc>
        <w:tc>
          <w:tcPr>
            <w:tcW w:type="dxa" w:w="7272"/>
            <w:shd w:val="clear" w:color="auto" w:fill="F2F8EE"/>
          </w:tcPr>
          <w:p>
            <w:r/>
            <w:r>
              <w:rPr>
                <w:sz w:val="19"/>
              </w:rPr>
              <w:t>Revise to “5.25% of the Pool Balance as of the last day of the related Collection Period.”</w:t>
            </w:r>
          </w:p>
        </w:tc>
      </w:tr>
    </w:tbl>
    <w:p>
      <w:pPr>
        <w:spacing w:after="40"/>
      </w:pPr>
    </w:p>
    <w:p>
      <w:pPr>
        <w:pStyle w:val="Heading2"/>
      </w:pPr>
      <w:r>
        <w:t>D. Defined Terms and Transaction Documents</w:t>
      </w:r>
    </w:p>
    <w:p>
      <w:pPr>
        <w:pStyle w:val="Heading3"/>
      </w:pPr>
      <w:r>
        <w:t xml:space="preserve">D-1  “Defaulted Receivable” — 90 days/repossession in OM vs. 120 days in Indenture  </w:t>
      </w:r>
      <w:r>
        <w:rPr>
          <w:color w:val="C00000"/>
        </w:rPr>
        <w:t>[Critical]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The Receivables Pool — Defaulted Receivable Definition; Trigger Events — Annualized Default Rate; Glossary: more than 90 days past due, or the Financed Vehicle has been repossessed. (OM also internally mixes “more than 90 days” and “90 or more days.”)</w:t>
            </w:r>
          </w:p>
        </w:tc>
      </w:tr>
      <w:tr>
        <w:tc>
          <w:tcPr>
            <w:tcW w:type="dxa" w:w="2088"/>
            <w:shd w:val="clear" w:color="auto" w:fill="E7ECF3"/>
          </w:tcPr>
          <w:p>
            <w:r/>
            <w:r>
              <w:rPr>
                <w:b/>
                <w:sz w:val="19"/>
              </w:rPr>
              <w:t>Indenture (governing)</w:t>
            </w:r>
          </w:p>
        </w:tc>
        <w:tc>
          <w:tcPr>
            <w:tcW w:type="dxa" w:w="7272"/>
          </w:tcPr>
          <w:p>
            <w:r/>
            <w:r>
              <w:rPr>
                <w:sz w:val="19"/>
              </w:rPr>
              <w:t>§1.01 “Defaulted Receivable”: more than 120 days past due, as determined by the Servicer in accordance with its customary servicing practices. No repossession prong.</w:t>
            </w:r>
          </w:p>
        </w:tc>
      </w:tr>
      <w:tr>
        <w:tc>
          <w:tcPr>
            <w:tcW w:type="dxa" w:w="2088"/>
            <w:shd w:val="clear" w:color="auto" w:fill="E7ECF3"/>
          </w:tcPr>
          <w:p>
            <w:r/>
            <w:r>
              <w:rPr>
                <w:b/>
                <w:sz w:val="19"/>
              </w:rPr>
              <w:t>Discrepancy</w:t>
            </w:r>
          </w:p>
        </w:tc>
        <w:tc>
          <w:tcPr>
            <w:tcW w:type="dxa" w:w="7272"/>
          </w:tcPr>
          <w:p>
            <w:r/>
            <w:r>
              <w:rPr>
                <w:sz w:val="19"/>
              </w:rPr>
              <w:t>Fundamental definitional conflict (30-day difference plus an omitted repossession prong).</w:t>
            </w:r>
          </w:p>
        </w:tc>
      </w:tr>
      <w:tr>
        <w:tc>
          <w:tcPr>
            <w:tcW w:type="dxa" w:w="2088"/>
            <w:shd w:val="clear" w:color="auto" w:fill="E7ECF3"/>
          </w:tcPr>
          <w:p>
            <w:r/>
            <w:r>
              <w:rPr>
                <w:b/>
                <w:sz w:val="19"/>
              </w:rPr>
              <w:t>Significance</w:t>
            </w:r>
          </w:p>
        </w:tc>
        <w:tc>
          <w:tcPr>
            <w:tcW w:type="dxa" w:w="7272"/>
          </w:tcPr>
          <w:p>
            <w:r/>
            <w:r>
              <w:rPr>
                <w:sz w:val="19"/>
              </w:rPr>
              <w:t>This definition drives the Annualized Default Rate trigger (§5.01(d)(a)), the Cumulative Net Loss Rate trigger (§5.01(d)(b)), the Pool Balance (which excludes Defaulted Receivables) and therefore the OC Amount, the Minimum and Target OC Amounts, the Servicing Fee base and the clean-up call threshold. The OM’s 90-day/repossession definition recognizes defaults earlier; the Indenture’s 120-day definition delays recognition and makes every performance trigger less sensitive than investors are told. Highly rating-sensitive.</w:t>
            </w:r>
          </w:p>
        </w:tc>
      </w:tr>
      <w:tr>
        <w:tc>
          <w:tcPr>
            <w:tcW w:type="dxa" w:w="2088"/>
            <w:shd w:val="clear" w:color="auto" w:fill="E7ECF3"/>
          </w:tcPr>
          <w:p>
            <w:r/>
            <w:r>
              <w:rPr>
                <w:b/>
                <w:sz w:val="19"/>
              </w:rPr>
              <w:t>Proposed correction</w:t>
            </w:r>
          </w:p>
        </w:tc>
        <w:tc>
          <w:tcPr>
            <w:tcW w:type="dxa" w:w="7272"/>
            <w:shd w:val="clear" w:color="auto" w:fill="F2F8EE"/>
          </w:tcPr>
          <w:p>
            <w:r/>
            <w:r>
              <w:rPr>
                <w:sz w:val="19"/>
              </w:rPr>
              <w:t>Conform all three OM references to §1.01 (“more than 120 days past due, as determined by the Servicer in accordance with its customary servicing practices”), and add a risk-factor sentence that default recognition is delayed relative to repossession. Before doing so, confirm with the Sponsor and Kensington which definition was modeled; if the 90-day/repossession definition is the commercial deal, the Indenture should be amended before closing.</w:t>
            </w:r>
          </w:p>
        </w:tc>
      </w:tr>
    </w:tbl>
    <w:p>
      <w:pPr>
        <w:spacing w:after="40"/>
      </w:pPr>
    </w:p>
    <w:p>
      <w:pPr>
        <w:pStyle w:val="Heading3"/>
      </w:pPr>
      <w:r>
        <w:t xml:space="preserve">D-2  “Business Day” omits Wilmington, Delaware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Summary of Terms, Description of the Notes — Payments and Payment Date, and Glossary: closures in New York, New York only.</w:t>
            </w:r>
          </w:p>
        </w:tc>
      </w:tr>
      <w:tr>
        <w:tc>
          <w:tcPr>
            <w:tcW w:type="dxa" w:w="2088"/>
            <w:shd w:val="clear" w:color="auto" w:fill="E7ECF3"/>
          </w:tcPr>
          <w:p>
            <w:r/>
            <w:r>
              <w:rPr>
                <w:b/>
                <w:sz w:val="19"/>
              </w:rPr>
              <w:t>Indenture (governing)</w:t>
            </w:r>
          </w:p>
        </w:tc>
        <w:tc>
          <w:tcPr>
            <w:tcW w:type="dxa" w:w="7272"/>
          </w:tcPr>
          <w:p>
            <w:r/>
            <w:r>
              <w:rPr>
                <w:sz w:val="19"/>
              </w:rPr>
              <w:t>§1.01 “Business Day”: closures in New York, New York or Wilmington, Delaware, by law or executive order.</w:t>
            </w:r>
          </w:p>
        </w:tc>
      </w:tr>
      <w:tr>
        <w:tc>
          <w:tcPr>
            <w:tcW w:type="dxa" w:w="2088"/>
            <w:shd w:val="clear" w:color="auto" w:fill="E7ECF3"/>
          </w:tcPr>
          <w:p>
            <w:r/>
            <w:r>
              <w:rPr>
                <w:b/>
                <w:sz w:val="19"/>
              </w:rPr>
              <w:t>Discrepancy</w:t>
            </w:r>
          </w:p>
        </w:tc>
        <w:tc>
          <w:tcPr>
            <w:tcW w:type="dxa" w:w="7272"/>
          </w:tcPr>
          <w:p>
            <w:r/>
            <w:r>
              <w:rPr>
                <w:sz w:val="19"/>
              </w:rPr>
              <w:t>OM omits Wilmington (where the Indenture Trustee and accounts are located, §4.01) and “executive order.”</w:t>
            </w:r>
          </w:p>
        </w:tc>
      </w:tr>
      <w:tr>
        <w:tc>
          <w:tcPr>
            <w:tcW w:type="dxa" w:w="2088"/>
            <w:shd w:val="clear" w:color="auto" w:fill="E7ECF3"/>
          </w:tcPr>
          <w:p>
            <w:r/>
            <w:r>
              <w:rPr>
                <w:b/>
                <w:sz w:val="19"/>
              </w:rPr>
              <w:t>Significance</w:t>
            </w:r>
          </w:p>
        </w:tc>
        <w:tc>
          <w:tcPr>
            <w:tcW w:type="dxa" w:w="7272"/>
          </w:tcPr>
          <w:p>
            <w:r/>
            <w:r>
              <w:rPr>
                <w:sz w:val="19"/>
              </w:rPr>
              <w:t>Affects Payment Dates, Determination Dates, Record Dates and cure periods.</w:t>
            </w:r>
          </w:p>
        </w:tc>
      </w:tr>
      <w:tr>
        <w:tc>
          <w:tcPr>
            <w:tcW w:type="dxa" w:w="2088"/>
            <w:shd w:val="clear" w:color="auto" w:fill="E7ECF3"/>
          </w:tcPr>
          <w:p>
            <w:r/>
            <w:r>
              <w:rPr>
                <w:b/>
                <w:sz w:val="19"/>
              </w:rPr>
              <w:t>Proposed correction</w:t>
            </w:r>
          </w:p>
        </w:tc>
        <w:tc>
          <w:tcPr>
            <w:tcW w:type="dxa" w:w="7272"/>
            <w:shd w:val="clear" w:color="auto" w:fill="F2F8EE"/>
          </w:tcPr>
          <w:p>
            <w:r/>
            <w:r>
              <w:rPr>
                <w:sz w:val="19"/>
              </w:rPr>
              <w:t>Conform: “any day other than a Saturday, a Sunday or a day on which banking institutions in New York, New York or Wilmington, Delaware are authorized or obligated by law or executive order to be closed.”</w:t>
            </w:r>
          </w:p>
        </w:tc>
      </w:tr>
    </w:tbl>
    <w:p>
      <w:pPr>
        <w:spacing w:after="40"/>
      </w:pPr>
    </w:p>
    <w:p>
      <w:pPr>
        <w:pStyle w:val="Heading3"/>
      </w:pPr>
      <w:r>
        <w:t xml:space="preserve">D-3  “Cumulative Net Loss Rate” computation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Trigger Events — CNL Trigger Table: “aggregate net losses on the Receivables from the Cutoff Date … divided by the Initial Pool Balance” (net losses not defined; Defaulted Receivable section refers to “liquidation proceeds and recoveries”).</w:t>
            </w:r>
          </w:p>
        </w:tc>
      </w:tr>
      <w:tr>
        <w:tc>
          <w:tcPr>
            <w:tcW w:type="dxa" w:w="2088"/>
            <w:shd w:val="clear" w:color="auto" w:fill="E7ECF3"/>
          </w:tcPr>
          <w:p>
            <w:r/>
            <w:r>
              <w:rPr>
                <w:b/>
                <w:sz w:val="19"/>
              </w:rPr>
              <w:t>Indenture (governing)</w:t>
            </w:r>
          </w:p>
        </w:tc>
        <w:tc>
          <w:tcPr>
            <w:tcW w:type="dxa" w:w="7272"/>
          </w:tcPr>
          <w:p>
            <w:r/>
            <w:r>
              <w:rPr>
                <w:sz w:val="19"/>
              </w:rPr>
              <w:t>§1.01 “Cumulative Net Loss Rate” and §5.01(d)(b): aggregate principal balance of all Defaulted Receivables since the Cutoff Date, net of Liquidation Proceeds received during such period, divided by $712,300,000. “Liquidation Proceeds” are net of liquidation expenses.</w:t>
            </w:r>
          </w:p>
        </w:tc>
      </w:tr>
      <w:tr>
        <w:tc>
          <w:tcPr>
            <w:tcW w:type="dxa" w:w="2088"/>
            <w:shd w:val="clear" w:color="auto" w:fill="E7ECF3"/>
          </w:tcPr>
          <w:p>
            <w:r/>
            <w:r>
              <w:rPr>
                <w:b/>
                <w:sz w:val="19"/>
              </w:rPr>
              <w:t>Discrepancy</w:t>
            </w:r>
          </w:p>
        </w:tc>
        <w:tc>
          <w:tcPr>
            <w:tcW w:type="dxa" w:w="7272"/>
          </w:tcPr>
          <w:p>
            <w:r/>
            <w:r>
              <w:rPr>
                <w:sz w:val="19"/>
              </w:rPr>
              <w:t>OM does not tie CNL to Defaulted Receivables (as defined) or to Liquidation Proceeds (net of expenses).</w:t>
            </w:r>
          </w:p>
        </w:tc>
      </w:tr>
      <w:tr>
        <w:tc>
          <w:tcPr>
            <w:tcW w:type="dxa" w:w="2088"/>
            <w:shd w:val="clear" w:color="auto" w:fill="E7ECF3"/>
          </w:tcPr>
          <w:p>
            <w:r/>
            <w:r>
              <w:rPr>
                <w:b/>
                <w:sz w:val="19"/>
              </w:rPr>
              <w:t>Significance</w:t>
            </w:r>
          </w:p>
        </w:tc>
        <w:tc>
          <w:tcPr>
            <w:tcW w:type="dxa" w:w="7272"/>
          </w:tcPr>
          <w:p>
            <w:r/>
            <w:r>
              <w:rPr>
                <w:sz w:val="19"/>
              </w:rPr>
              <w:t>Trigger calculation must be described precisely; combined with D-1 the OM materially misdescribes when CNL losses are recognized.</w:t>
            </w:r>
          </w:p>
        </w:tc>
      </w:tr>
      <w:tr>
        <w:tc>
          <w:tcPr>
            <w:tcW w:type="dxa" w:w="2088"/>
            <w:shd w:val="clear" w:color="auto" w:fill="E7ECF3"/>
          </w:tcPr>
          <w:p>
            <w:r/>
            <w:r>
              <w:rPr>
                <w:b/>
                <w:sz w:val="19"/>
              </w:rPr>
              <w:t>Proposed correction</w:t>
            </w:r>
          </w:p>
        </w:tc>
        <w:tc>
          <w:tcPr>
            <w:tcW w:type="dxa" w:w="7272"/>
            <w:shd w:val="clear" w:color="auto" w:fill="F2F8EE"/>
          </w:tcPr>
          <w:p>
            <w:r/>
            <w:r>
              <w:rPr>
                <w:sz w:val="19"/>
              </w:rPr>
              <w:t>Add Glossary definitions of “Cumulative Net Loss Rate” and “Liquidation Proceeds” tracking §1.01 verbatim.</w:t>
            </w:r>
          </w:p>
        </w:tc>
      </w:tr>
    </w:tbl>
    <w:p>
      <w:pPr>
        <w:spacing w:after="40"/>
      </w:pPr>
    </w:p>
    <w:p>
      <w:pPr>
        <w:pStyle w:val="Heading3"/>
      </w:pPr>
      <w:r>
        <w:t xml:space="preserve">D-4  “Financed Vehicle” and collateral description — vehicle types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Cover page, Summary of Terms, Receivables Pool and Glossary: automobiles, light-duty trucks, minivans and sport utility vehicles.</w:t>
            </w:r>
          </w:p>
        </w:tc>
      </w:tr>
      <w:tr>
        <w:tc>
          <w:tcPr>
            <w:tcW w:type="dxa" w:w="2088"/>
            <w:shd w:val="clear" w:color="auto" w:fill="E7ECF3"/>
          </w:tcPr>
          <w:p>
            <w:r/>
            <w:r>
              <w:rPr>
                <w:b/>
                <w:sz w:val="19"/>
              </w:rPr>
              <w:t>Indenture (governing)</w:t>
            </w:r>
          </w:p>
        </w:tc>
        <w:tc>
          <w:tcPr>
            <w:tcW w:type="dxa" w:w="7272"/>
          </w:tcPr>
          <w:p>
            <w:r/>
            <w:r>
              <w:rPr>
                <w:sz w:val="19"/>
              </w:rPr>
              <w:t>Cover page and §1.01 “Financed Vehicle”: new or used automobile or light-duty truck only.</w:t>
            </w:r>
          </w:p>
        </w:tc>
      </w:tr>
      <w:tr>
        <w:tc>
          <w:tcPr>
            <w:tcW w:type="dxa" w:w="2088"/>
            <w:shd w:val="clear" w:color="auto" w:fill="E7ECF3"/>
          </w:tcPr>
          <w:p>
            <w:r/>
            <w:r>
              <w:rPr>
                <w:b/>
                <w:sz w:val="19"/>
              </w:rPr>
              <w:t>Discrepancy</w:t>
            </w:r>
          </w:p>
        </w:tc>
        <w:tc>
          <w:tcPr>
            <w:tcW w:type="dxa" w:w="7272"/>
          </w:tcPr>
          <w:p>
            <w:r/>
            <w:r>
              <w:rPr>
                <w:sz w:val="19"/>
              </w:rPr>
              <w:t>OM lists two additional categories.</w:t>
            </w:r>
          </w:p>
        </w:tc>
      </w:tr>
      <w:tr>
        <w:tc>
          <w:tcPr>
            <w:tcW w:type="dxa" w:w="2088"/>
            <w:shd w:val="clear" w:color="auto" w:fill="E7ECF3"/>
          </w:tcPr>
          <w:p>
            <w:r/>
            <w:r>
              <w:rPr>
                <w:b/>
                <w:sz w:val="19"/>
              </w:rPr>
              <w:t>Significance</w:t>
            </w:r>
          </w:p>
        </w:tc>
        <w:tc>
          <w:tcPr>
            <w:tcW w:type="dxa" w:w="7272"/>
          </w:tcPr>
          <w:p>
            <w:r/>
            <w:r>
              <w:rPr>
                <w:sz w:val="19"/>
              </w:rPr>
              <w:t>Likely a drafting variance (minivans/SUVs are commonly light-duty trucks), but the collateral description should match the operative grant.</w:t>
            </w:r>
          </w:p>
        </w:tc>
      </w:tr>
      <w:tr>
        <w:tc>
          <w:tcPr>
            <w:tcW w:type="dxa" w:w="2088"/>
            <w:shd w:val="clear" w:color="auto" w:fill="E7ECF3"/>
          </w:tcPr>
          <w:p>
            <w:r/>
            <w:r>
              <w:rPr>
                <w:b/>
                <w:sz w:val="19"/>
              </w:rPr>
              <w:t>Proposed correction</w:t>
            </w:r>
          </w:p>
        </w:tc>
        <w:tc>
          <w:tcPr>
            <w:tcW w:type="dxa" w:w="7272"/>
            <w:shd w:val="clear" w:color="auto" w:fill="F2F8EE"/>
          </w:tcPr>
          <w:p>
            <w:r/>
            <w:r>
              <w:rPr>
                <w:sz w:val="19"/>
              </w:rPr>
              <w:t>Either conform the OM to “automobiles and light-duty trucks (including minivans and sport utility vehicles)” or amend the Indenture definition before closing; confirm with the Sponsor that no other vehicle types are in the pool.</w:t>
            </w:r>
          </w:p>
        </w:tc>
      </w:tr>
    </w:tbl>
    <w:p>
      <w:pPr>
        <w:spacing w:after="40"/>
      </w:pPr>
    </w:p>
    <w:p>
      <w:pPr>
        <w:pStyle w:val="Heading3"/>
      </w:pPr>
      <w:r>
        <w:t xml:space="preserve">D-5  Transaction document names and dates — “Servicing Agreement” and “Trust Agreement”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The Servicing section, Sub-Servicing, Servicer Termination Events and Glossary refer to a “Servicing Agreement dated as of November 15, 2024.” The Issuing Entity and Owner Trustee sections describe a “Trust Agreement” dated October 22, 2024.</w:t>
            </w:r>
          </w:p>
        </w:tc>
      </w:tr>
      <w:tr>
        <w:tc>
          <w:tcPr>
            <w:tcW w:type="dxa" w:w="2088"/>
            <w:shd w:val="clear" w:color="auto" w:fill="E7ECF3"/>
          </w:tcPr>
          <w:p>
            <w:r/>
            <w:r>
              <w:rPr>
                <w:b/>
                <w:sz w:val="19"/>
              </w:rPr>
              <w:t>Indenture (governing)</w:t>
            </w:r>
          </w:p>
        </w:tc>
        <w:tc>
          <w:tcPr>
            <w:tcW w:type="dxa" w:w="7272"/>
          </w:tcPr>
          <w:p>
            <w:r/>
            <w:r>
              <w:rPr>
                <w:sz w:val="19"/>
              </w:rPr>
              <w:t>Recitals and §1.01: “Sale and Servicing Agreement” dated as of November 15, 2024 (among CFC as Seller and Servicer, the Trust and the Indenture Trustee); “Amended and Restated Trust Agreement” dated as of November 15, 2024. Also: “Back-Up Servicing Agreement” and “Placement Agreement,” each dated as of November 15, 2024.</w:t>
            </w:r>
          </w:p>
        </w:tc>
      </w:tr>
      <w:tr>
        <w:tc>
          <w:tcPr>
            <w:tcW w:type="dxa" w:w="2088"/>
            <w:shd w:val="clear" w:color="auto" w:fill="E7ECF3"/>
          </w:tcPr>
          <w:p>
            <w:r/>
            <w:r>
              <w:rPr>
                <w:b/>
                <w:sz w:val="19"/>
              </w:rPr>
              <w:t>Discrepancy</w:t>
            </w:r>
          </w:p>
        </w:tc>
        <w:tc>
          <w:tcPr>
            <w:tcW w:type="dxa" w:w="7272"/>
          </w:tcPr>
          <w:p>
            <w:r/>
            <w:r>
              <w:rPr>
                <w:sz w:val="19"/>
              </w:rPr>
              <w:t>OM refers to a non-existent “Servicing Agreement” and to the original rather than the amended and restated Trust Agreement.</w:t>
            </w:r>
          </w:p>
        </w:tc>
      </w:tr>
      <w:tr>
        <w:tc>
          <w:tcPr>
            <w:tcW w:type="dxa" w:w="2088"/>
            <w:shd w:val="clear" w:color="auto" w:fill="E7ECF3"/>
          </w:tcPr>
          <w:p>
            <w:r/>
            <w:r>
              <w:rPr>
                <w:b/>
                <w:sz w:val="19"/>
              </w:rPr>
              <w:t>Significance</w:t>
            </w:r>
          </w:p>
        </w:tc>
        <w:tc>
          <w:tcPr>
            <w:tcW w:type="dxa" w:w="7272"/>
          </w:tcPr>
          <w:p>
            <w:r/>
            <w:r>
              <w:rPr>
                <w:sz w:val="19"/>
              </w:rPr>
              <w:t>Investors are directed to the wrong governing documents; the OM’s conflict clause (“the terms of the applicable transaction document shall control”) depends on correct identification of those documents.</w:t>
            </w:r>
          </w:p>
        </w:tc>
      </w:tr>
      <w:tr>
        <w:tc>
          <w:tcPr>
            <w:tcW w:type="dxa" w:w="2088"/>
            <w:shd w:val="clear" w:color="auto" w:fill="E7ECF3"/>
          </w:tcPr>
          <w:p>
            <w:r/>
            <w:r>
              <w:rPr>
                <w:b/>
                <w:sz w:val="19"/>
              </w:rPr>
              <w:t>Proposed correction</w:t>
            </w:r>
          </w:p>
        </w:tc>
        <w:tc>
          <w:tcPr>
            <w:tcW w:type="dxa" w:w="7272"/>
            <w:shd w:val="clear" w:color="auto" w:fill="F2F8EE"/>
          </w:tcPr>
          <w:p>
            <w:r/>
            <w:r>
              <w:rPr>
                <w:sz w:val="19"/>
              </w:rPr>
              <w:t>Globally replace “Servicing Agreement” with “Sale and Servicing Agreement”; describe the Trust as formed on October 22, 2024 and governed by the Amended and Restated Trust Agreement dated as of November 15, 2024; add the Back-Up Servicing Agreement to the description of transaction documents and the conflict clause.</w:t>
            </w:r>
          </w:p>
        </w:tc>
      </w:tr>
    </w:tbl>
    <w:p>
      <w:pPr>
        <w:spacing w:after="40"/>
      </w:pPr>
    </w:p>
    <w:p>
      <w:pPr>
        <w:pStyle w:val="Heading3"/>
      </w:pPr>
      <w:r>
        <w:t xml:space="preserve">D-6  Defined terms and accounts in the Indenture not carried into the OM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OM Glossary lacks “Controlling Class,” “Outstanding Note Balance,” “Initial Note Balance,” “Liquidation Proceeds,” “Back-Up Servicer,” “Note Payment Account,” “Pre-Funding Account,” “Eligible Investments,” and “Principal Distribution Amount.” The Available Funds definition refers to “pre-funding deposits” without describing any Pre-Funding Account or pre-funding period. Note Balance is defined per class only.</w:t>
            </w:r>
          </w:p>
        </w:tc>
      </w:tr>
      <w:tr>
        <w:tc>
          <w:tcPr>
            <w:tcW w:type="dxa" w:w="2088"/>
            <w:shd w:val="clear" w:color="auto" w:fill="E7ECF3"/>
          </w:tcPr>
          <w:p>
            <w:r/>
            <w:r>
              <w:rPr>
                <w:b/>
                <w:sz w:val="19"/>
              </w:rPr>
              <w:t>Indenture (governing)</w:t>
            </w:r>
          </w:p>
        </w:tc>
        <w:tc>
          <w:tcPr>
            <w:tcW w:type="dxa" w:w="7272"/>
          </w:tcPr>
          <w:p>
            <w:r/>
            <w:r>
              <w:rPr>
                <w:sz w:val="19"/>
              </w:rPr>
              <w:t>§1.01 definitions; §4.01(c) Note Payment Account; §4.01(d) Pre-Funding Account; Granting Clause (ii) pledges both accounts; §1.01 “Available Funds” (deduction for Pre-Funding Account deposits).</w:t>
            </w:r>
          </w:p>
        </w:tc>
      </w:tr>
      <w:tr>
        <w:tc>
          <w:tcPr>
            <w:tcW w:type="dxa" w:w="2088"/>
            <w:shd w:val="clear" w:color="auto" w:fill="E7ECF3"/>
          </w:tcPr>
          <w:p>
            <w:r/>
            <w:r>
              <w:rPr>
                <w:b/>
                <w:sz w:val="19"/>
              </w:rPr>
              <w:t>Discrepancy</w:t>
            </w:r>
          </w:p>
        </w:tc>
        <w:tc>
          <w:tcPr>
            <w:tcW w:type="dxa" w:w="7272"/>
          </w:tcPr>
          <w:p>
            <w:r/>
            <w:r>
              <w:rPr>
                <w:sz w:val="19"/>
              </w:rPr>
              <w:t>Omitted terms are used in operative provisions investors rely on (e.g., Controlling Class voting, Outstanding Note Balance for reserve and percentages).</w:t>
            </w:r>
          </w:p>
        </w:tc>
      </w:tr>
      <w:tr>
        <w:tc>
          <w:tcPr>
            <w:tcW w:type="dxa" w:w="2088"/>
            <w:shd w:val="clear" w:color="auto" w:fill="E7ECF3"/>
          </w:tcPr>
          <w:p>
            <w:r/>
            <w:r>
              <w:rPr>
                <w:b/>
                <w:sz w:val="19"/>
              </w:rPr>
              <w:t>Significance</w:t>
            </w:r>
          </w:p>
        </w:tc>
        <w:tc>
          <w:tcPr>
            <w:tcW w:type="dxa" w:w="7272"/>
          </w:tcPr>
          <w:p>
            <w:r/>
            <w:r>
              <w:rPr>
                <w:sz w:val="19"/>
              </w:rPr>
              <w:t>Completeness; the Pre-Funding reference in particular raises an investor question whether the deal has a pre-funding feature (the pool appears fully identified at 31,412 Receivables).</w:t>
            </w:r>
          </w:p>
        </w:tc>
      </w:tr>
      <w:tr>
        <w:tc>
          <w:tcPr>
            <w:tcW w:type="dxa" w:w="2088"/>
            <w:shd w:val="clear" w:color="auto" w:fill="E7ECF3"/>
          </w:tcPr>
          <w:p>
            <w:r/>
            <w:r>
              <w:rPr>
                <w:b/>
                <w:sz w:val="19"/>
              </w:rPr>
              <w:t>Proposed correction</w:t>
            </w:r>
          </w:p>
        </w:tc>
        <w:tc>
          <w:tcPr>
            <w:tcW w:type="dxa" w:w="7272"/>
            <w:shd w:val="clear" w:color="auto" w:fill="F2F8EE"/>
          </w:tcPr>
          <w:p>
            <w:r/>
            <w:r>
              <w:rPr>
                <w:sz w:val="19"/>
              </w:rPr>
              <w:t>Add the listed definitions verbatim from §1.01. Confirm with the Sponsor whether any pre-funding is contemplated; if not, state that no pre-funding period applies and consider removing Pre-Funding references from the Indenture before closing; if so, add full pre-funding disclosure.</w:t>
            </w:r>
          </w:p>
        </w:tc>
      </w:tr>
    </w:tbl>
    <w:p>
      <w:pPr>
        <w:spacing w:after="40"/>
      </w:pPr>
    </w:p>
    <w:p>
      <w:pPr>
        <w:pStyle w:val="Heading2"/>
      </w:pPr>
      <w:r>
        <w:t>E. Trigger Events and Reporting</w:t>
      </w:r>
    </w:p>
    <w:p>
      <w:pPr>
        <w:pStyle w:val="Heading3"/>
      </w:pPr>
      <w:r>
        <w:t xml:space="preserve">E-1  Cumulative Net Loss Trigger Table — final period level 5.75% vs. 6.00%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Trigger Events — CNL Trigger Table: “July 2027 and thereafter — 5.75%.” (All earlier periods: 1.25%, 2.50%, 3.75%, 4.75%, 5.50% — consistent.)</w:t>
            </w:r>
          </w:p>
        </w:tc>
      </w:tr>
      <w:tr>
        <w:tc>
          <w:tcPr>
            <w:tcW w:type="dxa" w:w="2088"/>
            <w:shd w:val="clear" w:color="auto" w:fill="E7ECF3"/>
          </w:tcPr>
          <w:p>
            <w:r/>
            <w:r>
              <w:rPr>
                <w:b/>
                <w:sz w:val="19"/>
              </w:rPr>
              <w:t>Indenture (governing)</w:t>
            </w:r>
          </w:p>
        </w:tc>
        <w:tc>
          <w:tcPr>
            <w:tcW w:type="dxa" w:w="7272"/>
          </w:tcPr>
          <w:p>
            <w:r/>
            <w:r>
              <w:rPr>
                <w:sz w:val="19"/>
              </w:rPr>
              <w:t>§5.01(d)(b) CNL Trigger Table: “July 2027 and thereafter — 6.00%.”</w:t>
            </w:r>
          </w:p>
        </w:tc>
      </w:tr>
      <w:tr>
        <w:tc>
          <w:tcPr>
            <w:tcW w:type="dxa" w:w="2088"/>
            <w:shd w:val="clear" w:color="auto" w:fill="E7ECF3"/>
          </w:tcPr>
          <w:p>
            <w:r/>
            <w:r>
              <w:rPr>
                <w:b/>
                <w:sz w:val="19"/>
              </w:rPr>
              <w:t>Discrepancy</w:t>
            </w:r>
          </w:p>
        </w:tc>
        <w:tc>
          <w:tcPr>
            <w:tcW w:type="dxa" w:w="7272"/>
          </w:tcPr>
          <w:p>
            <w:r/>
            <w:r>
              <w:rPr>
                <w:sz w:val="19"/>
              </w:rPr>
              <w:t>25 bp difference in the last (and longest) trigger period.</w:t>
            </w:r>
          </w:p>
        </w:tc>
      </w:tr>
      <w:tr>
        <w:tc>
          <w:tcPr>
            <w:tcW w:type="dxa" w:w="2088"/>
            <w:shd w:val="clear" w:color="auto" w:fill="E7ECF3"/>
          </w:tcPr>
          <w:p>
            <w:r/>
            <w:r>
              <w:rPr>
                <w:b/>
                <w:sz w:val="19"/>
              </w:rPr>
              <w:t>Significance</w:t>
            </w:r>
          </w:p>
        </w:tc>
        <w:tc>
          <w:tcPr>
            <w:tcW w:type="dxa" w:w="7272"/>
          </w:tcPr>
          <w:p>
            <w:r/>
            <w:r>
              <w:rPr>
                <w:sz w:val="19"/>
              </w:rPr>
              <w:t>From July 2027 the Indenture tolerates more losses before tripping the trigger than the OM discloses — investor-unfavorable and rating-sensitive. Changes to the CNL table post-closing require majority consent of each adversely affected class (§13.02(c)).</w:t>
            </w:r>
          </w:p>
        </w:tc>
      </w:tr>
      <w:tr>
        <w:tc>
          <w:tcPr>
            <w:tcW w:type="dxa" w:w="2088"/>
            <w:shd w:val="clear" w:color="auto" w:fill="E7ECF3"/>
          </w:tcPr>
          <w:p>
            <w:r/>
            <w:r>
              <w:rPr>
                <w:b/>
                <w:sz w:val="19"/>
              </w:rPr>
              <w:t>Proposed correction</w:t>
            </w:r>
          </w:p>
        </w:tc>
        <w:tc>
          <w:tcPr>
            <w:tcW w:type="dxa" w:w="7272"/>
            <w:shd w:val="clear" w:color="auto" w:fill="F2F8EE"/>
          </w:tcPr>
          <w:p>
            <w:r/>
            <w:r>
              <w:rPr>
                <w:sz w:val="19"/>
              </w:rPr>
              <w:t>Revise the last row to 6.00%, or if 5.75% was the negotiated level, amend §5.01(d)(b) before closing. Confirm with Kensington.</w:t>
            </w:r>
          </w:p>
        </w:tc>
      </w:tr>
    </w:tbl>
    <w:p>
      <w:pPr>
        <w:spacing w:after="40"/>
      </w:pPr>
    </w:p>
    <w:p>
      <w:pPr>
        <w:pStyle w:val="Heading3"/>
      </w:pPr>
      <w:r>
        <w:t xml:space="preserve">E-2  Servicer report delivery date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The Sponsor, Seller and Servicer — Servicing Operations and Servicing — Monthly Reporting: within / on or before the 10th Business Day following the end of each Collection Period.</w:t>
            </w:r>
          </w:p>
        </w:tc>
      </w:tr>
      <w:tr>
        <w:tc>
          <w:tcPr>
            <w:tcW w:type="dxa" w:w="2088"/>
            <w:shd w:val="clear" w:color="auto" w:fill="E7ECF3"/>
          </w:tcPr>
          <w:p>
            <w:r/>
            <w:r>
              <w:rPr>
                <w:b/>
                <w:sz w:val="19"/>
              </w:rPr>
              <w:t>Indenture (governing)</w:t>
            </w:r>
          </w:p>
        </w:tc>
        <w:tc>
          <w:tcPr>
            <w:tcW w:type="dxa" w:w="7272"/>
          </w:tcPr>
          <w:p>
            <w:r/>
            <w:r>
              <w:rPr>
                <w:sz w:val="19"/>
              </w:rPr>
              <w:t>§7.02(e) and §7.06: on each Determination Date (the 10th calendar day of each month, or next Business Day), commencing December 10, 2024. §7.04(b): failure to deliver on the Determination Date (subject to a 5 Business Day cure) is a Servicer Event of Default. §5.03: Indenture Trustee Monthly Report no later than 2 Business Days before each Payment Date.</w:t>
            </w:r>
          </w:p>
        </w:tc>
      </w:tr>
      <w:tr>
        <w:tc>
          <w:tcPr>
            <w:tcW w:type="dxa" w:w="2088"/>
            <w:shd w:val="clear" w:color="auto" w:fill="E7ECF3"/>
          </w:tcPr>
          <w:p>
            <w:r/>
            <w:r>
              <w:rPr>
                <w:b/>
                <w:sz w:val="19"/>
              </w:rPr>
              <w:t>Discrepancy</w:t>
            </w:r>
          </w:p>
        </w:tc>
        <w:tc>
          <w:tcPr>
            <w:tcW w:type="dxa" w:w="7272"/>
          </w:tcPr>
          <w:p>
            <w:r/>
            <w:r>
              <w:rPr>
                <w:sz w:val="19"/>
              </w:rPr>
              <w:t>The 10th Business Day typically falls several calendar days after the 10th calendar day (and after the Determination Date on which trigger tests are run), so the OM describes a later deadline than the Indenture imposes.</w:t>
            </w:r>
          </w:p>
        </w:tc>
      </w:tr>
      <w:tr>
        <w:tc>
          <w:tcPr>
            <w:tcW w:type="dxa" w:w="2088"/>
            <w:shd w:val="clear" w:color="auto" w:fill="E7ECF3"/>
          </w:tcPr>
          <w:p>
            <w:r/>
            <w:r>
              <w:rPr>
                <w:b/>
                <w:sz w:val="19"/>
              </w:rPr>
              <w:t>Significance</w:t>
            </w:r>
          </w:p>
        </w:tc>
        <w:tc>
          <w:tcPr>
            <w:tcW w:type="dxa" w:w="7272"/>
          </w:tcPr>
          <w:p>
            <w:r/>
            <w:r>
              <w:rPr>
                <w:sz w:val="19"/>
              </w:rPr>
              <w:t>Affects the timing of trigger testing disclosure and a Servicer Event of Default trigger.</w:t>
            </w:r>
          </w:p>
        </w:tc>
      </w:tr>
      <w:tr>
        <w:tc>
          <w:tcPr>
            <w:tcW w:type="dxa" w:w="2088"/>
            <w:shd w:val="clear" w:color="auto" w:fill="E7ECF3"/>
          </w:tcPr>
          <w:p>
            <w:r/>
            <w:r>
              <w:rPr>
                <w:b/>
                <w:sz w:val="19"/>
              </w:rPr>
              <w:t>Proposed correction</w:t>
            </w:r>
          </w:p>
        </w:tc>
        <w:tc>
          <w:tcPr>
            <w:tcW w:type="dxa" w:w="7272"/>
            <w:shd w:val="clear" w:color="auto" w:fill="F2F8EE"/>
          </w:tcPr>
          <w:p>
            <w:r/>
            <w:r>
              <w:rPr>
                <w:sz w:val="19"/>
              </w:rPr>
              <w:t>Revise both passages to: “on each Determination Date (the 10th day of each month or, if not a Business Day, the next Business Day), commencing December 10, 2024.” Add the Indenture Trustee’s Monthly Report timing from §5.03.</w:t>
            </w:r>
          </w:p>
        </w:tc>
      </w:tr>
    </w:tbl>
    <w:p>
      <w:pPr>
        <w:spacing w:after="40"/>
      </w:pPr>
    </w:p>
    <w:p>
      <w:pPr>
        <w:pStyle w:val="Heading3"/>
      </w:pPr>
      <w:r>
        <w:t xml:space="preserve">E-3  Delinquency reporting buckets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Servicing — Monthly Reporting: 30–59, 60–89 and 90+ days.</w:t>
            </w:r>
          </w:p>
        </w:tc>
      </w:tr>
      <w:tr>
        <w:tc>
          <w:tcPr>
            <w:tcW w:type="dxa" w:w="2088"/>
            <w:shd w:val="clear" w:color="auto" w:fill="E7ECF3"/>
          </w:tcPr>
          <w:p>
            <w:r/>
            <w:r>
              <w:rPr>
                <w:b/>
                <w:sz w:val="19"/>
              </w:rPr>
              <w:t>Indenture (governing)</w:t>
            </w:r>
          </w:p>
        </w:tc>
        <w:tc>
          <w:tcPr>
            <w:tcW w:type="dxa" w:w="7272"/>
          </w:tcPr>
          <w:p>
            <w:r/>
            <w:r>
              <w:rPr>
                <w:sz w:val="19"/>
              </w:rPr>
              <w:t>§5.03(m) and §7.06(c): 31–60, 61–90, 91–120 and 120+ days.</w:t>
            </w:r>
          </w:p>
        </w:tc>
      </w:tr>
      <w:tr>
        <w:tc>
          <w:tcPr>
            <w:tcW w:type="dxa" w:w="2088"/>
            <w:shd w:val="clear" w:color="auto" w:fill="E7ECF3"/>
          </w:tcPr>
          <w:p>
            <w:r/>
            <w:r>
              <w:rPr>
                <w:b/>
                <w:sz w:val="19"/>
              </w:rPr>
              <w:t>Discrepancy</w:t>
            </w:r>
          </w:p>
        </w:tc>
        <w:tc>
          <w:tcPr>
            <w:tcW w:type="dxa" w:w="7272"/>
          </w:tcPr>
          <w:p>
            <w:r/>
            <w:r>
              <w:rPr>
                <w:sz w:val="19"/>
              </w:rPr>
              <w:t>Buckets and the 120-day split (aligned to the Indenture default definition) differ.</w:t>
            </w:r>
          </w:p>
        </w:tc>
      </w:tr>
      <w:tr>
        <w:tc>
          <w:tcPr>
            <w:tcW w:type="dxa" w:w="2088"/>
            <w:shd w:val="clear" w:color="auto" w:fill="E7ECF3"/>
          </w:tcPr>
          <w:p>
            <w:r/>
            <w:r>
              <w:rPr>
                <w:b/>
                <w:sz w:val="19"/>
              </w:rPr>
              <w:t>Significance</w:t>
            </w:r>
          </w:p>
        </w:tc>
        <w:tc>
          <w:tcPr>
            <w:tcW w:type="dxa" w:w="7272"/>
          </w:tcPr>
          <w:p>
            <w:r/>
            <w:r>
              <w:rPr>
                <w:sz w:val="19"/>
              </w:rPr>
              <w:t>Investors will receive reports in Indenture buckets; mismatch invites questions, and the 90+ bucket in the OM is consistent with the OM’s (incorrect) default definition.</w:t>
            </w:r>
          </w:p>
        </w:tc>
      </w:tr>
      <w:tr>
        <w:tc>
          <w:tcPr>
            <w:tcW w:type="dxa" w:w="2088"/>
            <w:shd w:val="clear" w:color="auto" w:fill="E7ECF3"/>
          </w:tcPr>
          <w:p>
            <w:r/>
            <w:r>
              <w:rPr>
                <w:b/>
                <w:sz w:val="19"/>
              </w:rPr>
              <w:t>Proposed correction</w:t>
            </w:r>
          </w:p>
        </w:tc>
        <w:tc>
          <w:tcPr>
            <w:tcW w:type="dxa" w:w="7272"/>
            <w:shd w:val="clear" w:color="auto" w:fill="F2F8EE"/>
          </w:tcPr>
          <w:p>
            <w:r/>
            <w:r>
              <w:rPr>
                <w:sz w:val="19"/>
              </w:rPr>
              <w:t>Conform to the §5.03/§7.06 buckets and list the full content of the Servicer Report and Monthly Report.</w:t>
            </w:r>
          </w:p>
        </w:tc>
      </w:tr>
    </w:tbl>
    <w:p>
      <w:pPr>
        <w:spacing w:after="40"/>
      </w:pPr>
    </w:p>
    <w:p>
      <w:pPr>
        <w:pStyle w:val="Heading3"/>
      </w:pPr>
      <w:r>
        <w:t xml:space="preserve">E-4  Trigger cure language — minor wording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Trigger Events — Consequences: Trigger Event cured if (i) ADR ≤ 3.50%, (ii) CNL ≤ applicable level and (iii) OC ≥ Minimum OC Amount on a subsequent Determination Date.</w:t>
            </w:r>
          </w:p>
        </w:tc>
      </w:tr>
      <w:tr>
        <w:tc>
          <w:tcPr>
            <w:tcW w:type="dxa" w:w="2088"/>
            <w:shd w:val="clear" w:color="auto" w:fill="E7ECF3"/>
          </w:tcPr>
          <w:p>
            <w:r/>
            <w:r>
              <w:rPr>
                <w:b/>
                <w:sz w:val="19"/>
              </w:rPr>
              <w:t>Indenture (governing)</w:t>
            </w:r>
          </w:p>
        </w:tc>
        <w:tc>
          <w:tcPr>
            <w:tcW w:type="dxa" w:w="7272"/>
          </w:tcPr>
          <w:p>
            <w:r/>
            <w:r>
              <w:rPr>
                <w:sz w:val="19"/>
              </w:rPr>
              <w:t>§5.01(d) final paragraph: cured on the first Determination Date on which none of clauses (a)–(c) is satisfied; §5.01(b): turbo continues until cure of all Trigger Events or payment in full.</w:t>
            </w:r>
          </w:p>
        </w:tc>
      </w:tr>
      <w:tr>
        <w:tc>
          <w:tcPr>
            <w:tcW w:type="dxa" w:w="2088"/>
            <w:shd w:val="clear" w:color="auto" w:fill="E7ECF3"/>
          </w:tcPr>
          <w:p>
            <w:r/>
            <w:r>
              <w:rPr>
                <w:b/>
                <w:sz w:val="19"/>
              </w:rPr>
              <w:t>Discrepancy</w:t>
            </w:r>
          </w:p>
        </w:tc>
        <w:tc>
          <w:tcPr>
            <w:tcW w:type="dxa" w:w="7272"/>
          </w:tcPr>
          <w:p>
            <w:r/>
            <w:r>
              <w:rPr>
                <w:sz w:val="19"/>
              </w:rPr>
              <w:t>Substantively consistent, but OM item (iii) inherits the fixed Minimum OC error (C-1) and the OM should state that the Servicer must notify the Indenture Trustee and Noteholders of any change in Trigger Event status (§5.01(d)).</w:t>
            </w:r>
          </w:p>
        </w:tc>
      </w:tr>
      <w:tr>
        <w:tc>
          <w:tcPr>
            <w:tcW w:type="dxa" w:w="2088"/>
            <w:shd w:val="clear" w:color="auto" w:fill="E7ECF3"/>
          </w:tcPr>
          <w:p>
            <w:r/>
            <w:r>
              <w:rPr>
                <w:b/>
                <w:sz w:val="19"/>
              </w:rPr>
              <w:t>Significance</w:t>
            </w:r>
          </w:p>
        </w:tc>
        <w:tc>
          <w:tcPr>
            <w:tcW w:type="dxa" w:w="7272"/>
          </w:tcPr>
          <w:p>
            <w:r/>
            <w:r>
              <w:rPr>
                <w:sz w:val="19"/>
              </w:rPr>
              <w:t>Conforming change only.</w:t>
            </w:r>
          </w:p>
        </w:tc>
      </w:tr>
      <w:tr>
        <w:tc>
          <w:tcPr>
            <w:tcW w:type="dxa" w:w="2088"/>
            <w:shd w:val="clear" w:color="auto" w:fill="E7ECF3"/>
          </w:tcPr>
          <w:p>
            <w:r/>
            <w:r>
              <w:rPr>
                <w:b/>
                <w:sz w:val="19"/>
              </w:rPr>
              <w:t>Proposed correction</w:t>
            </w:r>
          </w:p>
        </w:tc>
        <w:tc>
          <w:tcPr>
            <w:tcW w:type="dxa" w:w="7272"/>
            <w:shd w:val="clear" w:color="auto" w:fill="F2F8EE"/>
          </w:tcPr>
          <w:p>
            <w:r/>
            <w:r>
              <w:rPr>
                <w:sz w:val="19"/>
              </w:rPr>
              <w:t>Conform cure description to §5.01(d), using the corrected Minimum OC Amount, and add the Servicer notification obligation.</w:t>
            </w:r>
          </w:p>
        </w:tc>
      </w:tr>
    </w:tbl>
    <w:p>
      <w:pPr>
        <w:spacing w:after="40"/>
      </w:pPr>
    </w:p>
    <w:p>
      <w:pPr>
        <w:pStyle w:val="Heading2"/>
      </w:pPr>
      <w:r>
        <w:t>F. Servicing, Back-Up Servicing and Servicer Termination</w:t>
      </w:r>
    </w:p>
    <w:p>
      <w:pPr>
        <w:pStyle w:val="Heading3"/>
      </w:pPr>
      <w:r>
        <w:t xml:space="preserve">F-1  Back-Up Servicer (Granite Loan Servicing LLC) omitted from OM entirely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No reference anywhere in the OM (Transaction Parties table, Servicing, Servicer Risk risk factor, Servicer Termination Events, Flow of Funds).</w:t>
            </w:r>
          </w:p>
        </w:tc>
      </w:tr>
      <w:tr>
        <w:tc>
          <w:tcPr>
            <w:tcW w:type="dxa" w:w="2088"/>
            <w:shd w:val="clear" w:color="auto" w:fill="E7ECF3"/>
          </w:tcPr>
          <w:p>
            <w:r/>
            <w:r>
              <w:rPr>
                <w:b/>
                <w:sz w:val="19"/>
              </w:rPr>
              <w:t>Indenture (governing)</w:t>
            </w:r>
          </w:p>
        </w:tc>
        <w:tc>
          <w:tcPr>
            <w:tcW w:type="dxa" w:w="7272"/>
          </w:tcPr>
          <w:p>
            <w:r/>
            <w:r>
              <w:rPr>
                <w:sz w:val="19"/>
              </w:rPr>
              <w:t>§1.01 “Back-Up Servicer,” “Back-Up Servicer Fee,” “Back-Up Servicing Agreement”; §7.05: Granite Loan Servicing LLC appointed under the Back-Up Servicing Agreement dated as of November 15, 2024; must maintain operational readiness to assume servicing within 30 days of notice; $5,000 per month ($60,000 per annum) fee payable only upon activation, as an additional component of the Servicing Fee at step First; Granting Clause (iii) pledges the Issuer’s rights under the Back-Up Servicing Agreement.</w:t>
            </w:r>
          </w:p>
        </w:tc>
      </w:tr>
      <w:tr>
        <w:tc>
          <w:tcPr>
            <w:tcW w:type="dxa" w:w="2088"/>
            <w:shd w:val="clear" w:color="auto" w:fill="E7ECF3"/>
          </w:tcPr>
          <w:p>
            <w:r/>
            <w:r>
              <w:rPr>
                <w:b/>
                <w:sz w:val="19"/>
              </w:rPr>
              <w:t>Discrepancy</w:t>
            </w:r>
          </w:p>
        </w:tc>
        <w:tc>
          <w:tcPr>
            <w:tcW w:type="dxa" w:w="7272"/>
          </w:tcPr>
          <w:p>
            <w:r/>
            <w:r>
              <w:rPr>
                <w:sz w:val="19"/>
              </w:rPr>
              <w:t>Material party and arrangement undisclosed.</w:t>
            </w:r>
          </w:p>
        </w:tc>
      </w:tr>
      <w:tr>
        <w:tc>
          <w:tcPr>
            <w:tcW w:type="dxa" w:w="2088"/>
            <w:shd w:val="clear" w:color="auto" w:fill="E7ECF3"/>
          </w:tcPr>
          <w:p>
            <w:r/>
            <w:r>
              <w:rPr>
                <w:b/>
                <w:sz w:val="19"/>
              </w:rPr>
              <w:t>Significance</w:t>
            </w:r>
          </w:p>
        </w:tc>
        <w:tc>
          <w:tcPr>
            <w:tcW w:type="dxa" w:w="7272"/>
          </w:tcPr>
          <w:p>
            <w:r/>
            <w:r>
              <w:rPr>
                <w:sz w:val="19"/>
              </w:rPr>
              <w:t>Back-up servicing is a credit-positive feature directly relevant to the Servicer Risk factor (servicer rated BBB+), and the activation fee is senior to all interest. Its omission is both a completeness deficiency and a disclosure of Servicer transition risk that is less accurate than it should be.</w:t>
            </w:r>
          </w:p>
        </w:tc>
      </w:tr>
      <w:tr>
        <w:tc>
          <w:tcPr>
            <w:tcW w:type="dxa" w:w="2088"/>
            <w:shd w:val="clear" w:color="auto" w:fill="E7ECF3"/>
          </w:tcPr>
          <w:p>
            <w:r/>
            <w:r>
              <w:rPr>
                <w:b/>
                <w:sz w:val="19"/>
              </w:rPr>
              <w:t>Proposed correction</w:t>
            </w:r>
          </w:p>
        </w:tc>
        <w:tc>
          <w:tcPr>
            <w:tcW w:type="dxa" w:w="7272"/>
            <w:shd w:val="clear" w:color="auto" w:fill="F2F8EE"/>
          </w:tcPr>
          <w:p>
            <w:r/>
            <w:r>
              <w:rPr>
                <w:sz w:val="19"/>
              </w:rPr>
              <w:t>Add Granite Loan Servicing LLC to the Transaction Parties table; add a “Back-Up Servicer” subsection under Servicing describing §7.05 (readiness, 30-day assumption, fee and its priority); revise the Servicer Risk factor and the waterfall step (1) to reference the Back-Up Servicer Fee upon activation. Confirm whether Granite needs diligence/disclosure (description of the entity, experience).</w:t>
            </w:r>
          </w:p>
        </w:tc>
      </w:tr>
    </w:tbl>
    <w:p>
      <w:pPr>
        <w:spacing w:after="40"/>
      </w:pPr>
    </w:p>
    <w:p>
      <w:pPr>
        <w:pStyle w:val="Heading3"/>
      </w:pPr>
      <w:r>
        <w:t xml:space="preserve">F-2  Servicer Termination Events — triggers, cure periods and direction rights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Servicing — Servicer Termination Events: (i) failure to deposit/pay within 5 Business Days after due (no notice/knowledge trigger); (ii) material breach uncured for 30 days after notice from the Indenture Trustee or 25% of the outstanding note balance; (iii) insolvency; (iv) other events in the “Servicing Agreement.” Termination by the Indenture Trustee at the direction of holders of a majority of the outstanding note balance; successor “reasonably acceptable to the Indenture Trustee.”</w:t>
            </w:r>
          </w:p>
        </w:tc>
      </w:tr>
      <w:tr>
        <w:tc>
          <w:tcPr>
            <w:tcW w:type="dxa" w:w="2088"/>
            <w:shd w:val="clear" w:color="auto" w:fill="E7ECF3"/>
          </w:tcPr>
          <w:p>
            <w:r/>
            <w:r>
              <w:rPr>
                <w:b/>
                <w:sz w:val="19"/>
              </w:rPr>
              <w:t>Indenture (governing)</w:t>
            </w:r>
          </w:p>
        </w:tc>
        <w:tc>
          <w:tcPr>
            <w:tcW w:type="dxa" w:w="7272"/>
          </w:tcPr>
          <w:p>
            <w:r/>
            <w:r>
              <w:rPr>
                <w:sz w:val="19"/>
              </w:rPr>
              <w:t>§7.04 (“Servicer Event of Default”): (a) failure to deposit within the §4.02 period continuing 5 Business Days after the earlier of notice (Trustee or 25% holders) and actual knowledge; (b) failure to deliver the monthly Servicer report on the Determination Date continuing 5 Business Days after notice; (c) breach with material adverse effect uncured 60 days after notice; (d)/(e) insolvency (involuntary order unstayed 60 days). §7.05: Indenture Trustee may, and at direction of a majority of the Controlling Class shall, terminate; successor “acceptable to the Indenture Trustee.”</w:t>
            </w:r>
          </w:p>
        </w:tc>
      </w:tr>
      <w:tr>
        <w:tc>
          <w:tcPr>
            <w:tcW w:type="dxa" w:w="2088"/>
            <w:shd w:val="clear" w:color="auto" w:fill="E7ECF3"/>
          </w:tcPr>
          <w:p>
            <w:r/>
            <w:r>
              <w:rPr>
                <w:b/>
                <w:sz w:val="19"/>
              </w:rPr>
              <w:t>Discrepancy</w:t>
            </w:r>
          </w:p>
        </w:tc>
        <w:tc>
          <w:tcPr>
            <w:tcW w:type="dxa" w:w="7272"/>
          </w:tcPr>
          <w:p>
            <w:r/>
            <w:r>
              <w:rPr>
                <w:sz w:val="19"/>
              </w:rPr>
              <w:t>Different label (Servicer Termination Event vs. Servicer Event of Default); different cure periods (30 vs. 60 days); OM omits the report-delivery default; OM gives the vote to a majority of all Notes rather than the Controlling Class; OM omits the Indenture Trustee’s discretionary termination right and the 60-day involuntary-insolvency grace period.</w:t>
            </w:r>
          </w:p>
        </w:tc>
      </w:tr>
      <w:tr>
        <w:tc>
          <w:tcPr>
            <w:tcW w:type="dxa" w:w="2088"/>
            <w:shd w:val="clear" w:color="auto" w:fill="E7ECF3"/>
          </w:tcPr>
          <w:p>
            <w:r/>
            <w:r>
              <w:rPr>
                <w:b/>
                <w:sz w:val="19"/>
              </w:rPr>
              <w:t>Significance</w:t>
            </w:r>
          </w:p>
        </w:tc>
        <w:tc>
          <w:tcPr>
            <w:tcW w:type="dxa" w:w="7272"/>
          </w:tcPr>
          <w:p>
            <w:r/>
            <w:r>
              <w:rPr>
                <w:sz w:val="19"/>
              </w:rPr>
              <w:t>Voting rights and cure periods are material to subordinate investors (who, under the Indenture, have no say while Class A is outstanding) and to assessment of servicer-replacement risk.</w:t>
            </w:r>
          </w:p>
        </w:tc>
      </w:tr>
      <w:tr>
        <w:tc>
          <w:tcPr>
            <w:tcW w:type="dxa" w:w="2088"/>
            <w:shd w:val="clear" w:color="auto" w:fill="E7ECF3"/>
          </w:tcPr>
          <w:p>
            <w:r/>
            <w:r>
              <w:rPr>
                <w:b/>
                <w:sz w:val="19"/>
              </w:rPr>
              <w:t>Proposed correction</w:t>
            </w:r>
          </w:p>
        </w:tc>
        <w:tc>
          <w:tcPr>
            <w:tcW w:type="dxa" w:w="7272"/>
            <w:shd w:val="clear" w:color="auto" w:fill="F2F8EE"/>
          </w:tcPr>
          <w:p>
            <w:r/>
            <w:r>
              <w:rPr>
                <w:sz w:val="19"/>
              </w:rPr>
              <w:t>Rewrite the subsection to track §7.04(a)–(e) and §7.05 verbatim in substance, using the term “Servicer Event of Default,” the 60-day breach cure, the reporting default, and Controlling Class direction. Add a definition of Controlling Class and an explanatory sentence that holders of Class B and Class C Notes will not control remedies while any more senior class is Outstanding.</w:t>
            </w:r>
          </w:p>
        </w:tc>
      </w:tr>
    </w:tbl>
    <w:p>
      <w:pPr>
        <w:spacing w:after="40"/>
      </w:pPr>
    </w:p>
    <w:p>
      <w:pPr>
        <w:pStyle w:val="Heading3"/>
      </w:pPr>
      <w:r>
        <w:t xml:space="preserve">F-3  Servicing standard and collection-effort wording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Servicing — Servicing Standard: “customary and usual standards of practice of prudent auto loan servicers” and “reasonable efforts.”</w:t>
            </w:r>
          </w:p>
        </w:tc>
      </w:tr>
      <w:tr>
        <w:tc>
          <w:tcPr>
            <w:tcW w:type="dxa" w:w="2088"/>
            <w:shd w:val="clear" w:color="auto" w:fill="E7ECF3"/>
          </w:tcPr>
          <w:p>
            <w:r/>
            <w:r>
              <w:rPr>
                <w:b/>
                <w:sz w:val="19"/>
              </w:rPr>
              <w:t>Indenture (governing)</w:t>
            </w:r>
          </w:p>
        </w:tc>
        <w:tc>
          <w:tcPr>
            <w:tcW w:type="dxa" w:w="7272"/>
          </w:tcPr>
          <w:p>
            <w:r/>
            <w:r>
              <w:rPr>
                <w:sz w:val="19"/>
              </w:rPr>
              <w:t>§7.01 (“prudent servicing standards customarily employed by prudent servicers of similar receivables”); §7.02(a) (“commercially reasonable efforts”), §7.02(c) (same actions as for comparable receivables serviced for its own account); §7.02(f) compliance (including FDCPA).</w:t>
            </w:r>
          </w:p>
        </w:tc>
      </w:tr>
      <w:tr>
        <w:tc>
          <w:tcPr>
            <w:tcW w:type="dxa" w:w="2088"/>
            <w:shd w:val="clear" w:color="auto" w:fill="E7ECF3"/>
          </w:tcPr>
          <w:p>
            <w:r/>
            <w:r>
              <w:rPr>
                <w:b/>
                <w:sz w:val="19"/>
              </w:rPr>
              <w:t>Discrepancy</w:t>
            </w:r>
          </w:p>
        </w:tc>
        <w:tc>
          <w:tcPr>
            <w:tcW w:type="dxa" w:w="7272"/>
          </w:tcPr>
          <w:p>
            <w:r/>
            <w:r>
              <w:rPr>
                <w:sz w:val="19"/>
              </w:rPr>
              <w:t>Wording variance in effort standard.</w:t>
            </w:r>
          </w:p>
        </w:tc>
      </w:tr>
      <w:tr>
        <w:tc>
          <w:tcPr>
            <w:tcW w:type="dxa" w:w="2088"/>
            <w:shd w:val="clear" w:color="auto" w:fill="E7ECF3"/>
          </w:tcPr>
          <w:p>
            <w:r/>
            <w:r>
              <w:rPr>
                <w:b/>
                <w:sz w:val="19"/>
              </w:rPr>
              <w:t>Significance</w:t>
            </w:r>
          </w:p>
        </w:tc>
        <w:tc>
          <w:tcPr>
            <w:tcW w:type="dxa" w:w="7272"/>
          </w:tcPr>
          <w:p>
            <w:r/>
            <w:r>
              <w:rPr>
                <w:sz w:val="19"/>
              </w:rPr>
              <w:t>Low, but “commercially reasonable efforts” is the contractual standard.</w:t>
            </w:r>
          </w:p>
        </w:tc>
      </w:tr>
      <w:tr>
        <w:tc>
          <w:tcPr>
            <w:tcW w:type="dxa" w:w="2088"/>
            <w:shd w:val="clear" w:color="auto" w:fill="E7ECF3"/>
          </w:tcPr>
          <w:p>
            <w:r/>
            <w:r>
              <w:rPr>
                <w:b/>
                <w:sz w:val="19"/>
              </w:rPr>
              <w:t>Proposed correction</w:t>
            </w:r>
          </w:p>
        </w:tc>
        <w:tc>
          <w:tcPr>
            <w:tcW w:type="dxa" w:w="7272"/>
            <w:shd w:val="clear" w:color="auto" w:fill="F2F8EE"/>
          </w:tcPr>
          <w:p>
            <w:r/>
            <w:r>
              <w:rPr>
                <w:sz w:val="19"/>
              </w:rPr>
              <w:t>Conform to “commercially reasonable efforts” and the §7.02(c) own-account standard.</w:t>
            </w:r>
          </w:p>
        </w:tc>
      </w:tr>
    </w:tbl>
    <w:p>
      <w:pPr>
        <w:spacing w:after="40"/>
      </w:pPr>
    </w:p>
    <w:p>
      <w:pPr>
        <w:pStyle w:val="Heading2"/>
      </w:pPr>
      <w:r>
        <w:t>G. Representations, Warranties and Repurchase</w:t>
      </w:r>
    </w:p>
    <w:p>
      <w:pPr>
        <w:pStyle w:val="Heading3"/>
      </w:pPr>
      <w:r>
        <w:t xml:space="preserve">G-1  Maximum original term — 72 months in OM vs. 75 months in Indenture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The Receivables Pool — Representations (a) and Representations and Warranties — (a): no more than 72 months. Origination Practices: original terms “generally ranging from 36 to 72 months.”</w:t>
            </w:r>
          </w:p>
        </w:tc>
      </w:tr>
      <w:tr>
        <w:tc>
          <w:tcPr>
            <w:tcW w:type="dxa" w:w="2088"/>
            <w:shd w:val="clear" w:color="auto" w:fill="E7ECF3"/>
          </w:tcPr>
          <w:p>
            <w:r/>
            <w:r>
              <w:rPr>
                <w:b/>
                <w:sz w:val="19"/>
              </w:rPr>
              <w:t>Indenture (governing)</w:t>
            </w:r>
          </w:p>
        </w:tc>
        <w:tc>
          <w:tcPr>
            <w:tcW w:type="dxa" w:w="7272"/>
          </w:tcPr>
          <w:p>
            <w:r/>
            <w:r>
              <w:rPr>
                <w:sz w:val="19"/>
              </w:rPr>
              <w:t>§8.01(a): original term of no more than 75 months from origination.</w:t>
            </w:r>
          </w:p>
        </w:tc>
      </w:tr>
      <w:tr>
        <w:tc>
          <w:tcPr>
            <w:tcW w:type="dxa" w:w="2088"/>
            <w:shd w:val="clear" w:color="auto" w:fill="E7ECF3"/>
          </w:tcPr>
          <w:p>
            <w:r/>
            <w:r>
              <w:rPr>
                <w:b/>
                <w:sz w:val="19"/>
              </w:rPr>
              <w:t>Discrepancy</w:t>
            </w:r>
          </w:p>
        </w:tc>
        <w:tc>
          <w:tcPr>
            <w:tcW w:type="dxa" w:w="7272"/>
          </w:tcPr>
          <w:p>
            <w:r/>
            <w:r>
              <w:rPr>
                <w:sz w:val="19"/>
              </w:rPr>
              <w:t>The OM represents a tighter eligibility criterion than the Indenture actually gives the Trust.</w:t>
            </w:r>
          </w:p>
        </w:tc>
      </w:tr>
      <w:tr>
        <w:tc>
          <w:tcPr>
            <w:tcW w:type="dxa" w:w="2088"/>
            <w:shd w:val="clear" w:color="auto" w:fill="E7ECF3"/>
          </w:tcPr>
          <w:p>
            <w:r/>
            <w:r>
              <w:rPr>
                <w:b/>
                <w:sz w:val="19"/>
              </w:rPr>
              <w:t>Significance</w:t>
            </w:r>
          </w:p>
        </w:tc>
        <w:tc>
          <w:tcPr>
            <w:tcW w:type="dxa" w:w="7272"/>
          </w:tcPr>
          <w:p>
            <w:r/>
            <w:r>
              <w:rPr>
                <w:sz w:val="19"/>
              </w:rPr>
              <w:t>Investors are told no Receivable exceeds 72 months, but the Seller’s repurchase obligation only covers loans over 75 months; 73–75-month loans may be in the pool without remedy. Longer-term loans carry higher loss severity; rating-sensitive. Also requires confirmation against the Receivables Schedule / Saxonbrook AUP.</w:t>
            </w:r>
          </w:p>
        </w:tc>
      </w:tr>
      <w:tr>
        <w:tc>
          <w:tcPr>
            <w:tcW w:type="dxa" w:w="2088"/>
            <w:shd w:val="clear" w:color="auto" w:fill="E7ECF3"/>
          </w:tcPr>
          <w:p>
            <w:r/>
            <w:r>
              <w:rPr>
                <w:b/>
                <w:sz w:val="19"/>
              </w:rPr>
              <w:t>Proposed correction</w:t>
            </w:r>
          </w:p>
        </w:tc>
        <w:tc>
          <w:tcPr>
            <w:tcW w:type="dxa" w:w="7272"/>
            <w:shd w:val="clear" w:color="auto" w:fill="F2F8EE"/>
          </w:tcPr>
          <w:p>
            <w:r/>
            <w:r>
              <w:rPr>
                <w:sz w:val="19"/>
              </w:rPr>
              <w:t>Confirm with Saxonbrook and the Sponsor whether any Receivable has an original term of 73–75 months. If none and 72 months is the deal, amend §8.01(a) to 72 months before closing; otherwise revise both OM rep lists to 75 months and revise Origination Practices and pool tables to disclose loans with terms over 72 months.</w:t>
            </w:r>
          </w:p>
        </w:tc>
      </w:tr>
    </w:tbl>
    <w:p>
      <w:pPr>
        <w:spacing w:after="40"/>
      </w:pPr>
    </w:p>
    <w:p>
      <w:pPr>
        <w:pStyle w:val="Heading3"/>
      </w:pPr>
      <w:r>
        <w:t xml:space="preserve">G-2  Date as of which the Receivables representations are made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The Receivables Pool — Representations and Representations and Warranties: made “as of the Cutoff Date and the Closing Date.”</w:t>
            </w:r>
          </w:p>
        </w:tc>
      </w:tr>
      <w:tr>
        <w:tc>
          <w:tcPr>
            <w:tcW w:type="dxa" w:w="2088"/>
            <w:shd w:val="clear" w:color="auto" w:fill="E7ECF3"/>
          </w:tcPr>
          <w:p>
            <w:r/>
            <w:r>
              <w:rPr>
                <w:b/>
                <w:sz w:val="19"/>
              </w:rPr>
              <w:t>Indenture (governing)</w:t>
            </w:r>
          </w:p>
        </w:tc>
        <w:tc>
          <w:tcPr>
            <w:tcW w:type="dxa" w:w="7272"/>
          </w:tcPr>
          <w:p>
            <w:r/>
            <w:r>
              <w:rPr>
                <w:sz w:val="19"/>
              </w:rPr>
              <w:t>§8.01: made “with respect to each Receivable sold and conveyed to the Trust as of the Cutoff Date.” (Closing Date bring-down appears only in the CFO Officer’s Certificate condition in §3.01(c).)</w:t>
            </w:r>
          </w:p>
        </w:tc>
      </w:tr>
      <w:tr>
        <w:tc>
          <w:tcPr>
            <w:tcW w:type="dxa" w:w="2088"/>
            <w:shd w:val="clear" w:color="auto" w:fill="E7ECF3"/>
          </w:tcPr>
          <w:p>
            <w:r/>
            <w:r>
              <w:rPr>
                <w:b/>
                <w:sz w:val="19"/>
              </w:rPr>
              <w:t>Discrepancy</w:t>
            </w:r>
          </w:p>
        </w:tc>
        <w:tc>
          <w:tcPr>
            <w:tcW w:type="dxa" w:w="7272"/>
          </w:tcPr>
          <w:p>
            <w:r/>
            <w:r>
              <w:rPr>
                <w:sz w:val="19"/>
              </w:rPr>
              <w:t>The OM promises a Closing Date representation that the Indenture does not contain.</w:t>
            </w:r>
          </w:p>
        </w:tc>
      </w:tr>
      <w:tr>
        <w:tc>
          <w:tcPr>
            <w:tcW w:type="dxa" w:w="2088"/>
            <w:shd w:val="clear" w:color="auto" w:fill="E7ECF3"/>
          </w:tcPr>
          <w:p>
            <w:r/>
            <w:r>
              <w:rPr>
                <w:b/>
                <w:sz w:val="19"/>
              </w:rPr>
              <w:t>Significance</w:t>
            </w:r>
          </w:p>
        </w:tc>
        <w:tc>
          <w:tcPr>
            <w:tcW w:type="dxa" w:w="7272"/>
          </w:tcPr>
          <w:p>
            <w:r/>
            <w:r>
              <w:rPr>
                <w:sz w:val="19"/>
              </w:rPr>
              <w:t>A Closing Date rep covers deterioration between October 31 and November 27, 2024 (e.g., Receivables becoming more than 30 days delinquent); without it, no repurchase remedy applies. Material to the repurchase protection described in the Risk Factors.</w:t>
            </w:r>
          </w:p>
        </w:tc>
      </w:tr>
      <w:tr>
        <w:tc>
          <w:tcPr>
            <w:tcW w:type="dxa" w:w="2088"/>
            <w:shd w:val="clear" w:color="auto" w:fill="E7ECF3"/>
          </w:tcPr>
          <w:p>
            <w:r/>
            <w:r>
              <w:rPr>
                <w:b/>
                <w:sz w:val="19"/>
              </w:rPr>
              <w:t>Proposed correction</w:t>
            </w:r>
          </w:p>
        </w:tc>
        <w:tc>
          <w:tcPr>
            <w:tcW w:type="dxa" w:w="7272"/>
            <w:shd w:val="clear" w:color="auto" w:fill="F2F8EE"/>
          </w:tcPr>
          <w:p>
            <w:r/>
            <w:r>
              <w:rPr>
                <w:sz w:val="19"/>
              </w:rPr>
              <w:t>Conform the OM to “as of the Cutoff Date,” or (preferably for investors) add a Closing Date bring-down to §8.01 before closing. Check the Sale and Servicing Agreement, which may contain additional reps.</w:t>
            </w:r>
          </w:p>
        </w:tc>
      </w:tr>
    </w:tbl>
    <w:p>
      <w:pPr>
        <w:spacing w:after="40"/>
      </w:pPr>
    </w:p>
    <w:p>
      <w:pPr>
        <w:pStyle w:val="Heading3"/>
      </w:pPr>
      <w:r>
        <w:t xml:space="preserve">G-3  Representations listed in the OM but not in Indenture §8.01, and vice versa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OM reps not in §8.01: (h) origination in accordance with underwriting guidelines; (i) accuracy of the Receivables schedule. OM omits Indenture reps: §8.01(f) second sentence (no Receivable identified as a Defaulted Receivable as of the Cutoff Date) and §8.01(i) (origination in one of the 38 states in which the Seller is licensed). The Receivables Pool rep list also omits rep (i)–(j) and FCRA, which appear in the later Representations section.</w:t>
            </w:r>
          </w:p>
        </w:tc>
      </w:tr>
      <w:tr>
        <w:tc>
          <w:tcPr>
            <w:tcW w:type="dxa" w:w="2088"/>
            <w:shd w:val="clear" w:color="auto" w:fill="E7ECF3"/>
          </w:tcPr>
          <w:p>
            <w:r/>
            <w:r>
              <w:rPr>
                <w:b/>
                <w:sz w:val="19"/>
              </w:rPr>
              <w:t>Indenture (governing)</w:t>
            </w:r>
          </w:p>
        </w:tc>
        <w:tc>
          <w:tcPr>
            <w:tcW w:type="dxa" w:w="7272"/>
          </w:tcPr>
          <w:p>
            <w:r/>
            <w:r>
              <w:rPr>
                <w:sz w:val="19"/>
              </w:rPr>
              <w:t>§8.01(a)–(i).</w:t>
            </w:r>
          </w:p>
        </w:tc>
      </w:tr>
      <w:tr>
        <w:tc>
          <w:tcPr>
            <w:tcW w:type="dxa" w:w="2088"/>
            <w:shd w:val="clear" w:color="auto" w:fill="E7ECF3"/>
          </w:tcPr>
          <w:p>
            <w:r/>
            <w:r>
              <w:rPr>
                <w:b/>
                <w:sz w:val="19"/>
              </w:rPr>
              <w:t>Discrepancy</w:t>
            </w:r>
          </w:p>
        </w:tc>
        <w:tc>
          <w:tcPr>
            <w:tcW w:type="dxa" w:w="7272"/>
          </w:tcPr>
          <w:p>
            <w:r/>
            <w:r>
              <w:rPr>
                <w:sz w:val="19"/>
              </w:rPr>
              <w:t>Mismatch between rep lists; internal inconsistency between two OM rep lists.</w:t>
            </w:r>
          </w:p>
        </w:tc>
      </w:tr>
      <w:tr>
        <w:tc>
          <w:tcPr>
            <w:tcW w:type="dxa" w:w="2088"/>
            <w:shd w:val="clear" w:color="auto" w:fill="E7ECF3"/>
          </w:tcPr>
          <w:p>
            <w:r/>
            <w:r>
              <w:rPr>
                <w:b/>
                <w:sz w:val="19"/>
              </w:rPr>
              <w:t>Significance</w:t>
            </w:r>
          </w:p>
        </w:tc>
        <w:tc>
          <w:tcPr>
            <w:tcW w:type="dxa" w:w="7272"/>
          </w:tcPr>
          <w:p>
            <w:r/>
            <w:r>
              <w:rPr>
                <w:sz w:val="19"/>
              </w:rPr>
              <w:t>The OM states the Seller “has represented and warranted” each listed item; if those reps exist only in the Sale and Servicing Agreement they must be confirmed there; if they exist nowhere, the statement is false.</w:t>
            </w:r>
          </w:p>
        </w:tc>
      </w:tr>
      <w:tr>
        <w:tc>
          <w:tcPr>
            <w:tcW w:type="dxa" w:w="2088"/>
            <w:shd w:val="clear" w:color="auto" w:fill="E7ECF3"/>
          </w:tcPr>
          <w:p>
            <w:r/>
            <w:r>
              <w:rPr>
                <w:b/>
                <w:sz w:val="19"/>
              </w:rPr>
              <w:t>Proposed correction</w:t>
            </w:r>
          </w:p>
        </w:tc>
        <w:tc>
          <w:tcPr>
            <w:tcW w:type="dxa" w:w="7272"/>
            <w:shd w:val="clear" w:color="auto" w:fill="F2F8EE"/>
          </w:tcPr>
          <w:p>
            <w:r/>
            <w:r>
              <w:rPr>
                <w:sz w:val="19"/>
              </w:rPr>
              <w:t>Verify against the Sale and Servicing Agreement. Consolidate the OM into a single rep list that matches the operative document(s) and cross-references §8.01 and the Sale and Servicing Agreement; add §8.01(f) second sentence and §8.01(i).</w:t>
            </w:r>
          </w:p>
        </w:tc>
      </w:tr>
    </w:tbl>
    <w:p>
      <w:pPr>
        <w:spacing w:after="40"/>
      </w:pPr>
    </w:p>
    <w:p>
      <w:pPr>
        <w:pStyle w:val="Heading3"/>
      </w:pPr>
      <w:r>
        <w:t xml:space="preserve">G-4  Loan-to-value methodology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Origination Practices and Representation (c): LTV “inclusive of negative equity, taxes, fees, and ancillary products”; numerator/denominator not specified (in the first rep list, no methodology at all).</w:t>
            </w:r>
          </w:p>
        </w:tc>
      </w:tr>
      <w:tr>
        <w:tc>
          <w:tcPr>
            <w:tcW w:type="dxa" w:w="2088"/>
            <w:shd w:val="clear" w:color="auto" w:fill="E7ECF3"/>
          </w:tcPr>
          <w:p>
            <w:r/>
            <w:r>
              <w:rPr>
                <w:b/>
                <w:sz w:val="19"/>
              </w:rPr>
              <w:t>Indenture (governing)</w:t>
            </w:r>
          </w:p>
        </w:tc>
        <w:tc>
          <w:tcPr>
            <w:tcW w:type="dxa" w:w="7272"/>
          </w:tcPr>
          <w:p>
            <w:r/>
            <w:r>
              <w:rPr>
                <w:sz w:val="19"/>
              </w:rPr>
              <w:t>§8.01(c): contract amount (including financed insurance premiums, service contracts and capitalized fees) divided by the wholesale book value of the Financed Vehicle at origination.</w:t>
            </w:r>
          </w:p>
        </w:tc>
      </w:tr>
      <w:tr>
        <w:tc>
          <w:tcPr>
            <w:tcW w:type="dxa" w:w="2088"/>
            <w:shd w:val="clear" w:color="auto" w:fill="E7ECF3"/>
          </w:tcPr>
          <w:p>
            <w:r/>
            <w:r>
              <w:rPr>
                <w:b/>
                <w:sz w:val="19"/>
              </w:rPr>
              <w:t>Discrepancy</w:t>
            </w:r>
          </w:p>
        </w:tc>
        <w:tc>
          <w:tcPr>
            <w:tcW w:type="dxa" w:w="7272"/>
          </w:tcPr>
          <w:p>
            <w:r/>
            <w:r>
              <w:rPr>
                <w:sz w:val="19"/>
              </w:rPr>
              <w:t>Different description of the numerator and an undisclosed denominator (wholesale book value).</w:t>
            </w:r>
          </w:p>
        </w:tc>
      </w:tr>
      <w:tr>
        <w:tc>
          <w:tcPr>
            <w:tcW w:type="dxa" w:w="2088"/>
            <w:shd w:val="clear" w:color="auto" w:fill="E7ECF3"/>
          </w:tcPr>
          <w:p>
            <w:r/>
            <w:r>
              <w:rPr>
                <w:b/>
                <w:sz w:val="19"/>
              </w:rPr>
              <w:t>Significance</w:t>
            </w:r>
          </w:p>
        </w:tc>
        <w:tc>
          <w:tcPr>
            <w:tcW w:type="dxa" w:w="7272"/>
          </w:tcPr>
          <w:p>
            <w:r/>
            <w:r>
              <w:rPr>
                <w:sz w:val="19"/>
              </w:rPr>
              <w:t>Wholesale-value LTVs are typically higher than retail-value LTVs; investors need the denominator to interpret the 94.2% weighted average and 125% cap.</w:t>
            </w:r>
          </w:p>
        </w:tc>
      </w:tr>
      <w:tr>
        <w:tc>
          <w:tcPr>
            <w:tcW w:type="dxa" w:w="2088"/>
            <w:shd w:val="clear" w:color="auto" w:fill="E7ECF3"/>
          </w:tcPr>
          <w:p>
            <w:r/>
            <w:r>
              <w:rPr>
                <w:b/>
                <w:sz w:val="19"/>
              </w:rPr>
              <w:t>Proposed correction</w:t>
            </w:r>
          </w:p>
        </w:tc>
        <w:tc>
          <w:tcPr>
            <w:tcW w:type="dxa" w:w="7272"/>
            <w:shd w:val="clear" w:color="auto" w:fill="F2F8EE"/>
          </w:tcPr>
          <w:p>
            <w:r/>
            <w:r>
              <w:rPr>
                <w:sz w:val="19"/>
              </w:rPr>
              <w:t>Conform both OM rep lists and the pool table footnote to the §8.01(c) methodology.</w:t>
            </w:r>
          </w:p>
        </w:tc>
      </w:tr>
    </w:tbl>
    <w:p>
      <w:pPr>
        <w:spacing w:after="40"/>
      </w:pPr>
    </w:p>
    <w:p>
      <w:pPr>
        <w:pStyle w:val="Heading3"/>
      </w:pPr>
      <w:r>
        <w:t xml:space="preserve">G-5  Repurchase mechanics — cure period, trigger, who may give notice, remittance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The Receivables Pool — Repurchase Obligations: repurchase “within 60 days of receiving notice.” Representations and Warranties — Repurchase Obligation: within 60 days of “written notice of such breach from the Indenture Trustee.” Notice Requirements: 25% holders may direct the Indenture Trustee to investigate and enforce.</w:t>
            </w:r>
          </w:p>
        </w:tc>
      </w:tr>
      <w:tr>
        <w:tc>
          <w:tcPr>
            <w:tcW w:type="dxa" w:w="2088"/>
            <w:shd w:val="clear" w:color="auto" w:fill="E7ECF3"/>
          </w:tcPr>
          <w:p>
            <w:r/>
            <w:r>
              <w:rPr>
                <w:b/>
                <w:sz w:val="19"/>
              </w:rPr>
              <w:t>Indenture (governing)</w:t>
            </w:r>
          </w:p>
        </w:tc>
        <w:tc>
          <w:tcPr>
            <w:tcW w:type="dxa" w:w="7272"/>
          </w:tcPr>
          <w:p>
            <w:r/>
            <w:r>
              <w:rPr>
                <w:sz w:val="19"/>
              </w:rPr>
              <w:t>§8.02: 60-day cure period running from the earlier of (a) the Seller’s knowledge and (b) written notice from the Indenture Trustee or holders of at least 25% of the Outstanding Note Balance; repurchase only if uncured; Repurchase Price remitted to the Collection Account within 5 Business Days after expiry of the cure period; Repurchase Price treated as collections; sole remedy.</w:t>
            </w:r>
          </w:p>
        </w:tc>
      </w:tr>
      <w:tr>
        <w:tc>
          <w:tcPr>
            <w:tcW w:type="dxa" w:w="2088"/>
            <w:shd w:val="clear" w:color="auto" w:fill="E7ECF3"/>
          </w:tcPr>
          <w:p>
            <w:r/>
            <w:r>
              <w:rPr>
                <w:b/>
                <w:sz w:val="19"/>
              </w:rPr>
              <w:t>Discrepancy</w:t>
            </w:r>
          </w:p>
        </w:tc>
        <w:tc>
          <w:tcPr>
            <w:tcW w:type="dxa" w:w="7272"/>
          </w:tcPr>
          <w:p>
            <w:r/>
            <w:r>
              <w:rPr>
                <w:sz w:val="19"/>
              </w:rPr>
              <w:t>OM omits the Seller-knowledge trigger, the Seller’s right to cure, direct notice by 25% holders, and the 5-Business-Day remittance; the two OM passages are also inconsistent with each other.</w:t>
            </w:r>
          </w:p>
        </w:tc>
      </w:tr>
      <w:tr>
        <w:tc>
          <w:tcPr>
            <w:tcW w:type="dxa" w:w="2088"/>
            <w:shd w:val="clear" w:color="auto" w:fill="E7ECF3"/>
          </w:tcPr>
          <w:p>
            <w:r/>
            <w:r>
              <w:rPr>
                <w:b/>
                <w:sz w:val="19"/>
              </w:rPr>
              <w:t>Significance</w:t>
            </w:r>
          </w:p>
        </w:tc>
        <w:tc>
          <w:tcPr>
            <w:tcW w:type="dxa" w:w="7272"/>
          </w:tcPr>
          <w:p>
            <w:r/>
            <w:r>
              <w:rPr>
                <w:sz w:val="19"/>
              </w:rPr>
              <w:t>Repurchase is the sole remedy for rep breaches (both documents) and is the subject of a stand-alone risk factor; the mechanics should be precise.</w:t>
            </w:r>
          </w:p>
        </w:tc>
      </w:tr>
      <w:tr>
        <w:tc>
          <w:tcPr>
            <w:tcW w:type="dxa" w:w="2088"/>
            <w:shd w:val="clear" w:color="auto" w:fill="E7ECF3"/>
          </w:tcPr>
          <w:p>
            <w:r/>
            <w:r>
              <w:rPr>
                <w:b/>
                <w:sz w:val="19"/>
              </w:rPr>
              <w:t>Proposed correction</w:t>
            </w:r>
          </w:p>
        </w:tc>
        <w:tc>
          <w:tcPr>
            <w:tcW w:type="dxa" w:w="7272"/>
            <w:shd w:val="clear" w:color="auto" w:fill="F2F8EE"/>
          </w:tcPr>
          <w:p>
            <w:r/>
            <w:r>
              <w:rPr>
                <w:sz w:val="19"/>
              </w:rPr>
              <w:t>Replace both OM passages with a single description tracking §8.02, including the knowledge trigger, cure right, 25% holder notice right, 5-Business-Day remittance and sole-remedy language.</w:t>
            </w:r>
          </w:p>
        </w:tc>
      </w:tr>
    </w:tbl>
    <w:p>
      <w:pPr>
        <w:spacing w:after="40"/>
      </w:pPr>
    </w:p>
    <w:p>
      <w:pPr>
        <w:pStyle w:val="Heading2"/>
      </w:pPr>
      <w:r>
        <w:t>H. Transfer Restrictions, ERISA and Securities Law Language</w:t>
      </w:r>
    </w:p>
    <w:p>
      <w:pPr>
        <w:pStyle w:val="Heading3"/>
      </w:pPr>
      <w:r>
        <w:t xml:space="preserve">H-1  Permitted transfers — OM omits the “other exempt transaction” channel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Summary of Terms and Transfer Restrictions: transfers to QIBs under Rule 144A and in offshore transactions under Regulation S; Additional Transfer Restrictions rep (a) limits purchasers to those two categories.</w:t>
            </w:r>
          </w:p>
        </w:tc>
      </w:tr>
      <w:tr>
        <w:tc>
          <w:tcPr>
            <w:tcW w:type="dxa" w:w="2088"/>
            <w:shd w:val="clear" w:color="auto" w:fill="E7ECF3"/>
          </w:tcPr>
          <w:p>
            <w:r/>
            <w:r>
              <w:rPr>
                <w:b/>
                <w:sz w:val="19"/>
              </w:rPr>
              <w:t>Indenture (governing)</w:t>
            </w:r>
          </w:p>
        </w:tc>
        <w:tc>
          <w:tcPr>
            <w:tcW w:type="dxa" w:w="7272"/>
          </w:tcPr>
          <w:p>
            <w:r/>
            <w:r>
              <w:rPr>
                <w:sz w:val="19"/>
              </w:rPr>
              <w:t>§14.01(a)–(c): Rule 144A, Regulation S (Rules 903/904), or (c) any other exempt transaction with certificates/opinions satisfactory to the Issuer and Indenture Trustee; legend (§14.02, Exhibit A) refers to clause (C).</w:t>
            </w:r>
          </w:p>
        </w:tc>
      </w:tr>
      <w:tr>
        <w:tc>
          <w:tcPr>
            <w:tcW w:type="dxa" w:w="2088"/>
            <w:shd w:val="clear" w:color="auto" w:fill="E7ECF3"/>
          </w:tcPr>
          <w:p>
            <w:r/>
            <w:r>
              <w:rPr>
                <w:b/>
                <w:sz w:val="19"/>
              </w:rPr>
              <w:t>Discrepancy</w:t>
            </w:r>
          </w:p>
        </w:tc>
        <w:tc>
          <w:tcPr>
            <w:tcW w:type="dxa" w:w="7272"/>
          </w:tcPr>
          <w:p>
            <w:r/>
            <w:r>
              <w:rPr>
                <w:sz w:val="19"/>
              </w:rPr>
              <w:t>OM is narrower than the Indenture and the Note legend.</w:t>
            </w:r>
          </w:p>
        </w:tc>
      </w:tr>
      <w:tr>
        <w:tc>
          <w:tcPr>
            <w:tcW w:type="dxa" w:w="2088"/>
            <w:shd w:val="clear" w:color="auto" w:fill="E7ECF3"/>
          </w:tcPr>
          <w:p>
            <w:r/>
            <w:r>
              <w:rPr>
                <w:b/>
                <w:sz w:val="19"/>
              </w:rPr>
              <w:t>Significance</w:t>
            </w:r>
          </w:p>
        </w:tc>
        <w:tc>
          <w:tcPr>
            <w:tcW w:type="dxa" w:w="7272"/>
          </w:tcPr>
          <w:p>
            <w:r/>
            <w:r>
              <w:rPr>
                <w:sz w:val="19"/>
              </w:rPr>
              <w:t>Securities-law disclosure must accurately describe resale channels; inconsistency with the legend on the global Notes.</w:t>
            </w:r>
          </w:p>
        </w:tc>
      </w:tr>
      <w:tr>
        <w:tc>
          <w:tcPr>
            <w:tcW w:type="dxa" w:w="2088"/>
            <w:shd w:val="clear" w:color="auto" w:fill="E7ECF3"/>
          </w:tcPr>
          <w:p>
            <w:r/>
            <w:r>
              <w:rPr>
                <w:b/>
                <w:sz w:val="19"/>
              </w:rPr>
              <w:t>Proposed correction</w:t>
            </w:r>
          </w:p>
        </w:tc>
        <w:tc>
          <w:tcPr>
            <w:tcW w:type="dxa" w:w="7272"/>
            <w:shd w:val="clear" w:color="auto" w:fill="F2F8EE"/>
          </w:tcPr>
          <w:p>
            <w:r/>
            <w:r>
              <w:rPr>
                <w:sz w:val="19"/>
              </w:rPr>
              <w:t>Add the §14.01(c) channel to the Transfer Restrictions section and conform the legend description to §14.02. Confirm with Blackthorn &amp; Kessler whether the placement (initial sale) is limited to 144A/Reg S while resales may use clause (c), and say so.</w:t>
            </w:r>
          </w:p>
        </w:tc>
      </w:tr>
    </w:tbl>
    <w:p>
      <w:pPr>
        <w:spacing w:after="40"/>
      </w:pPr>
    </w:p>
    <w:p>
      <w:pPr>
        <w:pStyle w:val="Heading3"/>
      </w:pPr>
      <w:r>
        <w:t xml:space="preserve">H-2  Transfer certificate vs. deemed representations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Additional Transfer Restrictions: each purchaser “will be required to execute and deliver a transfer certificate in the form prescribed by the Indenture.”</w:t>
            </w:r>
          </w:p>
        </w:tc>
      </w:tr>
      <w:tr>
        <w:tc>
          <w:tcPr>
            <w:tcW w:type="dxa" w:w="2088"/>
            <w:shd w:val="clear" w:color="auto" w:fill="E7ECF3"/>
          </w:tcPr>
          <w:p>
            <w:r/>
            <w:r>
              <w:rPr>
                <w:b/>
                <w:sz w:val="19"/>
              </w:rPr>
              <w:t>Indenture (governing)</w:t>
            </w:r>
          </w:p>
        </w:tc>
        <w:tc>
          <w:tcPr>
            <w:tcW w:type="dxa" w:w="7272"/>
          </w:tcPr>
          <w:p>
            <w:r/>
            <w:r>
              <w:rPr>
                <w:sz w:val="19"/>
              </w:rPr>
              <w:t>§14.03: each acquirer is “deemed to have represented and warranted” (no form of transfer certificate is attached to the Indenture; only Exhibit A form of Note). §14.01(c) requires certificates/opinions only for other exempt transfers. §2.05: transfers registered by the Indenture Trustee as Note Registrar.</w:t>
            </w:r>
          </w:p>
        </w:tc>
      </w:tr>
      <w:tr>
        <w:tc>
          <w:tcPr>
            <w:tcW w:type="dxa" w:w="2088"/>
            <w:shd w:val="clear" w:color="auto" w:fill="E7ECF3"/>
          </w:tcPr>
          <w:p>
            <w:r/>
            <w:r>
              <w:rPr>
                <w:b/>
                <w:sz w:val="19"/>
              </w:rPr>
              <w:t>Discrepancy</w:t>
            </w:r>
          </w:p>
        </w:tc>
        <w:tc>
          <w:tcPr>
            <w:tcW w:type="dxa" w:w="7272"/>
          </w:tcPr>
          <w:p>
            <w:r/>
            <w:r>
              <w:rPr>
                <w:sz w:val="19"/>
              </w:rPr>
              <w:t>The OM references a form that does not exist in the Indenture and describes an execution requirement that is impractical for book-entry interests.</w:t>
            </w:r>
          </w:p>
        </w:tc>
      </w:tr>
      <w:tr>
        <w:tc>
          <w:tcPr>
            <w:tcW w:type="dxa" w:w="2088"/>
            <w:shd w:val="clear" w:color="auto" w:fill="E7ECF3"/>
          </w:tcPr>
          <w:p>
            <w:r/>
            <w:r>
              <w:rPr>
                <w:b/>
                <w:sz w:val="19"/>
              </w:rPr>
              <w:t>Significance</w:t>
            </w:r>
          </w:p>
        </w:tc>
        <w:tc>
          <w:tcPr>
            <w:tcW w:type="dxa" w:w="7272"/>
          </w:tcPr>
          <w:p>
            <w:r/>
            <w:r>
              <w:rPr>
                <w:sz w:val="19"/>
              </w:rPr>
              <w:t>Inaccurate description of the transfer procedure; could impair secondary trading.</w:t>
            </w:r>
          </w:p>
        </w:tc>
      </w:tr>
      <w:tr>
        <w:tc>
          <w:tcPr>
            <w:tcW w:type="dxa" w:w="2088"/>
            <w:shd w:val="clear" w:color="auto" w:fill="E7ECF3"/>
          </w:tcPr>
          <w:p>
            <w:r/>
            <w:r>
              <w:rPr>
                <w:b/>
                <w:sz w:val="19"/>
              </w:rPr>
              <w:t>Proposed correction</w:t>
            </w:r>
          </w:p>
        </w:tc>
        <w:tc>
          <w:tcPr>
            <w:tcW w:type="dxa" w:w="7272"/>
            <w:shd w:val="clear" w:color="auto" w:fill="F2F8EE"/>
          </w:tcPr>
          <w:p>
            <w:r/>
            <w:r>
              <w:rPr>
                <w:sz w:val="19"/>
              </w:rPr>
              <w:t>Revise to: “Each purchaser of a Note (or a beneficial interest therein) will be deemed to have represented and agreed as follows …,” tracking §14.03(a)–(d); reference certificates/opinions only for §14.01(c) transfers. Include the investment-intent rep only if contained in a transaction document.</w:t>
            </w:r>
          </w:p>
        </w:tc>
      </w:tr>
    </w:tbl>
    <w:p>
      <w:pPr>
        <w:spacing w:after="40"/>
      </w:pPr>
    </w:p>
    <w:p>
      <w:pPr>
        <w:pStyle w:val="Heading3"/>
      </w:pPr>
      <w:r>
        <w:t xml:space="preserve">H-3  ERISA representation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ERISA Considerations: “deemed to have represented”; extends to governmental, church and non-U.S. plans subject to “similar applicable law”; no reference to the plan-asset regulation.</w:t>
            </w:r>
          </w:p>
        </w:tc>
      </w:tr>
      <w:tr>
        <w:tc>
          <w:tcPr>
            <w:tcW w:type="dxa" w:w="2088"/>
            <w:shd w:val="clear" w:color="auto" w:fill="E7ECF3"/>
          </w:tcPr>
          <w:p>
            <w:r/>
            <w:r>
              <w:rPr>
                <w:b/>
                <w:sz w:val="19"/>
              </w:rPr>
              <w:t>Indenture (governing)</w:t>
            </w:r>
          </w:p>
        </w:tc>
        <w:tc>
          <w:tcPr>
            <w:tcW w:type="dxa" w:w="7272"/>
          </w:tcPr>
          <w:p>
            <w:r/>
            <w:r>
              <w:rPr>
                <w:sz w:val="19"/>
              </w:rPr>
              <w:t>§14.01 (prospective transferee “shall be required to represent and certify”) and §14.03(c) (deemed rep); references 29 C.F.R. §2510.3-101 as modified by ERISA §3(42); no Similar Law prong.</w:t>
            </w:r>
          </w:p>
        </w:tc>
      </w:tr>
      <w:tr>
        <w:tc>
          <w:tcPr>
            <w:tcW w:type="dxa" w:w="2088"/>
            <w:shd w:val="clear" w:color="auto" w:fill="E7ECF3"/>
          </w:tcPr>
          <w:p>
            <w:r/>
            <w:r>
              <w:rPr>
                <w:b/>
                <w:sz w:val="19"/>
              </w:rPr>
              <w:t>Discrepancy</w:t>
            </w:r>
          </w:p>
        </w:tc>
        <w:tc>
          <w:tcPr>
            <w:tcW w:type="dxa" w:w="7272"/>
          </w:tcPr>
          <w:p>
            <w:r/>
            <w:r>
              <w:rPr>
                <w:sz w:val="19"/>
              </w:rPr>
              <w:t>Mechanism (required certification vs. deemed) and scope (Similar Law prong) differ.</w:t>
            </w:r>
          </w:p>
        </w:tc>
      </w:tr>
      <w:tr>
        <w:tc>
          <w:tcPr>
            <w:tcW w:type="dxa" w:w="2088"/>
            <w:shd w:val="clear" w:color="auto" w:fill="E7ECF3"/>
          </w:tcPr>
          <w:p>
            <w:r/>
            <w:r>
              <w:rPr>
                <w:b/>
                <w:sz w:val="19"/>
              </w:rPr>
              <w:t>Significance</w:t>
            </w:r>
          </w:p>
        </w:tc>
        <w:tc>
          <w:tcPr>
            <w:tcW w:type="dxa" w:w="7272"/>
          </w:tcPr>
          <w:p>
            <w:r/>
            <w:r>
              <w:rPr>
                <w:sz w:val="19"/>
              </w:rPr>
              <w:t>ERISA eligibility is a key investor-qualification term; the OM imposes a Similar Law condition not in the Indenture and omits the plan-asset regulation reference.</w:t>
            </w:r>
          </w:p>
        </w:tc>
      </w:tr>
      <w:tr>
        <w:tc>
          <w:tcPr>
            <w:tcW w:type="dxa" w:w="2088"/>
            <w:shd w:val="clear" w:color="auto" w:fill="E7ECF3"/>
          </w:tcPr>
          <w:p>
            <w:r/>
            <w:r>
              <w:rPr>
                <w:b/>
                <w:sz w:val="19"/>
              </w:rPr>
              <w:t>Proposed correction</w:t>
            </w:r>
          </w:p>
        </w:tc>
        <w:tc>
          <w:tcPr>
            <w:tcW w:type="dxa" w:w="7272"/>
            <w:shd w:val="clear" w:color="auto" w:fill="F2F8EE"/>
          </w:tcPr>
          <w:p>
            <w:r/>
            <w:r>
              <w:rPr>
                <w:sz w:val="19"/>
              </w:rPr>
              <w:t>Conform the OM to §14.01/§14.03(c), adding the plan-asset regulation reference. If a Similar Law rep is desired, add it to §14.03 before closing.</w:t>
            </w:r>
          </w:p>
        </w:tc>
      </w:tr>
    </w:tbl>
    <w:p>
      <w:pPr>
        <w:spacing w:after="40"/>
      </w:pPr>
    </w:p>
    <w:p>
      <w:pPr>
        <w:pStyle w:val="Heading3"/>
      </w:pPr>
      <w:r>
        <w:t xml:space="preserve">H-4  Rule 144A conditions and legend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Rule 144A Transfers: purchaser represents QIB status; no reference to seller’s reasonable belief, notice of reliance, or non-fungibility. Legends: legend described only generally.</w:t>
            </w:r>
          </w:p>
        </w:tc>
      </w:tr>
      <w:tr>
        <w:tc>
          <w:tcPr>
            <w:tcW w:type="dxa" w:w="2088"/>
            <w:shd w:val="clear" w:color="auto" w:fill="E7ECF3"/>
          </w:tcPr>
          <w:p>
            <w:r/>
            <w:r>
              <w:rPr>
                <w:b/>
                <w:sz w:val="19"/>
              </w:rPr>
              <w:t>Indenture (governing)</w:t>
            </w:r>
          </w:p>
        </w:tc>
        <w:tc>
          <w:tcPr>
            <w:tcW w:type="dxa" w:w="7272"/>
          </w:tcPr>
          <w:p>
            <w:r/>
            <w:r>
              <w:rPr>
                <w:sz w:val="19"/>
              </w:rPr>
              <w:t>§14.01(a)(i)–(iii): seller’s reasonable belief that purchaser is a QIB under Rule 144A(a)(1); reasonable steps to notify of reliance; Notes not fungible with listed securities (Rule 144A(d)(3)(i)). §14.02: full legend text.</w:t>
            </w:r>
          </w:p>
        </w:tc>
      </w:tr>
      <w:tr>
        <w:tc>
          <w:tcPr>
            <w:tcW w:type="dxa" w:w="2088"/>
            <w:shd w:val="clear" w:color="auto" w:fill="E7ECF3"/>
          </w:tcPr>
          <w:p>
            <w:r/>
            <w:r>
              <w:rPr>
                <w:b/>
                <w:sz w:val="19"/>
              </w:rPr>
              <w:t>Discrepancy</w:t>
            </w:r>
          </w:p>
        </w:tc>
        <w:tc>
          <w:tcPr>
            <w:tcW w:type="dxa" w:w="7272"/>
          </w:tcPr>
          <w:p>
            <w:r/>
            <w:r>
              <w:rPr>
                <w:sz w:val="19"/>
              </w:rPr>
              <w:t>Partial description.</w:t>
            </w:r>
          </w:p>
        </w:tc>
      </w:tr>
      <w:tr>
        <w:tc>
          <w:tcPr>
            <w:tcW w:type="dxa" w:w="2088"/>
            <w:shd w:val="clear" w:color="auto" w:fill="E7ECF3"/>
          </w:tcPr>
          <w:p>
            <w:r/>
            <w:r>
              <w:rPr>
                <w:b/>
                <w:sz w:val="19"/>
              </w:rPr>
              <w:t>Significance</w:t>
            </w:r>
          </w:p>
        </w:tc>
        <w:tc>
          <w:tcPr>
            <w:tcW w:type="dxa" w:w="7272"/>
          </w:tcPr>
          <w:p>
            <w:r/>
            <w:r>
              <w:rPr>
                <w:sz w:val="19"/>
              </w:rPr>
              <w:t>Disclosure completeness.</w:t>
            </w:r>
          </w:p>
        </w:tc>
      </w:tr>
      <w:tr>
        <w:tc>
          <w:tcPr>
            <w:tcW w:type="dxa" w:w="2088"/>
            <w:shd w:val="clear" w:color="auto" w:fill="E7ECF3"/>
          </w:tcPr>
          <w:p>
            <w:r/>
            <w:r>
              <w:rPr>
                <w:b/>
                <w:sz w:val="19"/>
              </w:rPr>
              <w:t>Proposed correction</w:t>
            </w:r>
          </w:p>
        </w:tc>
        <w:tc>
          <w:tcPr>
            <w:tcW w:type="dxa" w:w="7272"/>
            <w:shd w:val="clear" w:color="auto" w:fill="F2F8EE"/>
          </w:tcPr>
          <w:p>
            <w:r/>
            <w:r>
              <w:rPr>
                <w:sz w:val="19"/>
              </w:rPr>
              <w:t>Add the §14.01(a) conditions and reproduce (or closely track) the §14.02 legend text in the Legends subsection.</w:t>
            </w:r>
          </w:p>
        </w:tc>
      </w:tr>
    </w:tbl>
    <w:p>
      <w:pPr>
        <w:spacing w:after="40"/>
      </w:pPr>
    </w:p>
    <w:p>
      <w:pPr>
        <w:pStyle w:val="Heading2"/>
      </w:pPr>
      <w:r>
        <w:t>I. Collateral Pool Statistics</w:t>
      </w:r>
    </w:p>
    <w:p>
      <w:pPr>
        <w:pStyle w:val="Heading3"/>
      </w:pPr>
      <w:r>
        <w:t xml:space="preserve">I-1  Number of Receivables — approximately 31,200 in OM vs. 31,412 in Indenture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Summary of Terms — Collateral; The Receivables Pool — General and Pool Characteristics table: “approximately 31,200.”</w:t>
            </w:r>
          </w:p>
        </w:tc>
      </w:tr>
      <w:tr>
        <w:tc>
          <w:tcPr>
            <w:tcW w:type="dxa" w:w="2088"/>
            <w:shd w:val="clear" w:color="auto" w:fill="E7ECF3"/>
          </w:tcPr>
          <w:p>
            <w:r/>
            <w:r>
              <w:rPr>
                <w:b/>
                <w:sz w:val="19"/>
              </w:rPr>
              <w:t>Indenture (governing)</w:t>
            </w:r>
          </w:p>
        </w:tc>
        <w:tc>
          <w:tcPr>
            <w:tcW w:type="dxa" w:w="7272"/>
          </w:tcPr>
          <w:p>
            <w:r/>
            <w:r>
              <w:rPr>
                <w:sz w:val="19"/>
              </w:rPr>
              <w:t>Granting Clause (i); §3.01(f); Collateral Pool Summary; Schedule I: 31,412 Receivables (aggregate $712,300,000).</w:t>
            </w:r>
          </w:p>
        </w:tc>
      </w:tr>
      <w:tr>
        <w:tc>
          <w:tcPr>
            <w:tcW w:type="dxa" w:w="2088"/>
            <w:shd w:val="clear" w:color="auto" w:fill="E7ECF3"/>
          </w:tcPr>
          <w:p>
            <w:r/>
            <w:r>
              <w:rPr>
                <w:b/>
                <w:sz w:val="19"/>
              </w:rPr>
              <w:t>Discrepancy</w:t>
            </w:r>
          </w:p>
        </w:tc>
        <w:tc>
          <w:tcPr>
            <w:tcW w:type="dxa" w:w="7272"/>
          </w:tcPr>
          <w:p>
            <w:r/>
            <w:r>
              <w:rPr>
                <w:sz w:val="19"/>
              </w:rPr>
              <w:t>212-loan difference (0.7%). The OM’s own average loan balance ($22,676) is consistent only with 31,412 loans ($712,300,000 / 31,200 = $22,830).</w:t>
            </w:r>
          </w:p>
        </w:tc>
      </w:tr>
      <w:tr>
        <w:tc>
          <w:tcPr>
            <w:tcW w:type="dxa" w:w="2088"/>
            <w:shd w:val="clear" w:color="auto" w:fill="E7ECF3"/>
          </w:tcPr>
          <w:p>
            <w:r/>
            <w:r>
              <w:rPr>
                <w:b/>
                <w:sz w:val="19"/>
              </w:rPr>
              <w:t>Significance</w:t>
            </w:r>
          </w:p>
        </w:tc>
        <w:tc>
          <w:tcPr>
            <w:tcW w:type="dxa" w:w="7272"/>
          </w:tcPr>
          <w:p>
            <w:r/>
            <w:r>
              <w:rPr>
                <w:sz w:val="19"/>
              </w:rPr>
              <w:t>The receivable count is a closing condition (§3.01(f)) and an AUP-verified data point; an internally inconsistent pool table invites questions about the data tape used for the OM.</w:t>
            </w:r>
          </w:p>
        </w:tc>
      </w:tr>
      <w:tr>
        <w:tc>
          <w:tcPr>
            <w:tcW w:type="dxa" w:w="2088"/>
            <w:shd w:val="clear" w:color="auto" w:fill="E7ECF3"/>
          </w:tcPr>
          <w:p>
            <w:r/>
            <w:r>
              <w:rPr>
                <w:b/>
                <w:sz w:val="19"/>
              </w:rPr>
              <w:t>Proposed correction</w:t>
            </w:r>
          </w:p>
        </w:tc>
        <w:tc>
          <w:tcPr>
            <w:tcW w:type="dxa" w:w="7272"/>
            <w:shd w:val="clear" w:color="auto" w:fill="F2F8EE"/>
          </w:tcPr>
          <w:p>
            <w:r/>
            <w:r>
              <w:rPr>
                <w:sz w:val="19"/>
              </w:rPr>
              <w:t>Revise to “31,412” in all OM references (or “approximately 31,412”). Have Saxonbrook tie out the final OM pool table to the Receivables Schedule.</w:t>
            </w:r>
          </w:p>
        </w:tc>
      </w:tr>
    </w:tbl>
    <w:p>
      <w:pPr>
        <w:spacing w:after="40"/>
      </w:pPr>
    </w:p>
    <w:p>
      <w:pPr>
        <w:pStyle w:val="Heading3"/>
      </w:pPr>
      <w:r>
        <w:t xml:space="preserve">I-2  New/used vehicle mix — 72.8%/27.2% in text vs. 62.4%/37.6% in table and Indenture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The Receivables Pool — Pool Characteristics: table shows New 62.4% / Used 37.6%; the following paragraph states 72.8% new / 27.2% used.</w:t>
            </w:r>
          </w:p>
        </w:tc>
      </w:tr>
      <w:tr>
        <w:tc>
          <w:tcPr>
            <w:tcW w:type="dxa" w:w="2088"/>
            <w:shd w:val="clear" w:color="auto" w:fill="E7ECF3"/>
          </w:tcPr>
          <w:p>
            <w:r/>
            <w:r>
              <w:rPr>
                <w:b/>
                <w:sz w:val="19"/>
              </w:rPr>
              <w:t>Indenture (governing)</w:t>
            </w:r>
          </w:p>
        </w:tc>
        <w:tc>
          <w:tcPr>
            <w:tcW w:type="dxa" w:w="7272"/>
          </w:tcPr>
          <w:p>
            <w:r/>
            <w:r>
              <w:rPr>
                <w:sz w:val="19"/>
              </w:rPr>
              <w:t>Collateral Pool Summary: New 62.4% / Used 37.6%.</w:t>
            </w:r>
          </w:p>
        </w:tc>
      </w:tr>
      <w:tr>
        <w:tc>
          <w:tcPr>
            <w:tcW w:type="dxa" w:w="2088"/>
            <w:shd w:val="clear" w:color="auto" w:fill="E7ECF3"/>
          </w:tcPr>
          <w:p>
            <w:r/>
            <w:r>
              <w:rPr>
                <w:b/>
                <w:sz w:val="19"/>
              </w:rPr>
              <w:t>Discrepancy</w:t>
            </w:r>
          </w:p>
        </w:tc>
        <w:tc>
          <w:tcPr>
            <w:tcW w:type="dxa" w:w="7272"/>
          </w:tcPr>
          <w:p>
            <w:r/>
            <w:r>
              <w:rPr>
                <w:sz w:val="19"/>
              </w:rPr>
              <w:t>Internal OM inconsistency; the narrative overstates new-vehicle concentration by 10.4 percentage points.</w:t>
            </w:r>
          </w:p>
        </w:tc>
      </w:tr>
      <w:tr>
        <w:tc>
          <w:tcPr>
            <w:tcW w:type="dxa" w:w="2088"/>
            <w:shd w:val="clear" w:color="auto" w:fill="E7ECF3"/>
          </w:tcPr>
          <w:p>
            <w:r/>
            <w:r>
              <w:rPr>
                <w:b/>
                <w:sz w:val="19"/>
              </w:rPr>
              <w:t>Significance</w:t>
            </w:r>
          </w:p>
        </w:tc>
        <w:tc>
          <w:tcPr>
            <w:tcW w:type="dxa" w:w="7272"/>
          </w:tcPr>
          <w:p>
            <w:r/>
            <w:r>
              <w:rPr>
                <w:sz w:val="19"/>
              </w:rPr>
              <w:t>Used-vehicle loans typically have higher loss severity; the narrative makes the pool look stronger than it is.</w:t>
            </w:r>
          </w:p>
        </w:tc>
      </w:tr>
      <w:tr>
        <w:tc>
          <w:tcPr>
            <w:tcW w:type="dxa" w:w="2088"/>
            <w:shd w:val="clear" w:color="auto" w:fill="E7ECF3"/>
          </w:tcPr>
          <w:p>
            <w:r/>
            <w:r>
              <w:rPr>
                <w:b/>
                <w:sz w:val="19"/>
              </w:rPr>
              <w:t>Proposed correction</w:t>
            </w:r>
          </w:p>
        </w:tc>
        <w:tc>
          <w:tcPr>
            <w:tcW w:type="dxa" w:w="7272"/>
            <w:shd w:val="clear" w:color="auto" w:fill="F2F8EE"/>
          </w:tcPr>
          <w:p>
            <w:r/>
            <w:r>
              <w:rPr>
                <w:sz w:val="19"/>
              </w:rPr>
              <w:t>Revise the paragraph to “Approximately 62.4% … new vehicles, and the remaining 37.6% … used vehicles.”</w:t>
            </w:r>
          </w:p>
        </w:tc>
      </w:tr>
    </w:tbl>
    <w:p>
      <w:pPr>
        <w:spacing w:after="40"/>
      </w:pPr>
    </w:p>
    <w:p>
      <w:pPr>
        <w:pStyle w:val="Heading3"/>
      </w:pPr>
      <w:r>
        <w:t xml:space="preserve">I-3  Aggregate original balance of prior securitizations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The Sponsor — Company Overview: seven prior transactions with aggregate original principal balance of “approximately $4.1 billion.”</w:t>
            </w:r>
          </w:p>
        </w:tc>
      </w:tr>
      <w:tr>
        <w:tc>
          <w:tcPr>
            <w:tcW w:type="dxa" w:w="2088"/>
            <w:shd w:val="clear" w:color="auto" w:fill="E7ECF3"/>
          </w:tcPr>
          <w:p>
            <w:r/>
            <w:r>
              <w:rPr>
                <w:b/>
                <w:sz w:val="19"/>
              </w:rPr>
              <w:t>Indenture (governing)</w:t>
            </w:r>
          </w:p>
        </w:tc>
        <w:tc>
          <w:tcPr>
            <w:tcW w:type="dxa" w:w="7272"/>
          </w:tcPr>
          <w:p>
            <w:r/>
            <w:r>
              <w:rPr>
                <w:sz w:val="19"/>
              </w:rPr>
              <w:t>Not addressed in the Indenture (§7.01 confirms seven prior transactions). Appendix A Original Pool Balances sum to $4,221,900,000.</w:t>
            </w:r>
          </w:p>
        </w:tc>
      </w:tr>
      <w:tr>
        <w:tc>
          <w:tcPr>
            <w:tcW w:type="dxa" w:w="2088"/>
            <w:shd w:val="clear" w:color="auto" w:fill="E7ECF3"/>
          </w:tcPr>
          <w:p>
            <w:r/>
            <w:r>
              <w:rPr>
                <w:b/>
                <w:sz w:val="19"/>
              </w:rPr>
              <w:t>Discrepancy</w:t>
            </w:r>
          </w:p>
        </w:tc>
        <w:tc>
          <w:tcPr>
            <w:tcW w:type="dxa" w:w="7272"/>
          </w:tcPr>
          <w:p>
            <w:r/>
            <w:r>
              <w:rPr>
                <w:sz w:val="19"/>
              </w:rPr>
              <w:t>OM narrative ($4.1 billion) does not match its own Appendix A (~$4.2 billion). (The CNL percentages in Appendix A recompute correctly.)</w:t>
            </w:r>
          </w:p>
        </w:tc>
      </w:tr>
      <w:tr>
        <w:tc>
          <w:tcPr>
            <w:tcW w:type="dxa" w:w="2088"/>
            <w:shd w:val="clear" w:color="auto" w:fill="E7ECF3"/>
          </w:tcPr>
          <w:p>
            <w:r/>
            <w:r>
              <w:rPr>
                <w:b/>
                <w:sz w:val="19"/>
              </w:rPr>
              <w:t>Significance</w:t>
            </w:r>
          </w:p>
        </w:tc>
        <w:tc>
          <w:tcPr>
            <w:tcW w:type="dxa" w:w="7272"/>
          </w:tcPr>
          <w:p>
            <w:r/>
            <w:r>
              <w:rPr>
                <w:sz w:val="19"/>
              </w:rPr>
              <w:t>Minor; static pool data should tie.</w:t>
            </w:r>
          </w:p>
        </w:tc>
      </w:tr>
      <w:tr>
        <w:tc>
          <w:tcPr>
            <w:tcW w:type="dxa" w:w="2088"/>
            <w:shd w:val="clear" w:color="auto" w:fill="E7ECF3"/>
          </w:tcPr>
          <w:p>
            <w:r/>
            <w:r>
              <w:rPr>
                <w:b/>
                <w:sz w:val="19"/>
              </w:rPr>
              <w:t>Proposed correction</w:t>
            </w:r>
          </w:p>
        </w:tc>
        <w:tc>
          <w:tcPr>
            <w:tcW w:type="dxa" w:w="7272"/>
            <w:shd w:val="clear" w:color="auto" w:fill="F2F8EE"/>
          </w:tcPr>
          <w:p>
            <w:r/>
            <w:r>
              <w:rPr>
                <w:sz w:val="19"/>
              </w:rPr>
              <w:t>Revise to “approximately $4.2 billion” (or confirm whether the narrative refers to note balances rather than pool balances and say so).</w:t>
            </w:r>
          </w:p>
        </w:tc>
      </w:tr>
    </w:tbl>
    <w:p>
      <w:pPr>
        <w:spacing w:after="40"/>
      </w:pPr>
    </w:p>
    <w:p>
      <w:pPr>
        <w:pStyle w:val="Heading3"/>
      </w:pPr>
      <w:r>
        <w:t xml:space="preserve">I-4  Geographic footprint and state-level data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Sponsor and Receivables Pool sections: originates across 38 states; geographic table lists 10 states plus 28 others (23.2%).</w:t>
            </w:r>
          </w:p>
        </w:tc>
      </w:tr>
      <w:tr>
        <w:tc>
          <w:tcPr>
            <w:tcW w:type="dxa" w:w="2088"/>
            <w:shd w:val="clear" w:color="auto" w:fill="E7ECF3"/>
          </w:tcPr>
          <w:p>
            <w:r/>
            <w:r>
              <w:rPr>
                <w:b/>
                <w:sz w:val="19"/>
              </w:rPr>
              <w:t>Indenture (governing)</w:t>
            </w:r>
          </w:p>
        </w:tc>
        <w:tc>
          <w:tcPr>
            <w:tcW w:type="dxa" w:w="7272"/>
          </w:tcPr>
          <w:p>
            <w:r/>
            <w:r>
              <w:rPr>
                <w:sz w:val="19"/>
              </w:rPr>
              <w:t>§7.01: licensed in 38 states and the District of Columbia; §8.01(i) rep limits Receivables to the 38 licensed states; Collateral Pool Summary: “38 states across the continental United States”; top three states consistent (Texas 18.7%, California 14.2%, Florida 11.6%).</w:t>
            </w:r>
          </w:p>
        </w:tc>
      </w:tr>
      <w:tr>
        <w:tc>
          <w:tcPr>
            <w:tcW w:type="dxa" w:w="2088"/>
            <w:shd w:val="clear" w:color="auto" w:fill="E7ECF3"/>
          </w:tcPr>
          <w:p>
            <w:r/>
            <w:r>
              <w:rPr>
                <w:b/>
                <w:sz w:val="19"/>
              </w:rPr>
              <w:t>Discrepancy</w:t>
            </w:r>
          </w:p>
        </w:tc>
        <w:tc>
          <w:tcPr>
            <w:tcW w:type="dxa" w:w="7272"/>
          </w:tcPr>
          <w:p>
            <w:r/>
            <w:r>
              <w:rPr>
                <w:sz w:val="19"/>
              </w:rPr>
              <w:t>OM omits the District of Columbia licensing reference; the Indenture’s “continental United States” phrase should be checked against the pool (if any Alaska/Hawaii obligors exist).</w:t>
            </w:r>
          </w:p>
        </w:tc>
      </w:tr>
      <w:tr>
        <w:tc>
          <w:tcPr>
            <w:tcW w:type="dxa" w:w="2088"/>
            <w:shd w:val="clear" w:color="auto" w:fill="E7ECF3"/>
          </w:tcPr>
          <w:p>
            <w:r/>
            <w:r>
              <w:rPr>
                <w:b/>
                <w:sz w:val="19"/>
              </w:rPr>
              <w:t>Significance</w:t>
            </w:r>
          </w:p>
        </w:tc>
        <w:tc>
          <w:tcPr>
            <w:tcW w:type="dxa" w:w="7272"/>
          </w:tcPr>
          <w:p>
            <w:r/>
            <w:r>
              <w:rPr>
                <w:sz w:val="19"/>
              </w:rPr>
              <w:t>Minor.</w:t>
            </w:r>
          </w:p>
        </w:tc>
      </w:tr>
      <w:tr>
        <w:tc>
          <w:tcPr>
            <w:tcW w:type="dxa" w:w="2088"/>
            <w:shd w:val="clear" w:color="auto" w:fill="E7ECF3"/>
          </w:tcPr>
          <w:p>
            <w:r/>
            <w:r>
              <w:rPr>
                <w:b/>
                <w:sz w:val="19"/>
              </w:rPr>
              <w:t>Proposed correction</w:t>
            </w:r>
          </w:p>
        </w:tc>
        <w:tc>
          <w:tcPr>
            <w:tcW w:type="dxa" w:w="7272"/>
            <w:shd w:val="clear" w:color="auto" w:fill="F2F8EE"/>
          </w:tcPr>
          <w:p>
            <w:r/>
            <w:r>
              <w:rPr>
                <w:sz w:val="19"/>
              </w:rPr>
              <w:t>Confirm with the Sponsor and conform the Sponsor description to §7.01 (38 states and D.C.).</w:t>
            </w:r>
          </w:p>
        </w:tc>
      </w:tr>
    </w:tbl>
    <w:p>
      <w:pPr>
        <w:spacing w:after="40"/>
      </w:pPr>
    </w:p>
    <w:p>
      <w:pPr>
        <w:pStyle w:val="Heading2"/>
      </w:pPr>
      <w:r>
        <w:t>J. Optional Redemption (Clean-Up Call)</w:t>
      </w:r>
    </w:p>
    <w:p>
      <w:pPr>
        <w:pStyle w:val="Heading3"/>
      </w:pPr>
      <w:r>
        <w:t xml:space="preserve">J-1  Clean-up call threshold — 10% of initial Note Balance ($68,750,000) vs. 10% of Initial Pool Balance ($71,230,000)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Summary of Terms — Optional Redemption; Risk Factors — Optional Redemption; Optional Redemption section: exercisable when the Pool Balance declines to 10% or less “of the initial Note Balance (i.e., $68,750,000).”</w:t>
            </w:r>
          </w:p>
        </w:tc>
      </w:tr>
      <w:tr>
        <w:tc>
          <w:tcPr>
            <w:tcW w:type="dxa" w:w="2088"/>
            <w:shd w:val="clear" w:color="auto" w:fill="E7ECF3"/>
          </w:tcPr>
          <w:p>
            <w:r/>
            <w:r>
              <w:rPr>
                <w:b/>
                <w:sz w:val="19"/>
              </w:rPr>
              <w:t>Indenture (governing)</w:t>
            </w:r>
          </w:p>
        </w:tc>
        <w:tc>
          <w:tcPr>
            <w:tcW w:type="dxa" w:w="7272"/>
          </w:tcPr>
          <w:p>
            <w:r/>
            <w:r>
              <w:rPr>
                <w:sz w:val="19"/>
              </w:rPr>
              <w:t>§12.01: exercisable on or after the first Payment Date on which the Pool Balance has declined to 10% or less of the Initial Pool Balance, i.e., $71,230,000.</w:t>
            </w:r>
          </w:p>
        </w:tc>
      </w:tr>
      <w:tr>
        <w:tc>
          <w:tcPr>
            <w:tcW w:type="dxa" w:w="2088"/>
            <w:shd w:val="clear" w:color="auto" w:fill="E7ECF3"/>
          </w:tcPr>
          <w:p>
            <w:r/>
            <w:r>
              <w:rPr>
                <w:b/>
                <w:sz w:val="19"/>
              </w:rPr>
              <w:t>Discrepancy</w:t>
            </w:r>
          </w:p>
        </w:tc>
        <w:tc>
          <w:tcPr>
            <w:tcW w:type="dxa" w:w="7272"/>
          </w:tcPr>
          <w:p>
            <w:r/>
            <w:r>
              <w:rPr>
                <w:sz w:val="19"/>
              </w:rPr>
              <w:t>Different base; the Indenture call is exercisable when the pool is $2,480,000 larger, i.e., earlier than the OM discloses.</w:t>
            </w:r>
          </w:p>
        </w:tc>
      </w:tr>
      <w:tr>
        <w:tc>
          <w:tcPr>
            <w:tcW w:type="dxa" w:w="2088"/>
            <w:shd w:val="clear" w:color="auto" w:fill="E7ECF3"/>
          </w:tcPr>
          <w:p>
            <w:r/>
            <w:r>
              <w:rPr>
                <w:b/>
                <w:sz w:val="19"/>
              </w:rPr>
              <w:t>Significance</w:t>
            </w:r>
          </w:p>
        </w:tc>
        <w:tc>
          <w:tcPr>
            <w:tcW w:type="dxa" w:w="7272"/>
          </w:tcPr>
          <w:p>
            <w:r/>
            <w:r>
              <w:rPr>
                <w:sz w:val="19"/>
              </w:rPr>
              <w:t>Early call shortens the WAL of the subordinate classes and creates reinvestment/prepayment risk; the call threshold is a standard investor and rating term (and the WAL/maturity tables may assume a call). Material.</w:t>
            </w:r>
          </w:p>
        </w:tc>
      </w:tr>
      <w:tr>
        <w:tc>
          <w:tcPr>
            <w:tcW w:type="dxa" w:w="2088"/>
            <w:shd w:val="clear" w:color="auto" w:fill="E7ECF3"/>
          </w:tcPr>
          <w:p>
            <w:r/>
            <w:r>
              <w:rPr>
                <w:b/>
                <w:sz w:val="19"/>
              </w:rPr>
              <w:t>Proposed correction</w:t>
            </w:r>
          </w:p>
        </w:tc>
        <w:tc>
          <w:tcPr>
            <w:tcW w:type="dxa" w:w="7272"/>
            <w:shd w:val="clear" w:color="auto" w:fill="F2F8EE"/>
          </w:tcPr>
          <w:p>
            <w:r/>
            <w:r>
              <w:rPr>
                <w:sz w:val="19"/>
              </w:rPr>
              <w:t>In all three places, replace with “10% or less of the Initial Pool Balance (i.e., $71,230,000).” Confirm whether the WAL tables assume exercise of the call and at which threshold.</w:t>
            </w:r>
          </w:p>
        </w:tc>
      </w:tr>
    </w:tbl>
    <w:p>
      <w:pPr>
        <w:spacing w:after="40"/>
      </w:pPr>
    </w:p>
    <w:p>
      <w:pPr>
        <w:pStyle w:val="Heading3"/>
      </w:pPr>
      <w:r>
        <w:t xml:space="preserve">J-2  Redemption price components and interest accrual end-point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Summary of Terms and Optional Redemption: outstanding principal plus accrued and unpaid interest “through the redemption date”; separately, payment of Indenture Trustee and Owner Trustee fees and expenses before discharge.</w:t>
            </w:r>
          </w:p>
        </w:tc>
      </w:tr>
      <w:tr>
        <w:tc>
          <w:tcPr>
            <w:tcW w:type="dxa" w:w="2088"/>
            <w:shd w:val="clear" w:color="auto" w:fill="E7ECF3"/>
          </w:tcPr>
          <w:p>
            <w:r/>
            <w:r>
              <w:rPr>
                <w:b/>
                <w:sz w:val="19"/>
              </w:rPr>
              <w:t>Indenture (governing)</w:t>
            </w:r>
          </w:p>
        </w:tc>
        <w:tc>
          <w:tcPr>
            <w:tcW w:type="dxa" w:w="7272"/>
          </w:tcPr>
          <w:p>
            <w:r/>
            <w:r>
              <w:rPr>
                <w:sz w:val="19"/>
              </w:rPr>
              <w:t>§12.01(a)–(c): principal, accrued and unpaid interest “to but excluding the redemption date,” plus a pro rata share of all amounts owed to the Indenture Trustee and the Servicer (including the Servicing Fee).</w:t>
            </w:r>
          </w:p>
        </w:tc>
      </w:tr>
      <w:tr>
        <w:tc>
          <w:tcPr>
            <w:tcW w:type="dxa" w:w="2088"/>
            <w:shd w:val="clear" w:color="auto" w:fill="E7ECF3"/>
          </w:tcPr>
          <w:p>
            <w:r/>
            <w:r>
              <w:rPr>
                <w:b/>
                <w:sz w:val="19"/>
              </w:rPr>
              <w:t>Discrepancy</w:t>
            </w:r>
          </w:p>
        </w:tc>
        <w:tc>
          <w:tcPr>
            <w:tcW w:type="dxa" w:w="7272"/>
          </w:tcPr>
          <w:p>
            <w:r/>
            <w:r>
              <w:rPr>
                <w:sz w:val="19"/>
              </w:rPr>
              <w:t>Interest end-point differs by one day; the OM omits the Servicer’s fees from the amounts that must be funded and describes Owner Trustee amounts that §12.01 does not mention.</w:t>
            </w:r>
          </w:p>
        </w:tc>
      </w:tr>
      <w:tr>
        <w:tc>
          <w:tcPr>
            <w:tcW w:type="dxa" w:w="2088"/>
            <w:shd w:val="clear" w:color="auto" w:fill="E7ECF3"/>
          </w:tcPr>
          <w:p>
            <w:r/>
            <w:r>
              <w:rPr>
                <w:b/>
                <w:sz w:val="19"/>
              </w:rPr>
              <w:t>Significance</w:t>
            </w:r>
          </w:p>
        </w:tc>
        <w:tc>
          <w:tcPr>
            <w:tcW w:type="dxa" w:w="7272"/>
          </w:tcPr>
          <w:p>
            <w:r/>
            <w:r>
              <w:rPr>
                <w:sz w:val="19"/>
              </w:rPr>
              <w:t>Price precision for investors and for the Servicer’s funding obligation.</w:t>
            </w:r>
          </w:p>
        </w:tc>
      </w:tr>
      <w:tr>
        <w:tc>
          <w:tcPr>
            <w:tcW w:type="dxa" w:w="2088"/>
            <w:shd w:val="clear" w:color="auto" w:fill="E7ECF3"/>
          </w:tcPr>
          <w:p>
            <w:r/>
            <w:r>
              <w:rPr>
                <w:b/>
                <w:sz w:val="19"/>
              </w:rPr>
              <w:t>Proposed correction</w:t>
            </w:r>
          </w:p>
        </w:tc>
        <w:tc>
          <w:tcPr>
            <w:tcW w:type="dxa" w:w="7272"/>
            <w:shd w:val="clear" w:color="auto" w:fill="F2F8EE"/>
          </w:tcPr>
          <w:p>
            <w:r/>
            <w:r>
              <w:rPr>
                <w:sz w:val="19"/>
              </w:rPr>
              <w:t>Conform to §12.01(a)–(c) (“to but excluding the redemption date”; include amounts owed to the Indenture Trustee and the Servicer). Note the K-5 drafting point on clause (c).</w:t>
            </w:r>
          </w:p>
        </w:tc>
      </w:tr>
    </w:tbl>
    <w:p>
      <w:pPr>
        <w:spacing w:after="40"/>
      </w:pPr>
    </w:p>
    <w:p>
      <w:pPr>
        <w:pStyle w:val="Heading3"/>
      </w:pPr>
      <w:r>
        <w:t xml:space="preserve">J-3  Redemption notice, irrevocability, whole-only exercise and deposit timing  </w:t>
      </w:r>
      <w:r>
        <w:rPr>
          <w:color w:val="BF9000"/>
        </w:rPr>
        <w:t>[Medium]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Optional Redemption: no notice period; deposit “on or prior to the applicable Payment Date”; describes redemption of “all outstanding Notes” but not the “not less than all” limitation or irrevocability.</w:t>
            </w:r>
          </w:p>
        </w:tc>
      </w:tr>
      <w:tr>
        <w:tc>
          <w:tcPr>
            <w:tcW w:type="dxa" w:w="2088"/>
            <w:shd w:val="clear" w:color="auto" w:fill="E7ECF3"/>
          </w:tcPr>
          <w:p>
            <w:r/>
            <w:r>
              <w:rPr>
                <w:b/>
                <w:sz w:val="19"/>
              </w:rPr>
              <w:t>Indenture (governing)</w:t>
            </w:r>
          </w:p>
        </w:tc>
        <w:tc>
          <w:tcPr>
            <w:tcW w:type="dxa" w:w="7272"/>
          </w:tcPr>
          <w:p>
            <w:r/>
            <w:r>
              <w:rPr>
                <w:sz w:val="19"/>
              </w:rPr>
              <w:t>§12.01: redemption of all (but not less than all) Notes; Redemption Notice to the Indenture Trustee and all Noteholders (via DTC) at least 30 days before the redemption Payment Date; notice is unconditional and irrevocable; deposit on or before the Business Day immediately preceding the redemption date; distribution per §5.01 priority. §12.02: release and reconveyance; Trust wound up.</w:t>
            </w:r>
          </w:p>
        </w:tc>
      </w:tr>
      <w:tr>
        <w:tc>
          <w:tcPr>
            <w:tcW w:type="dxa" w:w="2088"/>
            <w:shd w:val="clear" w:color="auto" w:fill="E7ECF3"/>
          </w:tcPr>
          <w:p>
            <w:r/>
            <w:r>
              <w:rPr>
                <w:b/>
                <w:sz w:val="19"/>
              </w:rPr>
              <w:t>Discrepancy</w:t>
            </w:r>
          </w:p>
        </w:tc>
        <w:tc>
          <w:tcPr>
            <w:tcW w:type="dxa" w:w="7272"/>
          </w:tcPr>
          <w:p>
            <w:r/>
            <w:r>
              <w:rPr>
                <w:sz w:val="19"/>
              </w:rPr>
              <w:t>Procedural protections for investors are omitted and the deposit deadline is later in the OM.</w:t>
            </w:r>
          </w:p>
        </w:tc>
      </w:tr>
      <w:tr>
        <w:tc>
          <w:tcPr>
            <w:tcW w:type="dxa" w:w="2088"/>
            <w:shd w:val="clear" w:color="auto" w:fill="E7ECF3"/>
          </w:tcPr>
          <w:p>
            <w:r/>
            <w:r>
              <w:rPr>
                <w:b/>
                <w:sz w:val="19"/>
              </w:rPr>
              <w:t>Significance</w:t>
            </w:r>
          </w:p>
        </w:tc>
        <w:tc>
          <w:tcPr>
            <w:tcW w:type="dxa" w:w="7272"/>
          </w:tcPr>
          <w:p>
            <w:r/>
            <w:r>
              <w:rPr>
                <w:sz w:val="19"/>
              </w:rPr>
              <w:t>Investors should know they will receive at least 30 days’ notice and that a delivered notice cannot be withdrawn.</w:t>
            </w:r>
          </w:p>
        </w:tc>
      </w:tr>
      <w:tr>
        <w:tc>
          <w:tcPr>
            <w:tcW w:type="dxa" w:w="2088"/>
            <w:shd w:val="clear" w:color="auto" w:fill="E7ECF3"/>
          </w:tcPr>
          <w:p>
            <w:r/>
            <w:r>
              <w:rPr>
                <w:b/>
                <w:sz w:val="19"/>
              </w:rPr>
              <w:t>Proposed correction</w:t>
            </w:r>
          </w:p>
        </w:tc>
        <w:tc>
          <w:tcPr>
            <w:tcW w:type="dxa" w:w="7272"/>
            <w:shd w:val="clear" w:color="auto" w:fill="F2F8EE"/>
          </w:tcPr>
          <w:p>
            <w:r/>
            <w:r>
              <w:rPr>
                <w:sz w:val="19"/>
              </w:rPr>
              <w:t>Add the §12.01 notice, irrevocability, whole-only and deposit-timing terms and the §12.02 effect-of-redemption description.</w:t>
            </w:r>
          </w:p>
        </w:tc>
      </w:tr>
    </w:tbl>
    <w:p>
      <w:pPr>
        <w:spacing w:after="40"/>
      </w:pPr>
    </w:p>
    <w:p>
      <w:pPr>
        <w:pStyle w:val="Heading2"/>
      </w:pPr>
      <w:r>
        <w:t>K. Events of Default, Trustee Matters and Other Items</w:t>
      </w:r>
    </w:p>
    <w:p>
      <w:pPr>
        <w:pStyle w:val="Heading3"/>
      </w:pPr>
      <w:r>
        <w:t xml:space="preserve">K-1  Events of Default, acceleration, remedies, waivers and amendments not described in the OM  </w:t>
      </w:r>
      <w:r>
        <w:rPr>
          <w:color w:val="E46C0A"/>
        </w:rPr>
        <w:t>[High]</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No section describing Events of Default, acceleration, rescission, remedies, waivers, Controlling Class rights, supplemental indentures, limited recourse or non-petition. The Indenture Trustee section refers to “Events of Default” without describing them.</w:t>
            </w:r>
          </w:p>
        </w:tc>
      </w:tr>
      <w:tr>
        <w:tc>
          <w:tcPr>
            <w:tcW w:type="dxa" w:w="2088"/>
            <w:shd w:val="clear" w:color="auto" w:fill="E7ECF3"/>
          </w:tcPr>
          <w:p>
            <w:r/>
            <w:r>
              <w:rPr>
                <w:b/>
                <w:sz w:val="19"/>
              </w:rPr>
              <w:t>Indenture (governing)</w:t>
            </w:r>
          </w:p>
        </w:tc>
        <w:tc>
          <w:tcPr>
            <w:tcW w:type="dxa" w:w="7272"/>
          </w:tcPr>
          <w:p>
            <w:r/>
            <w:r>
              <w:rPr>
                <w:sz w:val="19"/>
              </w:rPr>
              <w:t>§10.01 (Events of Default: 5-Business-Day interest grace; principal at final maturity; 60-day covenant cure; insolvency of Issuer or Servicer); §10.02 (acceleration/rescission by majority of Controlling Class); §10.03 (remedies, including sale of the Trust Estate); §10.04 (waivers); §11.04 (trustee removal by Controlling Class); Article XIII (supplemental indentures; unanimous-consent matters); §15.07 (non-petition); §15.08 (limited recourse).</w:t>
            </w:r>
          </w:p>
        </w:tc>
      </w:tr>
      <w:tr>
        <w:tc>
          <w:tcPr>
            <w:tcW w:type="dxa" w:w="2088"/>
            <w:shd w:val="clear" w:color="auto" w:fill="E7ECF3"/>
          </w:tcPr>
          <w:p>
            <w:r/>
            <w:r>
              <w:rPr>
                <w:b/>
                <w:sz w:val="19"/>
              </w:rPr>
              <w:t>Discrepancy</w:t>
            </w:r>
          </w:p>
        </w:tc>
        <w:tc>
          <w:tcPr>
            <w:tcW w:type="dxa" w:w="7272"/>
          </w:tcPr>
          <w:p>
            <w:r/>
            <w:r>
              <w:rPr>
                <w:sz w:val="19"/>
              </w:rPr>
              <w:t>Material omission rather than a conflict.</w:t>
            </w:r>
          </w:p>
        </w:tc>
      </w:tr>
      <w:tr>
        <w:tc>
          <w:tcPr>
            <w:tcW w:type="dxa" w:w="2088"/>
            <w:shd w:val="clear" w:color="auto" w:fill="E7ECF3"/>
          </w:tcPr>
          <w:p>
            <w:r/>
            <w:r>
              <w:rPr>
                <w:b/>
                <w:sz w:val="19"/>
              </w:rPr>
              <w:t>Significance</w:t>
            </w:r>
          </w:p>
        </w:tc>
        <w:tc>
          <w:tcPr>
            <w:tcW w:type="dxa" w:w="7272"/>
          </w:tcPr>
          <w:p>
            <w:r/>
            <w:r>
              <w:rPr>
                <w:sz w:val="19"/>
              </w:rPr>
              <w:t>These are standard and material disclosures in a 144A ABS offering memorandum; in particular, Controlling Class control means Class B and Class C holders have no remedy rights while Class A is outstanding, and the Servicer’s insolvency is itself an Event of Default (§10.01(d)).</w:t>
            </w:r>
          </w:p>
        </w:tc>
      </w:tr>
      <w:tr>
        <w:tc>
          <w:tcPr>
            <w:tcW w:type="dxa" w:w="2088"/>
            <w:shd w:val="clear" w:color="auto" w:fill="E7ECF3"/>
          </w:tcPr>
          <w:p>
            <w:r/>
            <w:r>
              <w:rPr>
                <w:b/>
                <w:sz w:val="19"/>
              </w:rPr>
              <w:t>Proposed correction</w:t>
            </w:r>
          </w:p>
        </w:tc>
        <w:tc>
          <w:tcPr>
            <w:tcW w:type="dxa" w:w="7272"/>
            <w:shd w:val="clear" w:color="auto" w:fill="F2F8EE"/>
          </w:tcPr>
          <w:p>
            <w:r/>
            <w:r>
              <w:rPr>
                <w:sz w:val="19"/>
              </w:rPr>
              <w:t>Add a “Description of the Indenture” section summarizing Articles X, XI (removal/resignation), XIII and §§15.07–15.08, with the Controlling Class definition and an appropriate subordinate-class risk factor.</w:t>
            </w:r>
          </w:p>
        </w:tc>
      </w:tr>
    </w:tbl>
    <w:p>
      <w:pPr>
        <w:spacing w:after="40"/>
      </w:pPr>
    </w:p>
    <w:p>
      <w:pPr>
        <w:pStyle w:val="Heading3"/>
      </w:pPr>
      <w:r>
        <w:t xml:space="preserve">K-2  Indenture Trustee indemnity — source of indemnity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The Indenture Trustee and Paying Agent: “The Trust has agreed to indemnify …”</w:t>
            </w:r>
          </w:p>
        </w:tc>
      </w:tr>
      <w:tr>
        <w:tc>
          <w:tcPr>
            <w:tcW w:type="dxa" w:w="2088"/>
            <w:shd w:val="clear" w:color="auto" w:fill="E7ECF3"/>
          </w:tcPr>
          <w:p>
            <w:r/>
            <w:r>
              <w:rPr>
                <w:b/>
                <w:sz w:val="19"/>
              </w:rPr>
              <w:t>Indenture (governing)</w:t>
            </w:r>
          </w:p>
        </w:tc>
        <w:tc>
          <w:tcPr>
            <w:tcW w:type="dxa" w:w="7272"/>
          </w:tcPr>
          <w:p>
            <w:r/>
            <w:r>
              <w:rPr>
                <w:sz w:val="19"/>
              </w:rPr>
              <w:t>§11.03: the Issuer and the Servicer, jointly and severally, indemnify the Indenture Trustee (exceptions for negligence, bad faith or willful misconduct).</w:t>
            </w:r>
          </w:p>
        </w:tc>
      </w:tr>
      <w:tr>
        <w:tc>
          <w:tcPr>
            <w:tcW w:type="dxa" w:w="2088"/>
            <w:shd w:val="clear" w:color="auto" w:fill="E7ECF3"/>
          </w:tcPr>
          <w:p>
            <w:r/>
            <w:r>
              <w:rPr>
                <w:b/>
                <w:sz w:val="19"/>
              </w:rPr>
              <w:t>Discrepancy</w:t>
            </w:r>
          </w:p>
        </w:tc>
        <w:tc>
          <w:tcPr>
            <w:tcW w:type="dxa" w:w="7272"/>
          </w:tcPr>
          <w:p>
            <w:r/>
            <w:r>
              <w:rPr>
                <w:sz w:val="19"/>
              </w:rPr>
              <w:t>OM omits the Servicer’s joint and several indemnity.</w:t>
            </w:r>
          </w:p>
        </w:tc>
      </w:tr>
      <w:tr>
        <w:tc>
          <w:tcPr>
            <w:tcW w:type="dxa" w:w="2088"/>
            <w:shd w:val="clear" w:color="auto" w:fill="E7ECF3"/>
          </w:tcPr>
          <w:p>
            <w:r/>
            <w:r>
              <w:rPr>
                <w:b/>
                <w:sz w:val="19"/>
              </w:rPr>
              <w:t>Significance</w:t>
            </w:r>
          </w:p>
        </w:tc>
        <w:tc>
          <w:tcPr>
            <w:tcW w:type="dxa" w:w="7272"/>
          </w:tcPr>
          <w:p>
            <w:r/>
            <w:r>
              <w:rPr>
                <w:sz w:val="19"/>
              </w:rPr>
              <w:t>Relevant to how much trustee indemnity may be borne by the Trust Estate (and thus Noteholders) — the Servicer’s co-obligation is credit-positive.</w:t>
            </w:r>
          </w:p>
        </w:tc>
      </w:tr>
      <w:tr>
        <w:tc>
          <w:tcPr>
            <w:tcW w:type="dxa" w:w="2088"/>
            <w:shd w:val="clear" w:color="auto" w:fill="E7ECF3"/>
          </w:tcPr>
          <w:p>
            <w:r/>
            <w:r>
              <w:rPr>
                <w:b/>
                <w:sz w:val="19"/>
              </w:rPr>
              <w:t>Proposed correction</w:t>
            </w:r>
          </w:p>
        </w:tc>
        <w:tc>
          <w:tcPr>
            <w:tcW w:type="dxa" w:w="7272"/>
            <w:shd w:val="clear" w:color="auto" w:fill="F2F8EE"/>
          </w:tcPr>
          <w:p>
            <w:r/>
            <w:r>
              <w:rPr>
                <w:sz w:val="19"/>
              </w:rPr>
              <w:t>Revise to “The Issuer and the Servicer, jointly and severally, have agreed to indemnify …”.</w:t>
            </w:r>
          </w:p>
        </w:tc>
      </w:tr>
    </w:tbl>
    <w:p>
      <w:pPr>
        <w:spacing w:after="40"/>
      </w:pPr>
    </w:p>
    <w:p>
      <w:pPr>
        <w:pStyle w:val="Heading3"/>
      </w:pPr>
      <w:r>
        <w:t xml:space="preserve">K-3  Account structure — Note Payment Account and Pre-Funding Account not disclosed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OM describes only the Collection Account and Reserve Account (Description of the Notes — General; Indenture Trustee section).</w:t>
            </w:r>
          </w:p>
        </w:tc>
      </w:tr>
      <w:tr>
        <w:tc>
          <w:tcPr>
            <w:tcW w:type="dxa" w:w="2088"/>
            <w:shd w:val="clear" w:color="auto" w:fill="E7ECF3"/>
          </w:tcPr>
          <w:p>
            <w:r/>
            <w:r>
              <w:rPr>
                <w:b/>
                <w:sz w:val="19"/>
              </w:rPr>
              <w:t>Indenture (governing)</w:t>
            </w:r>
          </w:p>
        </w:tc>
        <w:tc>
          <w:tcPr>
            <w:tcW w:type="dxa" w:w="7272"/>
          </w:tcPr>
          <w:p>
            <w:r/>
            <w:r>
              <w:rPr>
                <w:sz w:val="19"/>
              </w:rPr>
              <w:t>§4.01(a)–(d) (Collection, Reserve, Note Payment and Pre-Funding Accounts, each an Eligible Deposit Account in Wilmington); §4.03 (Eligible Investments maturing before the next Payment Date; uninvested absent direction).</w:t>
            </w:r>
          </w:p>
        </w:tc>
      </w:tr>
      <w:tr>
        <w:tc>
          <w:tcPr>
            <w:tcW w:type="dxa" w:w="2088"/>
            <w:shd w:val="clear" w:color="auto" w:fill="E7ECF3"/>
          </w:tcPr>
          <w:p>
            <w:r/>
            <w:r>
              <w:rPr>
                <w:b/>
                <w:sz w:val="19"/>
              </w:rPr>
              <w:t>Discrepancy</w:t>
            </w:r>
          </w:p>
        </w:tc>
        <w:tc>
          <w:tcPr>
            <w:tcW w:type="dxa" w:w="7272"/>
          </w:tcPr>
          <w:p>
            <w:r/>
            <w:r>
              <w:rPr>
                <w:sz w:val="19"/>
              </w:rPr>
              <w:t>Incomplete description of the trust accounts and permitted investments.</w:t>
            </w:r>
          </w:p>
        </w:tc>
      </w:tr>
      <w:tr>
        <w:tc>
          <w:tcPr>
            <w:tcW w:type="dxa" w:w="2088"/>
            <w:shd w:val="clear" w:color="auto" w:fill="E7ECF3"/>
          </w:tcPr>
          <w:p>
            <w:r/>
            <w:r>
              <w:rPr>
                <w:b/>
                <w:sz w:val="19"/>
              </w:rPr>
              <w:t>Significance</w:t>
            </w:r>
          </w:p>
        </w:tc>
        <w:tc>
          <w:tcPr>
            <w:tcW w:type="dxa" w:w="7272"/>
          </w:tcPr>
          <w:p>
            <w:r/>
            <w:r>
              <w:rPr>
                <w:sz w:val="19"/>
              </w:rPr>
              <w:t>Completeness (see also D-6).</w:t>
            </w:r>
          </w:p>
        </w:tc>
      </w:tr>
      <w:tr>
        <w:tc>
          <w:tcPr>
            <w:tcW w:type="dxa" w:w="2088"/>
            <w:shd w:val="clear" w:color="auto" w:fill="E7ECF3"/>
          </w:tcPr>
          <w:p>
            <w:r/>
            <w:r>
              <w:rPr>
                <w:b/>
                <w:sz w:val="19"/>
              </w:rPr>
              <w:t>Proposed correction</w:t>
            </w:r>
          </w:p>
        </w:tc>
        <w:tc>
          <w:tcPr>
            <w:tcW w:type="dxa" w:w="7272"/>
            <w:shd w:val="clear" w:color="auto" w:fill="F2F8EE"/>
          </w:tcPr>
          <w:p>
            <w:r/>
            <w:r>
              <w:rPr>
                <w:sz w:val="19"/>
              </w:rPr>
              <w:t>Add a short “Trust Accounts” subsection describing §4.01 and §4.03.</w:t>
            </w:r>
          </w:p>
        </w:tc>
      </w:tr>
    </w:tbl>
    <w:p>
      <w:pPr>
        <w:spacing w:after="40"/>
      </w:pPr>
    </w:p>
    <w:p>
      <w:pPr>
        <w:pStyle w:val="Heading3"/>
      </w:pPr>
      <w:r>
        <w:t xml:space="preserve">K-4  Placement Agent contact telephone number  </w:t>
      </w:r>
      <w:r>
        <w:rPr>
          <w:color w:val="548235"/>
        </w:rPr>
        <w:t>[Low]</w:t>
      </w:r>
    </w:p>
    <w:tbl>
      <w:tblPr>
        <w:tblStyle w:val="TableGrid"/>
        <w:tblW w:type="auto" w:w="0"/>
        <w:tblLook w:firstColumn="1" w:firstRow="1" w:lastColumn="0" w:lastRow="0" w:noHBand="0" w:noVBand="1" w:val="04A0"/>
      </w:tblPr>
      <w:tblGrid>
        <w:gridCol w:w="4680"/>
        <w:gridCol w:w="4680"/>
      </w:tblGrid>
      <w:tr>
        <w:tc>
          <w:tcPr>
            <w:tcW w:type="dxa" w:w="2088"/>
            <w:shd w:val="clear" w:color="auto" w:fill="E7ECF3"/>
          </w:tcPr>
          <w:p>
            <w:r/>
            <w:r>
              <w:rPr>
                <w:b/>
                <w:sz w:val="19"/>
              </w:rPr>
              <w:t>Offering Memorandum</w:t>
            </w:r>
          </w:p>
        </w:tc>
        <w:tc>
          <w:tcPr>
            <w:tcW w:type="dxa" w:w="7272"/>
          </w:tcPr>
          <w:p>
            <w:r/>
            <w:r>
              <w:rPr>
                <w:sz w:val="19"/>
              </w:rPr>
              <w:t>Back cover: Nathan J. Prescott, (212) 555-0147.</w:t>
            </w:r>
          </w:p>
        </w:tc>
      </w:tr>
      <w:tr>
        <w:tc>
          <w:tcPr>
            <w:tcW w:type="dxa" w:w="2088"/>
            <w:shd w:val="clear" w:color="auto" w:fill="E7ECF3"/>
          </w:tcPr>
          <w:p>
            <w:r/>
            <w:r>
              <w:rPr>
                <w:b/>
                <w:sz w:val="19"/>
              </w:rPr>
              <w:t>Indenture (governing)</w:t>
            </w:r>
          </w:p>
        </w:tc>
        <w:tc>
          <w:tcPr>
            <w:tcW w:type="dxa" w:w="7272"/>
          </w:tcPr>
          <w:p>
            <w:r/>
            <w:r>
              <w:rPr>
                <w:sz w:val="19"/>
              </w:rPr>
              <w:t>§15.02 notice details: Nathan J. Prescott, (212) 555-8800.</w:t>
            </w:r>
          </w:p>
        </w:tc>
      </w:tr>
      <w:tr>
        <w:tc>
          <w:tcPr>
            <w:tcW w:type="dxa" w:w="2088"/>
            <w:shd w:val="clear" w:color="auto" w:fill="E7ECF3"/>
          </w:tcPr>
          <w:p>
            <w:r/>
            <w:r>
              <w:rPr>
                <w:b/>
                <w:sz w:val="19"/>
              </w:rPr>
              <w:t>Discrepancy</w:t>
            </w:r>
          </w:p>
        </w:tc>
        <w:tc>
          <w:tcPr>
            <w:tcW w:type="dxa" w:w="7272"/>
          </w:tcPr>
          <w:p>
            <w:r/>
            <w:r>
              <w:rPr>
                <w:sz w:val="19"/>
              </w:rPr>
              <w:t>Different telephone numbers.</w:t>
            </w:r>
          </w:p>
        </w:tc>
      </w:tr>
      <w:tr>
        <w:tc>
          <w:tcPr>
            <w:tcW w:type="dxa" w:w="2088"/>
            <w:shd w:val="clear" w:color="auto" w:fill="E7ECF3"/>
          </w:tcPr>
          <w:p>
            <w:r/>
            <w:r>
              <w:rPr>
                <w:b/>
                <w:sz w:val="19"/>
              </w:rPr>
              <w:t>Significance</w:t>
            </w:r>
          </w:p>
        </w:tc>
        <w:tc>
          <w:tcPr>
            <w:tcW w:type="dxa" w:w="7272"/>
          </w:tcPr>
          <w:p>
            <w:r/>
            <w:r>
              <w:rPr>
                <w:sz w:val="19"/>
              </w:rPr>
              <w:t>Administrative, but investor inquiries are directed to the back-cover number.</w:t>
            </w:r>
          </w:p>
        </w:tc>
      </w:tr>
      <w:tr>
        <w:tc>
          <w:tcPr>
            <w:tcW w:type="dxa" w:w="2088"/>
            <w:shd w:val="clear" w:color="auto" w:fill="E7ECF3"/>
          </w:tcPr>
          <w:p>
            <w:r/>
            <w:r>
              <w:rPr>
                <w:b/>
                <w:sz w:val="19"/>
              </w:rPr>
              <w:t>Proposed correction</w:t>
            </w:r>
          </w:p>
        </w:tc>
        <w:tc>
          <w:tcPr>
            <w:tcW w:type="dxa" w:w="7272"/>
            <w:shd w:val="clear" w:color="auto" w:fill="F2F8EE"/>
          </w:tcPr>
          <w:p>
            <w:r/>
            <w:r>
              <w:rPr>
                <w:sz w:val="19"/>
              </w:rPr>
              <w:t>Confirm the correct number with Ridgeline and conform.</w:t>
            </w:r>
          </w:p>
        </w:tc>
      </w:tr>
    </w:tbl>
    <w:p>
      <w:pPr>
        <w:spacing w:after="40"/>
      </w:pPr>
    </w:p>
    <w:p>
      <w:pPr>
        <w:pStyle w:val="Heading1"/>
      </w:pPr>
      <w:r>
        <w:t>VI. Indenture Drafting Points for Pre-Closing Resolution</w:t>
      </w:r>
    </w:p>
    <w:p>
      <w:pPr>
        <w:spacing w:after="80"/>
      </w:pPr>
      <w:r>
        <w:rPr>
          <w:b w:val="0"/>
          <w:i w:val="0"/>
        </w:rPr>
        <w:t>The following points are not OM errors but surfaced during the comparison. Because the Notes have not yet been issued, any amendment can be effected before the November 27 closing by the Issuer and the Indenture Trustee (with Sponsor sign-off and, where rating-relevant, Kensington confirmation) without the Article XIII Noteholder-consent process that would apply after issuance.</w:t>
      </w:r>
    </w:p>
    <w:tbl>
      <w:tblPr>
        <w:tblStyle w:val="TableGrid"/>
        <w:tblW w:type="auto" w:w="0"/>
        <w:jc w:val="center"/>
        <w:tblLook w:firstColumn="1" w:firstRow="1" w:lastColumn="0" w:lastRow="0" w:noHBand="0" w:noVBand="1" w:val="04A0"/>
      </w:tblPr>
      <w:tblGrid>
        <w:gridCol w:w="3120"/>
        <w:gridCol w:w="3120"/>
        <w:gridCol w:w="3120"/>
      </w:tblGrid>
      <w:tr>
        <w:tc>
          <w:tcPr>
            <w:tcW w:type="dxa" w:w="864"/>
            <w:shd w:val="clear" w:color="auto" w:fill="1F2A44"/>
          </w:tcPr>
          <w:p>
            <w:r/>
            <w:r>
              <w:rPr>
                <w:b/>
                <w:color w:val="FFFFFF"/>
                <w:sz w:val="18"/>
              </w:rPr>
              <w:t>No.</w:t>
            </w:r>
          </w:p>
        </w:tc>
        <w:tc>
          <w:tcPr>
            <w:tcW w:type="dxa" w:w="2160"/>
            <w:shd w:val="clear" w:color="auto" w:fill="1F2A44"/>
          </w:tcPr>
          <w:p>
            <w:r/>
            <w:r>
              <w:rPr>
                <w:b/>
                <w:color w:val="FFFFFF"/>
                <w:sz w:val="18"/>
              </w:rPr>
              <w:t>Indenture provision</w:t>
            </w:r>
          </w:p>
        </w:tc>
        <w:tc>
          <w:tcPr>
            <w:tcW w:type="dxa" w:w="6336"/>
            <w:shd w:val="clear" w:color="auto" w:fill="1F2A44"/>
          </w:tcPr>
          <w:p>
            <w:r/>
            <w:r>
              <w:rPr>
                <w:b/>
                <w:color w:val="FFFFFF"/>
                <w:sz w:val="18"/>
              </w:rPr>
              <w:t>Point and recommendation</w:t>
            </w:r>
          </w:p>
        </w:tc>
      </w:tr>
      <w:tr>
        <w:tc>
          <w:tcPr>
            <w:tcW w:type="dxa" w:w="864"/>
          </w:tcPr>
          <w:p>
            <w:r/>
            <w:r>
              <w:rPr>
                <w:sz w:val="18"/>
              </w:rPr>
              <w:t>K-5</w:t>
            </w:r>
          </w:p>
        </w:tc>
        <w:tc>
          <w:tcPr>
            <w:tcW w:type="dxa" w:w="2160"/>
          </w:tcPr>
          <w:p>
            <w:r/>
            <w:r>
              <w:rPr>
                <w:sz w:val="18"/>
              </w:rPr>
              <w:t>§12.01(c)</w:t>
            </w:r>
          </w:p>
        </w:tc>
        <w:tc>
          <w:tcPr>
            <w:tcW w:type="dxa" w:w="6336"/>
          </w:tcPr>
          <w:p>
            <w:r/>
            <w:r>
              <w:rPr>
                <w:sz w:val="18"/>
              </w:rPr>
              <w:t>The Redemption Price paid to each class of Noteholders includes a pro rata share of amounts owed to the Indenture Trustee and Servicer. As drafted, those amounts would be paid to Noteholders rather than to the Indenture Trustee/Servicer. The separate deposit sentence (Redemption Price “plus all amounts owed to the Indenture Trustee and the Servicer”) suggests clause (c) is a drafting error that could double-count. Recommend deleting clause (c) from the Redemption Price definition by pre-closing amendment.</w:t>
            </w:r>
          </w:p>
        </w:tc>
      </w:tr>
      <w:tr>
        <w:tc>
          <w:tcPr>
            <w:tcW w:type="dxa" w:w="864"/>
          </w:tcPr>
          <w:p>
            <w:r/>
            <w:r>
              <w:rPr>
                <w:sz w:val="18"/>
              </w:rPr>
              <w:t>K-6</w:t>
            </w:r>
          </w:p>
        </w:tc>
        <w:tc>
          <w:tcPr>
            <w:tcW w:type="dxa" w:w="2160"/>
          </w:tcPr>
          <w:p>
            <w:r/>
            <w:r>
              <w:rPr>
                <w:sz w:val="18"/>
              </w:rPr>
              <w:t>§1.01 Interest Distribution Amount definitions vs. §2.01</w:t>
            </w:r>
          </w:p>
        </w:tc>
        <w:tc>
          <w:tcPr>
            <w:tcW w:type="dxa" w:w="6336"/>
          </w:tcPr>
          <w:p>
            <w:r/>
            <w:r>
              <w:rPr>
                <w:sz w:val="18"/>
              </w:rPr>
              <w:t>Each Interest Distribution Amount is “one-twelfth” of the rate times the balance, which yields 30 days of interest; §2.01 provides that interest accrues from the Closing Date (November 27, 2024), producing a 48-day first accrual period on a 30/360 basis. Clarify first-period interest (approx. $5,004,500 in aggregate for 48 days vs. $3,127,813 for one month at the initial balances). Similarly, the first Determination Date (December 10, 2024) precedes the end of the initial Collection Period (December 31, 2024); the first Servicer Report should be tied to the January 10, 2025 Determination Date.</w:t>
            </w:r>
          </w:p>
        </w:tc>
      </w:tr>
      <w:tr>
        <w:tc>
          <w:tcPr>
            <w:tcW w:type="dxa" w:w="864"/>
          </w:tcPr>
          <w:p>
            <w:r/>
            <w:r>
              <w:rPr>
                <w:sz w:val="18"/>
              </w:rPr>
              <w:t>K-7</w:t>
            </w:r>
          </w:p>
        </w:tc>
        <w:tc>
          <w:tcPr>
            <w:tcW w:type="dxa" w:w="2160"/>
          </w:tcPr>
          <w:p>
            <w:r/>
            <w:r>
              <w:rPr>
                <w:sz w:val="18"/>
              </w:rPr>
              <w:t>§5.01(c)</w:t>
            </w:r>
          </w:p>
        </w:tc>
        <w:tc>
          <w:tcPr>
            <w:tcW w:type="dxa" w:w="6336"/>
          </w:tcPr>
          <w:p>
            <w:r/>
            <w:r>
              <w:rPr>
                <w:sz w:val="18"/>
              </w:rPr>
              <w:t>Principal Distribution Amounts sweep all remaining Available Funds to principal in every period, which makes the §5.01(b) turbo and the Target OC Amount largely redundant and leaves Thirteenth/Fourteenth unfunded until the Notes are retired (see B-5). Requires business confirmation and likely amendment.</w:t>
            </w:r>
          </w:p>
        </w:tc>
      </w:tr>
      <w:tr>
        <w:tc>
          <w:tcPr>
            <w:tcW w:type="dxa" w:w="864"/>
          </w:tcPr>
          <w:p>
            <w:r/>
            <w:r>
              <w:rPr>
                <w:sz w:val="18"/>
              </w:rPr>
              <w:t>K-8</w:t>
            </w:r>
          </w:p>
        </w:tc>
        <w:tc>
          <w:tcPr>
            <w:tcW w:type="dxa" w:w="2160"/>
          </w:tcPr>
          <w:p>
            <w:r/>
            <w:r>
              <w:rPr>
                <w:sz w:val="18"/>
              </w:rPr>
              <w:t>Collateral Pool Summary</w:t>
            </w:r>
          </w:p>
        </w:tc>
        <w:tc>
          <w:tcPr>
            <w:tcW w:type="dxa" w:w="6336"/>
          </w:tcPr>
          <w:p>
            <w:r/>
            <w:r>
              <w:rPr>
                <w:sz w:val="18"/>
              </w:rPr>
              <w:t>Average loan balance stated as $22,676.37; $712,300,000 / 31,412 = $22,676.05. Minor arithmetic error to correct in the Indenture schedule (and confirm the figure used in the OM).</w:t>
            </w:r>
          </w:p>
        </w:tc>
      </w:tr>
      <w:tr>
        <w:tc>
          <w:tcPr>
            <w:tcW w:type="dxa" w:w="864"/>
          </w:tcPr>
          <w:p>
            <w:r/>
            <w:r>
              <w:rPr>
                <w:sz w:val="18"/>
              </w:rPr>
              <w:t>K-9</w:t>
            </w:r>
          </w:p>
        </w:tc>
        <w:tc>
          <w:tcPr>
            <w:tcW w:type="dxa" w:w="2160"/>
          </w:tcPr>
          <w:p>
            <w:r/>
            <w:r>
              <w:rPr>
                <w:sz w:val="18"/>
              </w:rPr>
              <w:t>§1.01 “Seller”</w:t>
            </w:r>
          </w:p>
        </w:tc>
        <w:tc>
          <w:tcPr>
            <w:tcW w:type="dxa" w:w="6336"/>
          </w:tcPr>
          <w:p>
            <w:r/>
            <w:r>
              <w:rPr>
                <w:sz w:val="18"/>
              </w:rPr>
              <w:t>“Seller” is defined as seller of the Receivables “to the Depositor,” while the Recitals and §3.01(f) describe the Seller conveying directly to the Trust (Crescent Financial Corporation is both Seller and Depositor). Confirm the transfer chain against the Sale and Servicing Agreement and Trust Agreement, and describe it consistently in the OM (which describes a direct sale to the Trust).</w:t>
            </w:r>
          </w:p>
        </w:tc>
      </w:tr>
      <w:tr>
        <w:tc>
          <w:tcPr>
            <w:tcW w:type="dxa" w:w="864"/>
          </w:tcPr>
          <w:p>
            <w:r/>
            <w:r>
              <w:rPr>
                <w:sz w:val="18"/>
              </w:rPr>
              <w:t>K-10</w:t>
            </w:r>
          </w:p>
        </w:tc>
        <w:tc>
          <w:tcPr>
            <w:tcW w:type="dxa" w:w="2160"/>
          </w:tcPr>
          <w:p>
            <w:r/>
            <w:r>
              <w:rPr>
                <w:sz w:val="18"/>
              </w:rPr>
              <w:t>§7.04(d)–(e)</w:t>
            </w:r>
          </w:p>
        </w:tc>
        <w:tc>
          <w:tcPr>
            <w:tcW w:type="dxa" w:w="6336"/>
          </w:tcPr>
          <w:p>
            <w:r/>
            <w:r>
              <w:rPr>
                <w:sz w:val="18"/>
              </w:rPr>
              <w:t>Overlapping insolvency clauses; (e) has no grace period for involuntary appointments while (d)(v) gives 60 days. Harmless but worth cleaning up if the Indenture is otherwise being amended.</w:t>
            </w:r>
          </w:p>
        </w:tc>
      </w:tr>
      <w:tr>
        <w:tc>
          <w:tcPr>
            <w:tcW w:type="dxa" w:w="864"/>
          </w:tcPr>
          <w:p>
            <w:r/>
            <w:r>
              <w:rPr>
                <w:sz w:val="18"/>
              </w:rPr>
              <w:t>K-11</w:t>
            </w:r>
          </w:p>
        </w:tc>
        <w:tc>
          <w:tcPr>
            <w:tcW w:type="dxa" w:w="2160"/>
          </w:tcPr>
          <w:p>
            <w:r/>
            <w:r>
              <w:rPr>
                <w:sz w:val="18"/>
              </w:rPr>
              <w:t>§1.01 “Minimum OC Amount” and §6.01</w:t>
            </w:r>
          </w:p>
        </w:tc>
        <w:tc>
          <w:tcPr>
            <w:tcW w:type="dxa" w:w="6336"/>
          </w:tcPr>
          <w:p>
            <w:r/>
            <w:r>
              <w:rPr>
                <w:sz w:val="18"/>
              </w:rPr>
              <w:t>If the parties in fact intended a fixed $10,684,500 floor (as in the OM), the Indenture formulation (declining with the pool) should be amended pre-closing; Kensington’s modeling assumption should determine which document is corrected (see C-1).</w:t>
            </w:r>
          </w:p>
        </w:tc>
      </w:tr>
    </w:tbl>
    <w:p>
      <w:pPr>
        <w:spacing w:after="40"/>
      </w:pPr>
    </w:p>
    <w:p>
      <w:pPr>
        <w:pStyle w:val="Heading1"/>
      </w:pPr>
      <w:r>
        <w:t>VII. Terms Verified as Consistent</w:t>
      </w:r>
    </w:p>
    <w:p>
      <w:pPr>
        <w:spacing w:after="60"/>
      </w:pPr>
      <w:r>
        <w:rPr>
          <w:b w:val="0"/>
          <w:i w:val="0"/>
        </w:rPr>
        <w:t>For completeness, the following terms were checked and are consistent between the OM and the Indenture (subject to the specific items noted above):</w:t>
      </w:r>
    </w:p>
    <w:p>
      <w:pPr>
        <w:pStyle w:val="ListBullet"/>
        <w:spacing w:after="60"/>
      </w:pPr>
      <w:r>
        <w:t xml:space="preserve"> Parties, roles and addresses (Issuer; Crescent Financial Corporation as Sponsor, Seller and Servicer; Halcyon National Trust Company as Indenture Trustee and Paying Agent; Pinebrook Trust Company as Owner Trustee; Ridgeline Capital Markets LLC as Placement Agent; counsel; Saxonbrook Analytics Group; Kensington Ratings Agency); Trust formation date October 22, 2024.</w:t>
      </w:r>
    </w:p>
    <w:p>
      <w:pPr>
        <w:pStyle w:val="ListBullet"/>
        <w:spacing w:after="60"/>
      </w:pPr>
      <w:r>
        <w:t xml:space="preserve"> Class sizes ($125,000,000 / $230,000,000 / $200,000,000 / $82,500,000 / $50,000,000; total $687,500,000) and Class A-1 through Class B coupons (5.10% / 5.25% / 5.40% / 5.95%).</w:t>
      </w:r>
    </w:p>
    <w:p>
      <w:pPr>
        <w:pStyle w:val="ListBullet"/>
        <w:spacing w:after="60"/>
      </w:pPr>
      <w:r>
        <w:t xml:space="preserve"> Ratings (AAA / AAA / AAA / AA / NR) and the Class C Notes being unrated (§3.01(e)).</w:t>
      </w:r>
    </w:p>
    <w:p>
      <w:pPr>
        <w:pStyle w:val="ListBullet"/>
        <w:spacing w:after="60"/>
      </w:pPr>
      <w:r>
        <w:t xml:space="preserve"> Cutoff Date (October 31, 2024), Closing Date (November 27, 2024), first Payment Date (January 15, 2025), Payment Date (15th), Record Date (last Business Day of the preceding month) and Determination Date (10th).</w:t>
      </w:r>
    </w:p>
    <w:p>
      <w:pPr>
        <w:pStyle w:val="ListBullet"/>
        <w:spacing w:after="60"/>
      </w:pPr>
      <w:r>
        <w:t xml:space="preserve"> Initial Pool Balance ($712,300,000); initial OC of $24,800,000 (3.48%); Target OC percentage (5.25%); initial Reserve Account deposit ($6,875,000 = 1.00% of the Initial Note Balance).</w:t>
      </w:r>
    </w:p>
    <w:p>
      <w:pPr>
        <w:pStyle w:val="ListBullet"/>
        <w:spacing w:after="60"/>
      </w:pPr>
      <w:r>
        <w:t xml:space="preserve"> Subordination: 19.27% for Class A and 7.27% for Class B (OM “19.3%” and “7.3%” are correctly rounded); sequential principal; losses allocated in reverse order of seniority.</w:t>
      </w:r>
    </w:p>
    <w:p>
      <w:pPr>
        <w:pStyle w:val="ListBullet"/>
        <w:spacing w:after="60"/>
      </w:pPr>
      <w:r>
        <w:t xml:space="preserve"> Indenture Trustee Fee amount ($15,000 per month; $180,000 per annum) and Placement Agent fee (0.35% = $2,406,250; §3.01(h)).</w:t>
      </w:r>
    </w:p>
    <w:p>
      <w:pPr>
        <w:pStyle w:val="ListBullet"/>
        <w:spacing w:after="60"/>
      </w:pPr>
      <w:r>
        <w:t xml:space="preserve"> Annualized Default Rate formula and 3.50% three-month rolling average threshold; CNL trigger levels for the first five periods (1.25% / 2.50% / 3.75% / 4.75% / 5.50%).</w:t>
      </w:r>
    </w:p>
    <w:p>
      <w:pPr>
        <w:pStyle w:val="ListBullet"/>
        <w:spacing w:after="60"/>
      </w:pPr>
      <w:r>
        <w:t xml:space="preserve"> Minimum denominations ($250,000 for Class A and Class B; $500,000 for Class C; $1,000 increments; §2.03); book-entry through DTC/Cede &amp; Co. (§2.04).</w:t>
      </w:r>
    </w:p>
    <w:p>
      <w:pPr>
        <w:pStyle w:val="ListBullet"/>
        <w:spacing w:after="60"/>
      </w:pPr>
      <w:r>
        <w:t xml:space="preserve"> Collection deposits within two Business Days (§4.02); Pool Balance excludes Defaulted Receivables.</w:t>
      </w:r>
    </w:p>
    <w:p>
      <w:pPr>
        <w:pStyle w:val="ListBullet"/>
        <w:spacing w:after="60"/>
      </w:pPr>
      <w:r>
        <w:t xml:space="preserve"> Pool statistics other than the receivable count and the narrative new/used split: aggregate balance, average balance ($22,676), maximum loan ($68,450), WAC 7.83%, WA remaining term 58.3 months, WA original term 68.7 months (seasoning of 10.4 months reconciles), WA FICO 712, WA LTV 94.2%, top-three state concentrations, 0.01% single-obligor limit.</w:t>
      </w:r>
    </w:p>
    <w:p>
      <w:pPr>
        <w:pStyle w:val="ListBullet"/>
        <w:spacing w:after="60"/>
      </w:pPr>
      <w:r>
        <w:t xml:space="preserve"> Representations on minimum FICO (640), 125% LTV cap, 30-day delinquency, first-priority security interest, legal compliance, enforceability and U.S. dollar denomination; repurchase as sole remedy; repurchase price (principal plus accrued interest).</w:t>
      </w:r>
    </w:p>
    <w:p>
      <w:pPr>
        <w:pStyle w:val="ListBullet"/>
        <w:spacing w:after="60"/>
      </w:pPr>
      <w:r>
        <w:t xml:space="preserve"> Tax treatment (debt for the Notes; disregarded entity or grantor trust for the Trust; §9.05); Sponsor data ($14.2 billion originations, $4.8 billion servicing portfolio, BBB+ corporate rating; seven prior CART transactions). Appendix A CNL percentages recompute correctly from the stated dollar amounts.</w:t>
      </w:r>
    </w:p>
    <w:p>
      <w:pPr>
        <w:pStyle w:val="Heading1"/>
      </w:pPr>
      <w:r>
        <w:t>VIII. Recommendations and Next Steps</w:t>
      </w:r>
    </w:p>
    <w:p>
      <w:pPr>
        <w:spacing w:after="80"/>
      </w:pPr>
      <w:r>
        <w:rPr>
          <w:b/>
        </w:rPr>
        <w:t xml:space="preserve">1. </w:t>
      </w:r>
      <w:r>
        <w:rPr>
          <w:b/>
        </w:rPr>
        <w:t xml:space="preserve">Hold distribution now. </w:t>
      </w:r>
      <w:r>
        <w:rPr>
          <w:b w:val="0"/>
        </w:rPr>
        <w:t>Accept Terrence’s offer to coordinate with Nathan J. Prescott (Ridgeline) today to suspend further circulation of the November 18 OM and confirm the list of investors who have received it. Any recipient should receive the corrected OM (with a short summary of material changes) before pricing on November 25; corrections delivered only after investors commit to purchase would not cure time-of-sale disclosure exposure.</w:t>
      </w:r>
    </w:p>
    <w:p>
      <w:pPr>
        <w:spacing w:after="80"/>
      </w:pPr>
      <w:r>
        <w:rPr>
          <w:b/>
        </w:rPr>
        <w:t xml:space="preserve">2. </w:t>
      </w:r>
      <w:r>
        <w:rPr>
          <w:b/>
        </w:rPr>
        <w:t xml:space="preserve">Business decisions on “which document is right.” </w:t>
      </w:r>
      <w:r>
        <w:rPr>
          <w:b w:val="0"/>
        </w:rPr>
        <w:t>Convene the Sponsor (Diane R. Holbrook), Ridgeline and Blackthorn &amp; Kessler on November 21–22 to confirm the intended deal on B-5 (OC target/release vs. full turbo), C-1 (Minimum OC base), D-1 (Defaulted Receivable), E-1 (final CNL level), G-1 (maximum term), G-2 (Closing Date reps), A-4 (interest on interest) and C-3 (reserve principal draw). For each, either conform the OM or amend the Indenture pre-closing.</w:t>
      </w:r>
    </w:p>
    <w:p>
      <w:pPr>
        <w:spacing w:after="80"/>
      </w:pPr>
      <w:r>
        <w:rPr>
          <w:b/>
        </w:rPr>
        <w:t xml:space="preserve">3. </w:t>
      </w:r>
      <w:r>
        <w:rPr>
          <w:b/>
        </w:rPr>
        <w:t xml:space="preserve">Kensington Ratings Agency. </w:t>
      </w:r>
      <w:r>
        <w:rPr>
          <w:b w:val="0"/>
        </w:rPr>
        <w:t>Provide Kensington with the list of Critical/High structural items (B-1, B-4, B-5, C-1, C-2, C-3, D-1, E-1, J-1, A-2/A-3) and obtain confirmation that its cash-flow model and rating letters reflect the final Indenture terms; any Indenture change should be accompanied by written confirmation that ratings are unaffected (§3.01(e)).</w:t>
      </w:r>
    </w:p>
    <w:p>
      <w:pPr>
        <w:spacing w:after="80"/>
      </w:pPr>
      <w:r>
        <w:rPr>
          <w:b/>
        </w:rPr>
        <w:t xml:space="preserve">4. </w:t>
      </w:r>
      <w:r>
        <w:rPr>
          <w:b/>
        </w:rPr>
        <w:t xml:space="preserve">Data tie-out. </w:t>
      </w:r>
      <w:r>
        <w:rPr>
          <w:b w:val="0"/>
        </w:rPr>
        <w:t>Ask Saxonbrook Analytics Group to tie the final OM pool table and narrative to the Receivables Schedule (31,412 Receivables; new/used 62.4%/37.6%; maximum original term; LTV methodology) and to recompute the weighted average note coupon and excess spread (A-5, I-1, I-2, G-1, G-4).</w:t>
      </w:r>
    </w:p>
    <w:p>
      <w:pPr>
        <w:spacing w:after="80"/>
      </w:pPr>
      <w:r>
        <w:rPr>
          <w:b/>
        </w:rPr>
        <w:t xml:space="preserve">5. </w:t>
      </w:r>
      <w:r>
        <w:rPr>
          <w:b/>
        </w:rPr>
        <w:t xml:space="preserve">Confirm against unreviewed documents. </w:t>
      </w:r>
      <w:r>
        <w:rPr>
          <w:b w:val="0"/>
        </w:rPr>
        <w:t>Review the Sale and Servicing Agreement, A&amp;R Trust Agreement and Back-Up Servicing Agreement for the representations, Servicer Event of Default provisions and back-up servicer terms described in F-1, F-2, G-2 and G-3, and confirm the transfer chain (K-9).</w:t>
      </w:r>
    </w:p>
    <w:p>
      <w:pPr>
        <w:spacing w:after="80"/>
      </w:pPr>
      <w:r>
        <w:rPr>
          <w:b/>
        </w:rPr>
        <w:t xml:space="preserve">6. </w:t>
      </w:r>
      <w:r>
        <w:rPr>
          <w:b/>
        </w:rPr>
        <w:t xml:space="preserve">Prepare a full blackline of the OM. </w:t>
      </w:r>
      <w:r>
        <w:rPr>
          <w:b w:val="0"/>
        </w:rPr>
        <w:t>Implement all corrections in Part V (including the new “Description of the Indenture,” “Back-Up Servicer” and “Trust Accounts” sections), conform all cross-references and the Glossary, and circulate a blackline against the November 18 draft to the working group with this report.</w:t>
      </w:r>
    </w:p>
    <w:p>
      <w:pPr>
        <w:spacing w:after="80"/>
      </w:pPr>
      <w:r>
        <w:rPr>
          <w:b/>
        </w:rPr>
        <w:t xml:space="preserve">7. </w:t>
      </w:r>
      <w:r>
        <w:rPr>
          <w:b/>
        </w:rPr>
        <w:t xml:space="preserve">Timeline check. </w:t>
      </w:r>
      <w:r>
        <w:rPr>
          <w:b w:val="0"/>
        </w:rPr>
        <w:t>The email contemplates roadshow materials going out by December 2, after the November 25 pricing and November 27 closing. Please confirm the intended sequence with Ridgeline; any investor-facing materials used before pricing must reflect the corrected OM, and any post-closing materials should not be inconsistent with it.</w:t>
      </w:r>
    </w:p>
    <w:p>
      <w:pPr>
        <w:pStyle w:val="Heading1"/>
      </w:pPr>
      <w:r>
        <w:t>Appendix A — Supporting Calculations</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F2A44"/>
          </w:tcPr>
          <w:p>
            <w:r/>
            <w:r>
              <w:rPr>
                <w:b/>
                <w:color w:val="FFFFFF"/>
                <w:sz w:val="18"/>
              </w:rPr>
              <w:t>Item</w:t>
            </w:r>
          </w:p>
        </w:tc>
        <w:tc>
          <w:tcPr>
            <w:tcW w:type="dxa" w:w="4320"/>
            <w:shd w:val="clear" w:color="auto" w:fill="1F2A44"/>
          </w:tcPr>
          <w:p>
            <w:r/>
            <w:r>
              <w:rPr>
                <w:b/>
                <w:color w:val="FFFFFF"/>
                <w:sz w:val="18"/>
              </w:rPr>
              <w:t>Computation</w:t>
            </w:r>
          </w:p>
        </w:tc>
        <w:tc>
          <w:tcPr>
            <w:tcW w:type="dxa" w:w="2592"/>
            <w:shd w:val="clear" w:color="auto" w:fill="1F2A44"/>
          </w:tcPr>
          <w:p>
            <w:r/>
            <w:r>
              <w:rPr>
                <w:b/>
                <w:color w:val="FFFFFF"/>
                <w:sz w:val="18"/>
              </w:rPr>
              <w:t>Result</w:t>
            </w:r>
          </w:p>
        </w:tc>
      </w:tr>
      <w:tr>
        <w:tc>
          <w:tcPr>
            <w:tcW w:type="dxa" w:w="2448"/>
          </w:tcPr>
          <w:p>
            <w:r/>
            <w:r>
              <w:rPr>
                <w:sz w:val="18"/>
              </w:rPr>
              <w:t>Class C coupon difference (A-1)</w:t>
            </w:r>
          </w:p>
        </w:tc>
        <w:tc>
          <w:tcPr>
            <w:tcW w:type="dxa" w:w="4320"/>
          </w:tcPr>
          <w:p>
            <w:r/>
            <w:r>
              <w:rPr>
                <w:sz w:val="18"/>
              </w:rPr>
              <w:t>$50,000,000 × (6.75% − 6.50%)</w:t>
            </w:r>
          </w:p>
        </w:tc>
        <w:tc>
          <w:tcPr>
            <w:tcW w:type="dxa" w:w="2592"/>
          </w:tcPr>
          <w:p>
            <w:r/>
            <w:r>
              <w:rPr>
                <w:sz w:val="18"/>
              </w:rPr>
              <w:t>$125,000 per annum; ≈$10,417 per month</w:t>
            </w:r>
          </w:p>
        </w:tc>
      </w:tr>
      <w:tr>
        <w:tc>
          <w:tcPr>
            <w:tcW w:type="dxa" w:w="2448"/>
          </w:tcPr>
          <w:p>
            <w:r/>
            <w:r>
              <w:rPr>
                <w:sz w:val="18"/>
              </w:rPr>
              <w:t>Annual day-count difference (A-2)</w:t>
            </w:r>
          </w:p>
        </w:tc>
        <w:tc>
          <w:tcPr>
            <w:tcW w:type="dxa" w:w="4320"/>
          </w:tcPr>
          <w:p>
            <w:r/>
            <w:r>
              <w:rPr>
                <w:sz w:val="18"/>
              </w:rPr>
              <w:t>Aggregate annual interest $37,533,750 × 5/360 (365-day year vs. 360)</w:t>
            </w:r>
          </w:p>
        </w:tc>
        <w:tc>
          <w:tcPr>
            <w:tcW w:type="dxa" w:w="2592"/>
          </w:tcPr>
          <w:p>
            <w:r/>
            <w:r>
              <w:rPr>
                <w:sz w:val="18"/>
              </w:rPr>
              <w:t>≈$521,302 per annum at initial balances</w:t>
            </w:r>
          </w:p>
        </w:tc>
      </w:tr>
      <w:tr>
        <w:tc>
          <w:tcPr>
            <w:tcW w:type="dxa" w:w="2448"/>
          </w:tcPr>
          <w:p>
            <w:r/>
            <w:r>
              <w:rPr>
                <w:sz w:val="18"/>
              </w:rPr>
              <w:t>First accrual period (A-2)</w:t>
            </w:r>
          </w:p>
        </w:tc>
        <w:tc>
          <w:tcPr>
            <w:tcW w:type="dxa" w:w="4320"/>
          </w:tcPr>
          <w:p>
            <w:r/>
            <w:r>
              <w:rPr>
                <w:sz w:val="18"/>
              </w:rPr>
              <w:t>Nov 27, 2024 – Jan 15, 2025: 49 actual days vs. 48 days (30/360); $37,533,750 × (49 − 48)/360</w:t>
            </w:r>
          </w:p>
        </w:tc>
        <w:tc>
          <w:tcPr>
            <w:tcW w:type="dxa" w:w="2592"/>
          </w:tcPr>
          <w:p>
            <w:r/>
            <w:r>
              <w:rPr>
                <w:sz w:val="18"/>
              </w:rPr>
              <w:t>≈$104,260 overstatement under OM</w:t>
            </w:r>
          </w:p>
        </w:tc>
      </w:tr>
      <w:tr>
        <w:tc>
          <w:tcPr>
            <w:tcW w:type="dxa" w:w="2448"/>
          </w:tcPr>
          <w:p>
            <w:r/>
            <w:r>
              <w:rPr>
                <w:sz w:val="18"/>
              </w:rPr>
              <w:t>Weighted average note coupon (A-5)</w:t>
            </w:r>
          </w:p>
        </w:tc>
        <w:tc>
          <w:tcPr>
            <w:tcW w:type="dxa" w:w="4320"/>
          </w:tcPr>
          <w:p>
            <w:r/>
            <w:r>
              <w:rPr>
                <w:sz w:val="18"/>
              </w:rPr>
              <w:t>$37,533,750 / $687,500,000 (with 6.50% Class C: $37,408,750 / $687,500,000)</w:t>
            </w:r>
          </w:p>
        </w:tc>
        <w:tc>
          <w:tcPr>
            <w:tcW w:type="dxa" w:w="2592"/>
          </w:tcPr>
          <w:p>
            <w:r/>
            <w:r>
              <w:rPr>
                <w:sz w:val="18"/>
              </w:rPr>
              <w:t>5.46% (5.44%); OM states 5.36%</w:t>
            </w:r>
          </w:p>
        </w:tc>
      </w:tr>
      <w:tr>
        <w:tc>
          <w:tcPr>
            <w:tcW w:type="dxa" w:w="2448"/>
          </w:tcPr>
          <w:p>
            <w:r/>
            <w:r>
              <w:rPr>
                <w:sz w:val="18"/>
              </w:rPr>
              <w:t>Servicing fee base difference (B-2)</w:t>
            </w:r>
          </w:p>
        </w:tc>
        <w:tc>
          <w:tcPr>
            <w:tcW w:type="dxa" w:w="4320"/>
          </w:tcPr>
          <w:p>
            <w:r/>
            <w:r>
              <w:rPr>
                <w:sz w:val="18"/>
              </w:rPr>
              <w:t>1.00% × ($712,300,000 − $687,500,000)</w:t>
            </w:r>
          </w:p>
        </w:tc>
        <w:tc>
          <w:tcPr>
            <w:tcW w:type="dxa" w:w="2592"/>
          </w:tcPr>
          <w:p>
            <w:r/>
            <w:r>
              <w:rPr>
                <w:sz w:val="18"/>
              </w:rPr>
              <w:t>$248,000 per annum (≈$20,667 per month) at closing</w:t>
            </w:r>
          </w:p>
        </w:tc>
      </w:tr>
      <w:tr>
        <w:tc>
          <w:tcPr>
            <w:tcW w:type="dxa" w:w="2448"/>
          </w:tcPr>
          <w:p>
            <w:r/>
            <w:r>
              <w:rPr>
                <w:sz w:val="18"/>
              </w:rPr>
              <w:t>Minimum OC Amount (C-1)</w:t>
            </w:r>
          </w:p>
        </w:tc>
        <w:tc>
          <w:tcPr>
            <w:tcW w:type="dxa" w:w="4320"/>
          </w:tcPr>
          <w:p>
            <w:r/>
            <w:r>
              <w:rPr>
                <w:sz w:val="18"/>
              </w:rPr>
              <w:t>OM: 1.50% × $712,300,000 fixed. Indenture: 1.50% × current Pool Balance (e.g., at $356,150,000)</w:t>
            </w:r>
          </w:p>
        </w:tc>
        <w:tc>
          <w:tcPr>
            <w:tcW w:type="dxa" w:w="2592"/>
          </w:tcPr>
          <w:p>
            <w:r/>
            <w:r>
              <w:rPr>
                <w:sz w:val="18"/>
              </w:rPr>
              <w:t>$10,684,500 vs. $5,342,250</w:t>
            </w:r>
          </w:p>
        </w:tc>
      </w:tr>
      <w:tr>
        <w:tc>
          <w:tcPr>
            <w:tcW w:type="dxa" w:w="2448"/>
          </w:tcPr>
          <w:p>
            <w:r/>
            <w:r>
              <w:rPr>
                <w:sz w:val="18"/>
              </w:rPr>
              <w:t>Reserve floor (C-2)</w:t>
            </w:r>
          </w:p>
        </w:tc>
        <w:tc>
          <w:tcPr>
            <w:tcW w:type="dxa" w:w="4320"/>
          </w:tcPr>
          <w:p>
            <w:r/>
            <w:r>
              <w:rPr>
                <w:sz w:val="18"/>
              </w:rPr>
              <w:t>0.50% × $687,500,000; e.g., at $200,000,000 Note Balance OM = 1.00% × $200,000,000</w:t>
            </w:r>
          </w:p>
        </w:tc>
        <w:tc>
          <w:tcPr>
            <w:tcW w:type="dxa" w:w="2592"/>
          </w:tcPr>
          <w:p>
            <w:r/>
            <w:r>
              <w:rPr>
                <w:sz w:val="18"/>
              </w:rPr>
              <w:t>$3,437,500 floor vs. $2,000,000 under OM formula</w:t>
            </w:r>
          </w:p>
        </w:tc>
      </w:tr>
      <w:tr>
        <w:tc>
          <w:tcPr>
            <w:tcW w:type="dxa" w:w="2448"/>
          </w:tcPr>
          <w:p>
            <w:r/>
            <w:r>
              <w:rPr>
                <w:sz w:val="18"/>
              </w:rPr>
              <w:t>Clean-up call (J-1)</w:t>
            </w:r>
          </w:p>
        </w:tc>
        <w:tc>
          <w:tcPr>
            <w:tcW w:type="dxa" w:w="4320"/>
          </w:tcPr>
          <w:p>
            <w:r/>
            <w:r>
              <w:rPr>
                <w:sz w:val="18"/>
              </w:rPr>
              <w:t>OM: 10% × $687,500,000. Indenture: 10% × $712,300,000</w:t>
            </w:r>
          </w:p>
        </w:tc>
        <w:tc>
          <w:tcPr>
            <w:tcW w:type="dxa" w:w="2592"/>
          </w:tcPr>
          <w:p>
            <w:r/>
            <w:r>
              <w:rPr>
                <w:sz w:val="18"/>
              </w:rPr>
              <w:t>$68,750,000 vs. $71,230,000 (difference $2,480,000)</w:t>
            </w:r>
          </w:p>
        </w:tc>
      </w:tr>
      <w:tr>
        <w:tc>
          <w:tcPr>
            <w:tcW w:type="dxa" w:w="2448"/>
          </w:tcPr>
          <w:p>
            <w:r/>
            <w:r>
              <w:rPr>
                <w:sz w:val="18"/>
              </w:rPr>
              <w:t>Receivable count (I-1)</w:t>
            </w:r>
          </w:p>
        </w:tc>
        <w:tc>
          <w:tcPr>
            <w:tcW w:type="dxa" w:w="4320"/>
          </w:tcPr>
          <w:p>
            <w:r/>
            <w:r>
              <w:rPr>
                <w:sz w:val="18"/>
              </w:rPr>
              <w:t>$712,300,000 / 31,412 vs. $712,300,000 / 31,200</w:t>
            </w:r>
          </w:p>
        </w:tc>
        <w:tc>
          <w:tcPr>
            <w:tcW w:type="dxa" w:w="2592"/>
          </w:tcPr>
          <w:p>
            <w:r/>
            <w:r>
              <w:rPr>
                <w:sz w:val="18"/>
              </w:rPr>
              <w:t>$22,676.05 vs. $22,830.13 (OM table states $22,676)</w:t>
            </w:r>
          </w:p>
        </w:tc>
      </w:tr>
      <w:tr>
        <w:tc>
          <w:tcPr>
            <w:tcW w:type="dxa" w:w="2448"/>
          </w:tcPr>
          <w:p>
            <w:r/>
            <w:r>
              <w:rPr>
                <w:sz w:val="18"/>
              </w:rPr>
              <w:t>Initial OC (verified)</w:t>
            </w:r>
          </w:p>
        </w:tc>
        <w:tc>
          <w:tcPr>
            <w:tcW w:type="dxa" w:w="4320"/>
          </w:tcPr>
          <w:p>
            <w:r/>
            <w:r>
              <w:rPr>
                <w:sz w:val="18"/>
              </w:rPr>
              <w:t>$712,300,000 − $687,500,000; / $712,300,000</w:t>
            </w:r>
          </w:p>
        </w:tc>
        <w:tc>
          <w:tcPr>
            <w:tcW w:type="dxa" w:w="2592"/>
          </w:tcPr>
          <w:p>
            <w:r/>
            <w:r>
              <w:rPr>
                <w:sz w:val="18"/>
              </w:rPr>
              <w:t>$24,800,000; 3.48%</w:t>
            </w:r>
          </w:p>
        </w:tc>
      </w:tr>
      <w:tr>
        <w:tc>
          <w:tcPr>
            <w:tcW w:type="dxa" w:w="2448"/>
          </w:tcPr>
          <w:p>
            <w:r/>
            <w:r>
              <w:rPr>
                <w:sz w:val="18"/>
              </w:rPr>
              <w:t>Subordination (verified)</w:t>
            </w:r>
          </w:p>
        </w:tc>
        <w:tc>
          <w:tcPr>
            <w:tcW w:type="dxa" w:w="4320"/>
          </w:tcPr>
          <w:p>
            <w:r/>
            <w:r>
              <w:rPr>
                <w:sz w:val="18"/>
              </w:rPr>
              <w:t>($82,500,000 + $50,000,000) / $687,500,000; $50,000,000 / $687,500,000</w:t>
            </w:r>
          </w:p>
        </w:tc>
        <w:tc>
          <w:tcPr>
            <w:tcW w:type="dxa" w:w="2592"/>
          </w:tcPr>
          <w:p>
            <w:r/>
            <w:r>
              <w:rPr>
                <w:sz w:val="18"/>
              </w:rPr>
              <w:t>19.27%; 7.27%</w:t>
            </w:r>
          </w:p>
        </w:tc>
      </w:tr>
      <w:tr>
        <w:tc>
          <w:tcPr>
            <w:tcW w:type="dxa" w:w="2448"/>
          </w:tcPr>
          <w:p>
            <w:r/>
            <w:r>
              <w:rPr>
                <w:sz w:val="18"/>
              </w:rPr>
              <w:t>Prior securitizations (I-3)</w:t>
            </w:r>
          </w:p>
        </w:tc>
        <w:tc>
          <w:tcPr>
            <w:tcW w:type="dxa" w:w="4320"/>
          </w:tcPr>
          <w:p>
            <w:r/>
            <w:r>
              <w:rPr>
                <w:sz w:val="18"/>
              </w:rPr>
              <w:t>Sum of Appendix A Original Pool Balances</w:t>
            </w:r>
          </w:p>
        </w:tc>
        <w:tc>
          <w:tcPr>
            <w:tcW w:type="dxa" w:w="2592"/>
          </w:tcPr>
          <w:p>
            <w:r/>
            <w:r>
              <w:rPr>
                <w:sz w:val="18"/>
              </w:rPr>
              <w:t>$4,221,900,000 (OM narrative: ≈$4.1 billion)</w:t>
            </w:r>
          </w:p>
        </w:tc>
      </w:tr>
    </w:tbl>
    <w:p>
      <w:pPr>
        <w:spacing w:after="40"/>
      </w:pPr>
    </w:p>
    <w:p>
      <w:pPr>
        <w:spacing w:after="120"/>
      </w:pPr>
      <w:r>
        <w:rPr>
          <w:b w:val="0"/>
          <w:i/>
          <w:sz w:val="18"/>
        </w:rPr>
        <w:t>This report reflects a comparison of the two documents identified in Part II only and is intended for internal use by the deal team in preparing a revised Offering Memorandum and any pre-closing amendment to the Indenture.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