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u w:val="none"/>
        </w:rPr>
        <w:t>HARTSFIELD, WHITMORE &amp; CHEN LLP</w:t>
      </w:r>
    </w:p>
    <w:p>
      <w:pPr>
        <w:spacing w:after="120" w:before="0"/>
        <w:jc w:val="center"/>
      </w:pPr>
      <w:r>
        <w:rPr>
          <w:b w:val="0"/>
          <w:i w:val="0"/>
          <w:sz w:val="18"/>
          <w:u w:val="none"/>
        </w:rPr>
        <w:t>227 West Trade Street, Suite 4100, Charlotte, NC 28202</w:t>
      </w:r>
    </w:p>
    <w:p>
      <w:pPr>
        <w:spacing w:after="120" w:before="0"/>
        <w:jc w:val="center"/>
      </w:pPr>
      <w:r>
        <w:rPr>
          <w:b/>
          <w:i w:val="0"/>
          <w:sz w:val="18"/>
          <w:u w:val="none"/>
        </w:rPr>
        <w:t>PRIVILEGED &amp; CONFIDENTIAL — ATTORNEY-CLIENT COMMUNICATION / ATTORNEY WORK PRODUCT</w:t>
      </w:r>
    </w:p>
    <w:p>
      <w:pPr>
        <w:spacing w:after="120" w:before="120"/>
        <w:jc w:val="center"/>
      </w:pPr>
      <w:r>
        <w:rPr>
          <w:b/>
          <w:i w:val="0"/>
          <w:u w:val="none"/>
        </w:rPr>
        <w:t>MEMORANDUM</w:t>
      </w:r>
    </w:p>
    <w:tbl>
      <w:tblPr>
        <w:tblStyle w:val="TableGrid"/>
        <w:tblW w:type="auto" w:w="0"/>
        <w:jc w:val="center"/>
        <w:tblLook w:firstColumn="1" w:firstRow="1" w:lastColumn="0" w:lastRow="0" w:noHBand="0" w:noVBand="1" w:val="04A0"/>
      </w:tblPr>
      <w:tblGrid>
        <w:gridCol w:w="5112"/>
        <w:gridCol w:w="5112"/>
      </w:tblGrid>
      <w:tr>
        <w:tc>
          <w:tcPr>
            <w:tcW w:type="dxa" w:w="1296"/>
          </w:tcPr>
          <w:p>
            <w:pPr>
              <w:spacing w:after="40"/>
            </w:pPr>
            <w:r/>
            <w:r>
              <w:rPr>
                <w:b w:val="0"/>
                <w:i w:val="0"/>
                <w:sz w:val="20"/>
                <w:u w:val="none"/>
              </w:rPr>
              <w:t>TO:</w:t>
            </w:r>
          </w:p>
        </w:tc>
        <w:tc>
          <w:tcPr>
            <w:tcW w:type="dxa" w:w="8352"/>
          </w:tcPr>
          <w:p>
            <w:pPr>
              <w:spacing w:after="40"/>
            </w:pPr>
            <w:r/>
            <w:r>
              <w:rPr>
                <w:b w:val="0"/>
                <w:i w:val="0"/>
                <w:sz w:val="20"/>
                <w:u w:val="none"/>
              </w:rPr>
              <w:t>Sandra K. Whitmore, Partner</w:t>
            </w:r>
          </w:p>
        </w:tc>
      </w:tr>
      <w:tr>
        <w:tc>
          <w:tcPr>
            <w:tcW w:type="dxa" w:w="1296"/>
          </w:tcPr>
          <w:p>
            <w:pPr>
              <w:spacing w:after="40"/>
            </w:pPr>
            <w:r/>
            <w:r>
              <w:rPr>
                <w:b w:val="0"/>
                <w:i w:val="0"/>
                <w:sz w:val="20"/>
                <w:u w:val="none"/>
              </w:rPr>
              <w:t>FROM:</w:t>
            </w:r>
          </w:p>
        </w:tc>
        <w:tc>
          <w:tcPr>
            <w:tcW w:type="dxa" w:w="8352"/>
          </w:tcPr>
          <w:p>
            <w:pPr>
              <w:spacing w:after="40"/>
            </w:pPr>
            <w:r/>
            <w:r>
              <w:rPr>
                <w:b w:val="0"/>
                <w:i w:val="0"/>
                <w:sz w:val="20"/>
                <w:u w:val="none"/>
              </w:rPr>
              <w:t>Daniel R. Pagano</w:t>
            </w:r>
          </w:p>
        </w:tc>
      </w:tr>
      <w:tr>
        <w:tc>
          <w:tcPr>
            <w:tcW w:type="dxa" w:w="1296"/>
          </w:tcPr>
          <w:p>
            <w:pPr>
              <w:spacing w:after="40"/>
            </w:pPr>
            <w:r/>
            <w:r>
              <w:rPr>
                <w:b w:val="0"/>
                <w:i w:val="0"/>
                <w:sz w:val="20"/>
                <w:u w:val="none"/>
              </w:rPr>
              <w:t>DATE:</w:t>
            </w:r>
          </w:p>
        </w:tc>
        <w:tc>
          <w:tcPr>
            <w:tcW w:type="dxa" w:w="8352"/>
          </w:tcPr>
          <w:p>
            <w:pPr>
              <w:spacing w:after="40"/>
            </w:pPr>
            <w:r/>
            <w:r>
              <w:rPr>
                <w:b w:val="0"/>
                <w:i w:val="0"/>
                <w:sz w:val="20"/>
                <w:u w:val="none"/>
              </w:rPr>
              <w:t>April 2, 2025</w:t>
            </w:r>
          </w:p>
        </w:tc>
      </w:tr>
      <w:tr>
        <w:tc>
          <w:tcPr>
            <w:tcW w:type="dxa" w:w="1296"/>
          </w:tcPr>
          <w:p>
            <w:pPr>
              <w:spacing w:after="40"/>
            </w:pPr>
            <w:r/>
            <w:r>
              <w:rPr>
                <w:b w:val="0"/>
                <w:i w:val="0"/>
                <w:sz w:val="20"/>
                <w:u w:val="none"/>
              </w:rPr>
              <w:t>RE:</w:t>
            </w:r>
          </w:p>
        </w:tc>
        <w:tc>
          <w:tcPr>
            <w:tcW w:type="dxa" w:w="8352"/>
          </w:tcPr>
          <w:p>
            <w:pPr>
              <w:spacing w:after="40"/>
            </w:pPr>
            <w:r/>
            <w:r>
              <w:rPr>
                <w:b w:val="0"/>
                <w:i w:val="0"/>
                <w:sz w:val="20"/>
                <w:u w:val="none"/>
              </w:rPr>
              <w:t>Granite Peak Equipment Trust 2025-1 — Account Control Agreement: First Draft and Material Departures from Sovereign Standard Form (SCB Form ACA-2023 Rev. 3)</w:t>
            </w:r>
          </w:p>
        </w:tc>
      </w:tr>
    </w:tbl>
    <w:p>
      <w:pPr>
        <w:spacing w:after="40"/>
      </w:pPr>
    </w:p>
    <w:p>
      <w:pPr>
        <w:spacing w:after="120" w:before="80"/>
        <w:jc w:val="left"/>
      </w:pPr>
      <w:r>
        <w:rPr>
          <w:b/>
          <w:i w:val="0"/>
          <w:u w:val="none"/>
        </w:rPr>
        <w:t>I. Summary</w:t>
      </w:r>
    </w:p>
    <w:p>
      <w:pPr>
        <w:spacing w:after="120" w:before="0"/>
        <w:jc w:val="both"/>
      </w:pPr>
      <w:r>
        <w:rPr>
          <w:b w:val="0"/>
          <w:i w:val="0"/>
          <w:u w:val="none"/>
        </w:rPr>
        <w:t xml:space="preserve">Attached is our first draft of the Account Control Agreement (account-control-agreement.docx) for the April 15 closing. I used Sovereign’s form as the base but rebuilt most of the operative provisions so the ACA satisfies Sections 3.01(a)–(e), 3.03, 5.04, 6.01–6.02, 10.15 and 10.16 of the Base Indenture; Sections 4.01, 4.02, 4.03, 7.01 and 9.12 of the Servicing Agreement; and Sections III–V of Clearwater’s March 28 pre-sale report. Structural changes: (i) Granite Peak Capital LLC is added as Servicer and a party (the form had only three parties, but the Indenture and Servicing Agreement definitions of “Account Control Agreement” require it); (ii) Sovereign signs as Securities Intermediary </w:t>
      </w:r>
      <w:r>
        <w:rPr>
          <w:b w:val="0"/>
          <w:i/>
          <w:u w:val="none"/>
        </w:rPr>
        <w:t>and</w:t>
      </w:r>
      <w:r>
        <w:rPr>
          <w:b w:val="0"/>
          <w:i w:val="0"/>
          <w:u w:val="none"/>
        </w:rPr>
        <w:t xml:space="preserve"> Depository Bank; (iii) Crestline signs as Indenture Trustee and Secured Party, solely in its trustee capacity; and (iv) Piedmont signs for the Trust as Owner Trustee, with a standard Owner Trustee exculpation (§16.10). Section 7 of the ACA (setoff waiver) is a condition precedent under Indenture §3.01(e), and the ACA as a whole is a condition to note issuance under Indenture §10.15 and to Clearwater’s ratings (pre-sale §VII.3). Clearwater must receive executed copies by </w:t>
      </w:r>
      <w:r>
        <w:rPr>
          <w:b/>
          <w:i w:val="0"/>
          <w:u w:val="none"/>
        </w:rPr>
        <w:t>April 11</w:t>
      </w:r>
      <w:r>
        <w:rPr>
          <w:b w:val="0"/>
          <w:i w:val="0"/>
          <w:u w:val="none"/>
        </w:rPr>
        <w:t>, so our negotiating window with Sovereign is short.</w:t>
      </w:r>
    </w:p>
    <w:p>
      <w:pPr>
        <w:spacing w:after="120" w:before="120"/>
        <w:jc w:val="left"/>
      </w:pPr>
      <w:r>
        <w:rPr>
          <w:b/>
          <w:i w:val="0"/>
          <w:u w:val="none"/>
        </w:rPr>
        <w:t>II. Material Departures from the Sovereign Form</w:t>
      </w:r>
    </w:p>
    <w:p>
      <w:pPr>
        <w:spacing w:after="80" w:before="0"/>
        <w:jc w:val="both"/>
      </w:pPr>
      <w:r>
        <w:rPr>
          <w:b/>
          <w:i w:val="0"/>
          <w:u w:val="none"/>
        </w:rPr>
        <w:t>1. Dual UCC characterization (ACA §§2.2, 2.3, 3.1, 3.2, 8.1(d)–(f)).</w:t>
      </w:r>
      <w:r>
        <w:rPr>
          <w:b w:val="0"/>
          <w:i w:val="0"/>
          <w:u w:val="none"/>
        </w:rPr>
        <w:t xml:space="preserve"> Sovereign’s form covered only Article 8 (securities-account control under §8-106) and treated all property, including cash, as a “financial asset.” The accounts will hold uninvested cash for parts of each Collection Period (about $8.2 million of monthly collections, plus maturity proceeds). If a court treats that cash as a deposit account rather than a financial asset, §8-106 control would not reach it. Control is the only way to perfect a security interest in a deposit account as original collateral (§9-312(b)(1)). The draft therefore has Sovereign agree that (a) each account is a §8-501 securities account and Sovereign is the securities intermediary, and (b) to the extent any account holds uninvested cash, it is also a §9-102(a)(29) deposit account and Sovereign is the “bank,” which will comply with Crestline’s instructions directing disposition of funds without further consent of the Issuer or the Servicer (§9-104(a)(2)). Both bases appear in the operative control sections and again in the representations (§8.1(d)–(f)), as the definition of “Control” in Indenture §1.01, Indenture §3.01(a) and pre-sale §III.C require. This also supports the dual-basis perfection opinion Clearwater expects.</w:t>
      </w:r>
    </w:p>
    <w:p>
      <w:pPr>
        <w:spacing w:after="80" w:before="0"/>
        <w:jc w:val="both"/>
      </w:pPr>
      <w:r>
        <w:rPr>
          <w:b/>
          <w:i w:val="0"/>
          <w:u w:val="none"/>
        </w:rPr>
        <w:t>2. Setoff and lien waiver (ACA §7; deleted form §4.01).</w:t>
      </w:r>
      <w:r>
        <w:rPr>
          <w:b w:val="0"/>
          <w:i w:val="0"/>
          <w:u w:val="none"/>
        </w:rPr>
        <w:t xml:space="preserve"> The form gave Sovereign a </w:t>
      </w:r>
      <w:r>
        <w:rPr>
          <w:b w:val="0"/>
          <w:i/>
          <w:u w:val="none"/>
        </w:rPr>
        <w:t>first-priority</w:t>
      </w:r>
      <w:r>
        <w:rPr>
          <w:b w:val="0"/>
          <w:i w:val="0"/>
          <w:u w:val="none"/>
        </w:rPr>
        <w:t xml:space="preserve"> lien on all account property for fees, overdrafts and “other amounts … or otherwise,” senior to Crestline, with a right to debit without notice. The draft deletes that lien entirely. In its place, Sovereign gives an absolute, irrevocable waiver of every security interest, lien, banker’s lien, setoff, recoupment, retention, counterclaim and deduction right, including rights under UCC §§4-210, 8-511, 9-340 and 9-341. The draft states that this is a waiver and not a subordination, as pre-sale §III.D requires. Sovereign also acknowledges that its fee and indemnity claims are unsecured general obligations (§7.2). The subordination acknowledgment Clearwater asks for in §V appears in §7.3, but only as a backstop that cannot qualify the waiver. Overdrafts and returned-item reversals are also limited (§7.4). See Flag A on the Indenture §3.01(e) carve-out.</w:t>
      </w:r>
    </w:p>
    <w:p>
      <w:pPr>
        <w:spacing w:after="80" w:before="0"/>
        <w:jc w:val="both"/>
      </w:pPr>
      <w:r>
        <w:rPr>
          <w:b/>
          <w:i w:val="0"/>
          <w:u w:val="none"/>
        </w:rPr>
        <w:t>3. Exclusive Control Notice mechanics (ACA §5; Exhibit C; Exhibit B revocation).</w:t>
      </w:r>
      <w:r>
        <w:rPr>
          <w:b w:val="0"/>
          <w:i w:val="0"/>
          <w:u w:val="none"/>
        </w:rPr>
        <w:t xml:space="preserve"> The form’s “Activation Notice” had to be in a form “reasonably satisfactory to” Sovereign, and the form allowed </w:t>
      </w:r>
      <w:r>
        <w:rPr>
          <w:b w:val="0"/>
          <w:i/>
          <w:u w:val="none"/>
        </w:rPr>
        <w:t>both</w:t>
      </w:r>
      <w:r>
        <w:rPr>
          <w:b w:val="0"/>
          <w:i w:val="0"/>
          <w:u w:val="none"/>
        </w:rPr>
        <w:t xml:space="preserve"> the Customer and the Secured Party to give orders before activation. The draft tracks Indenture §3.01(d): the Indenture Trustee may deliver a notice during an Event of Default, and must do so on direction of a majority of noteholders. The notice may be sent by email/PDF to a named Sovereign contact. On receipt Sovereign must immediately stop following anyone else’s instructions. That includes Servicer instructions on investments, Servicer Fee withdrawals, inter-account transfers and reserve releases, and also instructions received earlier but not yet executed. A late-day receipt must take effect no later than opening of business on the next Business Day, and Sovereign may not start any non-Crestline instruction after receipt. Sovereign has no duty or right to verify the Event of Default (§5.4). Revocation reinstates the Servicer’s rights (§5.5), as Indenture §3.01(d) provides. Following the Servicing Agreement, the Servicer Fee may be paid after a notice only on Crestline’s instruction (§5.3). The draft also confirms that a notice is valid even if the Servicer has not been terminated (SA §7.01, final paragraph). See Flag B on the exhibit lettering.</w:t>
      </w:r>
    </w:p>
    <w:p>
      <w:pPr>
        <w:spacing w:after="80" w:before="0"/>
        <w:jc w:val="both"/>
      </w:pPr>
      <w:r>
        <w:rPr>
          <w:b/>
          <w:i w:val="0"/>
          <w:u w:val="none"/>
        </w:rPr>
        <w:t>4. Securities intermediary’s jurisdiction (ACA §2.4).</w:t>
      </w:r>
      <w:r>
        <w:rPr>
          <w:b w:val="0"/>
          <w:i w:val="0"/>
          <w:u w:val="none"/>
        </w:rPr>
        <w:t xml:space="preserve"> I kept New York, as you suggested, and documented it as a deliberate election. Under §8-110(e)(1), an express agreement controls regardless of where the bank or the accounts are located, so New York is effective even though Sovereign’s chief executive office and the accounts are in Boston. That avoids a split between New York governing law and Massachusetts Article 8/9 choice of law. I also fixed two gaps in the form. First, the form elected New York only “for purposes of Part 1 of Article 8,” which arguably does not reach §9-305(a)(3) (perfection of investment property). The draft extends the election to Article 8 and the UCC generally. Second, the form had no bank’s-jurisdiction election for the deposit-account side. The draft adds one under §9-304(b)(1). I also added a Hague Securities Convention choice (Article 2(1) issues governed by New York law) and a qualifying-office representation (Article 4(1)) so the election holds under the Convention. Massachusetts would be an acceptable fallback only if Sovereign insists </w:t>
      </w:r>
      <w:r>
        <w:rPr>
          <w:b w:val="0"/>
          <w:i/>
          <w:u w:val="none"/>
        </w:rPr>
        <w:t>and</w:t>
      </w:r>
      <w:r>
        <w:rPr>
          <w:b w:val="0"/>
          <w:i w:val="0"/>
          <w:u w:val="none"/>
        </w:rPr>
        <w:t xml:space="preserve"> the election covers both §8-110(e) and §9-304(b). If so, our perfection opinion would need Massachusetts coverage.</w:t>
      </w:r>
    </w:p>
    <w:p>
      <w:pPr>
        <w:spacing w:after="80" w:before="0"/>
        <w:jc w:val="both"/>
      </w:pPr>
      <w:r>
        <w:rPr>
          <w:b/>
          <w:i w:val="0"/>
          <w:u w:val="none"/>
        </w:rPr>
        <w:t>5. Resignation conditioned on qualified successor (ACA §§12.1, 12.2, 12.6).</w:t>
      </w:r>
      <w:r>
        <w:rPr>
          <w:b w:val="0"/>
          <w:i w:val="0"/>
          <w:u w:val="none"/>
        </w:rPr>
        <w:t xml:space="preserve"> The form allowed resignation on 30 days’ notice “regardless of whether a successor … has been appointed,” and made transfer of property conditional on payment of fees. In the draft, Sovereign may give a Resignation Notice, but resignation takes effect only after three Succession Conditions are met: (a) Crestline has appointed a Qualified Institution successor (rated at least A long-term and A-1 short-term by Clearwater); (b) the successor has signed a replacement ACA or assumption agreement giving Crestline dual control; and (c) the property has been transferred. If those conditions are not met within 90 days, Sovereign must continue to serve. The transfer may not be held up by unpaid fees. The ACA also implements the separate 30-day downgrade replacement requirement of Indenture §3.01(c) and pre-sale §III.B (§12.3), together with a one-Business-Day downgrade notice covenant (§8.1(g)). See Flag C.</w:t>
      </w:r>
    </w:p>
    <w:p>
      <w:pPr>
        <w:spacing w:after="80" w:before="0"/>
        <w:jc w:val="both"/>
      </w:pPr>
      <w:r>
        <w:rPr>
          <w:b/>
          <w:i w:val="0"/>
          <w:u w:val="none"/>
        </w:rPr>
        <w:t>6. Successor approval right (ACA §12.4; deleted form §9.04(b)).</w:t>
      </w:r>
      <w:r>
        <w:rPr>
          <w:b w:val="0"/>
          <w:i w:val="0"/>
          <w:u w:val="none"/>
        </w:rPr>
        <w:t xml:space="preserve"> The form required any successor to be “reasonably acceptable to” Sovereign. That provision is deleted. Crestline selects and appoints the successor, subject only to the Qualified Institution test and the successor signing replacement control documentation. The outgoing bank has no consent or objection right. Mergers into non-qualifying entities trigger §12.3 (§12.7).</w:t>
      </w:r>
    </w:p>
    <w:p>
      <w:pPr>
        <w:spacing w:after="80" w:before="0"/>
        <w:jc w:val="both"/>
      </w:pPr>
      <w:r>
        <w:rPr>
          <w:b/>
          <w:i w:val="0"/>
          <w:u w:val="none"/>
        </w:rPr>
        <w:t>7. Liability cap (ACA §§11.2–11.4).</w:t>
      </w:r>
      <w:r>
        <w:rPr>
          <w:b w:val="0"/>
          <w:i w:val="0"/>
          <w:u w:val="none"/>
        </w:rPr>
        <w:t xml:space="preserve"> The form capped liability at 12 months of fees (about $45,000, or 0.0117% of the $385 million notes, as Clearwater noted), gave an unqualified consequential-damages disclaimer, and said Sovereign would provide no indemnity. Our opening position has three parts. First, the cap is the greater of 12 months of fees and </w:t>
      </w:r>
      <w:r>
        <w:rPr>
          <w:b/>
          <w:i w:val="0"/>
          <w:u w:val="none"/>
        </w:rPr>
        <w:t>$15,000,000</w:t>
      </w:r>
      <w:r>
        <w:rPr>
          <w:b w:val="0"/>
          <w:i w:val="0"/>
          <w:u w:val="none"/>
        </w:rPr>
        <w:t xml:space="preserve">. That roughly equals peak aggregate account exposure: about $8.2 million of monthly collections in the Collection Account plus the $5.775 million reserve. Second, these Excluded Liabilities are uncapped: gross negligence, willful misconduct, bad faith, fraud, breach of the §7 setoff waiver, failure to follow an Exclusive Control Notice or Crestline’s instructions, misdirected transfers, and the §4.4(c) restoration duty. Third, the consequential-damages disclaimer does not apply to gross negligence, willful misconduct or fraud, and lost or misapplied account property counts as direct damages. This follows option (b) of pre-sale §V, plus the minimum carve-outs in option (c) and the consequential-damages point. The general standard of care is negligence (§11.2). </w:t>
      </w:r>
      <w:r>
        <w:rPr>
          <w:b/>
          <w:i w:val="0"/>
          <w:u w:val="none"/>
        </w:rPr>
        <w:t>Fallbacks:</w:t>
      </w:r>
      <w:r>
        <w:rPr>
          <w:b w:val="0"/>
          <w:i w:val="0"/>
          <w:u w:val="none"/>
        </w:rPr>
        <w:t xml:space="preserve"> a gross-negligence standard for routine operations (keeping the breach-based carve-outs), and a fixed cap of $10 million. We should not go below the carve-outs listed in your instructions.</w:t>
      </w:r>
    </w:p>
    <w:p>
      <w:pPr>
        <w:spacing w:after="80" w:before="0"/>
        <w:jc w:val="both"/>
      </w:pPr>
      <w:r>
        <w:rPr>
          <w:b/>
          <w:i w:val="0"/>
          <w:u w:val="none"/>
        </w:rPr>
        <w:t>8. Reserve Account step-down (ACA §6; Exhibit A).</w:t>
      </w:r>
      <w:r>
        <w:rPr>
          <w:b w:val="0"/>
          <w:i w:val="0"/>
          <w:u w:val="none"/>
        </w:rPr>
        <w:t xml:space="preserve"> The form had no release mechanics. The draft implements Indenture §3.03(c). (a) Certification: when the Pool Factor first falls below 50%, the Servicer delivers a Reserve Release Certificate (Exhibit A). The certificate states the Pool Factor (measured against the $397,412,633 Cutoff Date pool balance), confirms delivery of the Monthly Servicer Report to Crestline, confirms no Event of Default and no Exclusive Control Notice, and specifies the Release Amount. (b) Crestline’s role: Crestline gets a copy and a negative-consent objection right until noon on the Business Day before the Transfer Date, or may affirmatively confirm no objection. (c) Transfer: absent objection, Sovereign transfers the excess on the Transfer Date to the Distribution Account (No. 8830-4417-003) only. That excess is $1,925,000 if the account is fully funded ($5,775,000 less $3,850,000). Sovereign may not take the balance below $3,850,000. The step-down does not revert (§6.5), and after an Exclusive Control Notice only Crestline may direct releases. Shortfall draws under Indenture §3.03(b) remain Crestline-instructed (§3.5).</w:t>
      </w:r>
    </w:p>
    <w:p>
      <w:pPr>
        <w:spacing w:after="80" w:before="0"/>
        <w:jc w:val="both"/>
      </w:pPr>
      <w:r>
        <w:rPr>
          <w:b/>
          <w:i w:val="0"/>
          <w:u w:val="none"/>
        </w:rPr>
        <w:t>9. Rating agency amendment notice (ACA §15).</w:t>
      </w:r>
      <w:r>
        <w:rPr>
          <w:b w:val="0"/>
          <w:i w:val="0"/>
          <w:u w:val="none"/>
        </w:rPr>
        <w:t xml:space="preserve"> The form required only signatures. The draft makes 10 Business Days’ prior written notice to Clearwater a condition to the effectiveness of </w:t>
      </w:r>
      <w:r>
        <w:rPr>
          <w:b w:val="0"/>
          <w:i/>
          <w:u w:val="none"/>
        </w:rPr>
        <w:t>every</w:t>
      </w:r>
      <w:r>
        <w:rPr>
          <w:b w:val="0"/>
          <w:i w:val="0"/>
          <w:u w:val="none"/>
        </w:rPr>
        <w:t xml:space="preserve"> amendment, waiver or termination. The notice must include a description and a substantially final copy and go to the Surveillance Group address in pre-sale §IV. Amendments touching §5, §7 or §12 are expressly covered. The Servicer must certify that notice was delivered. This is broader than Clearwater’s “could adversely affect” test because Indenture §10.16 requires notice for all ACA amendments as a condition to effectiveness (see Flag D).</w:t>
      </w:r>
    </w:p>
    <w:p>
      <w:pPr>
        <w:spacing w:after="80" w:before="0"/>
        <w:jc w:val="both"/>
      </w:pPr>
      <w:r>
        <w:rPr>
          <w:b/>
          <w:i w:val="0"/>
          <w:u w:val="none"/>
        </w:rPr>
        <w:t>10. Investment authority bifurcation (ACA §§4.1, 3.4).</w:t>
      </w:r>
      <w:r>
        <w:rPr>
          <w:b w:val="0"/>
          <w:i w:val="0"/>
          <w:u w:val="none"/>
        </w:rPr>
        <w:t xml:space="preserve"> The form let any “Authorized Person” of the Customer instruct, and let Sovereign sweep idle cash into its own vehicle and keep affiliate compensation. Under the draft, before an Exclusive Control Notice the Servicer alone may give investment instructions, and only in Eligible Investments (SA §4.01(b)(i); Indenture §6.01). Crestline may also instruct at any time, and Crestline prevails in a conflict (Indenture §3.01(b)). After the notice, Crestline has sole and exclusive authority (SA §4.01(b)(ii)). Servicer instructions are limited to an enumerated list of Permitted Servicer Instructions (§3.4). Payments to anyone other than another Trust Account are blocked, except the Servicer Fee. Uninstructed cash stays uninvested, or goes into demand deposits at Sovereign while Sovereign is a Qualified Institution. Discretionary sweeps are prohibited (§4.2).</w:t>
      </w:r>
    </w:p>
    <w:p>
      <w:pPr>
        <w:spacing w:after="80" w:before="0"/>
        <w:jc w:val="both"/>
      </w:pPr>
      <w:r>
        <w:rPr>
          <w:b/>
          <w:i w:val="0"/>
          <w:u w:val="none"/>
        </w:rPr>
        <w:t>11. Commingling prohibition (ACA §4.4).</w:t>
      </w:r>
      <w:r>
        <w:rPr>
          <w:b w:val="0"/>
          <w:i w:val="0"/>
          <w:u w:val="none"/>
        </w:rPr>
        <w:t xml:space="preserve"> The form had nothing on this. The draft requires all earnings and proceeds to be credited to the originating account on the day of receipt, losses to be charged only to the originating account, and position-level records by account. Misallocation is a breach, with a one-Business-Day correct-and-restore obligation (including lost earnings) that is uncapped. This tracks Indenture §6.02 and SA §4.01(b)(iii). Monthly account-by-account statements arrive by the 5th Business Day so the Servicer can complete Monthly Servicer Report items (vi) and (vii) by the 10th (§9.1).</w:t>
      </w:r>
    </w:p>
    <w:p>
      <w:pPr>
        <w:spacing w:after="40" w:before="40"/>
        <w:jc w:val="both"/>
      </w:pPr>
      <w:r>
        <w:rPr>
          <w:b/>
          <w:i w:val="0"/>
          <w:u w:val="none"/>
        </w:rPr>
        <w:t>Other changes to the form:</w:t>
      </w:r>
    </w:p>
    <w:p>
      <w:pPr>
        <w:spacing w:after="40" w:before="0"/>
        <w:ind w:left="360"/>
        <w:jc w:val="both"/>
      </w:pPr>
      <w:r>
        <w:rPr>
          <w:b w:val="0"/>
          <w:i w:val="0"/>
          <w:u w:val="none"/>
        </w:rPr>
        <w:t xml:space="preserve">• </w:t>
      </w:r>
      <w:r>
        <w:rPr>
          <w:b w:val="0"/>
          <w:i/>
          <w:u w:val="none"/>
        </w:rPr>
        <w:t>Fees (§10; Schedule C):</w:t>
      </w:r>
      <w:r>
        <w:rPr>
          <w:b w:val="0"/>
          <w:i w:val="0"/>
          <w:u w:val="none"/>
        </w:rPr>
        <w:t xml:space="preserve"> The draft keeps $15,000 per account per year ($45,000 total) and $500 per instruction. Fees are payable by the Servicer and never from the accounts. The draft deletes the form’s 18% default interest, its unilateral annual fee adjustment and its extra fees ($2,500 closing, wire, certified-statement and extraordinary-service fees).</w:t>
      </w:r>
    </w:p>
    <w:p>
      <w:pPr>
        <w:spacing w:after="40" w:before="0"/>
        <w:ind w:left="360"/>
        <w:jc w:val="both"/>
      </w:pPr>
      <w:r>
        <w:rPr>
          <w:b w:val="0"/>
          <w:i w:val="0"/>
          <w:u w:val="none"/>
        </w:rPr>
        <w:t xml:space="preserve">• </w:t>
      </w:r>
      <w:r>
        <w:rPr>
          <w:b w:val="0"/>
          <w:i/>
          <w:u w:val="none"/>
        </w:rPr>
        <w:t>Statements (§9):</w:t>
      </w:r>
      <w:r>
        <w:rPr>
          <w:b w:val="0"/>
          <w:i w:val="0"/>
          <w:u w:val="none"/>
        </w:rPr>
        <w:t xml:space="preserve"> The draft deletes the 60-day deemed-acceptance clause so it cannot bind Crestline or the noteholders.</w:t>
      </w:r>
    </w:p>
    <w:p>
      <w:pPr>
        <w:spacing w:after="40" w:before="0"/>
        <w:ind w:left="360"/>
        <w:jc w:val="both"/>
      </w:pPr>
      <w:r>
        <w:rPr>
          <w:b w:val="0"/>
          <w:i w:val="0"/>
          <w:u w:val="none"/>
        </w:rPr>
        <w:t xml:space="preserve">• </w:t>
      </w:r>
      <w:r>
        <w:rPr>
          <w:b w:val="0"/>
          <w:i/>
          <w:u w:val="none"/>
        </w:rPr>
        <w:t>Termination (§13):</w:t>
      </w:r>
      <w:r>
        <w:rPr>
          <w:b w:val="0"/>
          <w:i w:val="0"/>
          <w:u w:val="none"/>
        </w:rPr>
        <w:t xml:space="preserve"> The form allowed termination by mutual agreement. The draft allows termination only on discharge of the Indenture or completion of a succession.</w:t>
      </w:r>
    </w:p>
    <w:p>
      <w:pPr>
        <w:spacing w:after="40" w:before="0"/>
        <w:ind w:left="360"/>
        <w:jc w:val="both"/>
      </w:pPr>
      <w:r>
        <w:rPr>
          <w:b w:val="0"/>
          <w:i w:val="0"/>
          <w:u w:val="none"/>
        </w:rPr>
        <w:t xml:space="preserve">• </w:t>
      </w:r>
      <w:r>
        <w:rPr>
          <w:b w:val="0"/>
          <w:i/>
          <w:u w:val="none"/>
        </w:rPr>
        <w:t>Removal (§12.5):</w:t>
      </w:r>
      <w:r>
        <w:rPr>
          <w:b w:val="0"/>
          <w:i w:val="0"/>
          <w:u w:val="none"/>
        </w:rPr>
        <w:t xml:space="preserve"> Crestline may remove Sovereign with or without cause.</w:t>
      </w:r>
    </w:p>
    <w:p>
      <w:pPr>
        <w:spacing w:after="40" w:before="0"/>
        <w:ind w:left="360"/>
        <w:jc w:val="both"/>
      </w:pPr>
      <w:r>
        <w:rPr>
          <w:b w:val="0"/>
          <w:i w:val="0"/>
          <w:u w:val="none"/>
        </w:rPr>
        <w:t xml:space="preserve">• </w:t>
      </w:r>
      <w:r>
        <w:rPr>
          <w:b w:val="0"/>
          <w:i/>
          <w:u w:val="none"/>
        </w:rPr>
        <w:t>Indemnity (§11.6):</w:t>
      </w:r>
      <w:r>
        <w:rPr>
          <w:b w:val="0"/>
          <w:i w:val="0"/>
          <w:u w:val="none"/>
        </w:rPr>
        <w:t xml:space="preserve"> The Servicer indemnifies Sovereign (consistent with SA §4.01(b)(iv)). Any Issuer indemnity is limited recourse.</w:t>
      </w:r>
    </w:p>
    <w:p>
      <w:pPr>
        <w:spacing w:after="40" w:before="0"/>
        <w:ind w:left="360"/>
        <w:jc w:val="both"/>
      </w:pPr>
      <w:r>
        <w:rPr>
          <w:b w:val="0"/>
          <w:i w:val="0"/>
          <w:u w:val="none"/>
        </w:rPr>
        <w:t xml:space="preserve">• </w:t>
      </w:r>
      <w:r>
        <w:rPr>
          <w:b w:val="0"/>
          <w:i/>
          <w:u w:val="none"/>
        </w:rPr>
        <w:t>Structured-finance protections:</w:t>
      </w:r>
      <w:r>
        <w:rPr>
          <w:b w:val="0"/>
          <w:i w:val="0"/>
          <w:u w:val="none"/>
        </w:rPr>
        <w:t xml:space="preserve"> The draft adds non-petition (§16.9), noteholders as beneficiaries enforcing through Crestline (§16.5), and an override of conflicting account agreements (§1.4).</w:t>
      </w:r>
    </w:p>
    <w:p>
      <w:pPr>
        <w:spacing w:after="40" w:before="0"/>
        <w:ind w:left="360"/>
        <w:jc w:val="both"/>
      </w:pPr>
      <w:r>
        <w:rPr>
          <w:b w:val="0"/>
          <w:i w:val="0"/>
          <w:u w:val="none"/>
        </w:rPr>
        <w:t xml:space="preserve">• </w:t>
      </w:r>
      <w:r>
        <w:rPr>
          <w:b w:val="0"/>
          <w:i/>
          <w:u w:val="none"/>
        </w:rPr>
        <w:t>Notices and schedules:</w:t>
      </w:r>
      <w:r>
        <w:rPr>
          <w:b w:val="0"/>
          <w:i w:val="0"/>
          <w:u w:val="none"/>
        </w:rPr>
        <w:t xml:space="preserve"> The draft adds a legal-process notice covenant (§8.1(h)), a four-city Business Day definition matching the Servicing Agreement, and Schedule D (Authorized Persons). The Schedules follow your list: A for accounts, B for notices (including Clearwater), C for fees.</w:t>
      </w:r>
    </w:p>
    <w:p>
      <w:pPr>
        <w:spacing w:after="120" w:before="120"/>
        <w:jc w:val="left"/>
      </w:pPr>
      <w:r>
        <w:rPr>
          <w:b/>
          <w:i w:val="0"/>
          <w:u w:val="none"/>
        </w:rPr>
        <w:t>III. Issues Flagged in the Deal Documents (Fresh-Eyes Items)</w:t>
      </w:r>
    </w:p>
    <w:p>
      <w:pPr>
        <w:spacing w:after="60" w:before="0"/>
        <w:jc w:val="both"/>
      </w:pPr>
      <w:r>
        <w:rPr>
          <w:b/>
          <w:i w:val="0"/>
          <w:u w:val="none"/>
        </w:rPr>
        <w:t>A. Indenture §3.01(e) vs. Clearwater §III.D.</w:t>
      </w:r>
      <w:r>
        <w:rPr>
          <w:b w:val="0"/>
          <w:i w:val="0"/>
          <w:u w:val="none"/>
        </w:rPr>
        <w:t xml:space="preserve"> Indenture §3.01(e) </w:t>
      </w:r>
      <w:r>
        <w:rPr>
          <w:b w:val="0"/>
          <w:i/>
          <w:u w:val="none"/>
        </w:rPr>
        <w:t>permits</w:t>
      </w:r>
      <w:r>
        <w:rPr>
          <w:b w:val="0"/>
          <w:i w:val="0"/>
          <w:u w:val="none"/>
        </w:rPr>
        <w:t xml:space="preserve"> a subordinated lien for fees unpaid more than 30 days. Clearwater requires an absolute waiver and says a subordination is “not sufficient.” Because the Indenture permits but does not require the carve-out, the absolute waiver complies with both, and I drafted to Clearwater. Sovereign will likely cite §3.01(e) in negotiations, and our answer is that the ratings condition controls.</w:t>
      </w:r>
    </w:p>
    <w:p>
      <w:pPr>
        <w:spacing w:after="60" w:before="0"/>
        <w:jc w:val="both"/>
      </w:pPr>
      <w:r>
        <w:rPr>
          <w:b/>
          <w:i w:val="0"/>
          <w:u w:val="none"/>
        </w:rPr>
        <w:t>B. Exhibit lettering and cross-references.</w:t>
      </w:r>
      <w:r>
        <w:rPr>
          <w:b w:val="0"/>
          <w:i w:val="0"/>
          <w:u w:val="none"/>
        </w:rPr>
        <w:t xml:space="preserve"> Your instructions place the Exclusive Control Notice form at Exhibit A. However, the executed Indenture (§1.01 definition of “Exclusive Control Notice” and §3.01(d)) refers to it as “Exhibit C to the Account Control Agreement,” and SA §1.01 refers to “Section 5 of the Account Control Agreement.” To avoid a broken cross-reference in executed documents, I placed the form at </w:t>
      </w:r>
      <w:r>
        <w:rPr>
          <w:b/>
          <w:i w:val="0"/>
          <w:u w:val="none"/>
        </w:rPr>
        <w:t>Exhibit C</w:t>
      </w:r>
      <w:r>
        <w:rPr>
          <w:b w:val="0"/>
          <w:i w:val="0"/>
          <w:u w:val="none"/>
        </w:rPr>
        <w:t xml:space="preserve"> and the mechanics in </w:t>
      </w:r>
      <w:r>
        <w:rPr>
          <w:b/>
          <w:i w:val="0"/>
          <w:u w:val="none"/>
        </w:rPr>
        <w:t>Section 5</w:t>
      </w:r>
      <w:r>
        <w:rPr>
          <w:b w:val="0"/>
          <w:i w:val="0"/>
          <w:u w:val="none"/>
        </w:rPr>
        <w:t>. Exhibit A is the Reserve Release Certificate and Exhibit B is the Revocation Notice. If you prefer Exhibit A, we would need a conforming amendment to the Indenture, which itself triggers §10.16 notice.</w:t>
      </w:r>
    </w:p>
    <w:p>
      <w:pPr>
        <w:spacing w:after="60" w:before="0"/>
        <w:jc w:val="both"/>
      </w:pPr>
      <w:r>
        <w:rPr>
          <w:b/>
          <w:i w:val="0"/>
          <w:u w:val="none"/>
        </w:rPr>
        <w:t>C. 90-day continue-to-serve vs. 30-day downgrade replacement.</w:t>
      </w:r>
      <w:r>
        <w:rPr>
          <w:b w:val="0"/>
          <w:i w:val="0"/>
          <w:u w:val="none"/>
        </w:rPr>
        <w:t xml:space="preserve"> Indenture §3.01(c) and Clearwater §III.B require the accounts to move within 30 days after Sovereign stops being a Qualified Institution. The 90-day backstop works for a voluntary resignation. Continued service by a downgraded bank, however, would put the Issuer and Servicer in breach of the Indenture. The draft therefore keeps both: §12.3 governs downgrade, and §12.2 governs resignation.</w:t>
      </w:r>
    </w:p>
    <w:p>
      <w:pPr>
        <w:spacing w:after="60" w:before="0"/>
        <w:jc w:val="both"/>
      </w:pPr>
      <w:r>
        <w:rPr>
          <w:b/>
          <w:i w:val="0"/>
          <w:u w:val="none"/>
        </w:rPr>
        <w:t>D. Scope of amendment notice.</w:t>
      </w:r>
      <w:r>
        <w:rPr>
          <w:b w:val="0"/>
          <w:i w:val="0"/>
          <w:u w:val="none"/>
        </w:rPr>
        <w:t xml:space="preserve"> Indenture §10.16 requires 10 Business Days’ notice for </w:t>
      </w:r>
      <w:r>
        <w:rPr>
          <w:b w:val="0"/>
          <w:i/>
          <w:u w:val="none"/>
        </w:rPr>
        <w:t>all</w:t>
      </w:r>
      <w:r>
        <w:rPr>
          <w:b w:val="0"/>
          <w:i w:val="0"/>
          <w:u w:val="none"/>
        </w:rPr>
        <w:t xml:space="preserve"> ACA amendments as a condition to effectiveness. Clearwater requires notice only for adverse amendments, exempts ministerial ones, and says failure to give notice does not invalidate the amendment. I followed the stricter Indenture standard.</w:t>
      </w:r>
    </w:p>
    <w:p>
      <w:pPr>
        <w:spacing w:after="60" w:before="0"/>
        <w:jc w:val="both"/>
      </w:pPr>
      <w:r>
        <w:rPr>
          <w:b/>
          <w:i w:val="0"/>
          <w:u w:val="none"/>
        </w:rPr>
        <w:t>E. Who pays Sovereign.</w:t>
      </w:r>
      <w:r>
        <w:rPr>
          <w:b w:val="0"/>
          <w:i w:val="0"/>
          <w:u w:val="none"/>
        </w:rPr>
        <w:t xml:space="preserve"> The Priority of Payments (Indenture §3.04) has no line item for Securities Intermediary fees or indemnities. Clause (b) covers only the Indenture Trustee and Owner Trustee, capped at $100,000. I placed fees on the Servicer under SA §4.03(a), which says the Servicer Fee covers all servicing costs. </w:t>
      </w:r>
      <w:r>
        <w:rPr>
          <w:b/>
          <w:i w:val="0"/>
          <w:u w:val="none"/>
        </w:rPr>
        <w:t>Please confirm with Marcus Ellison.</w:t>
      </w:r>
    </w:p>
    <w:p>
      <w:pPr>
        <w:spacing w:after="60" w:before="0"/>
        <w:jc w:val="both"/>
      </w:pPr>
      <w:r>
        <w:rPr>
          <w:b/>
          <w:i w:val="0"/>
          <w:u w:val="none"/>
        </w:rPr>
        <w:t>F. Possible double payment of the Servicer Fee.</w:t>
      </w:r>
      <w:r>
        <w:rPr>
          <w:b w:val="0"/>
          <w:i w:val="0"/>
          <w:u w:val="none"/>
        </w:rPr>
        <w:t xml:space="preserve"> Indenture §3.01(b)(iv) and SA §4.03(b) let the Servicer withdraw the fee from the </w:t>
      </w:r>
      <w:r>
        <w:rPr>
          <w:b w:val="0"/>
          <w:i/>
          <w:u w:val="none"/>
        </w:rPr>
        <w:t>Collection</w:t>
      </w:r>
      <w:r>
        <w:rPr>
          <w:b w:val="0"/>
          <w:i w:val="0"/>
          <w:u w:val="none"/>
        </w:rPr>
        <w:t xml:space="preserve"> Account, while Indenture §3.04(a) also pays it first from the </w:t>
      </w:r>
      <w:r>
        <w:rPr>
          <w:b w:val="0"/>
          <w:i/>
          <w:u w:val="none"/>
        </w:rPr>
        <w:t>Distribution</w:t>
      </w:r>
      <w:r>
        <w:rPr>
          <w:b w:val="0"/>
          <w:i w:val="0"/>
          <w:u w:val="none"/>
        </w:rPr>
        <w:t xml:space="preserve"> Account. The two Available Funds definitions differ: SA §1.01 nets out the Servicer Fee and Indenture §1.01 does not. The ACA is neutral (it permits the withdrawal), but the deal documents should be conformed.</w:t>
      </w:r>
    </w:p>
    <w:p>
      <w:pPr>
        <w:spacing w:after="60" w:before="0"/>
        <w:jc w:val="both"/>
      </w:pPr>
      <w:r>
        <w:rPr>
          <w:b/>
          <w:i w:val="0"/>
          <w:u w:val="none"/>
        </w:rPr>
        <w:t>G. Cross-reference errors in deal documents.</w:t>
      </w:r>
      <w:r>
        <w:rPr>
          <w:b w:val="0"/>
          <w:i w:val="0"/>
          <w:u w:val="none"/>
        </w:rPr>
        <w:t xml:space="preserve"> SA §§4.03(c)–(d) cite the Priority of Payments as Indenture “§3.05,” but it is §3.04. Clearwater cites the waterfall as Indenture “§4.02/Article IV” and describes a different order: A interest, A principal, B interest, B principal. The Indenture actually pays A interest, B interest, A principal, B principal. Clearwater should confirm that its analysis reflects the executed waterfall. Indenture §3.03(a) refers to Priority of Payments “clause (f),” and the reserve top-up is clause (g).</w:t>
      </w:r>
    </w:p>
    <w:p>
      <w:pPr>
        <w:spacing w:after="60" w:before="0"/>
        <w:jc w:val="both"/>
      </w:pPr>
      <w:r>
        <w:rPr>
          <w:b/>
          <w:i w:val="0"/>
          <w:u w:val="none"/>
        </w:rPr>
        <w:t>H. Eligible Investment maturities.</w:t>
      </w:r>
      <w:r>
        <w:rPr>
          <w:b w:val="0"/>
          <w:i w:val="0"/>
          <w:u w:val="none"/>
        </w:rPr>
        <w:t xml:space="preserve"> The Indenture requires maturity by the Business Day before the next </w:t>
      </w:r>
      <w:r>
        <w:rPr>
          <w:b w:val="0"/>
          <w:i/>
          <w:u w:val="none"/>
        </w:rPr>
        <w:t>Payment Date</w:t>
      </w:r>
      <w:r>
        <w:rPr>
          <w:b w:val="0"/>
          <w:i w:val="0"/>
          <w:u w:val="none"/>
        </w:rPr>
        <w:t xml:space="preserve">. SA §4.01(b)(i) requires the Business Day before the next </w:t>
      </w:r>
      <w:r>
        <w:rPr>
          <w:b w:val="0"/>
          <w:i/>
          <w:u w:val="none"/>
        </w:rPr>
        <w:t>Transfer Date</w:t>
      </w:r>
      <w:r>
        <w:rPr>
          <w:b w:val="0"/>
          <w:i w:val="0"/>
          <w:u w:val="none"/>
        </w:rPr>
        <w:t>, but allows 30 days for the Reserve Account. Clearwater §III.F requires deposits to mature by the next Transfer Date. SA §1.01 also adds “P-1 by Clearwater,” which is a scale Clearwater does not use. The ACA incorporates the Indenture definition and puts eligibility on the instructing party. The SA and Indenture should be conformed.</w:t>
      </w:r>
    </w:p>
    <w:p>
      <w:pPr>
        <w:spacing w:after="60" w:before="0"/>
        <w:jc w:val="both"/>
      </w:pPr>
      <w:r>
        <w:rPr>
          <w:b/>
          <w:i w:val="0"/>
          <w:u w:val="none"/>
        </w:rPr>
        <w:t>I. Exclusive Control Notice trigger.</w:t>
      </w:r>
      <w:r>
        <w:rPr>
          <w:b w:val="0"/>
          <w:i w:val="0"/>
          <w:u w:val="none"/>
        </w:rPr>
        <w:t xml:space="preserve"> SA §7.01 treats an uncured deposit failure (a Servicer Termination Event) as grounds for an Exclusive Control Notice. Indenture §3.01(d) allows a notice only during an Event of Default, and a Servicer Termination Event becomes an Event of Default under §5.04(d) only after its cure period. Sovereign is protected because it has no duty to verify (§5.4), but Crestline should be aware.</w:t>
      </w:r>
    </w:p>
    <w:p>
      <w:pPr>
        <w:spacing w:after="60" w:before="0"/>
        <w:jc w:val="both"/>
      </w:pPr>
      <w:r>
        <w:rPr>
          <w:b/>
          <w:i w:val="0"/>
          <w:u w:val="none"/>
        </w:rPr>
        <w:t>J. Pool Factor and Collection Period.</w:t>
      </w:r>
      <w:r>
        <w:rPr>
          <w:b w:val="0"/>
          <w:i w:val="0"/>
          <w:u w:val="none"/>
        </w:rPr>
        <w:t xml:space="preserve"> The 50% trigger is measured against the $397,412,633 Cutoff Date </w:t>
      </w:r>
      <w:r>
        <w:rPr>
          <w:b w:val="0"/>
          <w:i/>
          <w:u w:val="none"/>
        </w:rPr>
        <w:t>pool</w:t>
      </w:r>
      <w:r>
        <w:rPr>
          <w:b w:val="0"/>
          <w:i w:val="0"/>
          <w:u w:val="none"/>
        </w:rPr>
        <w:t xml:space="preserve"> balance (Indenture §1.01; SA §4.02(a)(ii)), not the $385 million note balance. Only the reserve amounts are sized off the note balance. Exhibit A tracks this. The first Collection Period also differs: April 1–30 under the Indenture, but from the Cutoff Date under the SA.</w:t>
      </w:r>
    </w:p>
    <w:p>
      <w:pPr>
        <w:spacing w:after="60" w:before="0"/>
        <w:jc w:val="both"/>
      </w:pPr>
      <w:r>
        <w:rPr>
          <w:b/>
          <w:i w:val="0"/>
          <w:u w:val="none"/>
        </w:rPr>
        <w:t>K. Open items.</w:t>
      </w:r>
      <w:r>
        <w:rPr>
          <w:b w:val="0"/>
          <w:i w:val="0"/>
          <w:u w:val="none"/>
        </w:rPr>
        <w:t xml:space="preserve"> The following remain open: phone and email contacts and the Sovereign contact for Exclusive Control Notices (Schedule B); Authorized Persons (Schedule D); the Issuer’s tax classification for the W-9 (§9.3); and the Determination Date definition, which is not in our excerpts.</w:t>
      </w:r>
    </w:p>
    <w:p>
      <w:pPr>
        <w:spacing w:after="120" w:before="120"/>
        <w:jc w:val="left"/>
      </w:pPr>
      <w:r>
        <w:rPr>
          <w:b/>
          <w:i w:val="0"/>
          <w:u w:val="none"/>
        </w:rPr>
        <w:t>IV. Negotiation Roadmap</w:t>
      </w:r>
    </w:p>
    <w:p>
      <w:pPr>
        <w:spacing w:after="120" w:before="0"/>
        <w:jc w:val="both"/>
      </w:pPr>
      <w:r>
        <w:rPr>
          <w:b w:val="0"/>
          <w:i w:val="0"/>
          <w:u w:val="none"/>
        </w:rPr>
        <w:t>These points are non-negotiable because they are rating or perfection conditions: dual control (§§2–3), the absolute setoff waiver (§7), the Exclusive Control Notice mechanics (§5), Qualified Institution succession (§12), the 10 Business Day notice (§15) and the commingling prohibition (§4.4). Expected Sovereign pushback, with suggested fallbacks:</w:t>
      </w:r>
    </w:p>
    <w:p>
      <w:pPr>
        <w:spacing w:after="40" w:before="0"/>
        <w:ind w:left="360"/>
        <w:jc w:val="both"/>
      </w:pPr>
      <w:r>
        <w:rPr>
          <w:b w:val="0"/>
          <w:i w:val="0"/>
          <w:u w:val="none"/>
        </w:rPr>
        <w:t xml:space="preserve">• </w:t>
      </w:r>
      <w:r>
        <w:rPr>
          <w:b w:val="0"/>
          <w:i/>
          <w:u w:val="none"/>
        </w:rPr>
        <w:t>Liability cap:</w:t>
      </w:r>
      <w:r>
        <w:rPr>
          <w:b w:val="0"/>
          <w:i w:val="0"/>
          <w:u w:val="none"/>
        </w:rPr>
        <w:t xml:space="preserve"> fall back to $10 million and a gross-negligence general standard, while holding all carve-outs.</w:t>
      </w:r>
    </w:p>
    <w:p>
      <w:pPr>
        <w:spacing w:after="40" w:before="0"/>
        <w:ind w:left="360"/>
        <w:jc w:val="both"/>
      </w:pPr>
      <w:r>
        <w:rPr>
          <w:b w:val="0"/>
          <w:i w:val="0"/>
          <w:u w:val="none"/>
        </w:rPr>
        <w:t xml:space="preserve">• </w:t>
      </w:r>
      <w:r>
        <w:rPr>
          <w:b w:val="0"/>
          <w:i/>
          <w:u w:val="none"/>
        </w:rPr>
        <w:t>Exclusive Control Notice timing:</w:t>
      </w:r>
      <w:r>
        <w:rPr>
          <w:b w:val="0"/>
          <w:i w:val="0"/>
          <w:u w:val="none"/>
        </w:rPr>
        <w:t xml:space="preserve"> we can accept a one-Business-Day outside date for late-day receipt, but nothing longer.</w:t>
      </w:r>
    </w:p>
    <w:p>
      <w:pPr>
        <w:spacing w:after="40" w:before="0"/>
        <w:ind w:left="360"/>
        <w:jc w:val="both"/>
      </w:pPr>
      <w:r>
        <w:rPr>
          <w:b w:val="0"/>
          <w:i w:val="0"/>
          <w:u w:val="none"/>
        </w:rPr>
        <w:t xml:space="preserve">• </w:t>
      </w:r>
      <w:r>
        <w:rPr>
          <w:b w:val="0"/>
          <w:i/>
          <w:u w:val="none"/>
        </w:rPr>
        <w:t>Resignation backstop:</w:t>
      </w:r>
      <w:r>
        <w:rPr>
          <w:b w:val="0"/>
          <w:i w:val="0"/>
          <w:u w:val="none"/>
        </w:rPr>
        <w:t xml:space="preserve"> we can allow Sovereign to petition a court to appoint a Qualified Institution successor after 90 days. Effectiveness must still depend on the successor signing a replacement ACA.</w:t>
      </w:r>
    </w:p>
    <w:p>
      <w:pPr>
        <w:spacing w:after="40" w:before="0"/>
        <w:ind w:left="360"/>
        <w:jc w:val="both"/>
      </w:pPr>
      <w:r>
        <w:rPr>
          <w:b w:val="0"/>
          <w:i w:val="0"/>
          <w:u w:val="none"/>
        </w:rPr>
        <w:t xml:space="preserve">• </w:t>
      </w:r>
      <w:r>
        <w:rPr>
          <w:b w:val="0"/>
          <w:i/>
          <w:u w:val="none"/>
        </w:rPr>
        <w:t>Per-instruction fee:</w:t>
      </w:r>
      <w:r>
        <w:rPr>
          <w:b w:val="0"/>
          <w:i w:val="0"/>
          <w:u w:val="none"/>
        </w:rPr>
        <w:t xml:space="preserve"> request a waiver for routine investment rollovers and Transfer Date transfers.</w:t>
      </w:r>
    </w:p>
    <w:p>
      <w:pPr>
        <w:spacing w:after="120" w:before="80"/>
        <w:jc w:val="both"/>
      </w:pPr>
      <w:r>
        <w:rPr>
          <w:b w:val="0"/>
          <w:i w:val="0"/>
          <w:u w:val="none"/>
        </w:rPr>
        <w:t>Suggested timetable: your comments by Friday, April 4; circulate to Crestline and Sovereign’s counsel Monday, April 7; aim for an agreed form by April 9; send executed copies to Clearwater by April 11; close April 15. — D.R.P.</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