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PRIVILEGED &amp; CONFIDENTIAL | ATTORNEY WORK PRODUCT</w:t>
      </w:r>
    </w:p>
    <w:p>
      <w:r>
        <w:rPr>
          <w:b/>
          <w:color w:val="1F3A5F"/>
          <w:sz w:val="36"/>
        </w:rPr>
        <w:t>MEMORANDUM</w:t>
      </w:r>
    </w:p>
    <w:tbl>
      <w:tblPr>
        <w:tblStyle w:val="TableGrid"/>
        <w:tblW w:type="auto" w:w="0"/>
        <w:jc w:val="center"/>
        <w:tblLook w:firstColumn="1" w:firstRow="1" w:lastColumn="0" w:lastRow="0" w:noHBand="0" w:noVBand="1" w:val="04A0"/>
      </w:tblPr>
      <w:tblGrid>
        <w:gridCol w:w="4824"/>
        <w:gridCol w:w="4824"/>
      </w:tblGrid>
      <w:tr>
        <w:tc>
          <w:tcPr>
            <w:tcW w:type="dxa" w:w="1440"/>
          </w:tcPr>
          <w:p>
            <w:r/>
            <w:r>
              <w:rPr>
                <w:sz w:val="20"/>
              </w:rPr>
              <w:t>TO:</w:t>
            </w:r>
          </w:p>
        </w:tc>
        <w:tc>
          <w:tcPr>
            <w:tcW w:type="dxa" w:w="8208"/>
          </w:tcPr>
          <w:p>
            <w:r/>
            <w:r>
              <w:rPr>
                <w:sz w:val="20"/>
              </w:rPr>
              <w:t>Supervising Partner, Structured Finance &amp; Securitization</w:t>
            </w:r>
          </w:p>
        </w:tc>
      </w:tr>
      <w:tr>
        <w:tc>
          <w:tcPr>
            <w:tcW w:type="dxa" w:w="1440"/>
          </w:tcPr>
          <w:p>
            <w:r/>
            <w:r>
              <w:rPr>
                <w:sz w:val="20"/>
              </w:rPr>
              <w:t>FROM:</w:t>
            </w:r>
          </w:p>
        </w:tc>
        <w:tc>
          <w:tcPr>
            <w:tcW w:type="dxa" w:w="8208"/>
          </w:tcPr>
          <w:p>
            <w:r/>
            <w:r>
              <w:rPr>
                <w:sz w:val="20"/>
              </w:rPr>
              <w:t>Associate, Structured Finance &amp; Securitization</w:t>
            </w:r>
          </w:p>
        </w:tc>
      </w:tr>
      <w:tr>
        <w:tc>
          <w:tcPr>
            <w:tcW w:type="dxa" w:w="1440"/>
          </w:tcPr>
          <w:p>
            <w:r/>
            <w:r>
              <w:rPr>
                <w:sz w:val="20"/>
              </w:rPr>
              <w:t>DATE:</w:t>
            </w:r>
          </w:p>
        </w:tc>
        <w:tc>
          <w:tcPr>
            <w:tcW w:type="dxa" w:w="8208"/>
          </w:tcPr>
          <w:p>
            <w:r/>
            <w:r>
              <w:rPr>
                <w:sz w:val="20"/>
              </w:rPr>
              <w:t>October 16, 2026</w:t>
            </w:r>
          </w:p>
        </w:tc>
      </w:tr>
      <w:tr>
        <w:tc>
          <w:tcPr>
            <w:tcW w:type="dxa" w:w="1440"/>
          </w:tcPr>
          <w:p>
            <w:r/>
            <w:r>
              <w:rPr>
                <w:sz w:val="20"/>
              </w:rPr>
              <w:t>RE:</w:t>
            </w:r>
          </w:p>
        </w:tc>
        <w:tc>
          <w:tcPr>
            <w:tcW w:type="dxa" w:w="8208"/>
          </w:tcPr>
          <w:p>
            <w:r/>
            <w:r>
              <w:rPr>
                <w:sz w:val="20"/>
              </w:rPr>
              <w:t>Hawthorne Consumer Funding 2025-WH3, LLC: $350,000,000 Revolving Warehouse Credit Facility (Pinnacle Bank, N.A., Administrative Agent). Key Terms Extraction and Issues List: Term Sheet and Confidential Side Letter, each dated June 12, 2025</w:t>
            </w:r>
          </w:p>
        </w:tc>
      </w:tr>
    </w:tbl>
    <w:p>
      <w:pPr>
        <w:spacing w:after="40"/>
      </w:pPr>
    </w:p>
    <w:p>
      <w:pPr>
        <w:pStyle w:val="Heading1"/>
      </w:pPr>
      <w:r>
        <w:t>1. Executive Summary</w:t>
      </w:r>
    </w:p>
    <w:p>
      <w:pPr>
        <w:spacing w:after="80"/>
      </w:pPr>
      <w:r>
        <w:rPr>
          <w:i w:val="0"/>
        </w:rPr>
        <w:t>We reviewed (i) Pinnacle Bank, N.A.’s indicative term sheet dated June 12, 2025 for a $350,000,000 revolving warehouse credit facility to Hawthorne Consumer Funding 2025-WH3, LLC (the “Term Sheet” or “TS”) and (ii) the Confidential Side Letter of the same date from Pinnacle to Hawthorne Capital Management LLC (the “Side Letter” or “SL”). This memo (a) extracts all material terms (Part 3), (b) reconciles the Side Letter against the Term Sheet (Part 4), (c) checks the arithmetic and dates (Part 5), and (d) sets out 38 issues ranked by severity, with recommended responses (Part 6). Open items and next steps are in Part 7.</w:t>
      </w:r>
    </w:p>
    <w:p>
      <w:pPr>
        <w:spacing w:after="80"/>
      </w:pPr>
      <w:r>
        <w:rPr>
          <w:b/>
          <w:i w:val="0"/>
        </w:rPr>
        <w:t xml:space="preserve">Headline economics. </w:t>
      </w:r>
    </w:p>
    <w:p>
      <w:pPr>
        <w:pStyle w:val="ListBullet"/>
        <w:spacing w:after="40"/>
      </w:pPr>
      <w:r>
        <w:t>$350MM committed (Pinnacle $250MM / 71.43%; Ridgeline Capital Markets LLC $100MM / 28.57%), $150MM accordion (to $500MM). 24-month Revolving Period (to Aug. 15, 2027), 12-month Amortization Period, Stated Maturity Aug. 15, 2028.</w:t>
      </w:r>
    </w:p>
    <w:p>
      <w:pPr>
        <w:pStyle w:val="ListBullet"/>
        <w:spacing w:after="40"/>
      </w:pPr>
      <w:r>
        <w:t>Advance rate 85% (stepping down to 80% if 60+ day delinquencies exceed 4.50%). Pricing Daily SOFR (0.50% floor) + 10 bps CSA + 225 bps (all-in S+235) during the Revolving Period, stepping up to S+285 in amortization; +200 bps default rate; 50 bps unused fee; $3.0MM closing fees (0.75% upfront $2.625MM + $375K structuring); $150K p.a. agent fee; $150K p.a. back-up servicing fee; 1.50% servicing fee paid senior to interest.</w:t>
      </w:r>
    </w:p>
    <w:p>
      <w:pPr>
        <w:pStyle w:val="ListBullet"/>
        <w:spacing w:after="40"/>
      </w:pPr>
      <w:r>
        <w:t>Key credit terms: TNW ≥ $75MM; Debt/TNW ≤ 4.00x; Liquidity ≥ $25MM; 60+ DQ ≤ 6.00% (two consecutive dates); “Cumulative” Net Loss ≤ 12.00% annualized; Servicing Coverage Ratio left blank ([●]).</w:t>
      </w:r>
    </w:p>
    <w:p>
      <w:pPr>
        <w:spacing w:after="80"/>
      </w:pPr>
      <w:r>
        <w:rPr>
          <w:b/>
          <w:i w:val="0"/>
        </w:rPr>
        <w:t xml:space="preserve">Top issues requiring partner attention. </w:t>
      </w:r>
    </w:p>
    <w:p>
      <w:pPr>
        <w:pStyle w:val="ListBullet"/>
        <w:spacing w:after="40"/>
      </w:pPr>
      <w:r>
        <w:rPr>
          <w:b/>
        </w:rPr>
        <w:t>Critical: concealed side letter.</w:t>
      </w:r>
      <w:r>
        <w:t xml:space="preserve"> The Side Letter alters facility-wide terms (spread, revolving period, Events of Default) that bind or economically affect Ridgeline, a $100MM co-lender and Term Sheet signatory, yet must be kept confidential from Ridgeline. The Term Sheet even incorporates it by reference (Market Disruption Event). This raises enforceability, disclosure and lender-liability problems for all parties and must be resolved before definitive documents (Issue 1).</w:t>
      </w:r>
    </w:p>
    <w:p>
      <w:pPr>
        <w:pStyle w:val="ListBullet"/>
        <w:spacing w:after="40"/>
      </w:pPr>
      <w:r>
        <w:rPr>
          <w:b/>
        </w:rPr>
        <w:t>Critical: Market Disruption Event.</w:t>
      </w:r>
      <w:r>
        <w:t xml:space="preserve"> Pinnacle may, in its “sole and absolute discretion,” with no carve-outs and no right to contest, declare a market-wide MAC, cut the Revolving Period to as short as 18 months (Feb. 15, 2027), step pricing up 50 bps and switch off the MFL protection. In practice Hawthorne has an 18-month committed revolver, not 24 (Issue 2).</w:t>
      </w:r>
    </w:p>
    <w:p>
      <w:pPr>
        <w:pStyle w:val="ListBullet"/>
        <w:spacing w:after="40"/>
      </w:pPr>
      <w:r>
        <w:rPr>
          <w:b/>
        </w:rPr>
        <w:t>Critical: default cascade.</w:t>
      </w:r>
      <w:r>
        <w:t xml:space="preserve"> Because “Liquidity” counts unused availability under this facility, an MDE or advance-rate step-down can by itself push Hawthorne into breach of the $25MM “at all times” Liquidity covenant, an immediate Event of Default with no cure period, leading to acceleration, default interest and probable cross-defaults under Hawthorne’s other warehouses (Issue 3).</w:t>
      </w:r>
    </w:p>
    <w:p>
      <w:pPr>
        <w:pStyle w:val="ListBullet"/>
        <w:spacing w:after="40"/>
      </w:pPr>
      <w:r>
        <w:rPr>
          <w:b/>
        </w:rPr>
        <w:t>High: leverage covenant arithmetic.</w:t>
      </w:r>
      <w:r>
        <w:t xml:space="preserve"> At the $75MM TNW floor, the 4.00x leverage covenant permits only $300MM of total indebtedness, which is less than this facility alone fully drawn. Full use requires TNW of at least $87.5MM ($125MM with the accordion), before Hawthorne’s other warehouse debt. Hawthorne’s financials must be tested now (Issue 4).</w:t>
      </w:r>
    </w:p>
    <w:p>
      <w:pPr>
        <w:pStyle w:val="ListBullet"/>
        <w:spacing w:after="40"/>
      </w:pPr>
      <w:r>
        <w:rPr>
          <w:b/>
        </w:rPr>
        <w:t>High: mechanical defects.</w:t>
      </w:r>
      <w:r>
        <w:t xml:space="preserve"> There are several structural gaps: the Monthly Servicer Report is due after the Determination Date and the Payment Date it feeds; the waterfall’s $25K monthly senior-expense cap is smaller than the $37.5K quarterly agent fee; the “Amortization Schedule” is undefined and conflicts with full-turbo amortization; and a step-down to an 80% advance rate creates an immediate borrowing base deficiency of about $20.6MM with a two-business-day cure (Issues 5–8).</w:t>
      </w:r>
    </w:p>
    <w:p>
      <w:pPr>
        <w:pStyle w:val="ListBullet"/>
        <w:spacing w:after="40"/>
      </w:pPr>
      <w:r>
        <w:rPr>
          <w:b/>
        </w:rPr>
        <w:t>High: off-market lender protections.</w:t>
      </w:r>
      <w:r>
        <w:t xml:space="preserve"> The servicer-rating Event of Default (with “withdrawal” added by the Side Letter) is automatic and has no cure, even though Hawthorne sits at the minimum rating today. The ROFR covers every takeout through 2028. The cross-default is a hair-trigger. No intermediate early-amortization triggers exist. The MAC Event of Default is broad (Issues 9–14).</w:t>
      </w:r>
    </w:p>
    <w:p>
      <w:pPr>
        <w:pStyle w:val="Heading1"/>
      </w:pPr>
      <w:r>
        <w:t>2. Scope, Documents and Assumptions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744"/>
            <w:shd w:val="clear" w:color="auto" w:fill="1F3A5F"/>
          </w:tcPr>
          <w:p>
            <w:r/>
            <w:r>
              <w:rPr>
                <w:b/>
                <w:color w:val="FFFFFF"/>
                <w:sz w:val="18"/>
              </w:rPr>
              <w:t>Document</w:t>
            </w:r>
          </w:p>
        </w:tc>
        <w:tc>
          <w:tcPr>
            <w:tcW w:type="dxa" w:w="3312"/>
            <w:shd w:val="clear" w:color="auto" w:fill="1F3A5F"/>
          </w:tcPr>
          <w:p>
            <w:r/>
            <w:r>
              <w:rPr>
                <w:b/>
                <w:color w:val="FFFFFF"/>
                <w:sz w:val="18"/>
              </w:rPr>
              <w:t>Date / Parties</w:t>
            </w:r>
          </w:p>
        </w:tc>
        <w:tc>
          <w:tcPr>
            <w:tcW w:type="dxa" w:w="2592"/>
            <w:shd w:val="clear" w:color="auto" w:fill="1F3A5F"/>
          </w:tcPr>
          <w:p>
            <w:r/>
            <w:r>
              <w:rPr>
                <w:b/>
                <w:color w:val="FFFFFF"/>
                <w:sz w:val="18"/>
              </w:rPr>
              <w:t>Signatories</w:t>
            </w:r>
          </w:p>
        </w:tc>
      </w:tr>
      <w:tr>
        <w:tc>
          <w:tcPr>
            <w:tcW w:type="dxa" w:w="3744"/>
          </w:tcPr>
          <w:p>
            <w:r/>
            <w:r>
              <w:rPr>
                <w:sz w:val="18"/>
              </w:rPr>
              <w:t>Term Sheet: Proposed Revolving Warehouse Credit Facility, $350,000,000 (non-binding; expires unless accepted by July 15, 2025)</w:t>
            </w:r>
          </w:p>
        </w:tc>
        <w:tc>
          <w:tcPr>
            <w:tcW w:type="dxa" w:w="3312"/>
          </w:tcPr>
          <w:p>
            <w:r/>
            <w:r>
              <w:rPr>
                <w:sz w:val="18"/>
              </w:rPr>
              <w:t>June 12, 2025; from Pinnacle Bank, N.A. (Structured Finance Group) to Diane Prescott, CEO, Hawthorne Capital Management LLC</w:t>
            </w:r>
          </w:p>
        </w:tc>
        <w:tc>
          <w:tcPr>
            <w:tcW w:type="dxa" w:w="2592"/>
          </w:tcPr>
          <w:p>
            <w:r/>
            <w:r>
              <w:rPr>
                <w:sz w:val="18"/>
              </w:rPr>
              <w:t>Pinnacle (David Hargrove, MD); Hawthorne (Diane Prescott, CEO); Ridgeline Capital Markets LLC (signatory blank)</w:t>
            </w:r>
          </w:p>
        </w:tc>
      </w:tr>
      <w:tr>
        <w:tc>
          <w:tcPr>
            <w:tcW w:type="dxa" w:w="3744"/>
          </w:tcPr>
          <w:p>
            <w:r/>
            <w:r>
              <w:rPr>
                <w:sz w:val="18"/>
              </w:rPr>
              <w:t>Confidential Side Letter to Term Sheet (non-binding; “Confidential – Not for Distribution”)</w:t>
            </w:r>
          </w:p>
        </w:tc>
        <w:tc>
          <w:tcPr>
            <w:tcW w:type="dxa" w:w="3312"/>
          </w:tcPr>
          <w:p>
            <w:r/>
            <w:r>
              <w:rPr>
                <w:sz w:val="18"/>
              </w:rPr>
              <w:t>June 12, 2025; from Pinnacle to Hawthorne, Attn: Natalie Fong, General Counsel</w:t>
            </w:r>
          </w:p>
        </w:tc>
        <w:tc>
          <w:tcPr>
            <w:tcW w:type="dxa" w:w="2592"/>
          </w:tcPr>
          <w:p>
            <w:r/>
            <w:r>
              <w:rPr>
                <w:sz w:val="18"/>
              </w:rPr>
              <w:t>Pinnacle (David Hargrove, MD); Hawthorne (Natalie Fong, GC; pre-dated June 12, 2025). Ridgeline and the SPV are not parties</w:t>
            </w:r>
          </w:p>
        </w:tc>
      </w:tr>
    </w:tbl>
    <w:p>
      <w:pPr>
        <w:spacing w:after="40"/>
      </w:pPr>
    </w:p>
    <w:p>
      <w:pPr>
        <w:pStyle w:val="ListBullet"/>
        <w:spacing w:after="40"/>
      </w:pPr>
      <w:r>
        <w:t>Perspective. We have assumed we are advising on behalf of Hawthorne (Sponsor/Servicer) and the to-be-formed SPV Borrower, the parties to whom both documents are addressed. Because several issues mainly concern the Lenders or Ridgeline and will come up in negotiation or affect enforceability, each issue identifies the party it principally affects.</w:t>
      </w:r>
    </w:p>
    <w:p>
      <w:pPr>
        <w:pStyle w:val="ListBullet"/>
        <w:spacing w:after="40"/>
      </w:pPr>
      <w:r>
        <w:t>We have not reviewed definitive documentation (Credit Agreement, Servicing Agreement, RPA, Indenture, Account Control Agreements), Hawthorne’s underwriting guidelines, financial statements, other warehouse facilities, its ownership structure, or the Aldersgate rating report. Conclusions that depend on those materials are flagged as open items.</w:t>
      </w:r>
    </w:p>
    <w:p>
      <w:pPr>
        <w:pStyle w:val="ListBullet"/>
        <w:spacing w:after="40"/>
      </w:pPr>
      <w:r>
        <w:t>Severity scale: Critical: deal-defining risk or a legal/enforceability defect that must be resolved before signing. High: material economic or default risk, or a drafting defect that will not work as written. Medium: should be negotiated or clarified in definitive documents. Low: clean-up or conforming points.</w:t>
      </w:r>
    </w:p>
    <w:p>
      <w:pPr>
        <w:pStyle w:val="ListBullet"/>
        <w:spacing w:after="40"/>
      </w:pPr>
      <w:r>
        <w:t>Timing. Both documents run off an expected Closing Date of Aug. 15, 2025 and a July 15, 2025 acceptance deadline. As of the date of this memo those dates have passed. We have analyzed the documents on their own terms, and Issue 34 addresses the need to confirm status and re-base hard-coded dates.</w:t>
      </w:r>
    </w:p>
    <w:p>
      <w:pPr>
        <w:pStyle w:val="Heading1"/>
      </w:pPr>
      <w:r>
        <w:t>3. Key Terms Extraction</w:t>
      </w:r>
    </w:p>
    <w:p>
      <w:pPr>
        <w:spacing w:after="80"/>
      </w:pPr>
      <w:r>
        <w:rPr>
          <w:i/>
        </w:rPr>
        <w:t>Terms are as stated in the Term Sheet unless noted; “SL” denotes a Side Letter modification or supplement (Side Letter controls in a conflict, SL §1 and §7). Cross-references to issues in Part 6 are shown as “→ Issue n”.</w:t>
      </w:r>
    </w:p>
    <w:p>
      <w:pPr>
        <w:pStyle w:val="Heading2"/>
      </w:pPr>
      <w:r>
        <w:t>3.1 Parties and Roles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Borrower (SPV)</w:t>
            </w:r>
          </w:p>
        </w:tc>
        <w:tc>
          <w:tcPr>
            <w:tcW w:type="dxa" w:w="6264"/>
          </w:tcPr>
          <w:p>
            <w:r/>
            <w:r>
              <w:rPr>
                <w:sz w:val="18"/>
              </w:rPr>
              <w:t>Hawthorne Consumer Funding 2025-WH3, LLC, a to-be-formed Delaware LLC that will be bankruptcy-remote and wholly owned by Hawthorne. It may hold no assets other than receivables and collections and no liabilities other than under the facility, and is subject to customary separateness covenants and an independent director. It is treated as a disregarded entity for U.S. federal income tax purposes. Not a signatory to either document.</w:t>
            </w:r>
          </w:p>
        </w:tc>
        <w:tc>
          <w:tcPr>
            <w:tcW w:type="dxa" w:w="1296"/>
          </w:tcPr>
          <w:p>
            <w:r/>
            <w:r>
              <w:rPr>
                <w:sz w:val="18"/>
              </w:rPr>
              <w:t>TS §I, §II</w:t>
            </w:r>
          </w:p>
        </w:tc>
      </w:tr>
      <w:tr>
        <w:tc>
          <w:tcPr>
            <w:tcW w:type="dxa" w:w="2088"/>
          </w:tcPr>
          <w:p>
            <w:r/>
            <w:r>
              <w:rPr>
                <w:sz w:val="18"/>
              </w:rPr>
              <w:t>Sponsor / Equity Holder / Originator</w:t>
            </w:r>
          </w:p>
        </w:tc>
        <w:tc>
          <w:tcPr>
            <w:tcW w:type="dxa" w:w="6264"/>
          </w:tcPr>
          <w:p>
            <w:r/>
            <w:r>
              <w:rPr>
                <w:sz w:val="18"/>
              </w:rPr>
              <w:t>Hawthorne Capital Management LLC (Delaware; Charlotte, NC), a specialty finance company originating unsecured consumer installment loans (24–60 months; $2,500–$35,000; near-prime FICO 620–680). Originates about $1.2 billion a year. Rated “Adequate Servicer” by Aldersgate Ratings Agency. Licensed in 42 states + DC.</w:t>
            </w:r>
          </w:p>
        </w:tc>
        <w:tc>
          <w:tcPr>
            <w:tcW w:type="dxa" w:w="1296"/>
          </w:tcPr>
          <w:p>
            <w:r/>
            <w:r>
              <w:rPr>
                <w:sz w:val="18"/>
              </w:rPr>
              <w:t>TS §I, §IX.3</w:t>
            </w:r>
          </w:p>
        </w:tc>
      </w:tr>
      <w:tr>
        <w:tc>
          <w:tcPr>
            <w:tcW w:type="dxa" w:w="2088"/>
          </w:tcPr>
          <w:p>
            <w:r/>
            <w:r>
              <w:rPr>
                <w:sz w:val="18"/>
              </w:rPr>
              <w:t>Servicer</w:t>
            </w:r>
          </w:p>
        </w:tc>
        <w:tc>
          <w:tcPr>
            <w:tcW w:type="dxa" w:w="6264"/>
          </w:tcPr>
          <w:p>
            <w:r/>
            <w:r>
              <w:rPr>
                <w:sz w:val="18"/>
              </w:rPr>
              <w:t>Hawthorne (servicing fee 1.50% p.a.)</w:t>
            </w:r>
          </w:p>
        </w:tc>
        <w:tc>
          <w:tcPr>
            <w:tcW w:type="dxa" w:w="1296"/>
          </w:tcPr>
          <w:p>
            <w:r/>
            <w:r>
              <w:rPr>
                <w:sz w:val="18"/>
              </w:rPr>
              <w:t>TS §I, §XV</w:t>
            </w:r>
          </w:p>
        </w:tc>
      </w:tr>
      <w:tr>
        <w:tc>
          <w:tcPr>
            <w:tcW w:type="dxa" w:w="2088"/>
          </w:tcPr>
          <w:p>
            <w:r/>
            <w:r>
              <w:rPr>
                <w:sz w:val="18"/>
              </w:rPr>
              <w:t>Back-Up Servicer</w:t>
            </w:r>
          </w:p>
        </w:tc>
        <w:tc>
          <w:tcPr>
            <w:tcW w:type="dxa" w:w="6264"/>
          </w:tcPr>
          <w:p>
            <w:r/>
            <w:r>
              <w:rPr>
                <w:sz w:val="18"/>
              </w:rPr>
              <w:t>Graystone Servicing Solutions LLC (Dallas, TX), to be appointed within 90 days of Closing (by Nov. 13, 2025). Fee $12,500/month.</w:t>
            </w:r>
          </w:p>
        </w:tc>
        <w:tc>
          <w:tcPr>
            <w:tcW w:type="dxa" w:w="1296"/>
          </w:tcPr>
          <w:p>
            <w:r/>
            <w:r>
              <w:rPr>
                <w:sz w:val="18"/>
              </w:rPr>
              <w:t>TS §I, §IX.9, §XV</w:t>
            </w:r>
          </w:p>
        </w:tc>
      </w:tr>
      <w:tr>
        <w:tc>
          <w:tcPr>
            <w:tcW w:type="dxa" w:w="2088"/>
          </w:tcPr>
          <w:p>
            <w:r/>
            <w:r>
              <w:rPr>
                <w:sz w:val="18"/>
              </w:rPr>
              <w:t>Administrative Agent / Lead Arranger</w:t>
            </w:r>
          </w:p>
        </w:tc>
        <w:tc>
          <w:tcPr>
            <w:tcW w:type="dxa" w:w="6264"/>
          </w:tcPr>
          <w:p>
            <w:r/>
            <w:r>
              <w:rPr>
                <w:sz w:val="18"/>
              </w:rPr>
              <w:t>Pinnacle Bank, N.A. (Minneapolis). Contact: David Hargrove, MD, Structured Finance.</w:t>
            </w:r>
          </w:p>
        </w:tc>
        <w:tc>
          <w:tcPr>
            <w:tcW w:type="dxa" w:w="1296"/>
          </w:tcPr>
          <w:p>
            <w:r/>
            <w:r>
              <w:rPr>
                <w:sz w:val="18"/>
              </w:rPr>
              <w:t>TS §I</w:t>
            </w:r>
          </w:p>
        </w:tc>
      </w:tr>
      <w:tr>
        <w:tc>
          <w:tcPr>
            <w:tcW w:type="dxa" w:w="2088"/>
          </w:tcPr>
          <w:p>
            <w:r/>
            <w:r>
              <w:rPr>
                <w:sz w:val="18"/>
              </w:rPr>
              <w:t>Syndication Agent / Co-Lender</w:t>
            </w:r>
          </w:p>
        </w:tc>
        <w:tc>
          <w:tcPr>
            <w:tcW w:type="dxa" w:w="6264"/>
          </w:tcPr>
          <w:p>
            <w:r/>
            <w:r>
              <w:rPr>
                <w:sz w:val="18"/>
              </w:rPr>
              <w:t>Ridgeline Capital Markets LLC (Chicago)</w:t>
            </w:r>
          </w:p>
        </w:tc>
        <w:tc>
          <w:tcPr>
            <w:tcW w:type="dxa" w:w="1296"/>
          </w:tcPr>
          <w:p>
            <w:r/>
            <w:r>
              <w:rPr>
                <w:sz w:val="18"/>
              </w:rPr>
              <w:t>TS §I; SL §1</w:t>
            </w:r>
          </w:p>
        </w:tc>
      </w:tr>
      <w:tr>
        <w:tc>
          <w:tcPr>
            <w:tcW w:type="dxa" w:w="2088"/>
          </w:tcPr>
          <w:p>
            <w:r/>
            <w:r>
              <w:rPr>
                <w:sz w:val="18"/>
              </w:rPr>
              <w:t>Commitments</w:t>
            </w:r>
          </w:p>
        </w:tc>
        <w:tc>
          <w:tcPr>
            <w:tcW w:type="dxa" w:w="6264"/>
          </w:tcPr>
          <w:p>
            <w:r/>
            <w:r>
              <w:rPr>
                <w:sz w:val="18"/>
              </w:rPr>
              <w:t>Pinnacle $250,000,000 (71.43%); Ridgeline $100,000,000 (28.57%); total $350,000,000</w:t>
            </w:r>
          </w:p>
        </w:tc>
        <w:tc>
          <w:tcPr>
            <w:tcW w:type="dxa" w:w="1296"/>
          </w:tcPr>
          <w:p>
            <w:r/>
            <w:r>
              <w:rPr>
                <w:sz w:val="18"/>
              </w:rPr>
              <w:t>TS §I, §II</w:t>
            </w:r>
          </w:p>
        </w:tc>
      </w:tr>
      <w:tr>
        <w:tc>
          <w:tcPr>
            <w:tcW w:type="dxa" w:w="2088"/>
          </w:tcPr>
          <w:p>
            <w:r/>
            <w:r>
              <w:rPr>
                <w:sz w:val="18"/>
              </w:rPr>
              <w:t>Indenture Trustee / Account Bank</w:t>
            </w:r>
          </w:p>
        </w:tc>
        <w:tc>
          <w:tcPr>
            <w:tcW w:type="dxa" w:w="6264"/>
          </w:tcPr>
          <w:p>
            <w:r/>
            <w:r>
              <w:rPr>
                <w:sz w:val="18"/>
              </w:rPr>
              <w:t>Northbridge Trust Company (New York): Collection, Reserve and Principal Accounts</w:t>
            </w:r>
          </w:p>
        </w:tc>
        <w:tc>
          <w:tcPr>
            <w:tcW w:type="dxa" w:w="1296"/>
          </w:tcPr>
          <w:p>
            <w:r/>
            <w:r>
              <w:rPr>
                <w:sz w:val="18"/>
              </w:rPr>
              <w:t>TS §I, §XIV</w:t>
            </w:r>
          </w:p>
        </w:tc>
      </w:tr>
      <w:tr>
        <w:tc>
          <w:tcPr>
            <w:tcW w:type="dxa" w:w="2088"/>
          </w:tcPr>
          <w:p>
            <w:r/>
            <w:r>
              <w:rPr>
                <w:sz w:val="18"/>
              </w:rPr>
              <w:t>Borrower’s counsel</w:t>
            </w:r>
          </w:p>
        </w:tc>
        <w:tc>
          <w:tcPr>
            <w:tcW w:type="dxa" w:w="6264"/>
          </w:tcPr>
          <w:p>
            <w:r/>
            <w:r>
              <w:rPr>
                <w:sz w:val="18"/>
              </w:rPr>
              <w:t>“Cromdale Consulting, Aldrich &amp; Stone LLP” (Charlotte), Jonathan Aldrich (→ Issue 35)</w:t>
            </w:r>
          </w:p>
        </w:tc>
        <w:tc>
          <w:tcPr>
            <w:tcW w:type="dxa" w:w="1296"/>
          </w:tcPr>
          <w:p>
            <w:r/>
            <w:r>
              <w:rPr>
                <w:sz w:val="18"/>
              </w:rPr>
              <w:t>TS §I</w:t>
            </w:r>
          </w:p>
        </w:tc>
      </w:tr>
      <w:tr>
        <w:tc>
          <w:tcPr>
            <w:tcW w:type="dxa" w:w="2088"/>
          </w:tcPr>
          <w:p>
            <w:r/>
            <w:r>
              <w:rPr>
                <w:sz w:val="18"/>
              </w:rPr>
              <w:t>Agent’s counsel</w:t>
            </w:r>
          </w:p>
        </w:tc>
        <w:tc>
          <w:tcPr>
            <w:tcW w:type="dxa" w:w="6264"/>
          </w:tcPr>
          <w:p>
            <w:r/>
            <w:r>
              <w:rPr>
                <w:sz w:val="18"/>
              </w:rPr>
              <w:t>Bramwell &amp; Locke LLP (Minneapolis), Gregory Locke, who will prepare the definitive documents</w:t>
            </w:r>
          </w:p>
        </w:tc>
        <w:tc>
          <w:tcPr>
            <w:tcW w:type="dxa" w:w="1296"/>
          </w:tcPr>
          <w:p>
            <w:r/>
            <w:r>
              <w:rPr>
                <w:sz w:val="18"/>
              </w:rPr>
              <w:t>TS Intro, §I</w:t>
            </w:r>
          </w:p>
        </w:tc>
      </w:tr>
      <w:tr>
        <w:tc>
          <w:tcPr>
            <w:tcW w:type="dxa" w:w="2088"/>
          </w:tcPr>
          <w:p>
            <w:r/>
            <w:r>
              <w:rPr>
                <w:sz w:val="18"/>
              </w:rPr>
              <w:t>Hawthorne officers</w:t>
            </w:r>
          </w:p>
        </w:tc>
        <w:tc>
          <w:tcPr>
            <w:tcW w:type="dxa" w:w="6264"/>
          </w:tcPr>
          <w:p>
            <w:r/>
            <w:r>
              <w:rPr>
                <w:sz w:val="18"/>
              </w:rPr>
              <w:t>Diane Prescott (CEO), Marcus Yuen (CFO), Natalie Fong (GC)</w:t>
            </w:r>
          </w:p>
        </w:tc>
        <w:tc>
          <w:tcPr>
            <w:tcW w:type="dxa" w:w="1296"/>
          </w:tcPr>
          <w:p>
            <w:r/>
            <w:r>
              <w:rPr>
                <w:sz w:val="18"/>
              </w:rPr>
              <w:t>TS §XII.2, §XIII.7; SL</w:t>
            </w:r>
          </w:p>
        </w:tc>
      </w:tr>
    </w:tbl>
    <w:p>
      <w:pPr>
        <w:spacing w:after="40"/>
      </w:pPr>
    </w:p>
    <w:p>
      <w:pPr>
        <w:pStyle w:val="Heading2"/>
      </w:pPr>
      <w:r>
        <w:t>3.2 Facility Structure and Timeline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Facility type</w:t>
            </w:r>
          </w:p>
        </w:tc>
        <w:tc>
          <w:tcPr>
            <w:tcW w:type="dxa" w:w="6264"/>
          </w:tcPr>
          <w:p>
            <w:r/>
            <w:r>
              <w:rPr>
                <w:sz w:val="18"/>
              </w:rPr>
              <w:t>Committed revolving warehouse facility structured as an asset-backed borrowing base facility. Funds ongoing originations of eligible unsecured consumer installment loans pending securitization or other takeout.</w:t>
            </w:r>
          </w:p>
        </w:tc>
        <w:tc>
          <w:tcPr>
            <w:tcW w:type="dxa" w:w="1296"/>
          </w:tcPr>
          <w:p>
            <w:r/>
            <w:r>
              <w:rPr>
                <w:sz w:val="18"/>
              </w:rPr>
              <w:t>TS Intro, §II</w:t>
            </w:r>
          </w:p>
        </w:tc>
      </w:tr>
      <w:tr>
        <w:tc>
          <w:tcPr>
            <w:tcW w:type="dxa" w:w="2088"/>
          </w:tcPr>
          <w:p>
            <w:r/>
            <w:r>
              <w:rPr>
                <w:sz w:val="18"/>
              </w:rPr>
              <w:t>Facility size / Accordion</w:t>
            </w:r>
          </w:p>
        </w:tc>
        <w:tc>
          <w:tcPr>
            <w:tcW w:type="dxa" w:w="6264"/>
          </w:tcPr>
          <w:p>
            <w:r/>
            <w:r>
              <w:rPr>
                <w:sz w:val="18"/>
              </w:rPr>
              <w:t>$350MM. Accordion of up to $150MM of additional commitments (max $500MM), subject to Agent consent and customary conditions. New lenders must be Agent-approved. No accordion pricing or fee terms are given.</w:t>
            </w:r>
          </w:p>
        </w:tc>
        <w:tc>
          <w:tcPr>
            <w:tcW w:type="dxa" w:w="1296"/>
          </w:tcPr>
          <w:p>
            <w:r/>
            <w:r>
              <w:rPr>
                <w:sz w:val="18"/>
              </w:rPr>
              <w:t>TS §II</w:t>
            </w:r>
          </w:p>
        </w:tc>
      </w:tr>
      <w:tr>
        <w:tc>
          <w:tcPr>
            <w:tcW w:type="dxa" w:w="2088"/>
          </w:tcPr>
          <w:p>
            <w:r/>
            <w:r>
              <w:rPr>
                <w:sz w:val="18"/>
              </w:rPr>
              <w:t>Collateral</w:t>
            </w:r>
          </w:p>
        </w:tc>
        <w:tc>
          <w:tcPr>
            <w:tcW w:type="dxa" w:w="6264"/>
          </w:tcPr>
          <w:p>
            <w:r/>
            <w:r>
              <w:rPr>
                <w:sz w:val="18"/>
              </w:rPr>
              <w:t>First-priority perfected security interest in all SPV assets: (a) receivables, (b) collections, (c) all SPV accounts (Collection, Reserve, Principal), (d) rights under the Receivables Purchase Agreement, (e) proceeds</w:t>
            </w:r>
          </w:p>
        </w:tc>
        <w:tc>
          <w:tcPr>
            <w:tcW w:type="dxa" w:w="1296"/>
          </w:tcPr>
          <w:p>
            <w:r/>
            <w:r>
              <w:rPr>
                <w:sz w:val="18"/>
              </w:rPr>
              <w:t>TS §II, §VIII.13</w:t>
            </w:r>
          </w:p>
        </w:tc>
      </w:tr>
      <w:tr>
        <w:tc>
          <w:tcPr>
            <w:tcW w:type="dxa" w:w="2088"/>
          </w:tcPr>
          <w:p>
            <w:r/>
            <w:r>
              <w:rPr>
                <w:sz w:val="18"/>
              </w:rPr>
              <w:t>Closing Date</w:t>
            </w:r>
          </w:p>
        </w:tc>
        <w:tc>
          <w:tcPr>
            <w:tcW w:type="dxa" w:w="6264"/>
          </w:tcPr>
          <w:p>
            <w:r/>
            <w:r>
              <w:rPr>
                <w:sz w:val="18"/>
              </w:rPr>
              <w:t>Expected on or about Aug. 15, 2025, subject to CPs</w:t>
            </w:r>
          </w:p>
        </w:tc>
        <w:tc>
          <w:tcPr>
            <w:tcW w:type="dxa" w:w="1296"/>
          </w:tcPr>
          <w:p>
            <w:r/>
            <w:r>
              <w:rPr>
                <w:sz w:val="18"/>
              </w:rPr>
              <w:t>TS §II; SL §1</w:t>
            </w:r>
          </w:p>
        </w:tc>
      </w:tr>
      <w:tr>
        <w:tc>
          <w:tcPr>
            <w:tcW w:type="dxa" w:w="2088"/>
          </w:tcPr>
          <w:p>
            <w:r/>
            <w:r>
              <w:rPr>
                <w:sz w:val="18"/>
              </w:rPr>
              <w:t>Revolving Period</w:t>
            </w:r>
          </w:p>
        </w:tc>
        <w:tc>
          <w:tcPr>
            <w:tcW w:type="dxa" w:w="6264"/>
          </w:tcPr>
          <w:p>
            <w:r/>
            <w:r>
              <w:rPr>
                <w:sz w:val="18"/>
              </w:rPr>
              <w:t>24 months: Aug. 15, 2025 to Aug. 15, 2027. Borrow, repay and reborrow subject to the borrowing base. SL: may be terminated early on a Market Disruption Event, effective no earlier than Feb. 15, 2027.</w:t>
            </w:r>
          </w:p>
        </w:tc>
        <w:tc>
          <w:tcPr>
            <w:tcW w:type="dxa" w:w="1296"/>
          </w:tcPr>
          <w:p>
            <w:r/>
            <w:r>
              <w:rPr>
                <w:sz w:val="18"/>
              </w:rPr>
              <w:t>TS §II; SL §1, §3</w:t>
            </w:r>
          </w:p>
        </w:tc>
      </w:tr>
      <w:tr>
        <w:tc>
          <w:tcPr>
            <w:tcW w:type="dxa" w:w="2088"/>
          </w:tcPr>
          <w:p>
            <w:r/>
            <w:r>
              <w:rPr>
                <w:sz w:val="18"/>
              </w:rPr>
              <w:t>Amortization Period</w:t>
            </w:r>
          </w:p>
        </w:tc>
        <w:tc>
          <w:tcPr>
            <w:tcW w:type="dxa" w:w="6264"/>
          </w:tcPr>
          <w:p>
            <w:r/>
            <w:r>
              <w:rPr>
                <w:sz w:val="18"/>
              </w:rPr>
              <w:t>12 months: Aug. 15, 2027 to Aug. 15, 2028. No new advances; “all collections” applied to repay advances per the priority of payments.</w:t>
            </w:r>
          </w:p>
        </w:tc>
        <w:tc>
          <w:tcPr>
            <w:tcW w:type="dxa" w:w="1296"/>
          </w:tcPr>
          <w:p>
            <w:r/>
            <w:r>
              <w:rPr>
                <w:sz w:val="18"/>
              </w:rPr>
              <w:t>TS §II</w:t>
            </w:r>
          </w:p>
        </w:tc>
      </w:tr>
      <w:tr>
        <w:tc>
          <w:tcPr>
            <w:tcW w:type="dxa" w:w="2088"/>
          </w:tcPr>
          <w:p>
            <w:r/>
            <w:r>
              <w:rPr>
                <w:sz w:val="18"/>
              </w:rPr>
              <w:t>Stated Maturity</w:t>
            </w:r>
          </w:p>
        </w:tc>
        <w:tc>
          <w:tcPr>
            <w:tcW w:type="dxa" w:w="6264"/>
          </w:tcPr>
          <w:p>
            <w:r/>
            <w:r>
              <w:rPr>
                <w:sz w:val="18"/>
              </w:rPr>
              <w:t>Aug. 15, 2028</w:t>
            </w:r>
          </w:p>
        </w:tc>
        <w:tc>
          <w:tcPr>
            <w:tcW w:type="dxa" w:w="1296"/>
          </w:tcPr>
          <w:p>
            <w:r/>
            <w:r>
              <w:rPr>
                <w:sz w:val="18"/>
              </w:rPr>
              <w:t>TS §II; SL §1</w:t>
            </w:r>
          </w:p>
        </w:tc>
      </w:tr>
      <w:tr>
        <w:tc>
          <w:tcPr>
            <w:tcW w:type="dxa" w:w="2088"/>
          </w:tcPr>
          <w:p>
            <w:r/>
            <w:r>
              <w:rPr>
                <w:sz w:val="18"/>
              </w:rPr>
              <w:t>Early Amortization</w:t>
            </w:r>
          </w:p>
        </w:tc>
        <w:tc>
          <w:tcPr>
            <w:tcW w:type="dxa" w:w="6264"/>
          </w:tcPr>
          <w:p>
            <w:r/>
            <w:r>
              <w:rPr>
                <w:sz w:val="18"/>
              </w:rPr>
              <w:t>Triggered by (a) an Event of Default, (b) a Market Disruption Event (defined only in the SL), or (c) an “Early Amortization Trigger Event (including performance triggers described below)”. No separate trigger is defined (→ Issue 12).</w:t>
            </w:r>
          </w:p>
        </w:tc>
        <w:tc>
          <w:tcPr>
            <w:tcW w:type="dxa" w:w="1296"/>
          </w:tcPr>
          <w:p>
            <w:r/>
            <w:r>
              <w:rPr>
                <w:sz w:val="18"/>
              </w:rPr>
              <w:t>TS §II; SL §3</w:t>
            </w:r>
          </w:p>
        </w:tc>
      </w:tr>
      <w:tr>
        <w:tc>
          <w:tcPr>
            <w:tcW w:type="dxa" w:w="2088"/>
          </w:tcPr>
          <w:p>
            <w:r/>
            <w:r>
              <w:rPr>
                <w:sz w:val="18"/>
              </w:rPr>
              <w:t>Acceptance deadline</w:t>
            </w:r>
          </w:p>
        </w:tc>
        <w:tc>
          <w:tcPr>
            <w:tcW w:type="dxa" w:w="6264"/>
          </w:tcPr>
          <w:p>
            <w:r/>
            <w:r>
              <w:rPr>
                <w:sz w:val="18"/>
              </w:rPr>
              <w:t>Term Sheet expires unless accepted by Hawthorne by July 15, 2025</w:t>
            </w:r>
          </w:p>
        </w:tc>
        <w:tc>
          <w:tcPr>
            <w:tcW w:type="dxa" w:w="1296"/>
          </w:tcPr>
          <w:p>
            <w:r/>
            <w:r>
              <w:rPr>
                <w:sz w:val="18"/>
              </w:rPr>
              <w:t>TS Intro, §XVIII</w:t>
            </w:r>
          </w:p>
        </w:tc>
      </w:tr>
      <w:tr>
        <w:tc>
          <w:tcPr>
            <w:tcW w:type="dxa" w:w="2088"/>
          </w:tcPr>
          <w:p>
            <w:r/>
            <w:r>
              <w:rPr>
                <w:sz w:val="18"/>
              </w:rPr>
              <w:t>Binding effect</w:t>
            </w:r>
          </w:p>
        </w:tc>
        <w:tc>
          <w:tcPr>
            <w:tcW w:type="dxa" w:w="6264"/>
          </w:tcPr>
          <w:p>
            <w:r/>
            <w:r>
              <w:rPr>
                <w:sz w:val="18"/>
              </w:rPr>
              <w:t>Both documents non-binding. No commitment until definitive docs are executed. Subject to diligence, credit and risk committee approval. Definitive documents will supersede the TS.</w:t>
            </w:r>
          </w:p>
        </w:tc>
        <w:tc>
          <w:tcPr>
            <w:tcW w:type="dxa" w:w="1296"/>
          </w:tcPr>
          <w:p>
            <w:r/>
            <w:r>
              <w:rPr>
                <w:sz w:val="18"/>
              </w:rPr>
              <w:t>TS Intro, §XVII; SL §7</w:t>
            </w:r>
          </w:p>
        </w:tc>
      </w:tr>
    </w:tbl>
    <w:p>
      <w:pPr>
        <w:spacing w:after="40"/>
      </w:pPr>
    </w:p>
    <w:p>
      <w:pPr>
        <w:pStyle w:val="Heading2"/>
      </w:pPr>
      <w:r>
        <w:t>3.3 Borrowing Base and Advances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Borrowing Base</w:t>
            </w:r>
          </w:p>
        </w:tc>
        <w:tc>
          <w:tcPr>
            <w:tcW w:type="dxa" w:w="6264"/>
          </w:tcPr>
          <w:p>
            <w:r/>
            <w:r>
              <w:rPr>
                <w:sz w:val="18"/>
              </w:rPr>
              <w:t>Advance Rate × aggregate Eligible Receivable Balance</w:t>
            </w:r>
          </w:p>
        </w:tc>
        <w:tc>
          <w:tcPr>
            <w:tcW w:type="dxa" w:w="1296"/>
          </w:tcPr>
          <w:p>
            <w:r/>
            <w:r>
              <w:rPr>
                <w:sz w:val="18"/>
              </w:rPr>
              <w:t>TS §III</w:t>
            </w:r>
          </w:p>
        </w:tc>
      </w:tr>
      <w:tr>
        <w:tc>
          <w:tcPr>
            <w:tcW w:type="dxa" w:w="2088"/>
          </w:tcPr>
          <w:p>
            <w:r/>
            <w:r>
              <w:rPr>
                <w:sz w:val="18"/>
              </w:rPr>
              <w:t>Advance Rate</w:t>
            </w:r>
          </w:p>
        </w:tc>
        <w:tc>
          <w:tcPr>
            <w:tcW w:type="dxa" w:w="6264"/>
          </w:tcPr>
          <w:p>
            <w:r/>
            <w:r>
              <w:rPr>
                <w:sz w:val="18"/>
              </w:rPr>
              <w:t>85% during the Revolving Period. Dynamic step-down to 80% if the 60+ Day Delinquency Ratio exceeds 4.50% on any determination date. Restored once it falls below 4.50% for two consecutive determination dates.</w:t>
            </w:r>
          </w:p>
        </w:tc>
        <w:tc>
          <w:tcPr>
            <w:tcW w:type="dxa" w:w="1296"/>
          </w:tcPr>
          <w:p>
            <w:r/>
            <w:r>
              <w:rPr>
                <w:sz w:val="18"/>
              </w:rPr>
              <w:t>TS §III</w:t>
            </w:r>
          </w:p>
        </w:tc>
      </w:tr>
      <w:tr>
        <w:tc>
          <w:tcPr>
            <w:tcW w:type="dxa" w:w="2088"/>
          </w:tcPr>
          <w:p>
            <w:r/>
            <w:r>
              <w:rPr>
                <w:sz w:val="18"/>
              </w:rPr>
              <w:t>Overcollateralization</w:t>
            </w:r>
          </w:p>
        </w:tc>
        <w:tc>
          <w:tcPr>
            <w:tcW w:type="dxa" w:w="6264"/>
          </w:tcPr>
          <w:p>
            <w:r/>
            <w:r>
              <w:rPr>
                <w:sz w:val="18"/>
              </w:rPr>
              <w:t>15% minimum (20% after step-down, i.e., +500 bps)</w:t>
            </w:r>
          </w:p>
        </w:tc>
        <w:tc>
          <w:tcPr>
            <w:tcW w:type="dxa" w:w="1296"/>
          </w:tcPr>
          <w:p>
            <w:r/>
            <w:r>
              <w:rPr>
                <w:sz w:val="18"/>
              </w:rPr>
              <w:t>TS §III</w:t>
            </w:r>
          </w:p>
        </w:tc>
      </w:tr>
      <w:tr>
        <w:tc>
          <w:tcPr>
            <w:tcW w:type="dxa" w:w="2088"/>
          </w:tcPr>
          <w:p>
            <w:r/>
            <w:r>
              <w:rPr>
                <w:sz w:val="18"/>
              </w:rPr>
              <w:t>Borrowing Base Deficiency</w:t>
            </w:r>
          </w:p>
        </w:tc>
        <w:tc>
          <w:tcPr>
            <w:tcW w:type="dxa" w:w="6264"/>
          </w:tcPr>
          <w:p>
            <w:r/>
            <w:r>
              <w:rPr>
                <w:sz w:val="18"/>
              </w:rPr>
              <w:t>Cure within 2 business days by (a) adding eligible receivables, (b) a cash deposit to the Collection Account, or (c) repaying advances. The waterfall also applies funds at step Sixth.</w:t>
            </w:r>
          </w:p>
        </w:tc>
        <w:tc>
          <w:tcPr>
            <w:tcW w:type="dxa" w:w="1296"/>
          </w:tcPr>
          <w:p>
            <w:r/>
            <w:r>
              <w:rPr>
                <w:sz w:val="18"/>
              </w:rPr>
              <w:t>TS §III, §VI</w:t>
            </w:r>
          </w:p>
        </w:tc>
      </w:tr>
      <w:tr>
        <w:tc>
          <w:tcPr>
            <w:tcW w:type="dxa" w:w="2088"/>
          </w:tcPr>
          <w:p>
            <w:r/>
            <w:r>
              <w:rPr>
                <w:sz w:val="18"/>
              </w:rPr>
              <w:t>Advance sizes</w:t>
            </w:r>
          </w:p>
        </w:tc>
        <w:tc>
          <w:tcPr>
            <w:tcW w:type="dxa" w:w="6264"/>
          </w:tcPr>
          <w:p>
            <w:r/>
            <w:r>
              <w:rPr>
                <w:sz w:val="18"/>
              </w:rPr>
              <w:t>Minimum $5MM (or remaining availability). Any single advance over $25MM requires 2 business days’ prior written notice to the Agent (a notice requirement, not a cap).</w:t>
            </w:r>
          </w:p>
        </w:tc>
        <w:tc>
          <w:tcPr>
            <w:tcW w:type="dxa" w:w="1296"/>
          </w:tcPr>
          <w:p>
            <w:r/>
            <w:r>
              <w:rPr>
                <w:sz w:val="18"/>
              </w:rPr>
              <w:t>TS §III</w:t>
            </w:r>
          </w:p>
        </w:tc>
      </w:tr>
      <w:tr>
        <w:tc>
          <w:tcPr>
            <w:tcW w:type="dxa" w:w="2088"/>
          </w:tcPr>
          <w:p>
            <w:r/>
            <w:r>
              <w:rPr>
                <w:sz w:val="18"/>
              </w:rPr>
              <w:t>Determination Date</w:t>
            </w:r>
          </w:p>
        </w:tc>
        <w:tc>
          <w:tcPr>
            <w:tcW w:type="dxa" w:w="6264"/>
          </w:tcPr>
          <w:p>
            <w:r/>
            <w:r>
              <w:rPr>
                <w:sz w:val="18"/>
              </w:rPr>
              <w:t>5th business day of each month, or more often if the Agent reasonably requests</w:t>
            </w:r>
          </w:p>
        </w:tc>
        <w:tc>
          <w:tcPr>
            <w:tcW w:type="dxa" w:w="1296"/>
          </w:tcPr>
          <w:p>
            <w:r/>
            <w:r>
              <w:rPr>
                <w:sz w:val="18"/>
              </w:rPr>
              <w:t>TS §III</w:t>
            </w:r>
          </w:p>
        </w:tc>
      </w:tr>
    </w:tbl>
    <w:p>
      <w:pPr>
        <w:spacing w:after="40"/>
      </w:pPr>
    </w:p>
    <w:p>
      <w:pPr>
        <w:pStyle w:val="Heading2"/>
      </w:pPr>
      <w:r>
        <w:t>3.4 Eligibility Criteria (tested at transfer and on each determination date)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504"/>
            <w:shd w:val="clear" w:color="auto" w:fill="1F3A5F"/>
          </w:tcPr>
          <w:p>
            <w:r/>
            <w:r>
              <w:rPr>
                <w:b/>
                <w:color w:val="FFFFFF"/>
                <w:sz w:val="18"/>
              </w:rPr>
              <w:t>#</w:t>
            </w:r>
          </w:p>
        </w:tc>
        <w:tc>
          <w:tcPr>
            <w:tcW w:type="dxa" w:w="2520"/>
            <w:shd w:val="clear" w:color="auto" w:fill="1F3A5F"/>
          </w:tcPr>
          <w:p>
            <w:r/>
            <w:r>
              <w:rPr>
                <w:b/>
                <w:color w:val="FFFFFF"/>
                <w:sz w:val="18"/>
              </w:rPr>
              <w:t>Criterion</w:t>
            </w:r>
          </w:p>
        </w:tc>
        <w:tc>
          <w:tcPr>
            <w:tcW w:type="dxa" w:w="6624"/>
            <w:shd w:val="clear" w:color="auto" w:fill="1F3A5F"/>
          </w:tcPr>
          <w:p>
            <w:r/>
            <w:r>
              <w:rPr>
                <w:b/>
                <w:color w:val="FFFFFF"/>
                <w:sz w:val="18"/>
              </w:rPr>
              <w:t>Requirement</w:t>
            </w:r>
          </w:p>
        </w:tc>
      </w:tr>
      <w:tr>
        <w:tc>
          <w:tcPr>
            <w:tcW w:type="dxa" w:w="504"/>
          </w:tcPr>
          <w:p>
            <w:r/>
            <w:r>
              <w:rPr>
                <w:sz w:val="18"/>
              </w:rPr>
              <w:t>1</w:t>
            </w:r>
          </w:p>
        </w:tc>
        <w:tc>
          <w:tcPr>
            <w:tcW w:type="dxa" w:w="2520"/>
          </w:tcPr>
          <w:p>
            <w:r/>
            <w:r>
              <w:rPr>
                <w:sz w:val="18"/>
              </w:rPr>
              <w:t>Original principal balance</w:t>
            </w:r>
          </w:p>
        </w:tc>
        <w:tc>
          <w:tcPr>
            <w:tcW w:type="dxa" w:w="6624"/>
          </w:tcPr>
          <w:p>
            <w:r/>
            <w:r>
              <w:rPr>
                <w:sz w:val="18"/>
              </w:rPr>
              <w:t>$2,500 – $35,000</w:t>
            </w:r>
          </w:p>
        </w:tc>
      </w:tr>
      <w:tr>
        <w:tc>
          <w:tcPr>
            <w:tcW w:type="dxa" w:w="504"/>
          </w:tcPr>
          <w:p>
            <w:r/>
            <w:r>
              <w:rPr>
                <w:sz w:val="18"/>
              </w:rPr>
              <w:t>2</w:t>
            </w:r>
          </w:p>
        </w:tc>
        <w:tc>
          <w:tcPr>
            <w:tcW w:type="dxa" w:w="2520"/>
          </w:tcPr>
          <w:p>
            <w:r/>
            <w:r>
              <w:rPr>
                <w:sz w:val="18"/>
              </w:rPr>
              <w:t>Original term</w:t>
            </w:r>
          </w:p>
        </w:tc>
        <w:tc>
          <w:tcPr>
            <w:tcW w:type="dxa" w:w="6624"/>
          </w:tcPr>
          <w:p>
            <w:r/>
            <w:r>
              <w:rPr>
                <w:sz w:val="18"/>
              </w:rPr>
              <w:t>24 – 60 months</w:t>
            </w:r>
          </w:p>
        </w:tc>
      </w:tr>
      <w:tr>
        <w:tc>
          <w:tcPr>
            <w:tcW w:type="dxa" w:w="504"/>
          </w:tcPr>
          <w:p>
            <w:r/>
            <w:r>
              <w:rPr>
                <w:sz w:val="18"/>
              </w:rPr>
              <w:t>3</w:t>
            </w:r>
          </w:p>
        </w:tc>
        <w:tc>
          <w:tcPr>
            <w:tcW w:type="dxa" w:w="2520"/>
          </w:tcPr>
          <w:p>
            <w:r/>
            <w:r>
              <w:rPr>
                <w:sz w:val="18"/>
              </w:rPr>
              <w:t>FICO at origination</w:t>
            </w:r>
          </w:p>
        </w:tc>
        <w:tc>
          <w:tcPr>
            <w:tcW w:type="dxa" w:w="6624"/>
          </w:tcPr>
          <w:p>
            <w:r/>
            <w:r>
              <w:rPr>
                <w:sz w:val="18"/>
              </w:rPr>
              <w:t>≥ 620</w:t>
            </w:r>
          </w:p>
        </w:tc>
      </w:tr>
      <w:tr>
        <w:tc>
          <w:tcPr>
            <w:tcW w:type="dxa" w:w="504"/>
          </w:tcPr>
          <w:p>
            <w:r/>
            <w:r>
              <w:rPr>
                <w:sz w:val="18"/>
              </w:rPr>
              <w:t>4</w:t>
            </w:r>
          </w:p>
        </w:tc>
        <w:tc>
          <w:tcPr>
            <w:tcW w:type="dxa" w:w="2520"/>
          </w:tcPr>
          <w:p>
            <w:r/>
            <w:r>
              <w:rPr>
                <w:sz w:val="18"/>
              </w:rPr>
              <w:t>Delinquency</w:t>
            </w:r>
          </w:p>
        </w:tc>
        <w:tc>
          <w:tcPr>
            <w:tcW w:type="dxa" w:w="6624"/>
          </w:tcPr>
          <w:p>
            <w:r/>
            <w:r>
              <w:rPr>
                <w:sz w:val="18"/>
              </w:rPr>
              <w:t>Not &gt; 30 days past due as of the transfer date</w:t>
            </w:r>
          </w:p>
        </w:tc>
      </w:tr>
      <w:tr>
        <w:tc>
          <w:tcPr>
            <w:tcW w:type="dxa" w:w="504"/>
          </w:tcPr>
          <w:p>
            <w:r/>
            <w:r>
              <w:rPr>
                <w:sz w:val="18"/>
              </w:rPr>
              <w:t>5</w:t>
            </w:r>
          </w:p>
        </w:tc>
        <w:tc>
          <w:tcPr>
            <w:tcW w:type="dxa" w:w="2520"/>
          </w:tcPr>
          <w:p>
            <w:r/>
            <w:r>
              <w:rPr>
                <w:sz w:val="18"/>
              </w:rPr>
              <w:t>Underwriting</w:t>
            </w:r>
          </w:p>
        </w:tc>
        <w:tc>
          <w:tcPr>
            <w:tcW w:type="dxa" w:w="6624"/>
          </w:tcPr>
          <w:p>
            <w:r/>
            <w:r>
              <w:rPr>
                <w:sz w:val="18"/>
              </w:rPr>
              <w:t>Originated per Hawthorne’s standard guidelines as approved by the Agent on or before Closing</w:t>
            </w:r>
          </w:p>
        </w:tc>
      </w:tr>
      <w:tr>
        <w:tc>
          <w:tcPr>
            <w:tcW w:type="dxa" w:w="504"/>
          </w:tcPr>
          <w:p>
            <w:r/>
            <w:r>
              <w:rPr>
                <w:sz w:val="18"/>
              </w:rPr>
              <w:t>6</w:t>
            </w:r>
          </w:p>
        </w:tc>
        <w:tc>
          <w:tcPr>
            <w:tcW w:type="dxa" w:w="2520"/>
          </w:tcPr>
          <w:p>
            <w:r/>
            <w:r>
              <w:rPr>
                <w:sz w:val="18"/>
              </w:rPr>
              <w:t>Obligor</w:t>
            </w:r>
          </w:p>
        </w:tc>
        <w:tc>
          <w:tcPr>
            <w:tcW w:type="dxa" w:w="6624"/>
          </w:tcPr>
          <w:p>
            <w:r/>
            <w:r>
              <w:rPr>
                <w:sz w:val="18"/>
              </w:rPr>
              <w:t>U.S. resident</w:t>
            </w:r>
          </w:p>
        </w:tc>
      </w:tr>
      <w:tr>
        <w:tc>
          <w:tcPr>
            <w:tcW w:type="dxa" w:w="504"/>
          </w:tcPr>
          <w:p>
            <w:r/>
            <w:r>
              <w:rPr>
                <w:sz w:val="18"/>
              </w:rPr>
              <w:t>7</w:t>
            </w:r>
          </w:p>
        </w:tc>
        <w:tc>
          <w:tcPr>
            <w:tcW w:type="dxa" w:w="2520"/>
          </w:tcPr>
          <w:p>
            <w:r/>
            <w:r>
              <w:rPr>
                <w:sz w:val="18"/>
              </w:rPr>
              <w:t>No modification</w:t>
            </w:r>
          </w:p>
        </w:tc>
        <w:tc>
          <w:tcPr>
            <w:tcW w:type="dxa" w:w="6624"/>
          </w:tcPr>
          <w:p>
            <w:r/>
            <w:r>
              <w:rPr>
                <w:sz w:val="18"/>
              </w:rPr>
              <w:t>Not modified, extended, waived or restructured “in any respect” after origination</w:t>
            </w:r>
          </w:p>
        </w:tc>
      </w:tr>
      <w:tr>
        <w:tc>
          <w:tcPr>
            <w:tcW w:type="dxa" w:w="504"/>
          </w:tcPr>
          <w:p>
            <w:r/>
            <w:r>
              <w:rPr>
                <w:sz w:val="18"/>
              </w:rPr>
              <w:t>8</w:t>
            </w:r>
          </w:p>
        </w:tc>
        <w:tc>
          <w:tcPr>
            <w:tcW w:type="dxa" w:w="2520"/>
          </w:tcPr>
          <w:p>
            <w:r/>
            <w:r>
              <w:rPr>
                <w:sz w:val="18"/>
              </w:rPr>
              <w:t>APR cap</w:t>
            </w:r>
          </w:p>
        </w:tc>
        <w:tc>
          <w:tcPr>
            <w:tcW w:type="dxa" w:w="6624"/>
          </w:tcPr>
          <w:p>
            <w:r/>
            <w:r>
              <w:rPr>
                <w:sz w:val="18"/>
              </w:rPr>
              <w:t>≤ 29.99%</w:t>
            </w:r>
          </w:p>
        </w:tc>
      </w:tr>
      <w:tr>
        <w:tc>
          <w:tcPr>
            <w:tcW w:type="dxa" w:w="504"/>
          </w:tcPr>
          <w:p>
            <w:r/>
            <w:r>
              <w:rPr>
                <w:sz w:val="18"/>
              </w:rPr>
              <w:t>9</w:t>
            </w:r>
          </w:p>
        </w:tc>
        <w:tc>
          <w:tcPr>
            <w:tcW w:type="dxa" w:w="2520"/>
          </w:tcPr>
          <w:p>
            <w:r/>
            <w:r>
              <w:rPr>
                <w:sz w:val="18"/>
              </w:rPr>
              <w:t>Single obligor</w:t>
            </w:r>
          </w:p>
        </w:tc>
        <w:tc>
          <w:tcPr>
            <w:tcW w:type="dxa" w:w="6624"/>
          </w:tcPr>
          <w:p>
            <w:r/>
            <w:r>
              <w:rPr>
                <w:sz w:val="18"/>
              </w:rPr>
              <w:t>Aggregate balance per obligor ≤ $35,000</w:t>
            </w:r>
          </w:p>
        </w:tc>
      </w:tr>
      <w:tr>
        <w:tc>
          <w:tcPr>
            <w:tcW w:type="dxa" w:w="504"/>
          </w:tcPr>
          <w:p>
            <w:r/>
            <w:r>
              <w:rPr>
                <w:sz w:val="18"/>
              </w:rPr>
              <w:t>10</w:t>
            </w:r>
          </w:p>
        </w:tc>
        <w:tc>
          <w:tcPr>
            <w:tcW w:type="dxa" w:w="2520"/>
          </w:tcPr>
          <w:p>
            <w:r/>
            <w:r>
              <w:rPr>
                <w:sz w:val="18"/>
              </w:rPr>
              <w:t>State concentration</w:t>
            </w:r>
          </w:p>
        </w:tc>
        <w:tc>
          <w:tcPr>
            <w:tcW w:type="dxa" w:w="6624"/>
          </w:tcPr>
          <w:p>
            <w:r/>
            <w:r>
              <w:rPr>
                <w:sz w:val="18"/>
              </w:rPr>
              <w:t>Any single state ≤ 15% of the Eligible Receivable Balance</w:t>
            </w:r>
          </w:p>
        </w:tc>
      </w:tr>
      <w:tr>
        <w:tc>
          <w:tcPr>
            <w:tcW w:type="dxa" w:w="504"/>
          </w:tcPr>
          <w:p>
            <w:r/>
            <w:r>
              <w:rPr>
                <w:sz w:val="18"/>
              </w:rPr>
              <w:t>11</w:t>
            </w:r>
          </w:p>
        </w:tc>
        <w:tc>
          <w:tcPr>
            <w:tcW w:type="dxa" w:w="2520"/>
          </w:tcPr>
          <w:p>
            <w:r/>
            <w:r>
              <w:rPr>
                <w:sz w:val="18"/>
              </w:rPr>
              <w:t>Seasoning</w:t>
            </w:r>
          </w:p>
        </w:tc>
        <w:tc>
          <w:tcPr>
            <w:tcW w:type="dxa" w:w="6624"/>
          </w:tcPr>
          <w:p>
            <w:r/>
            <w:r>
              <w:rPr>
                <w:sz w:val="18"/>
              </w:rPr>
              <w:t>Originated ≤ 120 days before transfer</w:t>
            </w:r>
          </w:p>
        </w:tc>
      </w:tr>
      <w:tr>
        <w:tc>
          <w:tcPr>
            <w:tcW w:type="dxa" w:w="504"/>
          </w:tcPr>
          <w:p>
            <w:r/>
            <w:r>
              <w:rPr>
                <w:sz w:val="18"/>
              </w:rPr>
              <w:t>12</w:t>
            </w:r>
          </w:p>
        </w:tc>
        <w:tc>
          <w:tcPr>
            <w:tcW w:type="dxa" w:w="2520"/>
          </w:tcPr>
          <w:p>
            <w:r/>
            <w:r>
              <w:rPr>
                <w:sz w:val="18"/>
              </w:rPr>
              <w:t>No bankruptcy</w:t>
            </w:r>
          </w:p>
        </w:tc>
        <w:tc>
          <w:tcPr>
            <w:tcW w:type="dxa" w:w="6624"/>
          </w:tcPr>
          <w:p>
            <w:r/>
            <w:r>
              <w:rPr>
                <w:sz w:val="18"/>
              </w:rPr>
              <w:t>Obligor not subject to a pending or filed bankruptcy or insolvency proceeding</w:t>
            </w:r>
          </w:p>
        </w:tc>
      </w:tr>
      <w:tr>
        <w:tc>
          <w:tcPr>
            <w:tcW w:type="dxa" w:w="504"/>
          </w:tcPr>
          <w:p>
            <w:r/>
            <w:r>
              <w:rPr>
                <w:sz w:val="18"/>
              </w:rPr>
              <w:t>13</w:t>
            </w:r>
          </w:p>
        </w:tc>
        <w:tc>
          <w:tcPr>
            <w:tcW w:type="dxa" w:w="2520"/>
          </w:tcPr>
          <w:p>
            <w:r/>
            <w:r>
              <w:rPr>
                <w:sz w:val="18"/>
              </w:rPr>
              <w:t>Product</w:t>
            </w:r>
          </w:p>
        </w:tc>
        <w:tc>
          <w:tcPr>
            <w:tcW w:type="dxa" w:w="6624"/>
          </w:tcPr>
          <w:p>
            <w:r/>
            <w:r>
              <w:rPr>
                <w:sz w:val="18"/>
              </w:rPr>
              <w:t>Unsecured consumer installment loan (no collateral, no revolving feature)</w:t>
            </w:r>
          </w:p>
        </w:tc>
      </w:tr>
      <w:tr>
        <w:tc>
          <w:tcPr>
            <w:tcW w:type="dxa" w:w="504"/>
          </w:tcPr>
          <w:p>
            <w:r/>
            <w:r>
              <w:rPr>
                <w:sz w:val="18"/>
              </w:rPr>
              <w:t>14</w:t>
            </w:r>
          </w:p>
        </w:tc>
        <w:tc>
          <w:tcPr>
            <w:tcW w:type="dxa" w:w="2520"/>
          </w:tcPr>
          <w:p>
            <w:r/>
            <w:r>
              <w:rPr>
                <w:sz w:val="18"/>
              </w:rPr>
              <w:t>Enforceability</w:t>
            </w:r>
          </w:p>
        </w:tc>
        <w:tc>
          <w:tcPr>
            <w:tcW w:type="dxa" w:w="6624"/>
          </w:tcPr>
          <w:p>
            <w:r/>
            <w:r>
              <w:rPr>
                <w:sz w:val="18"/>
              </w:rPr>
              <w:t>Valid, binding and enforceable obligation</w:t>
            </w:r>
          </w:p>
        </w:tc>
      </w:tr>
      <w:tr>
        <w:tc>
          <w:tcPr>
            <w:tcW w:type="dxa" w:w="504"/>
          </w:tcPr>
          <w:p>
            <w:r/>
            <w:r>
              <w:rPr>
                <w:sz w:val="18"/>
              </w:rPr>
              <w:t>15</w:t>
            </w:r>
          </w:p>
        </w:tc>
        <w:tc>
          <w:tcPr>
            <w:tcW w:type="dxa" w:w="2520"/>
          </w:tcPr>
          <w:p>
            <w:r/>
            <w:r>
              <w:rPr>
                <w:sz w:val="18"/>
              </w:rPr>
              <w:t>No fraud</w:t>
            </w:r>
          </w:p>
        </w:tc>
        <w:tc>
          <w:tcPr>
            <w:tcW w:type="dxa" w:w="6624"/>
          </w:tcPr>
          <w:p>
            <w:r/>
            <w:r>
              <w:rPr>
                <w:sz w:val="18"/>
              </w:rPr>
              <w:t>Not originated through fraud by originator or obligor</w:t>
            </w:r>
          </w:p>
        </w:tc>
      </w:tr>
    </w:tbl>
    <w:p>
      <w:pPr>
        <w:spacing w:after="40"/>
      </w:pPr>
    </w:p>
    <w:p>
      <w:pPr>
        <w:pStyle w:val="Heading2"/>
      </w:pPr>
      <w:r>
        <w:t>3.5 Pricing and Fees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Interest: Revolving Period</w:t>
            </w:r>
          </w:p>
        </w:tc>
        <w:tc>
          <w:tcPr>
            <w:tcW w:type="dxa" w:w="6264"/>
          </w:tcPr>
          <w:p>
            <w:r/>
            <w:r>
              <w:rPr>
                <w:sz w:val="18"/>
              </w:rPr>
              <w:t>Daily SOFR + 10 bps CSA + 225 bps margin = S + 235 bps all-in. SL MFL: automatically reduced to match any lower spread (including CSA) under a Comparable Facility, effective on that facility’s closing (Revolving Period only).</w:t>
            </w:r>
          </w:p>
        </w:tc>
        <w:tc>
          <w:tcPr>
            <w:tcW w:type="dxa" w:w="1296"/>
          </w:tcPr>
          <w:p>
            <w:r/>
            <w:r>
              <w:rPr>
                <w:sz w:val="18"/>
              </w:rPr>
              <w:t>TS §V; SL §2</w:t>
            </w:r>
          </w:p>
        </w:tc>
      </w:tr>
      <w:tr>
        <w:tc>
          <w:tcPr>
            <w:tcW w:type="dxa" w:w="2088"/>
          </w:tcPr>
          <w:p>
            <w:r/>
            <w:r>
              <w:rPr>
                <w:sz w:val="18"/>
              </w:rPr>
              <w:t>Interest: Amortization Period</w:t>
            </w:r>
          </w:p>
        </w:tc>
        <w:tc>
          <w:tcPr>
            <w:tcW w:type="dxa" w:w="6264"/>
          </w:tcPr>
          <w:p>
            <w:r/>
            <w:r>
              <w:rPr>
                <w:sz w:val="18"/>
              </w:rPr>
              <w:t>Daily SOFR + 10 bps CSA + 275 bps = S + 285 bps. Applies to MDE-triggered amortization too (SL §3). MFL does not apply.</w:t>
            </w:r>
          </w:p>
        </w:tc>
        <w:tc>
          <w:tcPr>
            <w:tcW w:type="dxa" w:w="1296"/>
          </w:tcPr>
          <w:p>
            <w:r/>
            <w:r>
              <w:rPr>
                <w:sz w:val="18"/>
              </w:rPr>
              <w:t>TS §V; SL §2–3</w:t>
            </w:r>
          </w:p>
        </w:tc>
      </w:tr>
      <w:tr>
        <w:tc>
          <w:tcPr>
            <w:tcW w:type="dxa" w:w="2088"/>
          </w:tcPr>
          <w:p>
            <w:r/>
            <w:r>
              <w:rPr>
                <w:sz w:val="18"/>
              </w:rPr>
              <w:t>SOFR floor / definition</w:t>
            </w:r>
          </w:p>
        </w:tc>
        <w:tc>
          <w:tcPr>
            <w:tcW w:type="dxa" w:w="6264"/>
          </w:tcPr>
          <w:p>
            <w:r/>
            <w:r>
              <w:rPr>
                <w:sz w:val="18"/>
              </w:rPr>
              <w:t>0.50% floor on Daily SOFR (before CSA and margin). SOFR as published by FRBNY or successor. ARRC-recommended benchmark replacement.</w:t>
            </w:r>
          </w:p>
        </w:tc>
        <w:tc>
          <w:tcPr>
            <w:tcW w:type="dxa" w:w="1296"/>
          </w:tcPr>
          <w:p>
            <w:r/>
            <w:r>
              <w:rPr>
                <w:sz w:val="18"/>
              </w:rPr>
              <w:t>TS §V</w:t>
            </w:r>
          </w:p>
        </w:tc>
      </w:tr>
      <w:tr>
        <w:tc>
          <w:tcPr>
            <w:tcW w:type="dxa" w:w="2088"/>
          </w:tcPr>
          <w:p>
            <w:r/>
            <w:r>
              <w:rPr>
                <w:sz w:val="18"/>
              </w:rPr>
              <w:t>Payment Dates / Day count</w:t>
            </w:r>
          </w:p>
        </w:tc>
        <w:tc>
          <w:tcPr>
            <w:tcW w:type="dxa" w:w="6264"/>
          </w:tcPr>
          <w:p>
            <w:r/>
            <w:r>
              <w:rPr>
                <w:sz w:val="18"/>
              </w:rPr>
              <w:t>Monthly on the 15th (next business day). Actual/360.</w:t>
            </w:r>
          </w:p>
        </w:tc>
        <w:tc>
          <w:tcPr>
            <w:tcW w:type="dxa" w:w="1296"/>
          </w:tcPr>
          <w:p>
            <w:r/>
            <w:r>
              <w:rPr>
                <w:sz w:val="18"/>
              </w:rPr>
              <w:t>TS §V</w:t>
            </w:r>
          </w:p>
        </w:tc>
      </w:tr>
      <w:tr>
        <w:tc>
          <w:tcPr>
            <w:tcW w:type="dxa" w:w="2088"/>
          </w:tcPr>
          <w:p>
            <w:r/>
            <w:r>
              <w:rPr>
                <w:sz w:val="18"/>
              </w:rPr>
              <w:t>Default interest</w:t>
            </w:r>
          </w:p>
        </w:tc>
        <w:tc>
          <w:tcPr>
            <w:tcW w:type="dxa" w:w="6264"/>
          </w:tcPr>
          <w:p>
            <w:r/>
            <w:r>
              <w:rPr>
                <w:sz w:val="18"/>
              </w:rPr>
              <w:t>+200 bps during the continuance of an EoD</w:t>
            </w:r>
          </w:p>
        </w:tc>
        <w:tc>
          <w:tcPr>
            <w:tcW w:type="dxa" w:w="1296"/>
          </w:tcPr>
          <w:p>
            <w:r/>
            <w:r>
              <w:rPr>
                <w:sz w:val="18"/>
              </w:rPr>
              <w:t>TS §V</w:t>
            </w:r>
          </w:p>
        </w:tc>
      </w:tr>
      <w:tr>
        <w:tc>
          <w:tcPr>
            <w:tcW w:type="dxa" w:w="2088"/>
          </w:tcPr>
          <w:p>
            <w:r/>
            <w:r>
              <w:rPr>
                <w:sz w:val="18"/>
              </w:rPr>
              <w:t>Unused fee</w:t>
            </w:r>
          </w:p>
        </w:tc>
        <w:tc>
          <w:tcPr>
            <w:tcW w:type="dxa" w:w="6264"/>
          </w:tcPr>
          <w:p>
            <w:r/>
            <w:r>
              <w:rPr>
                <w:sz w:val="18"/>
              </w:rPr>
              <w:t>0.50% p.a. on the daily average undrawn committed amount, Actual/360, monthly in arrears</w:t>
            </w:r>
          </w:p>
        </w:tc>
        <w:tc>
          <w:tcPr>
            <w:tcW w:type="dxa" w:w="1296"/>
          </w:tcPr>
          <w:p>
            <w:r/>
            <w:r>
              <w:rPr>
                <w:sz w:val="18"/>
              </w:rPr>
              <w:t>TS §V</w:t>
            </w:r>
          </w:p>
        </w:tc>
      </w:tr>
      <w:tr>
        <w:tc>
          <w:tcPr>
            <w:tcW w:type="dxa" w:w="2088"/>
          </w:tcPr>
          <w:p>
            <w:r/>
            <w:r>
              <w:rPr>
                <w:sz w:val="18"/>
              </w:rPr>
              <w:t>Upfront fee</w:t>
            </w:r>
          </w:p>
        </w:tc>
        <w:tc>
          <w:tcPr>
            <w:tcW w:type="dxa" w:w="6264"/>
          </w:tcPr>
          <w:p>
            <w:r/>
            <w:r>
              <w:rPr>
                <w:sz w:val="18"/>
              </w:rPr>
              <w:t>0.75% × $350MM = $2,625,000, payable at Closing</w:t>
            </w:r>
          </w:p>
        </w:tc>
        <w:tc>
          <w:tcPr>
            <w:tcW w:type="dxa" w:w="1296"/>
          </w:tcPr>
          <w:p>
            <w:r/>
            <w:r>
              <w:rPr>
                <w:sz w:val="18"/>
              </w:rPr>
              <w:t>TS §V</w:t>
            </w:r>
          </w:p>
        </w:tc>
      </w:tr>
      <w:tr>
        <w:tc>
          <w:tcPr>
            <w:tcW w:type="dxa" w:w="2088"/>
          </w:tcPr>
          <w:p>
            <w:r/>
            <w:r>
              <w:rPr>
                <w:sz w:val="18"/>
              </w:rPr>
              <w:t>Structuring fee</w:t>
            </w:r>
          </w:p>
        </w:tc>
        <w:tc>
          <w:tcPr>
            <w:tcW w:type="dxa" w:w="6264"/>
          </w:tcPr>
          <w:p>
            <w:r/>
            <w:r>
              <w:rPr>
                <w:sz w:val="18"/>
              </w:rPr>
              <w:t>$375,000 to Pinnacle at Closing (total closing fees $3,000,000; also CP 6)</w:t>
            </w:r>
          </w:p>
        </w:tc>
        <w:tc>
          <w:tcPr>
            <w:tcW w:type="dxa" w:w="1296"/>
          </w:tcPr>
          <w:p>
            <w:r/>
            <w:r>
              <w:rPr>
                <w:sz w:val="18"/>
              </w:rPr>
              <w:t>TS §V, §XIII.6</w:t>
            </w:r>
          </w:p>
        </w:tc>
      </w:tr>
      <w:tr>
        <w:tc>
          <w:tcPr>
            <w:tcW w:type="dxa" w:w="2088"/>
          </w:tcPr>
          <w:p>
            <w:r/>
            <w:r>
              <w:rPr>
                <w:sz w:val="18"/>
              </w:rPr>
              <w:t>Administrative Agent fee</w:t>
            </w:r>
          </w:p>
        </w:tc>
        <w:tc>
          <w:tcPr>
            <w:tcW w:type="dxa" w:w="6264"/>
          </w:tcPr>
          <w:p>
            <w:r/>
            <w:r>
              <w:rPr>
                <w:sz w:val="18"/>
              </w:rPr>
              <w:t>$150,000 p.a., quarterly in arrears ($37,500/quarter)</w:t>
            </w:r>
          </w:p>
        </w:tc>
        <w:tc>
          <w:tcPr>
            <w:tcW w:type="dxa" w:w="1296"/>
          </w:tcPr>
          <w:p>
            <w:r/>
            <w:r>
              <w:rPr>
                <w:sz w:val="18"/>
              </w:rPr>
              <w:t>TS §V</w:t>
            </w:r>
          </w:p>
        </w:tc>
      </w:tr>
      <w:tr>
        <w:tc>
          <w:tcPr>
            <w:tcW w:type="dxa" w:w="2088"/>
          </w:tcPr>
          <w:p>
            <w:r/>
            <w:r>
              <w:rPr>
                <w:sz w:val="18"/>
              </w:rPr>
              <w:t>Back-Up Servicing fee</w:t>
            </w:r>
          </w:p>
        </w:tc>
        <w:tc>
          <w:tcPr>
            <w:tcW w:type="dxa" w:w="6264"/>
          </w:tcPr>
          <w:p>
            <w:r/>
            <w:r>
              <w:rPr>
                <w:sz w:val="18"/>
              </w:rPr>
              <w:t>$12,500/month to Graystone ($150,000 p.a.), from execution of the BUS Agreement</w:t>
            </w:r>
          </w:p>
        </w:tc>
        <w:tc>
          <w:tcPr>
            <w:tcW w:type="dxa" w:w="1296"/>
          </w:tcPr>
          <w:p>
            <w:r/>
            <w:r>
              <w:rPr>
                <w:sz w:val="18"/>
              </w:rPr>
              <w:t>TS §V, §XV</w:t>
            </w:r>
          </w:p>
        </w:tc>
      </w:tr>
      <w:tr>
        <w:tc>
          <w:tcPr>
            <w:tcW w:type="dxa" w:w="2088"/>
          </w:tcPr>
          <w:p>
            <w:r/>
            <w:r>
              <w:rPr>
                <w:sz w:val="18"/>
              </w:rPr>
              <w:t>Servicing fee</w:t>
            </w:r>
          </w:p>
        </w:tc>
        <w:tc>
          <w:tcPr>
            <w:tcW w:type="dxa" w:w="6264"/>
          </w:tcPr>
          <w:p>
            <w:r/>
            <w:r>
              <w:rPr>
                <w:sz w:val="18"/>
              </w:rPr>
              <w:t>1.50% p.a. of the outstanding receivable balance, monthly, to Hawthorne via the waterfall</w:t>
            </w:r>
          </w:p>
        </w:tc>
        <w:tc>
          <w:tcPr>
            <w:tcW w:type="dxa" w:w="1296"/>
          </w:tcPr>
          <w:p>
            <w:r/>
            <w:r>
              <w:rPr>
                <w:sz w:val="18"/>
              </w:rPr>
              <w:t>TS §V, §XV</w:t>
            </w:r>
          </w:p>
        </w:tc>
      </w:tr>
      <w:tr>
        <w:tc>
          <w:tcPr>
            <w:tcW w:type="dxa" w:w="2088"/>
          </w:tcPr>
          <w:p>
            <w:r/>
            <w:r>
              <w:rPr>
                <w:sz w:val="18"/>
              </w:rPr>
              <w:t>MFL carve-outs</w:t>
            </w:r>
          </w:p>
        </w:tc>
        <w:tc>
          <w:tcPr>
            <w:tcW w:type="dxa" w:w="6264"/>
          </w:tcPr>
          <w:p>
            <w:r/>
            <w:r>
              <w:rPr>
                <w:sz w:val="18"/>
              </w:rPr>
              <w:t>MFL applies to spread only. No adjustment to upfront, structuring, unused or agent fees. Hawthorne must notify Pinnacle within 5 business days of any Comparable Facility closing, with a senior officer certification. Pinnacle may verify terms.</w:t>
            </w:r>
          </w:p>
        </w:tc>
        <w:tc>
          <w:tcPr>
            <w:tcW w:type="dxa" w:w="1296"/>
          </w:tcPr>
          <w:p>
            <w:r/>
            <w:r>
              <w:rPr>
                <w:sz w:val="18"/>
              </w:rPr>
              <w:t>SL §2</w:t>
            </w:r>
          </w:p>
        </w:tc>
      </w:tr>
      <w:tr>
        <w:tc>
          <w:tcPr>
            <w:tcW w:type="dxa" w:w="2088"/>
          </w:tcPr>
          <w:p>
            <w:r/>
            <w:r>
              <w:rPr>
                <w:sz w:val="18"/>
              </w:rPr>
              <w:t>Expenses</w:t>
            </w:r>
          </w:p>
        </w:tc>
        <w:tc>
          <w:tcPr>
            <w:tcW w:type="dxa" w:w="6264"/>
          </w:tcPr>
          <w:p>
            <w:r/>
            <w:r>
              <w:rPr>
                <w:sz w:val="18"/>
              </w:rPr>
              <w:t>Hawthorne reimburses all reasonable, documented out-of-pocket Agent expenses (incl. Bramwell &amp; Locke) whether or not the facility closes. Uncapped.</w:t>
            </w:r>
          </w:p>
        </w:tc>
        <w:tc>
          <w:tcPr>
            <w:tcW w:type="dxa" w:w="1296"/>
          </w:tcPr>
          <w:p>
            <w:r/>
            <w:r>
              <w:rPr>
                <w:sz w:val="18"/>
              </w:rPr>
              <w:t>TS §XVII</w:t>
            </w:r>
          </w:p>
        </w:tc>
      </w:tr>
    </w:tbl>
    <w:p>
      <w:pPr>
        <w:spacing w:after="40"/>
      </w:pPr>
    </w:p>
    <w:p>
      <w:pPr>
        <w:pStyle w:val="Heading2"/>
      </w:pPr>
      <w:r>
        <w:t>3.6 Priority of Payments (monthly, by Indenture Trustee from Available Funds)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296"/>
            <w:shd w:val="clear" w:color="auto" w:fill="1F3A5F"/>
          </w:tcPr>
          <w:p>
            <w:r/>
            <w:r>
              <w:rPr>
                <w:b/>
                <w:color w:val="FFFFFF"/>
                <w:sz w:val="18"/>
              </w:rPr>
              <w:t>Step</w:t>
            </w:r>
          </w:p>
        </w:tc>
        <w:tc>
          <w:tcPr>
            <w:tcW w:type="dxa" w:w="8352"/>
            <w:shd w:val="clear" w:color="auto" w:fill="1F3A5F"/>
          </w:tcPr>
          <w:p>
            <w:r/>
            <w:r>
              <w:rPr>
                <w:b/>
                <w:color w:val="FFFFFF"/>
                <w:sz w:val="18"/>
              </w:rPr>
              <w:t>Payment</w:t>
            </w:r>
          </w:p>
        </w:tc>
      </w:tr>
      <w:tr>
        <w:tc>
          <w:tcPr>
            <w:tcW w:type="dxa" w:w="1296"/>
          </w:tcPr>
          <w:p>
            <w:r/>
            <w:r>
              <w:rPr>
                <w:sz w:val="18"/>
              </w:rPr>
              <w:t>First</w:t>
            </w:r>
          </w:p>
        </w:tc>
        <w:tc>
          <w:tcPr>
            <w:tcW w:type="dxa" w:w="8352"/>
          </w:tcPr>
          <w:p>
            <w:r/>
            <w:r>
              <w:rPr>
                <w:sz w:val="18"/>
              </w:rPr>
              <w:t>Trustee fees and expenses and Agent fees and expenses, capped at $25,000/month in aggregate</w:t>
            </w:r>
          </w:p>
        </w:tc>
      </w:tr>
      <w:tr>
        <w:tc>
          <w:tcPr>
            <w:tcW w:type="dxa" w:w="1296"/>
          </w:tcPr>
          <w:p>
            <w:r/>
            <w:r>
              <w:rPr>
                <w:sz w:val="18"/>
              </w:rPr>
              <w:t>Second</w:t>
            </w:r>
          </w:p>
        </w:tc>
        <w:tc>
          <w:tcPr>
            <w:tcW w:type="dxa" w:w="8352"/>
          </w:tcPr>
          <w:p>
            <w:r/>
            <w:r>
              <w:rPr>
                <w:sz w:val="18"/>
              </w:rPr>
              <w:t>Back-Up Servicer fee ($12,500/month)</w:t>
            </w:r>
          </w:p>
        </w:tc>
      </w:tr>
      <w:tr>
        <w:tc>
          <w:tcPr>
            <w:tcW w:type="dxa" w:w="1296"/>
          </w:tcPr>
          <w:p>
            <w:r/>
            <w:r>
              <w:rPr>
                <w:sz w:val="18"/>
              </w:rPr>
              <w:t>Third</w:t>
            </w:r>
          </w:p>
        </w:tc>
        <w:tc>
          <w:tcPr>
            <w:tcW w:type="dxa" w:w="8352"/>
          </w:tcPr>
          <w:p>
            <w:r/>
            <w:r>
              <w:rPr>
                <w:sz w:val="18"/>
              </w:rPr>
              <w:t>Servicing Fee (1.50% p.a., calculated monthly) to Hawthorne</w:t>
            </w:r>
          </w:p>
        </w:tc>
      </w:tr>
      <w:tr>
        <w:tc>
          <w:tcPr>
            <w:tcW w:type="dxa" w:w="1296"/>
          </w:tcPr>
          <w:p>
            <w:r/>
            <w:r>
              <w:rPr>
                <w:sz w:val="18"/>
              </w:rPr>
              <w:t>Fourth</w:t>
            </w:r>
          </w:p>
        </w:tc>
        <w:tc>
          <w:tcPr>
            <w:tcW w:type="dxa" w:w="8352"/>
          </w:tcPr>
          <w:p>
            <w:r/>
            <w:r>
              <w:rPr>
                <w:sz w:val="18"/>
              </w:rPr>
              <w:t>Accrued and unpaid interest to Lenders</w:t>
            </w:r>
          </w:p>
        </w:tc>
      </w:tr>
      <w:tr>
        <w:tc>
          <w:tcPr>
            <w:tcW w:type="dxa" w:w="1296"/>
          </w:tcPr>
          <w:p>
            <w:r/>
            <w:r>
              <w:rPr>
                <w:sz w:val="18"/>
              </w:rPr>
              <w:t>Fifth</w:t>
            </w:r>
          </w:p>
        </w:tc>
        <w:tc>
          <w:tcPr>
            <w:tcW w:type="dxa" w:w="8352"/>
          </w:tcPr>
          <w:p>
            <w:r/>
            <w:r>
              <w:rPr>
                <w:sz w:val="18"/>
              </w:rPr>
              <w:t>Amortization Period only: scheduled principal per the “Amortization Schedule” (not defined)</w:t>
            </w:r>
          </w:p>
        </w:tc>
      </w:tr>
      <w:tr>
        <w:tc>
          <w:tcPr>
            <w:tcW w:type="dxa" w:w="1296"/>
          </w:tcPr>
          <w:p>
            <w:r/>
            <w:r>
              <w:rPr>
                <w:sz w:val="18"/>
              </w:rPr>
              <w:t>Sixth</w:t>
            </w:r>
          </w:p>
        </w:tc>
        <w:tc>
          <w:tcPr>
            <w:tcW w:type="dxa" w:w="8352"/>
          </w:tcPr>
          <w:p>
            <w:r/>
            <w:r>
              <w:rPr>
                <w:sz w:val="18"/>
              </w:rPr>
              <w:t>Principal to cure any Borrowing Base Deficiency</w:t>
            </w:r>
          </w:p>
        </w:tc>
      </w:tr>
      <w:tr>
        <w:tc>
          <w:tcPr>
            <w:tcW w:type="dxa" w:w="1296"/>
          </w:tcPr>
          <w:p>
            <w:r/>
            <w:r>
              <w:rPr>
                <w:sz w:val="18"/>
              </w:rPr>
              <w:t>Seventh</w:t>
            </w:r>
          </w:p>
        </w:tc>
        <w:tc>
          <w:tcPr>
            <w:tcW w:type="dxa" w:w="8352"/>
          </w:tcPr>
          <w:p>
            <w:r/>
            <w:r>
              <w:rPr>
                <w:sz w:val="18"/>
              </w:rPr>
              <w:t>Reserve Account to the Required Reserve Account Balance (1.00% of outstanding facility balance)</w:t>
            </w:r>
          </w:p>
        </w:tc>
      </w:tr>
      <w:tr>
        <w:tc>
          <w:tcPr>
            <w:tcW w:type="dxa" w:w="1296"/>
          </w:tcPr>
          <w:p>
            <w:r/>
            <w:r>
              <w:rPr>
                <w:sz w:val="18"/>
              </w:rPr>
              <w:t>Eighth</w:t>
            </w:r>
          </w:p>
        </w:tc>
        <w:tc>
          <w:tcPr>
            <w:tcW w:type="dxa" w:w="8352"/>
          </w:tcPr>
          <w:p>
            <w:r/>
            <w:r>
              <w:rPr>
                <w:sz w:val="18"/>
              </w:rPr>
              <w:t>Remainder to the SPV equity holder (Hawthorne)</w:t>
            </w:r>
          </w:p>
        </w:tc>
      </w:tr>
      <w:tr>
        <w:tc>
          <w:tcPr>
            <w:tcW w:type="dxa" w:w="1296"/>
          </w:tcPr>
          <w:p>
            <w:r/>
            <w:r>
              <w:rPr>
                <w:sz w:val="18"/>
              </w:rPr>
              <w:t>Definitions</w:t>
            </w:r>
          </w:p>
        </w:tc>
        <w:tc>
          <w:tcPr>
            <w:tcW w:type="dxa" w:w="8352"/>
          </w:tcPr>
          <w:p>
            <w:r/>
            <w:r>
              <w:rPr>
                <w:sz w:val="18"/>
              </w:rPr>
              <w:t>Available Funds: all collections (scheduled P&amp;I, prepayments, liquidation proceeds, net recoveries) received in the Collection Period. Collection Period: the calendar month before the Payment Date.</w:t>
            </w:r>
          </w:p>
        </w:tc>
      </w:tr>
    </w:tbl>
    <w:p>
      <w:pPr>
        <w:spacing w:after="40"/>
      </w:pPr>
    </w:p>
    <w:p>
      <w:pPr>
        <w:pStyle w:val="Heading2"/>
      </w:pPr>
      <w:r>
        <w:t>3.7 Financial Covenants (Hawthorne; quarter-end unless stated; certified quarterly)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1F3A5F"/>
          </w:tcPr>
          <w:p>
            <w:r/>
            <w:r>
              <w:rPr>
                <w:b/>
                <w:color w:val="FFFFFF"/>
                <w:sz w:val="18"/>
              </w:rPr>
              <w:t>Covenant</w:t>
            </w:r>
          </w:p>
        </w:tc>
        <w:tc>
          <w:tcPr>
            <w:tcW w:type="dxa" w:w="2304"/>
            <w:shd w:val="clear" w:color="auto" w:fill="1F3A5F"/>
          </w:tcPr>
          <w:p>
            <w:r/>
            <w:r>
              <w:rPr>
                <w:b/>
                <w:color w:val="FFFFFF"/>
                <w:sz w:val="18"/>
              </w:rPr>
              <w:t>Level</w:t>
            </w:r>
          </w:p>
        </w:tc>
        <w:tc>
          <w:tcPr>
            <w:tcW w:type="dxa" w:w="5040"/>
            <w:shd w:val="clear" w:color="auto" w:fill="1F3A5F"/>
          </w:tcPr>
          <w:p>
            <w:r/>
            <w:r>
              <w:rPr>
                <w:b/>
                <w:color w:val="FFFFFF"/>
                <w:sz w:val="18"/>
              </w:rPr>
              <w:t>Definition / Test</w:t>
            </w:r>
          </w:p>
        </w:tc>
      </w:tr>
      <w:tr>
        <w:tc>
          <w:tcPr>
            <w:tcW w:type="dxa" w:w="2304"/>
          </w:tcPr>
          <w:p>
            <w:r/>
            <w:r>
              <w:rPr>
                <w:sz w:val="18"/>
              </w:rPr>
              <w:t>Minimum Tangible Net Worth</w:t>
            </w:r>
          </w:p>
        </w:tc>
        <w:tc>
          <w:tcPr>
            <w:tcW w:type="dxa" w:w="2304"/>
          </w:tcPr>
          <w:p>
            <w:r/>
            <w:r>
              <w:rPr>
                <w:sz w:val="18"/>
              </w:rPr>
              <w:t>≥ $75,000,000 at all times</w:t>
            </w:r>
          </w:p>
        </w:tc>
        <w:tc>
          <w:tcPr>
            <w:tcW w:type="dxa" w:w="5040"/>
          </w:tcPr>
          <w:p>
            <w:r/>
            <w:r>
              <w:rPr>
                <w:sz w:val="18"/>
              </w:rPr>
              <w:t>Total assets − intangibles (incl. goodwill) − total liabilities (GAAP)</w:t>
            </w:r>
          </w:p>
        </w:tc>
      </w:tr>
      <w:tr>
        <w:tc>
          <w:tcPr>
            <w:tcW w:type="dxa" w:w="2304"/>
          </w:tcPr>
          <w:p>
            <w:r/>
            <w:r>
              <w:rPr>
                <w:sz w:val="18"/>
              </w:rPr>
              <w:t>Maximum Debt-to-Equity</w:t>
            </w:r>
          </w:p>
        </w:tc>
        <w:tc>
          <w:tcPr>
            <w:tcW w:type="dxa" w:w="2304"/>
          </w:tcPr>
          <w:p>
            <w:r/>
            <w:r>
              <w:rPr>
                <w:sz w:val="18"/>
              </w:rPr>
              <w:t>≤ 4.00 : 1.00, quarter-end</w:t>
            </w:r>
          </w:p>
        </w:tc>
        <w:tc>
          <w:tcPr>
            <w:tcW w:type="dxa" w:w="5040"/>
          </w:tcPr>
          <w:p>
            <w:r/>
            <w:r>
              <w:rPr>
                <w:sz w:val="18"/>
              </w:rPr>
              <w:t>Total indebtedness ÷ TNW</w:t>
            </w:r>
          </w:p>
        </w:tc>
      </w:tr>
      <w:tr>
        <w:tc>
          <w:tcPr>
            <w:tcW w:type="dxa" w:w="2304"/>
          </w:tcPr>
          <w:p>
            <w:r/>
            <w:r>
              <w:rPr>
                <w:sz w:val="18"/>
              </w:rPr>
              <w:t>Minimum Liquidity</w:t>
            </w:r>
          </w:p>
        </w:tc>
        <w:tc>
          <w:tcPr>
            <w:tcW w:type="dxa" w:w="2304"/>
          </w:tcPr>
          <w:p>
            <w:r/>
            <w:r>
              <w:rPr>
                <w:sz w:val="18"/>
              </w:rPr>
              <w:t>≥ $25,000,000 at all times</w:t>
            </w:r>
          </w:p>
        </w:tc>
        <w:tc>
          <w:tcPr>
            <w:tcW w:type="dxa" w:w="5040"/>
          </w:tcPr>
          <w:p>
            <w:r/>
            <w:r>
              <w:rPr>
                <w:sz w:val="18"/>
              </w:rPr>
              <w:t>Unrestricted cash and equivalents (consolidated) + unused availability under all committed warehouse facilities (including this one)</w:t>
            </w:r>
          </w:p>
        </w:tc>
      </w:tr>
      <w:tr>
        <w:tc>
          <w:tcPr>
            <w:tcW w:type="dxa" w:w="2304"/>
          </w:tcPr>
          <w:p>
            <w:r/>
            <w:r>
              <w:rPr>
                <w:sz w:val="18"/>
              </w:rPr>
              <w:t>60+ Day Delinquency Ratio</w:t>
            </w:r>
          </w:p>
        </w:tc>
        <w:tc>
          <w:tcPr>
            <w:tcW w:type="dxa" w:w="2304"/>
          </w:tcPr>
          <w:p>
            <w:r/>
            <w:r>
              <w:rPr>
                <w:sz w:val="18"/>
              </w:rPr>
              <w:t>≤ 6.00% (breach if exceeded on 2 consecutive monthly determination dates)</w:t>
            </w:r>
          </w:p>
        </w:tc>
        <w:tc>
          <w:tcPr>
            <w:tcW w:type="dxa" w:w="5040"/>
          </w:tcPr>
          <w:p>
            <w:r/>
            <w:r>
              <w:rPr>
                <w:sz w:val="18"/>
              </w:rPr>
              <w:t>Balance of receivables 60+ dpd ÷ balance of all receivables. Also EoD 15(a). 4.50% drives the advance-rate step-down.</w:t>
            </w:r>
          </w:p>
        </w:tc>
      </w:tr>
      <w:tr>
        <w:tc>
          <w:tcPr>
            <w:tcW w:type="dxa" w:w="2304"/>
          </w:tcPr>
          <w:p>
            <w:r/>
            <w:r>
              <w:rPr>
                <w:sz w:val="18"/>
              </w:rPr>
              <w:t>“Cumulative” Net Loss Ratio</w:t>
            </w:r>
          </w:p>
        </w:tc>
        <w:tc>
          <w:tcPr>
            <w:tcW w:type="dxa" w:w="2304"/>
          </w:tcPr>
          <w:p>
            <w:r/>
            <w:r>
              <w:rPr>
                <w:sz w:val="18"/>
              </w:rPr>
              <w:t>≤ 12.00% annualized</w:t>
            </w:r>
          </w:p>
        </w:tc>
        <w:tc>
          <w:tcPr>
            <w:tcW w:type="dxa" w:w="5040"/>
          </w:tcPr>
          <w:p>
            <w:r/>
            <w:r>
              <w:rPr>
                <w:sz w:val="18"/>
              </w:rPr>
              <w:t>Charge-offs (net of recoveries) during the measurement period ÷ average outstanding balance, annualized. Also EoD 15(b).</w:t>
            </w:r>
          </w:p>
        </w:tc>
      </w:tr>
      <w:tr>
        <w:tc>
          <w:tcPr>
            <w:tcW w:type="dxa" w:w="2304"/>
          </w:tcPr>
          <w:p>
            <w:r/>
            <w:r>
              <w:rPr>
                <w:sz w:val="18"/>
              </w:rPr>
              <w:t>Minimum Servicing Coverage Ratio</w:t>
            </w:r>
          </w:p>
        </w:tc>
        <w:tc>
          <w:tcPr>
            <w:tcW w:type="dxa" w:w="2304"/>
          </w:tcPr>
          <w:p>
            <w:r/>
            <w:r>
              <w:rPr>
                <w:sz w:val="18"/>
              </w:rPr>
              <w:t>[●] : 1.00</w:t>
            </w:r>
          </w:p>
        </w:tc>
        <w:tc>
          <w:tcPr>
            <w:tcW w:type="dxa" w:w="5040"/>
          </w:tcPr>
          <w:p>
            <w:r/>
            <w:r>
              <w:rPr>
                <w:sz w:val="18"/>
              </w:rPr>
              <w:t>Definition, threshold and methodology left to definitive documentation</w:t>
            </w:r>
          </w:p>
        </w:tc>
      </w:tr>
    </w:tbl>
    <w:p>
      <w:pPr>
        <w:spacing w:after="40"/>
      </w:pPr>
    </w:p>
    <w:p>
      <w:pPr>
        <w:pStyle w:val="Heading2"/>
      </w:pPr>
      <w:r>
        <w:t>3.8 Representations and Warranties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Entity-level (Hawthorne and SPV), at Closing and (certain) each borrowing date</w:t>
            </w:r>
          </w:p>
        </w:tc>
        <w:tc>
          <w:tcPr>
            <w:tcW w:type="dxa" w:w="6264"/>
          </w:tcPr>
          <w:p>
            <w:r/>
            <w:r>
              <w:rPr>
                <w:sz w:val="18"/>
              </w:rPr>
              <w:t>(1) organization and good standing; (2) authority; (3) enforceability (customary exceptions); (4) no conflicts; (5) no pending or threatened litigation/investigation that could reasonably be expected to result in liability &gt; $2.5MM aggregate; (6) compliance with laws (material respects); (7) taxes; (8) SPV disregarded entity; (9) no ERISA event &gt; $5MM; (10) solvency; (11) bankruptcy remoteness; (12) true sale Hawthorne→SPV; (13) first-priority perfected security interest; (14) “Adequate Servicer” rating from Aldersgate</w:t>
            </w:r>
          </w:p>
        </w:tc>
        <w:tc>
          <w:tcPr>
            <w:tcW w:type="dxa" w:w="1296"/>
          </w:tcPr>
          <w:p>
            <w:r/>
            <w:r>
              <w:rPr>
                <w:sz w:val="18"/>
              </w:rPr>
              <w:t>TS §VIII 1–14</w:t>
            </w:r>
          </w:p>
        </w:tc>
      </w:tr>
      <w:tr>
        <w:tc>
          <w:tcPr>
            <w:tcW w:type="dxa" w:w="2088"/>
          </w:tcPr>
          <w:p>
            <w:r/>
            <w:r>
              <w:rPr>
                <w:sz w:val="18"/>
              </w:rPr>
              <w:t>Servicer-specific</w:t>
            </w:r>
          </w:p>
        </w:tc>
        <w:tc>
          <w:tcPr>
            <w:tcW w:type="dxa" w:w="6264"/>
          </w:tcPr>
          <w:p>
            <w:r/>
            <w:r>
              <w:rPr>
                <w:sz w:val="18"/>
              </w:rPr>
              <w:t>(15) licensing, “to the best of Hawthorne’s knowledge”; (16) servicing standards; (17) no Servicer Termination Event or incipient STE</w:t>
            </w:r>
          </w:p>
        </w:tc>
        <w:tc>
          <w:tcPr>
            <w:tcW w:type="dxa" w:w="1296"/>
          </w:tcPr>
          <w:p>
            <w:r/>
            <w:r>
              <w:rPr>
                <w:sz w:val="18"/>
              </w:rPr>
              <w:t>TS §VIII 15–17</w:t>
            </w:r>
          </w:p>
        </w:tc>
      </w:tr>
      <w:tr>
        <w:tc>
          <w:tcPr>
            <w:tcW w:type="dxa" w:w="2088"/>
          </w:tcPr>
          <w:p>
            <w:r/>
            <w:r>
              <w:rPr>
                <w:sz w:val="18"/>
              </w:rPr>
              <w:t>Receivable-level, each borrowing date</w:t>
            </w:r>
          </w:p>
        </w:tc>
        <w:tc>
          <w:tcPr>
            <w:tcW w:type="dxa" w:w="6264"/>
          </w:tcPr>
          <w:p>
            <w:r/>
            <w:r>
              <w:rPr>
                <w:sz w:val="18"/>
              </w:rPr>
              <w:t>(18) each receivable is Eligible at transfer; (19) originated per guidelines; (20) receivable schedule true, complete and correct in all material respects; (21) good and marketable title, free of liens other than the Agent’s</w:t>
            </w:r>
          </w:p>
        </w:tc>
        <w:tc>
          <w:tcPr>
            <w:tcW w:type="dxa" w:w="1296"/>
          </w:tcPr>
          <w:p>
            <w:r/>
            <w:r>
              <w:rPr>
                <w:sz w:val="18"/>
              </w:rPr>
              <w:t>TS §VIII 18–21</w:t>
            </w:r>
          </w:p>
        </w:tc>
      </w:tr>
    </w:tbl>
    <w:p>
      <w:pPr>
        <w:spacing w:after="40"/>
      </w:pPr>
    </w:p>
    <w:p>
      <w:pPr>
        <w:pStyle w:val="Heading2"/>
      </w:pPr>
      <w:r>
        <w:t>3.9 Affirmative and Negative Covenants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Affirmative (Hawthorne and SPV)</w:t>
            </w:r>
          </w:p>
        </w:tc>
        <w:tc>
          <w:tcPr>
            <w:tcW w:type="dxa" w:w="6264"/>
          </w:tcPr>
          <w:p>
            <w:r/>
            <w:r>
              <w:rPr>
                <w:sz w:val="18"/>
              </w:rPr>
              <w:t>Existence; compliance with laws; licenses (42 states + DC); taxes; insurance; GAAP books; access on reasonable notice; SPV separateness; appoint Graystone as BUS by Nov. 13, 2025 and maintain it; notices (EoD/potential EoD within 2 BD; material litigation/regulatory action within 5 BD; underwriting changes; servicer rating downgrade; Change of Control); servicing per Servicing Agreement; maintain accounts at Northbridge; use of proceeds solely to acquire eligible receivables from Hawthorne</w:t>
            </w:r>
          </w:p>
        </w:tc>
        <w:tc>
          <w:tcPr>
            <w:tcW w:type="dxa" w:w="1296"/>
          </w:tcPr>
          <w:p>
            <w:r/>
            <w:r>
              <w:rPr>
                <w:sz w:val="18"/>
              </w:rPr>
              <w:t>TS §IX 1–13</w:t>
            </w:r>
          </w:p>
        </w:tc>
      </w:tr>
      <w:tr>
        <w:tc>
          <w:tcPr>
            <w:tcW w:type="dxa" w:w="2088"/>
          </w:tcPr>
          <w:p>
            <w:r/>
            <w:r>
              <w:rPr>
                <w:sz w:val="18"/>
              </w:rPr>
              <w:t>Negative: SPV</w:t>
            </w:r>
          </w:p>
        </w:tc>
        <w:tc>
          <w:tcPr>
            <w:tcW w:type="dxa" w:w="6264"/>
          </w:tcPr>
          <w:p>
            <w:r/>
            <w:r>
              <w:rPr>
                <w:sz w:val="18"/>
              </w:rPr>
              <w:t>No other indebtedness; no liens other than the Agent’s; no dissolution, merger or consolidation; no amendment of organizational documents without Agent consent; collections deposited within 2 BD and not commingled</w:t>
            </w:r>
          </w:p>
        </w:tc>
        <w:tc>
          <w:tcPr>
            <w:tcW w:type="dxa" w:w="1296"/>
          </w:tcPr>
          <w:p>
            <w:r/>
            <w:r>
              <w:rPr>
                <w:sz w:val="18"/>
              </w:rPr>
              <w:t>TS §X 1–5</w:t>
            </w:r>
          </w:p>
        </w:tc>
      </w:tr>
      <w:tr>
        <w:tc>
          <w:tcPr>
            <w:tcW w:type="dxa" w:w="2088"/>
          </w:tcPr>
          <w:p>
            <w:r/>
            <w:r>
              <w:rPr>
                <w:sz w:val="18"/>
              </w:rPr>
              <w:t>Negative: Hawthorne</w:t>
            </w:r>
          </w:p>
        </w:tc>
        <w:tc>
          <w:tcPr>
            <w:tcW w:type="dxa" w:w="6264"/>
          </w:tcPr>
          <w:p>
            <w:r/>
            <w:r>
              <w:rPr>
                <w:sz w:val="18"/>
              </w:rPr>
              <w:t>No Change of Control (see EoD 6); no material change in business; no material modification of underwriting guidelines without 30 days’ prior notice and Agent consent (not unreasonably withheld); no dividends or distributions if, pro forma, financial covenants would be breached</w:t>
            </w:r>
          </w:p>
        </w:tc>
        <w:tc>
          <w:tcPr>
            <w:tcW w:type="dxa" w:w="1296"/>
          </w:tcPr>
          <w:p>
            <w:r/>
            <w:r>
              <w:rPr>
                <w:sz w:val="18"/>
              </w:rPr>
              <w:t>TS §X 6–9</w:t>
            </w:r>
          </w:p>
        </w:tc>
      </w:tr>
    </w:tbl>
    <w:p>
      <w:pPr>
        <w:spacing w:after="40"/>
      </w:pPr>
    </w:p>
    <w:p>
      <w:pPr>
        <w:pStyle w:val="Heading2"/>
      </w:pPr>
      <w:r>
        <w:t>3.10 Events of Default (with Side Letter modifications)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576"/>
            <w:shd w:val="clear" w:color="auto" w:fill="1F3A5F"/>
          </w:tcPr>
          <w:p>
            <w:r/>
            <w:r>
              <w:rPr>
                <w:b/>
                <w:color w:val="FFFFFF"/>
                <w:sz w:val="18"/>
              </w:rPr>
              <w:t>#</w:t>
            </w:r>
          </w:p>
        </w:tc>
        <w:tc>
          <w:tcPr>
            <w:tcW w:type="dxa" w:w="5616"/>
            <w:shd w:val="clear" w:color="auto" w:fill="1F3A5F"/>
          </w:tcPr>
          <w:p>
            <w:r/>
            <w:r>
              <w:rPr>
                <w:b/>
                <w:color w:val="FFFFFF"/>
                <w:sz w:val="18"/>
              </w:rPr>
              <w:t>Event of Default</w:t>
            </w:r>
          </w:p>
        </w:tc>
        <w:tc>
          <w:tcPr>
            <w:tcW w:type="dxa" w:w="2088"/>
            <w:shd w:val="clear" w:color="auto" w:fill="1F3A5F"/>
          </w:tcPr>
          <w:p>
            <w:r/>
            <w:r>
              <w:rPr>
                <w:b/>
                <w:color w:val="FFFFFF"/>
                <w:sz w:val="18"/>
              </w:rPr>
              <w:t>Grace / Threshold</w:t>
            </w:r>
          </w:p>
        </w:tc>
        <w:tc>
          <w:tcPr>
            <w:tcW w:type="dxa" w:w="1368"/>
            <w:shd w:val="clear" w:color="auto" w:fill="1F3A5F"/>
          </w:tcPr>
          <w:p>
            <w:r/>
            <w:r>
              <w:rPr>
                <w:b/>
                <w:color w:val="FFFFFF"/>
                <w:sz w:val="18"/>
              </w:rPr>
              <w:t>Source</w:t>
            </w:r>
          </w:p>
        </w:tc>
      </w:tr>
      <w:tr>
        <w:tc>
          <w:tcPr>
            <w:tcW w:type="dxa" w:w="576"/>
          </w:tcPr>
          <w:p>
            <w:r/>
            <w:r>
              <w:rPr>
                <w:sz w:val="18"/>
              </w:rPr>
              <w:t>1</w:t>
            </w:r>
          </w:p>
        </w:tc>
        <w:tc>
          <w:tcPr>
            <w:tcW w:type="dxa" w:w="5616"/>
          </w:tcPr>
          <w:p>
            <w:r/>
            <w:r>
              <w:rPr>
                <w:sz w:val="18"/>
              </w:rPr>
              <w:t>Non-payment of interest or fees</w:t>
            </w:r>
          </w:p>
        </w:tc>
        <w:tc>
          <w:tcPr>
            <w:tcW w:type="dxa" w:w="2088"/>
          </w:tcPr>
          <w:p>
            <w:r/>
            <w:r>
              <w:rPr>
                <w:sz w:val="18"/>
              </w:rPr>
              <w:t>5 BD after written notice</w:t>
            </w:r>
          </w:p>
        </w:tc>
        <w:tc>
          <w:tcPr>
            <w:tcW w:type="dxa" w:w="1368"/>
          </w:tcPr>
          <w:p>
            <w:r/>
            <w:r>
              <w:rPr>
                <w:sz w:val="18"/>
              </w:rPr>
              <w:t>TS §XI.1</w:t>
            </w:r>
          </w:p>
        </w:tc>
      </w:tr>
      <w:tr>
        <w:tc>
          <w:tcPr>
            <w:tcW w:type="dxa" w:w="576"/>
          </w:tcPr>
          <w:p>
            <w:r/>
            <w:r>
              <w:rPr>
                <w:sz w:val="18"/>
              </w:rPr>
              <w:t>2</w:t>
            </w:r>
          </w:p>
        </w:tc>
        <w:tc>
          <w:tcPr>
            <w:tcW w:type="dxa" w:w="5616"/>
          </w:tcPr>
          <w:p>
            <w:r/>
            <w:r>
              <w:rPr>
                <w:sz w:val="18"/>
              </w:rPr>
              <w:t>Non-payment of principal</w:t>
            </w:r>
          </w:p>
        </w:tc>
        <w:tc>
          <w:tcPr>
            <w:tcW w:type="dxa" w:w="2088"/>
          </w:tcPr>
          <w:p>
            <w:r/>
            <w:r>
              <w:rPr>
                <w:sz w:val="18"/>
              </w:rPr>
              <w:t>None</w:t>
            </w:r>
          </w:p>
        </w:tc>
        <w:tc>
          <w:tcPr>
            <w:tcW w:type="dxa" w:w="1368"/>
          </w:tcPr>
          <w:p>
            <w:r/>
            <w:r>
              <w:rPr>
                <w:sz w:val="18"/>
              </w:rPr>
              <w:t>TS §XI.2</w:t>
            </w:r>
          </w:p>
        </w:tc>
      </w:tr>
      <w:tr>
        <w:tc>
          <w:tcPr>
            <w:tcW w:type="dxa" w:w="576"/>
          </w:tcPr>
          <w:p>
            <w:r/>
            <w:r>
              <w:rPr>
                <w:sz w:val="18"/>
              </w:rPr>
              <w:t>3</w:t>
            </w:r>
          </w:p>
        </w:tc>
        <w:tc>
          <w:tcPr>
            <w:tcW w:type="dxa" w:w="5616"/>
          </w:tcPr>
          <w:p>
            <w:r/>
            <w:r>
              <w:rPr>
                <w:sz w:val="18"/>
              </w:rPr>
              <w:t>Breach of financial covenants</w:t>
            </w:r>
          </w:p>
        </w:tc>
        <w:tc>
          <w:tcPr>
            <w:tcW w:type="dxa" w:w="2088"/>
          </w:tcPr>
          <w:p>
            <w:r/>
            <w:r>
              <w:rPr>
                <w:sz w:val="18"/>
              </w:rPr>
              <w:t>None</w:t>
            </w:r>
          </w:p>
        </w:tc>
        <w:tc>
          <w:tcPr>
            <w:tcW w:type="dxa" w:w="1368"/>
          </w:tcPr>
          <w:p>
            <w:r/>
            <w:r>
              <w:rPr>
                <w:sz w:val="18"/>
              </w:rPr>
              <w:t>TS §XI.3</w:t>
            </w:r>
          </w:p>
        </w:tc>
      </w:tr>
      <w:tr>
        <w:tc>
          <w:tcPr>
            <w:tcW w:type="dxa" w:w="576"/>
          </w:tcPr>
          <w:p>
            <w:r/>
            <w:r>
              <w:rPr>
                <w:sz w:val="18"/>
              </w:rPr>
              <w:t>4</w:t>
            </w:r>
          </w:p>
        </w:tc>
        <w:tc>
          <w:tcPr>
            <w:tcW w:type="dxa" w:w="5616"/>
          </w:tcPr>
          <w:p>
            <w:r/>
            <w:r>
              <w:rPr>
                <w:sz w:val="18"/>
              </w:rPr>
              <w:t>Breach of other covenants</w:t>
            </w:r>
          </w:p>
        </w:tc>
        <w:tc>
          <w:tcPr>
            <w:tcW w:type="dxa" w:w="2088"/>
          </w:tcPr>
          <w:p>
            <w:r/>
            <w:r>
              <w:rPr>
                <w:sz w:val="18"/>
              </w:rPr>
              <w:t>30 days after notice (or shorter where specified)</w:t>
            </w:r>
          </w:p>
        </w:tc>
        <w:tc>
          <w:tcPr>
            <w:tcW w:type="dxa" w:w="1368"/>
          </w:tcPr>
          <w:p>
            <w:r/>
            <w:r>
              <w:rPr>
                <w:sz w:val="18"/>
              </w:rPr>
              <w:t>TS §XI.4</w:t>
            </w:r>
          </w:p>
        </w:tc>
      </w:tr>
      <w:tr>
        <w:tc>
          <w:tcPr>
            <w:tcW w:type="dxa" w:w="576"/>
          </w:tcPr>
          <w:p>
            <w:r/>
            <w:r>
              <w:rPr>
                <w:sz w:val="18"/>
              </w:rPr>
              <w:t>5</w:t>
            </w:r>
          </w:p>
        </w:tc>
        <w:tc>
          <w:tcPr>
            <w:tcW w:type="dxa" w:w="5616"/>
          </w:tcPr>
          <w:p>
            <w:r/>
            <w:r>
              <w:rPr>
                <w:sz w:val="18"/>
              </w:rPr>
              <w:t>Insolvency proceeding by or against Hawthorne or SPV</w:t>
            </w:r>
          </w:p>
        </w:tc>
        <w:tc>
          <w:tcPr>
            <w:tcW w:type="dxa" w:w="2088"/>
          </w:tcPr>
          <w:p>
            <w:r/>
            <w:r>
              <w:rPr>
                <w:sz w:val="18"/>
              </w:rPr>
              <w:t>None (incl. involuntary)</w:t>
            </w:r>
          </w:p>
        </w:tc>
        <w:tc>
          <w:tcPr>
            <w:tcW w:type="dxa" w:w="1368"/>
          </w:tcPr>
          <w:p>
            <w:r/>
            <w:r>
              <w:rPr>
                <w:sz w:val="18"/>
              </w:rPr>
              <w:t>TS §XI.5</w:t>
            </w:r>
          </w:p>
        </w:tc>
      </w:tr>
      <w:tr>
        <w:tc>
          <w:tcPr>
            <w:tcW w:type="dxa" w:w="576"/>
          </w:tcPr>
          <w:p>
            <w:r/>
            <w:r>
              <w:rPr>
                <w:sz w:val="18"/>
              </w:rPr>
              <w:t>6</w:t>
            </w:r>
          </w:p>
        </w:tc>
        <w:tc>
          <w:tcPr>
            <w:tcW w:type="dxa" w:w="5616"/>
          </w:tcPr>
          <w:p>
            <w:r/>
            <w:r>
              <w:rPr>
                <w:sz w:val="18"/>
              </w:rPr>
              <w:t>Change of Control: any person or 13(d) group acquires &gt; 50% of Hawthorne voting equity</w:t>
            </w:r>
          </w:p>
        </w:tc>
        <w:tc>
          <w:tcPr>
            <w:tcW w:type="dxa" w:w="2088"/>
          </w:tcPr>
          <w:p>
            <w:r/>
            <w:r>
              <w:rPr>
                <w:sz w:val="18"/>
              </w:rPr>
              <w:t>None</w:t>
            </w:r>
          </w:p>
        </w:tc>
        <w:tc>
          <w:tcPr>
            <w:tcW w:type="dxa" w:w="1368"/>
          </w:tcPr>
          <w:p>
            <w:r/>
            <w:r>
              <w:rPr>
                <w:sz w:val="18"/>
              </w:rPr>
              <w:t>TS §XI.6</w:t>
            </w:r>
          </w:p>
        </w:tc>
      </w:tr>
      <w:tr>
        <w:tc>
          <w:tcPr>
            <w:tcW w:type="dxa" w:w="576"/>
          </w:tcPr>
          <w:p>
            <w:r/>
            <w:r>
              <w:rPr>
                <w:sz w:val="18"/>
              </w:rPr>
              <w:t>7</w:t>
            </w:r>
          </w:p>
        </w:tc>
        <w:tc>
          <w:tcPr>
            <w:tcW w:type="dxa" w:w="5616"/>
          </w:tcPr>
          <w:p>
            <w:r/>
            <w:r>
              <w:rPr>
                <w:sz w:val="18"/>
              </w:rPr>
              <w:t>Cross-default. TS: Hawthorne or any subsidiary, other indebtedness &gt; $10MM, if accelerated or holders may accelerate. SL (“notwithstanding”): Hawthorne, any subsidiary or the SPV defaults under any indebtedness for borrowed money or any credit, warehouse, repo or similar facility &gt; $15MM (no acceleration element).</w:t>
            </w:r>
          </w:p>
        </w:tc>
        <w:tc>
          <w:tcPr>
            <w:tcW w:type="dxa" w:w="2088"/>
          </w:tcPr>
          <w:p>
            <w:r/>
            <w:r>
              <w:rPr>
                <w:sz w:val="18"/>
              </w:rPr>
              <w:t>$10MM → $15MM (SL)</w:t>
            </w:r>
          </w:p>
        </w:tc>
        <w:tc>
          <w:tcPr>
            <w:tcW w:type="dxa" w:w="1368"/>
          </w:tcPr>
          <w:p>
            <w:r/>
            <w:r>
              <w:rPr>
                <w:sz w:val="18"/>
              </w:rPr>
              <w:t>TS §XI.7; SL §5</w:t>
            </w:r>
          </w:p>
        </w:tc>
      </w:tr>
      <w:tr>
        <w:tc>
          <w:tcPr>
            <w:tcW w:type="dxa" w:w="576"/>
          </w:tcPr>
          <w:p>
            <w:r/>
            <w:r>
              <w:rPr>
                <w:sz w:val="18"/>
              </w:rPr>
              <w:t>8</w:t>
            </w:r>
          </w:p>
        </w:tc>
        <w:tc>
          <w:tcPr>
            <w:tcW w:type="dxa" w:w="5616"/>
          </w:tcPr>
          <w:p>
            <w:r/>
            <w:r>
              <w:rPr>
                <w:sz w:val="18"/>
              </w:rPr>
              <w:t>Material adverse change in (a) Hawthorne business/assets/operations/financial condition, (b) ability to perform, (c) collectibility/value of receivables or the security interest</w:t>
            </w:r>
          </w:p>
        </w:tc>
        <w:tc>
          <w:tcPr>
            <w:tcW w:type="dxa" w:w="2088"/>
          </w:tcPr>
          <w:p>
            <w:r/>
            <w:r>
              <w:rPr>
                <w:sz w:val="18"/>
              </w:rPr>
              <w:t>None</w:t>
            </w:r>
          </w:p>
        </w:tc>
        <w:tc>
          <w:tcPr>
            <w:tcW w:type="dxa" w:w="1368"/>
          </w:tcPr>
          <w:p>
            <w:r/>
            <w:r>
              <w:rPr>
                <w:sz w:val="18"/>
              </w:rPr>
              <w:t>TS §XI.8</w:t>
            </w:r>
          </w:p>
        </w:tc>
      </w:tr>
      <w:tr>
        <w:tc>
          <w:tcPr>
            <w:tcW w:type="dxa" w:w="576"/>
          </w:tcPr>
          <w:p>
            <w:r/>
            <w:r>
              <w:rPr>
                <w:sz w:val="18"/>
              </w:rPr>
              <w:t>9</w:t>
            </w:r>
          </w:p>
        </w:tc>
        <w:tc>
          <w:tcPr>
            <w:tcW w:type="dxa" w:w="5616"/>
          </w:tcPr>
          <w:p>
            <w:r/>
            <w:r>
              <w:rPr>
                <w:sz w:val="18"/>
              </w:rPr>
              <w:t>Servicer Termination Event: failure to deposit or pay (2 BD); material Servicing Agreement covenant (15 days after notice); Servicer insolvency</w:t>
            </w:r>
          </w:p>
        </w:tc>
        <w:tc>
          <w:tcPr>
            <w:tcW w:type="dxa" w:w="2088"/>
          </w:tcPr>
          <w:p>
            <w:r/>
            <w:r>
              <w:rPr>
                <w:sz w:val="18"/>
              </w:rPr>
              <w:t>As stated</w:t>
            </w:r>
          </w:p>
        </w:tc>
        <w:tc>
          <w:tcPr>
            <w:tcW w:type="dxa" w:w="1368"/>
          </w:tcPr>
          <w:p>
            <w:r/>
            <w:r>
              <w:rPr>
                <w:sz w:val="18"/>
              </w:rPr>
              <w:t>TS §XI.9</w:t>
            </w:r>
          </w:p>
        </w:tc>
      </w:tr>
      <w:tr>
        <w:tc>
          <w:tcPr>
            <w:tcW w:type="dxa" w:w="576"/>
          </w:tcPr>
          <w:p>
            <w:r/>
            <w:r>
              <w:rPr>
                <w:sz w:val="18"/>
              </w:rPr>
              <w:t>10</w:t>
            </w:r>
          </w:p>
        </w:tc>
        <w:tc>
          <w:tcPr>
            <w:tcW w:type="dxa" w:w="5616"/>
          </w:tcPr>
          <w:p>
            <w:r/>
            <w:r>
              <w:rPr>
                <w:sz w:val="18"/>
              </w:rPr>
              <w:t>Hawthorne ceases to be Servicer and no BUS in place and ready within 30 days</w:t>
            </w:r>
          </w:p>
        </w:tc>
        <w:tc>
          <w:tcPr>
            <w:tcW w:type="dxa" w:w="2088"/>
          </w:tcPr>
          <w:p>
            <w:r/>
            <w:r>
              <w:rPr>
                <w:sz w:val="18"/>
              </w:rPr>
              <w:t>30 days</w:t>
            </w:r>
          </w:p>
        </w:tc>
        <w:tc>
          <w:tcPr>
            <w:tcW w:type="dxa" w:w="1368"/>
          </w:tcPr>
          <w:p>
            <w:r/>
            <w:r>
              <w:rPr>
                <w:sz w:val="18"/>
              </w:rPr>
              <w:t>TS §XI.10</w:t>
            </w:r>
          </w:p>
        </w:tc>
      </w:tr>
      <w:tr>
        <w:tc>
          <w:tcPr>
            <w:tcW w:type="dxa" w:w="576"/>
          </w:tcPr>
          <w:p>
            <w:r/>
            <w:r>
              <w:rPr>
                <w:sz w:val="18"/>
              </w:rPr>
              <w:t>11</w:t>
            </w:r>
          </w:p>
        </w:tc>
        <w:tc>
          <w:tcPr>
            <w:tcW w:type="dxa" w:w="5616"/>
          </w:tcPr>
          <w:p>
            <w:r/>
            <w:r>
              <w:rPr>
                <w:sz w:val="18"/>
              </w:rPr>
              <w:t>Regulatory action. TS: any federal or state C&amp;D/consent order against Hawthorne or any subsidiary reasonably expected to have an MAE on ability to originate or service. SL: any regulatory authority, against Hawthorne, that in the Agent’s reasonable judgment could reasonably be expected to have an MAE on ability to originate, service or collect the pledged receivables.</w:t>
            </w:r>
          </w:p>
        </w:tc>
        <w:tc>
          <w:tcPr>
            <w:tcW w:type="dxa" w:w="2088"/>
          </w:tcPr>
          <w:p>
            <w:r/>
            <w:r>
              <w:rPr>
                <w:sz w:val="18"/>
              </w:rPr>
              <w:t>None</w:t>
            </w:r>
          </w:p>
        </w:tc>
        <w:tc>
          <w:tcPr>
            <w:tcW w:type="dxa" w:w="1368"/>
          </w:tcPr>
          <w:p>
            <w:r/>
            <w:r>
              <w:rPr>
                <w:sz w:val="18"/>
              </w:rPr>
              <w:t>TS §XI.11; SL §5</w:t>
            </w:r>
          </w:p>
        </w:tc>
      </w:tr>
      <w:tr>
        <w:tc>
          <w:tcPr>
            <w:tcW w:type="dxa" w:w="576"/>
          </w:tcPr>
          <w:p>
            <w:r/>
            <w:r>
              <w:rPr>
                <w:sz w:val="18"/>
              </w:rPr>
              <w:t>12</w:t>
            </w:r>
          </w:p>
        </w:tc>
        <w:tc>
          <w:tcPr>
            <w:tcW w:type="dxa" w:w="5616"/>
          </w:tcPr>
          <w:p>
            <w:r/>
            <w:r>
              <w:rPr>
                <w:sz w:val="18"/>
              </w:rPr>
              <w:t>ERISA event with liability &gt; $5MM</w:t>
            </w:r>
          </w:p>
        </w:tc>
        <w:tc>
          <w:tcPr>
            <w:tcW w:type="dxa" w:w="2088"/>
          </w:tcPr>
          <w:p>
            <w:r/>
            <w:r>
              <w:rPr>
                <w:sz w:val="18"/>
              </w:rPr>
              <w:t>$5MM</w:t>
            </w:r>
          </w:p>
        </w:tc>
        <w:tc>
          <w:tcPr>
            <w:tcW w:type="dxa" w:w="1368"/>
          </w:tcPr>
          <w:p>
            <w:r/>
            <w:r>
              <w:rPr>
                <w:sz w:val="18"/>
              </w:rPr>
              <w:t>TS §XI.12</w:t>
            </w:r>
          </w:p>
        </w:tc>
      </w:tr>
      <w:tr>
        <w:tc>
          <w:tcPr>
            <w:tcW w:type="dxa" w:w="576"/>
          </w:tcPr>
          <w:p>
            <w:r/>
            <w:r>
              <w:rPr>
                <w:sz w:val="18"/>
              </w:rPr>
              <w:t>13</w:t>
            </w:r>
          </w:p>
        </w:tc>
        <w:tc>
          <w:tcPr>
            <w:tcW w:type="dxa" w:w="5616"/>
          </w:tcPr>
          <w:p>
            <w:r/>
            <w:r>
              <w:rPr>
                <w:sz w:val="18"/>
              </w:rPr>
              <w:t>Misrepresentation, material respects, when made</w:t>
            </w:r>
          </w:p>
        </w:tc>
        <w:tc>
          <w:tcPr>
            <w:tcW w:type="dxa" w:w="2088"/>
          </w:tcPr>
          <w:p>
            <w:r/>
            <w:r>
              <w:rPr>
                <w:sz w:val="18"/>
              </w:rPr>
              <w:t>None</w:t>
            </w:r>
          </w:p>
        </w:tc>
        <w:tc>
          <w:tcPr>
            <w:tcW w:type="dxa" w:w="1368"/>
          </w:tcPr>
          <w:p>
            <w:r/>
            <w:r>
              <w:rPr>
                <w:sz w:val="18"/>
              </w:rPr>
              <w:t>TS §XI.13</w:t>
            </w:r>
          </w:p>
        </w:tc>
      </w:tr>
      <w:tr>
        <w:tc>
          <w:tcPr>
            <w:tcW w:type="dxa" w:w="576"/>
          </w:tcPr>
          <w:p>
            <w:r/>
            <w:r>
              <w:rPr>
                <w:sz w:val="18"/>
              </w:rPr>
              <w:t>14</w:t>
            </w:r>
          </w:p>
        </w:tc>
        <w:tc>
          <w:tcPr>
            <w:tcW w:type="dxa" w:w="5616"/>
          </w:tcPr>
          <w:p>
            <w:r/>
            <w:r>
              <w:rPr>
                <w:sz w:val="18"/>
              </w:rPr>
              <w:t>Servicer rating downgraded below “Adequate Servicer”. SL adds: or rating withdrawn.</w:t>
            </w:r>
          </w:p>
        </w:tc>
        <w:tc>
          <w:tcPr>
            <w:tcW w:type="dxa" w:w="2088"/>
          </w:tcPr>
          <w:p>
            <w:r/>
            <w:r>
              <w:rPr>
                <w:sz w:val="18"/>
              </w:rPr>
              <w:t>None</w:t>
            </w:r>
          </w:p>
        </w:tc>
        <w:tc>
          <w:tcPr>
            <w:tcW w:type="dxa" w:w="1368"/>
          </w:tcPr>
          <w:p>
            <w:r/>
            <w:r>
              <w:rPr>
                <w:sz w:val="18"/>
              </w:rPr>
              <w:t>TS §XI.14; SL §5</w:t>
            </w:r>
          </w:p>
        </w:tc>
      </w:tr>
      <w:tr>
        <w:tc>
          <w:tcPr>
            <w:tcW w:type="dxa" w:w="576"/>
          </w:tcPr>
          <w:p>
            <w:r/>
            <w:r>
              <w:rPr>
                <w:sz w:val="18"/>
              </w:rPr>
              <w:t>15</w:t>
            </w:r>
          </w:p>
        </w:tc>
        <w:tc>
          <w:tcPr>
            <w:tcW w:type="dxa" w:w="5616"/>
          </w:tcPr>
          <w:p>
            <w:r/>
            <w:r>
              <w:rPr>
                <w:sz w:val="18"/>
              </w:rPr>
              <w:t>Performance: (a) 60+ DQ &gt; 6.00% on 2 consecutive monthly determination dates; (b) CNL &gt; 12.00% annualized</w:t>
            </w:r>
          </w:p>
        </w:tc>
        <w:tc>
          <w:tcPr>
            <w:tcW w:type="dxa" w:w="2088"/>
          </w:tcPr>
          <w:p>
            <w:r/>
            <w:r>
              <w:rPr>
                <w:sz w:val="18"/>
              </w:rPr>
              <w:t>As stated</w:t>
            </w:r>
          </w:p>
        </w:tc>
        <w:tc>
          <w:tcPr>
            <w:tcW w:type="dxa" w:w="1368"/>
          </w:tcPr>
          <w:p>
            <w:r/>
            <w:r>
              <w:rPr>
                <w:sz w:val="18"/>
              </w:rPr>
              <w:t>TS §XI.15</w:t>
            </w:r>
          </w:p>
        </w:tc>
      </w:tr>
      <w:tr>
        <w:tc>
          <w:tcPr>
            <w:tcW w:type="dxa" w:w="576"/>
          </w:tcPr>
          <w:p>
            <w:r/>
            <w:r>
              <w:rPr>
                <w:sz w:val="18"/>
              </w:rPr>
              <w:t>Remedies</w:t>
            </w:r>
          </w:p>
        </w:tc>
        <w:tc>
          <w:tcPr>
            <w:tcW w:type="dxa" w:w="5616"/>
          </w:tcPr>
          <w:p>
            <w:r/>
            <w:r>
              <w:rPr>
                <w:sz w:val="18"/>
              </w:rPr>
              <w:t>Accelerate; terminate the Revolving Period and start amortization; enforce the security interest; direct the Trustee</w:t>
            </w:r>
          </w:p>
        </w:tc>
        <w:tc>
          <w:tcPr>
            <w:tcW w:type="dxa" w:w="2088"/>
          </w:tcPr>
          <w:p>
            <w:r/>
            <w:r>
              <w:rPr>
                <w:sz w:val="18"/>
              </w:rPr>
            </w:r>
          </w:p>
        </w:tc>
        <w:tc>
          <w:tcPr>
            <w:tcW w:type="dxa" w:w="1368"/>
          </w:tcPr>
          <w:p>
            <w:r/>
            <w:r>
              <w:rPr>
                <w:sz w:val="18"/>
              </w:rPr>
              <w:t>TS §XI</w:t>
            </w:r>
          </w:p>
        </w:tc>
      </w:tr>
    </w:tbl>
    <w:p>
      <w:pPr>
        <w:spacing w:after="40"/>
      </w:pPr>
    </w:p>
    <w:p>
      <w:pPr>
        <w:pStyle w:val="Heading2"/>
      </w:pPr>
      <w:r>
        <w:t>3.11 Reporting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val="clear" w:color="auto" w:fill="1F3A5F"/>
          </w:tcPr>
          <w:p>
            <w:r/>
            <w:r>
              <w:rPr>
                <w:b/>
                <w:color w:val="FFFFFF"/>
                <w:sz w:val="18"/>
              </w:rPr>
              <w:t>Report</w:t>
            </w:r>
          </w:p>
        </w:tc>
        <w:tc>
          <w:tcPr>
            <w:tcW w:type="dxa" w:w="2160"/>
            <w:shd w:val="clear" w:color="auto" w:fill="1F3A5F"/>
          </w:tcPr>
          <w:p>
            <w:r/>
            <w:r>
              <w:rPr>
                <w:b/>
                <w:color w:val="FFFFFF"/>
                <w:sz w:val="18"/>
              </w:rPr>
              <w:t>Timing</w:t>
            </w:r>
          </w:p>
        </w:tc>
        <w:tc>
          <w:tcPr>
            <w:tcW w:type="dxa" w:w="5040"/>
            <w:shd w:val="clear" w:color="auto" w:fill="1F3A5F"/>
          </w:tcPr>
          <w:p>
            <w:r/>
            <w:r>
              <w:rPr>
                <w:b/>
                <w:color w:val="FFFFFF"/>
                <w:sz w:val="18"/>
              </w:rPr>
              <w:t>Content / Signatory</w:t>
            </w:r>
          </w:p>
        </w:tc>
      </w:tr>
      <w:tr>
        <w:tc>
          <w:tcPr>
            <w:tcW w:type="dxa" w:w="2448"/>
          </w:tcPr>
          <w:p>
            <w:r/>
            <w:r>
              <w:rPr>
                <w:sz w:val="18"/>
              </w:rPr>
              <w:t>Monthly Servicer Report</w:t>
            </w:r>
          </w:p>
        </w:tc>
        <w:tc>
          <w:tcPr>
            <w:tcW w:type="dxa" w:w="2160"/>
          </w:tcPr>
          <w:p>
            <w:r/>
            <w:r>
              <w:rPr>
                <w:sz w:val="18"/>
              </w:rPr>
              <w:t>15th business day of each month</w:t>
            </w:r>
          </w:p>
        </w:tc>
        <w:tc>
          <w:tcPr>
            <w:tcW w:type="dxa" w:w="5040"/>
          </w:tcPr>
          <w:p>
            <w:r/>
            <w:r>
              <w:rPr>
                <w:sz w:val="18"/>
              </w:rPr>
              <w:t>Pool balance; 30+/60+/90+ delinquencies; DQ ratios; CNL; prepayments; borrowing base; concentration and eligibility compliance; collections</w:t>
            </w:r>
          </w:p>
        </w:tc>
      </w:tr>
      <w:tr>
        <w:tc>
          <w:tcPr>
            <w:tcW w:type="dxa" w:w="2448"/>
          </w:tcPr>
          <w:p>
            <w:r/>
            <w:r>
              <w:rPr>
                <w:sz w:val="18"/>
              </w:rPr>
              <w:t>Quarterly Compliance Certificate</w:t>
            </w:r>
          </w:p>
        </w:tc>
        <w:tc>
          <w:tcPr>
            <w:tcW w:type="dxa" w:w="2160"/>
          </w:tcPr>
          <w:p>
            <w:r/>
            <w:r>
              <w:rPr>
                <w:sz w:val="18"/>
              </w:rPr>
              <w:t>45 days after quarter-end</w:t>
            </w:r>
          </w:p>
        </w:tc>
        <w:tc>
          <w:tcPr>
            <w:tcW w:type="dxa" w:w="5040"/>
          </w:tcPr>
          <w:p>
            <w:r/>
            <w:r>
              <w:rPr>
                <w:sz w:val="18"/>
              </w:rPr>
              <w:t>CFO (Marcus Yuen) or GC (Natalie Fong): covenant compliance, no EoD or potential EoD</w:t>
            </w:r>
          </w:p>
        </w:tc>
      </w:tr>
      <w:tr>
        <w:tc>
          <w:tcPr>
            <w:tcW w:type="dxa" w:w="2448"/>
          </w:tcPr>
          <w:p>
            <w:r/>
            <w:r>
              <w:rPr>
                <w:sz w:val="18"/>
              </w:rPr>
              <w:t>Annual audited financials</w:t>
            </w:r>
          </w:p>
        </w:tc>
        <w:tc>
          <w:tcPr>
            <w:tcW w:type="dxa" w:w="2160"/>
          </w:tcPr>
          <w:p>
            <w:r/>
            <w:r>
              <w:rPr>
                <w:sz w:val="18"/>
              </w:rPr>
              <w:t>120 days after FYE</w:t>
            </w:r>
          </w:p>
        </w:tc>
        <w:tc>
          <w:tcPr>
            <w:tcW w:type="dxa" w:w="5040"/>
          </w:tcPr>
          <w:p>
            <w:r/>
            <w:r>
              <w:rPr>
                <w:sz w:val="18"/>
              </w:rPr>
              <w:t>GAAP; nationally or regionally recognized auditor</w:t>
            </w:r>
          </w:p>
        </w:tc>
      </w:tr>
      <w:tr>
        <w:tc>
          <w:tcPr>
            <w:tcW w:type="dxa" w:w="2448"/>
          </w:tcPr>
          <w:p>
            <w:r/>
            <w:r>
              <w:rPr>
                <w:sz w:val="18"/>
              </w:rPr>
              <w:t>Annual Pool Performance Report</w:t>
            </w:r>
          </w:p>
        </w:tc>
        <w:tc>
          <w:tcPr>
            <w:tcW w:type="dxa" w:w="2160"/>
          </w:tcPr>
          <w:p>
            <w:r/>
            <w:r>
              <w:rPr>
                <w:sz w:val="18"/>
              </w:rPr>
              <w:t>90 days after FYE</w:t>
            </w:r>
          </w:p>
        </w:tc>
        <w:tc>
          <w:tcPr>
            <w:tcW w:type="dxa" w:w="5040"/>
          </w:tcPr>
          <w:p>
            <w:r/>
            <w:r>
              <w:rPr>
                <w:sz w:val="18"/>
              </w:rPr>
              <w:t>Static pool, vintage curves, loss timing, recoveries</w:t>
            </w:r>
          </w:p>
        </w:tc>
      </w:tr>
      <w:tr>
        <w:tc>
          <w:tcPr>
            <w:tcW w:type="dxa" w:w="2448"/>
          </w:tcPr>
          <w:p>
            <w:r/>
            <w:r>
              <w:rPr>
                <w:sz w:val="18"/>
              </w:rPr>
              <w:t>Back-Up Servicing Report</w:t>
            </w:r>
          </w:p>
        </w:tc>
        <w:tc>
          <w:tcPr>
            <w:tcW w:type="dxa" w:w="2160"/>
          </w:tcPr>
          <w:p>
            <w:r/>
            <w:r>
              <w:rPr>
                <w:sz w:val="18"/>
              </w:rPr>
              <w:t>Semi-annual</w:t>
            </w:r>
          </w:p>
        </w:tc>
        <w:tc>
          <w:tcPr>
            <w:tcW w:type="dxa" w:w="5040"/>
          </w:tcPr>
          <w:p>
            <w:r/>
            <w:r>
              <w:rPr>
                <w:sz w:val="18"/>
              </w:rPr>
              <w:t>Graystone readiness and review activities</w:t>
            </w:r>
          </w:p>
        </w:tc>
      </w:tr>
      <w:tr>
        <w:tc>
          <w:tcPr>
            <w:tcW w:type="dxa" w:w="2448"/>
          </w:tcPr>
          <w:p>
            <w:r/>
            <w:r>
              <w:rPr>
                <w:sz w:val="18"/>
              </w:rPr>
              <w:t>Ad hoc / data tapes</w:t>
            </w:r>
          </w:p>
        </w:tc>
        <w:tc>
          <w:tcPr>
            <w:tcW w:type="dxa" w:w="2160"/>
          </w:tcPr>
          <w:p>
            <w:r/>
            <w:r>
              <w:rPr>
                <w:sz w:val="18"/>
              </w:rPr>
              <w:t>On reasonable Agent request</w:t>
            </w:r>
          </w:p>
        </w:tc>
        <w:tc>
          <w:tcPr>
            <w:tcW w:type="dxa" w:w="5040"/>
          </w:tcPr>
          <w:p>
            <w:r/>
            <w:r>
              <w:rPr>
                <w:sz w:val="18"/>
              </w:rPr>
            </w:r>
          </w:p>
        </w:tc>
      </w:tr>
      <w:tr>
        <w:tc>
          <w:tcPr>
            <w:tcW w:type="dxa" w:w="2448"/>
          </w:tcPr>
          <w:p>
            <w:r/>
            <w:r>
              <w:rPr>
                <w:sz w:val="18"/>
              </w:rPr>
              <w:t>Material event notices</w:t>
            </w:r>
          </w:p>
        </w:tc>
        <w:tc>
          <w:tcPr>
            <w:tcW w:type="dxa" w:w="2160"/>
          </w:tcPr>
          <w:p>
            <w:r/>
            <w:r>
              <w:rPr>
                <w:sz w:val="18"/>
              </w:rPr>
              <w:t>Promptly; within 2 BD</w:t>
            </w:r>
          </w:p>
        </w:tc>
        <w:tc>
          <w:tcPr>
            <w:tcW w:type="dxa" w:w="5040"/>
          </w:tcPr>
          <w:p>
            <w:r/>
            <w:r>
              <w:rPr>
                <w:sz w:val="18"/>
              </w:rPr>
              <w:t>EoD/potential EoD; material litigation; regulatory investigation or enforcement; servicer rating change; material underwriting change; Change of Control</w:t>
            </w:r>
          </w:p>
        </w:tc>
      </w:tr>
      <w:tr>
        <w:tc>
          <w:tcPr>
            <w:tcW w:type="dxa" w:w="2448"/>
          </w:tcPr>
          <w:p>
            <w:r/>
            <w:r>
              <w:rPr>
                <w:sz w:val="18"/>
              </w:rPr>
              <w:t>Comparable Facility notice (SL)</w:t>
            </w:r>
          </w:p>
        </w:tc>
        <w:tc>
          <w:tcPr>
            <w:tcW w:type="dxa" w:w="2160"/>
          </w:tcPr>
          <w:p>
            <w:r/>
            <w:r>
              <w:rPr>
                <w:sz w:val="18"/>
              </w:rPr>
              <w:t>5 BD after closing</w:t>
            </w:r>
          </w:p>
        </w:tc>
        <w:tc>
          <w:tcPr>
            <w:tcW w:type="dxa" w:w="5040"/>
          </w:tcPr>
          <w:p>
            <w:r/>
            <w:r>
              <w:rPr>
                <w:sz w:val="18"/>
              </w:rPr>
              <w:t>Senior officer certificate of spread</w:t>
            </w:r>
          </w:p>
        </w:tc>
      </w:tr>
      <w:tr>
        <w:tc>
          <w:tcPr>
            <w:tcW w:type="dxa" w:w="2448"/>
          </w:tcPr>
          <w:p>
            <w:r/>
            <w:r>
              <w:rPr>
                <w:sz w:val="18"/>
              </w:rPr>
              <w:t>Takeout notice (SL)</w:t>
            </w:r>
          </w:p>
        </w:tc>
        <w:tc>
          <w:tcPr>
            <w:tcW w:type="dxa" w:w="2160"/>
          </w:tcPr>
          <w:p>
            <w:r/>
            <w:r>
              <w:rPr>
                <w:sz w:val="18"/>
              </w:rPr>
              <w:t>≥ 30 BD before pricing or execution</w:t>
            </w:r>
          </w:p>
        </w:tc>
        <w:tc>
          <w:tcPr>
            <w:tcW w:type="dxa" w:w="5040"/>
          </w:tcPr>
          <w:p>
            <w:r/>
            <w:r>
              <w:rPr>
                <w:sz w:val="18"/>
              </w:rPr>
              <w:t>Size, structure, pricing, timeline</w:t>
            </w:r>
          </w:p>
        </w:tc>
      </w:tr>
    </w:tbl>
    <w:p>
      <w:pPr>
        <w:spacing w:after="40"/>
      </w:pPr>
    </w:p>
    <w:p>
      <w:pPr>
        <w:pStyle w:val="Heading2"/>
      </w:pPr>
      <w:r>
        <w:t>3.12 Conditions Precedent to Initial Advance</w:t>
      </w:r>
    </w:p>
    <w:p>
      <w:pPr>
        <w:spacing w:after="80"/>
      </w:pPr>
      <w:r>
        <w:rPr>
          <w:i w:val="0"/>
        </w:rPr>
        <w:t>(1) Facility documents (Credit Agreement, Security Agreement, Servicing Agreement, RPA, Indenture, ACAs); (2) SPV formation and organizational documents; (3) legal opinions from borrower’s counsel (Hawthorne/SPV) and Bramwell &amp; Locke (“as to Pinnacle”) on enforceability, true sale, non-consolidation and perfection; (4) UCC-1 filings; (5) diligence on underwriting, servicing and a sample pool; (6) $3.0MM closing fees; (7) background and financial review of management (Prescott, Yuen); (8) confirmation of the “Adequate Servicer” rating; (9) accounts established at Northbridge; (10) initial borrowing base certificate; (11) no MAC since the term sheet date; (12) governmental approvals; (13) evidence of licensing in all origination/servicing states (42 + DC); (14) BUS Agreement executed, or evidence of engagement with execution within 90 days; (15) insurance certificates; (16) other deliverables the Agent reasonably requires. (TS §XIII)</w:t>
      </w:r>
    </w:p>
    <w:p>
      <w:pPr>
        <w:pStyle w:val="Heading2"/>
      </w:pPr>
      <w:r>
        <w:t>3.13 Accounts, Servicing, Indemnity and Miscellaneous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Accounts</w:t>
            </w:r>
          </w:p>
        </w:tc>
        <w:tc>
          <w:tcPr>
            <w:tcW w:type="dxa" w:w="6264"/>
          </w:tcPr>
          <w:p>
            <w:r/>
            <w:r>
              <w:rPr>
                <w:sz w:val="18"/>
              </w:rPr>
              <w:t>Collection Account (deposits within 2 BD of receipt); Reserve Account (target 1.00% of outstanding facility balance, funded at waterfall step Seventh; no use or release mechanics); Principal Account; first-priority Agent control via ACAs with Northbridge</w:t>
            </w:r>
          </w:p>
        </w:tc>
        <w:tc>
          <w:tcPr>
            <w:tcW w:type="dxa" w:w="1296"/>
          </w:tcPr>
          <w:p>
            <w:r/>
            <w:r>
              <w:rPr>
                <w:sz w:val="18"/>
              </w:rPr>
              <w:t>TS §XIV</w:t>
            </w:r>
          </w:p>
        </w:tc>
      </w:tr>
      <w:tr>
        <w:tc>
          <w:tcPr>
            <w:tcW w:type="dxa" w:w="2088"/>
          </w:tcPr>
          <w:p>
            <w:r/>
            <w:r>
              <w:rPr>
                <w:sz w:val="18"/>
              </w:rPr>
              <w:t>Servicing standard / successor</w:t>
            </w:r>
          </w:p>
        </w:tc>
        <w:tc>
          <w:tcPr>
            <w:tcW w:type="dxa" w:w="6264"/>
          </w:tcPr>
          <w:p>
            <w:r/>
            <w:r>
              <w:rPr>
                <w:sz w:val="18"/>
              </w:rPr>
              <w:t>Customary standards for similar receivables, consistent with Hawthorne’s own servicing, and in compliance with law. On an STE, Graystone succeeds. If no BUS, the Agent appoints a successor. Hawthorne to use commercially reasonable efforts to keep its “Adequate Servicer” rating.</w:t>
            </w:r>
          </w:p>
        </w:tc>
        <w:tc>
          <w:tcPr>
            <w:tcW w:type="dxa" w:w="1296"/>
          </w:tcPr>
          <w:p>
            <w:r/>
            <w:r>
              <w:rPr>
                <w:sz w:val="18"/>
              </w:rPr>
              <w:t>TS §XV</w:t>
            </w:r>
          </w:p>
        </w:tc>
      </w:tr>
      <w:tr>
        <w:tc>
          <w:tcPr>
            <w:tcW w:type="dxa" w:w="2088"/>
          </w:tcPr>
          <w:p>
            <w:r/>
            <w:r>
              <w:rPr>
                <w:sz w:val="18"/>
              </w:rPr>
              <w:t>Indemnification</w:t>
            </w:r>
          </w:p>
        </w:tc>
        <w:tc>
          <w:tcPr>
            <w:tcW w:type="dxa" w:w="6264"/>
          </w:tcPr>
          <w:p>
            <w:r/>
            <w:r>
              <w:rPr>
                <w:sz w:val="18"/>
              </w:rPr>
              <w:t>Hawthorne indemnifies Agent, Lenders, Trustee and affiliates and representatives for losses from (a) breach of rep, warranty or covenant, (b) inaccurate receivable information, (c) servicing failures, (d) origination or servicing law violations, (e) fraud or willful misconduct. Survives termination. No indemnitee carve-outs or cap.</w:t>
            </w:r>
          </w:p>
        </w:tc>
        <w:tc>
          <w:tcPr>
            <w:tcW w:type="dxa" w:w="1296"/>
          </w:tcPr>
          <w:p>
            <w:r/>
            <w:r>
              <w:rPr>
                <w:sz w:val="18"/>
              </w:rPr>
              <w:t>TS §XVI</w:t>
            </w:r>
          </w:p>
        </w:tc>
      </w:tr>
      <w:tr>
        <w:tc>
          <w:tcPr>
            <w:tcW w:type="dxa" w:w="2088"/>
          </w:tcPr>
          <w:p>
            <w:r/>
            <w:r>
              <w:rPr>
                <w:sz w:val="18"/>
              </w:rPr>
              <w:t>Governing law / forum / jury</w:t>
            </w:r>
          </w:p>
        </w:tc>
        <w:tc>
          <w:tcPr>
            <w:tcW w:type="dxa" w:w="6264"/>
          </w:tcPr>
          <w:p>
            <w:r/>
            <w:r>
              <w:rPr>
                <w:sz w:val="18"/>
              </w:rPr>
              <w:t>New York law. Manhattan federal and state courts. Jury waiver. (SL: NY law only, no forum or jury clause.)</w:t>
            </w:r>
          </w:p>
        </w:tc>
        <w:tc>
          <w:tcPr>
            <w:tcW w:type="dxa" w:w="1296"/>
          </w:tcPr>
          <w:p>
            <w:r/>
            <w:r>
              <w:rPr>
                <w:sz w:val="18"/>
              </w:rPr>
              <w:t>TS §XVII; SL §7</w:t>
            </w:r>
          </w:p>
        </w:tc>
      </w:tr>
      <w:tr>
        <w:tc>
          <w:tcPr>
            <w:tcW w:type="dxa" w:w="2088"/>
          </w:tcPr>
          <w:p>
            <w:r/>
            <w:r>
              <w:rPr>
                <w:sz w:val="18"/>
              </w:rPr>
              <w:t>Amendments</w:t>
            </w:r>
          </w:p>
        </w:tc>
        <w:tc>
          <w:tcPr>
            <w:tcW w:type="dxa" w:w="6264"/>
          </w:tcPr>
          <w:p>
            <w:r/>
            <w:r>
              <w:rPr>
                <w:sz w:val="18"/>
              </w:rPr>
              <w:t>Agent + Required Lenders (&gt; 50% of commitments). SL: both Pinnacle and Hawthorne in writing.</w:t>
            </w:r>
          </w:p>
        </w:tc>
        <w:tc>
          <w:tcPr>
            <w:tcW w:type="dxa" w:w="1296"/>
          </w:tcPr>
          <w:p>
            <w:r/>
            <w:r>
              <w:rPr>
                <w:sz w:val="18"/>
              </w:rPr>
              <w:t>TS §XVII; SL §7</w:t>
            </w:r>
          </w:p>
        </w:tc>
      </w:tr>
      <w:tr>
        <w:tc>
          <w:tcPr>
            <w:tcW w:type="dxa" w:w="2088"/>
          </w:tcPr>
          <w:p>
            <w:r/>
            <w:r>
              <w:rPr>
                <w:sz w:val="18"/>
              </w:rPr>
              <w:t>Assignments</w:t>
            </w:r>
          </w:p>
        </w:tc>
        <w:tc>
          <w:tcPr>
            <w:tcW w:type="dxa" w:w="6264"/>
          </w:tcPr>
          <w:p>
            <w:r/>
            <w:r>
              <w:rPr>
                <w:sz w:val="18"/>
              </w:rPr>
              <w:t>Lenders may assign with Agent consent (not unreasonably withheld). SPV may not assign without all Lenders’ consent.</w:t>
            </w:r>
          </w:p>
        </w:tc>
        <w:tc>
          <w:tcPr>
            <w:tcW w:type="dxa" w:w="1296"/>
          </w:tcPr>
          <w:p>
            <w:r/>
            <w:r>
              <w:rPr>
                <w:sz w:val="18"/>
              </w:rPr>
              <w:t>TS §XVII</w:t>
            </w:r>
          </w:p>
        </w:tc>
      </w:tr>
      <w:tr>
        <w:tc>
          <w:tcPr>
            <w:tcW w:type="dxa" w:w="2088"/>
          </w:tcPr>
          <w:p>
            <w:r/>
            <w:r>
              <w:rPr>
                <w:sz w:val="18"/>
              </w:rPr>
              <w:t>Confidentiality</w:t>
            </w:r>
          </w:p>
        </w:tc>
        <w:tc>
          <w:tcPr>
            <w:tcW w:type="dxa" w:w="6264"/>
          </w:tcPr>
          <w:p>
            <w:r/>
            <w:r>
              <w:rPr>
                <w:sz w:val="18"/>
              </w:rPr>
              <w:t>TS: confidential, customary exceptions; subject to existing NDA. SL: may not be disclosed to Ridgeline, any syndicate member or any takeout participant without the other party’s consent (preamble: Pinnacle’s consent); exceptions for advisors, law and bank regulators. Cromdale/Aldrich &amp; Stone and Bramwell &amp; Locke are authorized recipients.</w:t>
            </w:r>
          </w:p>
        </w:tc>
        <w:tc>
          <w:tcPr>
            <w:tcW w:type="dxa" w:w="1296"/>
          </w:tcPr>
          <w:p>
            <w:r/>
            <w:r>
              <w:rPr>
                <w:sz w:val="18"/>
              </w:rPr>
              <w:t>TS Intro, §XVII; SL Preamble, §1, §7</w:t>
            </w:r>
          </w:p>
        </w:tc>
      </w:tr>
      <w:tr>
        <w:tc>
          <w:tcPr>
            <w:tcW w:type="dxa" w:w="2088"/>
          </w:tcPr>
          <w:p>
            <w:r/>
            <w:r>
              <w:rPr>
                <w:sz w:val="18"/>
              </w:rPr>
              <w:t>Other</w:t>
            </w:r>
          </w:p>
        </w:tc>
        <w:tc>
          <w:tcPr>
            <w:tcW w:type="dxa" w:w="6264"/>
          </w:tcPr>
          <w:p>
            <w:r/>
            <w:r>
              <w:rPr>
                <w:sz w:val="18"/>
              </w:rPr>
              <w:t>Patriot Act/KYC/AML; entire agreement (definitive documents supersede TS); counterparts; survival; notices (Hawthorne Attn: N. Fong; Pinnacle Attn: D. Hargrove; Ridgeline, no attention line; copies to both counsel); Side Letter incorporated “to the extent provided therein”</w:t>
            </w:r>
          </w:p>
        </w:tc>
        <w:tc>
          <w:tcPr>
            <w:tcW w:type="dxa" w:w="1296"/>
          </w:tcPr>
          <w:p>
            <w:r/>
            <w:r>
              <w:rPr>
                <w:sz w:val="18"/>
              </w:rPr>
              <w:t>TS §XVII</w:t>
            </w:r>
          </w:p>
        </w:tc>
      </w:tr>
    </w:tbl>
    <w:p>
      <w:pPr>
        <w:spacing w:after="40"/>
      </w:pPr>
    </w:p>
    <w:p>
      <w:pPr>
        <w:pStyle w:val="Heading2"/>
      </w:pPr>
      <w:r>
        <w:t>3.14 Side Letter: Additional Terms Not in the Term Sheet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val="clear" w:color="auto" w:fill="1F3A5F"/>
          </w:tcPr>
          <w:p>
            <w:r/>
            <w:r>
              <w:rPr>
                <w:b/>
                <w:color w:val="FFFFFF"/>
                <w:sz w:val="18"/>
              </w:rPr>
              <w:t>Term</w:t>
            </w:r>
          </w:p>
        </w:tc>
        <w:tc>
          <w:tcPr>
            <w:tcW w:type="dxa" w:w="6264"/>
            <w:shd w:val="clear" w:color="auto" w:fill="1F3A5F"/>
          </w:tcPr>
          <w:p>
            <w:r/>
            <w:r>
              <w:rPr>
                <w:b/>
                <w:color w:val="FFFFFF"/>
                <w:sz w:val="18"/>
              </w:rPr>
              <w:t>Extracted Provision</w:t>
            </w:r>
          </w:p>
        </w:tc>
        <w:tc>
          <w:tcPr>
            <w:tcW w:type="dxa" w:w="1296"/>
            <w:shd w:val="clear" w:color="auto" w:fill="1F3A5F"/>
          </w:tcPr>
          <w:p>
            <w:r/>
            <w:r>
              <w:rPr>
                <w:b/>
                <w:color w:val="FFFFFF"/>
                <w:sz w:val="18"/>
              </w:rPr>
              <w:t>Source</w:t>
            </w:r>
          </w:p>
        </w:tc>
      </w:tr>
      <w:tr>
        <w:tc>
          <w:tcPr>
            <w:tcW w:type="dxa" w:w="2088"/>
          </w:tcPr>
          <w:p>
            <w:r/>
            <w:r>
              <w:rPr>
                <w:sz w:val="18"/>
              </w:rPr>
              <w:t>Most Favored Lender (§2)</w:t>
            </w:r>
          </w:p>
        </w:tc>
        <w:tc>
          <w:tcPr>
            <w:tcW w:type="dxa" w:w="6264"/>
          </w:tcPr>
          <w:p>
            <w:r/>
            <w:r>
              <w:rPr>
                <w:sz w:val="18"/>
              </w:rPr>
              <w:t>If Hawthorne or any subsidiary enters into a Comparable Facility (warehouse, repo or similar ABS revolving facility secured by consumer installment loans) at a lower spread including CSA, the Facility spread automatically resets to match, effective at that facility’s closing. Spread only, Revolving Period only. 5 BD notice with officer certificate. Pinnacle verification rights.</w:t>
            </w:r>
          </w:p>
        </w:tc>
        <w:tc>
          <w:tcPr>
            <w:tcW w:type="dxa" w:w="1296"/>
          </w:tcPr>
          <w:p>
            <w:r/>
            <w:r>
              <w:rPr>
                <w:sz w:val="18"/>
              </w:rPr>
              <w:t>SL §2</w:t>
            </w:r>
          </w:p>
        </w:tc>
      </w:tr>
      <w:tr>
        <w:tc>
          <w:tcPr>
            <w:tcW w:type="dxa" w:w="2088"/>
          </w:tcPr>
          <w:p>
            <w:r/>
            <w:r>
              <w:rPr>
                <w:sz w:val="18"/>
              </w:rPr>
              <w:t>Market Disruption Event (§3)</w:t>
            </w:r>
          </w:p>
        </w:tc>
        <w:tc>
          <w:tcPr>
            <w:tcW w:type="dxa" w:w="6264"/>
          </w:tcPr>
          <w:p>
            <w:r/>
            <w:r>
              <w:rPr>
                <w:sz w:val="18"/>
              </w:rPr>
              <w:t>Agent determines in its sole and absolute discretion that a “Material Adverse Change” has occurred in the structured finance, ABS or consumer installment loan markets. Expressly no carve-outs for general economic conditions, industry-wide changes, law, GAAP or interest rates. Pinnacle may by notice end the Revolving Period, effective no earlier than 6 months before the scheduled end (i.e., no earlier than Feb. 15, 2027, about 18 months after Closing). Amortization begins immediately at S + 285. No right to contest; final and binding absent manifest error. In addition to the MAC EoD.</w:t>
            </w:r>
          </w:p>
        </w:tc>
        <w:tc>
          <w:tcPr>
            <w:tcW w:type="dxa" w:w="1296"/>
          </w:tcPr>
          <w:p>
            <w:r/>
            <w:r>
              <w:rPr>
                <w:sz w:val="18"/>
              </w:rPr>
              <w:t>SL §3</w:t>
            </w:r>
          </w:p>
        </w:tc>
      </w:tr>
      <w:tr>
        <w:tc>
          <w:tcPr>
            <w:tcW w:type="dxa" w:w="2088"/>
          </w:tcPr>
          <w:p>
            <w:r/>
            <w:r>
              <w:rPr>
                <w:sz w:val="18"/>
              </w:rPr>
              <w:t>Right of First Refusal (§4)</w:t>
            </w:r>
          </w:p>
        </w:tc>
        <w:tc>
          <w:tcPr>
            <w:tcW w:type="dxa" w:w="6264"/>
          </w:tcPr>
          <w:p>
            <w:r/>
            <w:r>
              <w:rPr>
                <w:sz w:val="18"/>
              </w:rPr>
              <w:t>On any term securitization, ABS issuance, whole loan sale or similar transaction involving all or any portion of pledged receivables, Pinnacle has a ROFR as lead arranger/bookrunner or (for whole loan sale/private placement) purchaser/lead investor. 30 BD prior notice with material terms; 15 BD to exercise; 10 BD good-faith negotiation. If no agreement, Hawthorne may proceed with a third party on terms no more favorable in aggregate than those last offered to Pinnacle. Applies to each Takeout Transaction through Aug. 15, 2028.</w:t>
            </w:r>
          </w:p>
        </w:tc>
        <w:tc>
          <w:tcPr>
            <w:tcW w:type="dxa" w:w="1296"/>
          </w:tcPr>
          <w:p>
            <w:r/>
            <w:r>
              <w:rPr>
                <w:sz w:val="18"/>
              </w:rPr>
              <w:t>SL §4</w:t>
            </w:r>
          </w:p>
        </w:tc>
      </w:tr>
      <w:tr>
        <w:tc>
          <w:tcPr>
            <w:tcW w:type="dxa" w:w="2088"/>
          </w:tcPr>
          <w:p>
            <w:r/>
            <w:r>
              <w:rPr>
                <w:sz w:val="18"/>
              </w:rPr>
              <w:t>Supplemental EoDs (§5)</w:t>
            </w:r>
          </w:p>
        </w:tc>
        <w:tc>
          <w:tcPr>
            <w:tcW w:type="dxa" w:w="6264"/>
          </w:tcPr>
          <w:p>
            <w:r/>
            <w:r>
              <w:rPr>
                <w:sz w:val="18"/>
              </w:rPr>
              <w:t>Cross-default at $15MM (broadened); regulatory enforcement (reasonable judgment of the Agent); servicer rating downgrade or withdrawal</w:t>
            </w:r>
          </w:p>
        </w:tc>
        <w:tc>
          <w:tcPr>
            <w:tcW w:type="dxa" w:w="1296"/>
          </w:tcPr>
          <w:p>
            <w:r/>
            <w:r>
              <w:rPr>
                <w:sz w:val="18"/>
              </w:rPr>
              <w:t>SL §5</w:t>
            </w:r>
          </w:p>
        </w:tc>
      </w:tr>
      <w:tr>
        <w:tc>
          <w:tcPr>
            <w:tcW w:type="dxa" w:w="2088"/>
          </w:tcPr>
          <w:p>
            <w:r/>
            <w:r>
              <w:rPr>
                <w:sz w:val="18"/>
              </w:rPr>
              <w:t>Non-Solicitation (§6)</w:t>
            </w:r>
          </w:p>
        </w:tc>
        <w:tc>
          <w:tcPr>
            <w:tcW w:type="dxa" w:w="6264"/>
          </w:tcPr>
          <w:p>
            <w:r/>
            <w:r>
              <w:rPr>
                <w:sz w:val="18"/>
              </w:rPr>
              <w:t>During the facility term + 18 months, Hawthorne may not solicit, recruit, hire or attempt to hire any Pinnacle employee, officer or consultant in warehouse lending, structured finance or securitization. Responding to unsolicited inquiries and general postings is not “solicitation”. Liquidated damages of 100% of first-year total compensation paid or offered.</w:t>
            </w:r>
          </w:p>
        </w:tc>
        <w:tc>
          <w:tcPr>
            <w:tcW w:type="dxa" w:w="1296"/>
          </w:tcPr>
          <w:p>
            <w:r/>
            <w:r>
              <w:rPr>
                <w:sz w:val="18"/>
              </w:rPr>
              <w:t>SL §6</w:t>
            </w:r>
          </w:p>
        </w:tc>
      </w:tr>
      <w:tr>
        <w:tc>
          <w:tcPr>
            <w:tcW w:type="dxa" w:w="2088"/>
          </w:tcPr>
          <w:p>
            <w:r/>
            <w:r>
              <w:rPr>
                <w:sz w:val="18"/>
              </w:rPr>
              <w:t>Precedence / integration</w:t>
            </w:r>
          </w:p>
        </w:tc>
        <w:tc>
          <w:tcPr>
            <w:tcW w:type="dxa" w:w="6264"/>
          </w:tcPr>
          <w:p>
            <w:r/>
            <w:r>
              <w:rPr>
                <w:sz w:val="18"/>
              </w:rPr>
              <w:t>SL controls over the TS in a conflict, except as otherwise specified. Integral part of the TS. Non-binding. NY law. Amendments in writing signed by both parties.</w:t>
            </w:r>
          </w:p>
        </w:tc>
        <w:tc>
          <w:tcPr>
            <w:tcW w:type="dxa" w:w="1296"/>
          </w:tcPr>
          <w:p>
            <w:r/>
            <w:r>
              <w:rPr>
                <w:sz w:val="18"/>
              </w:rPr>
              <w:t>SL §1, §7</w:t>
            </w:r>
          </w:p>
        </w:tc>
      </w:tr>
    </w:tbl>
    <w:p>
      <w:pPr>
        <w:spacing w:after="40"/>
      </w:pPr>
    </w:p>
    <w:p>
      <w:pPr>
        <w:pStyle w:val="Heading1"/>
      </w:pPr>
      <w:r>
        <w:t>4. Term Sheet vs. Side Letter Reconciliation</w:t>
      </w:r>
    </w:p>
    <w:p>
      <w:pPr>
        <w:spacing w:after="80"/>
      </w:pPr>
      <w:r>
        <w:rPr>
          <w:i w:val="0"/>
        </w:rPr>
        <w:t>The Side Letter controls in a conflict (SL §1, §7). The table shows each point where the two documents overlap, what changes, and who the change favors.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440"/>
            <w:shd w:val="clear" w:color="auto" w:fill="1F3A5F"/>
          </w:tcPr>
          <w:p>
            <w:r/>
            <w:r>
              <w:rPr>
                <w:b/>
                <w:color w:val="FFFFFF"/>
                <w:sz w:val="17"/>
              </w:rPr>
              <w:t>Topic</w:t>
            </w:r>
          </w:p>
        </w:tc>
        <w:tc>
          <w:tcPr>
            <w:tcW w:type="dxa" w:w="2088"/>
            <w:shd w:val="clear" w:color="auto" w:fill="1F3A5F"/>
          </w:tcPr>
          <w:p>
            <w:r/>
            <w:r>
              <w:rPr>
                <w:b/>
                <w:color w:val="FFFFFF"/>
                <w:sz w:val="17"/>
              </w:rPr>
              <w:t>Term Sheet</w:t>
            </w:r>
          </w:p>
        </w:tc>
        <w:tc>
          <w:tcPr>
            <w:tcW w:type="dxa" w:w="2304"/>
            <w:shd w:val="clear" w:color="auto" w:fill="1F3A5F"/>
          </w:tcPr>
          <w:p>
            <w:r/>
            <w:r>
              <w:rPr>
                <w:b/>
                <w:color w:val="FFFFFF"/>
                <w:sz w:val="17"/>
              </w:rPr>
              <w:t>Side Letter</w:t>
            </w:r>
          </w:p>
        </w:tc>
        <w:tc>
          <w:tcPr>
            <w:tcW w:type="dxa" w:w="2664"/>
            <w:shd w:val="clear" w:color="auto" w:fill="1F3A5F"/>
          </w:tcPr>
          <w:p>
            <w:r/>
            <w:r>
              <w:rPr>
                <w:b/>
                <w:color w:val="FFFFFF"/>
                <w:sz w:val="17"/>
              </w:rPr>
              <w:t>Effect / Favors</w:t>
            </w:r>
          </w:p>
        </w:tc>
        <w:tc>
          <w:tcPr>
            <w:tcW w:type="dxa" w:w="1152"/>
            <w:shd w:val="clear" w:color="auto" w:fill="1F3A5F"/>
          </w:tcPr>
          <w:p>
            <w:r/>
            <w:r>
              <w:rPr>
                <w:b/>
                <w:color w:val="FFFFFF"/>
                <w:sz w:val="17"/>
              </w:rPr>
              <w:t>Issue</w:t>
            </w:r>
          </w:p>
        </w:tc>
      </w:tr>
      <w:tr>
        <w:tc>
          <w:tcPr>
            <w:tcW w:type="dxa" w:w="1440"/>
          </w:tcPr>
          <w:p>
            <w:r/>
            <w:r>
              <w:rPr>
                <w:sz w:val="17"/>
              </w:rPr>
              <w:t>Pricing</w:t>
            </w:r>
          </w:p>
        </w:tc>
        <w:tc>
          <w:tcPr>
            <w:tcW w:type="dxa" w:w="2088"/>
          </w:tcPr>
          <w:p>
            <w:r/>
            <w:r>
              <w:rPr>
                <w:sz w:val="17"/>
              </w:rPr>
              <w:t>S+235 revolving / S+285 amortization</w:t>
            </w:r>
          </w:p>
        </w:tc>
        <w:tc>
          <w:tcPr>
            <w:tcW w:type="dxa" w:w="2304"/>
          </w:tcPr>
          <w:p>
            <w:r/>
            <w:r>
              <w:rPr>
                <w:sz w:val="17"/>
              </w:rPr>
              <w:t>Same, but subject to automatic MFL reduction during the Revolving Period</w:t>
            </w:r>
          </w:p>
        </w:tc>
        <w:tc>
          <w:tcPr>
            <w:tcW w:type="dxa" w:w="2664"/>
          </w:tcPr>
          <w:p>
            <w:r/>
            <w:r>
              <w:rPr>
                <w:sz w:val="17"/>
              </w:rPr>
              <w:t>Favors Hawthorne. Cuts Ridgeline’s yield without its knowledge.</w:t>
            </w:r>
          </w:p>
        </w:tc>
        <w:tc>
          <w:tcPr>
            <w:tcW w:type="dxa" w:w="1152"/>
          </w:tcPr>
          <w:p>
            <w:r/>
            <w:r>
              <w:rPr>
                <w:sz w:val="17"/>
              </w:rPr>
              <w:t>1, 17</w:t>
            </w:r>
          </w:p>
        </w:tc>
      </w:tr>
      <w:tr>
        <w:tc>
          <w:tcPr>
            <w:tcW w:type="dxa" w:w="1440"/>
          </w:tcPr>
          <w:p>
            <w:r/>
            <w:r>
              <w:rPr>
                <w:sz w:val="17"/>
              </w:rPr>
              <w:t>Early amortization: MDE</w:t>
            </w:r>
          </w:p>
        </w:tc>
        <w:tc>
          <w:tcPr>
            <w:tcW w:type="dxa" w:w="2088"/>
          </w:tcPr>
          <w:p>
            <w:r/>
            <w:r>
              <w:rPr>
                <w:sz w:val="17"/>
              </w:rPr>
              <w:t>Lists MDE as a trigger “as described in the Confidential Side Letter”</w:t>
            </w:r>
          </w:p>
        </w:tc>
        <w:tc>
          <w:tcPr>
            <w:tcW w:type="dxa" w:w="2304"/>
          </w:tcPr>
          <w:p>
            <w:r/>
            <w:r>
              <w:rPr>
                <w:sz w:val="17"/>
              </w:rPr>
              <w:t>Defines MDE: sole discretion, no carve-outs; effective no earlier than Feb. 15, 2027; S+285 step-up</w:t>
            </w:r>
          </w:p>
        </w:tc>
        <w:tc>
          <w:tcPr>
            <w:tcW w:type="dxa" w:w="2664"/>
          </w:tcPr>
          <w:p>
            <w:r/>
            <w:r>
              <w:rPr>
                <w:sz w:val="17"/>
              </w:rPr>
              <w:t>Favors Pinnacle. Shortens Ridgeline’s revolving exposure without its knowledge.</w:t>
            </w:r>
          </w:p>
        </w:tc>
        <w:tc>
          <w:tcPr>
            <w:tcW w:type="dxa" w:w="1152"/>
          </w:tcPr>
          <w:p>
            <w:r/>
            <w:r>
              <w:rPr>
                <w:sz w:val="17"/>
              </w:rPr>
              <w:t>1, 2</w:t>
            </w:r>
          </w:p>
        </w:tc>
      </w:tr>
      <w:tr>
        <w:tc>
          <w:tcPr>
            <w:tcW w:type="dxa" w:w="1440"/>
          </w:tcPr>
          <w:p>
            <w:r/>
            <w:r>
              <w:rPr>
                <w:sz w:val="17"/>
              </w:rPr>
              <w:t>Cross-default</w:t>
            </w:r>
          </w:p>
        </w:tc>
        <w:tc>
          <w:tcPr>
            <w:tcW w:type="dxa" w:w="2088"/>
          </w:tcPr>
          <w:p>
            <w:r/>
            <w:r>
              <w:rPr>
                <w:sz w:val="17"/>
              </w:rPr>
              <w:t>&gt; $10MM; Hawthorne or subsidiaries; acceleration or right to accelerate</w:t>
            </w:r>
          </w:p>
        </w:tc>
        <w:tc>
          <w:tcPr>
            <w:tcW w:type="dxa" w:w="2304"/>
          </w:tcPr>
          <w:p>
            <w:r/>
            <w:r>
              <w:rPr>
                <w:sz w:val="17"/>
              </w:rPr>
              <w:t>&gt; $15MM; adds SPV; any borrowed money and credit, warehouse or repo facility; any default (no acceleration element); “notwithstanding”</w:t>
            </w:r>
          </w:p>
        </w:tc>
        <w:tc>
          <w:tcPr>
            <w:tcW w:type="dxa" w:w="2664"/>
          </w:tcPr>
          <w:p>
            <w:r/>
            <w:r>
              <w:rPr>
                <w:sz w:val="17"/>
              </w:rPr>
              <w:t>Mixed: higher threshold, but a broader, hair-trigger default</w:t>
            </w:r>
          </w:p>
        </w:tc>
        <w:tc>
          <w:tcPr>
            <w:tcW w:type="dxa" w:w="1152"/>
          </w:tcPr>
          <w:p>
            <w:r/>
            <w:r>
              <w:rPr>
                <w:sz w:val="17"/>
              </w:rPr>
              <w:t>13</w:t>
            </w:r>
          </w:p>
        </w:tc>
      </w:tr>
      <w:tr>
        <w:tc>
          <w:tcPr>
            <w:tcW w:type="dxa" w:w="1440"/>
          </w:tcPr>
          <w:p>
            <w:r/>
            <w:r>
              <w:rPr>
                <w:sz w:val="17"/>
              </w:rPr>
              <w:t>Regulatory EoD</w:t>
            </w:r>
          </w:p>
        </w:tc>
        <w:tc>
          <w:tcPr>
            <w:tcW w:type="dxa" w:w="2088"/>
          </w:tcPr>
          <w:p>
            <w:r/>
            <w:r>
              <w:rPr>
                <w:sz w:val="17"/>
              </w:rPr>
              <w:t>Federal or state authority; Hawthorne or any subsidiary; objective MAE on originating or servicing</w:t>
            </w:r>
          </w:p>
        </w:tc>
        <w:tc>
          <w:tcPr>
            <w:tcW w:type="dxa" w:w="2304"/>
          </w:tcPr>
          <w:p>
            <w:r/>
            <w:r>
              <w:rPr>
                <w:sz w:val="17"/>
              </w:rPr>
              <w:t>Any regulatory authority; Hawthorne only; Agent’s reasonable judgment; adds “collect”; limited to pledged receivables</w:t>
            </w:r>
          </w:p>
        </w:tc>
        <w:tc>
          <w:tcPr>
            <w:tcW w:type="dxa" w:w="2664"/>
          </w:tcPr>
          <w:p>
            <w:r/>
            <w:r>
              <w:rPr>
                <w:sz w:val="17"/>
              </w:rPr>
              <w:t>Mixed and ambiguous: whether the SL replaces or adds to the TS</w:t>
            </w:r>
          </w:p>
        </w:tc>
        <w:tc>
          <w:tcPr>
            <w:tcW w:type="dxa" w:w="1152"/>
          </w:tcPr>
          <w:p>
            <w:r/>
            <w:r>
              <w:rPr>
                <w:sz w:val="17"/>
              </w:rPr>
              <w:t>15</w:t>
            </w:r>
          </w:p>
        </w:tc>
      </w:tr>
      <w:tr>
        <w:tc>
          <w:tcPr>
            <w:tcW w:type="dxa" w:w="1440"/>
          </w:tcPr>
          <w:p>
            <w:r/>
            <w:r>
              <w:rPr>
                <w:sz w:val="17"/>
              </w:rPr>
              <w:t>Servicer rating EoD</w:t>
            </w:r>
          </w:p>
        </w:tc>
        <w:tc>
          <w:tcPr>
            <w:tcW w:type="dxa" w:w="2088"/>
          </w:tcPr>
          <w:p>
            <w:r/>
            <w:r>
              <w:rPr>
                <w:sz w:val="17"/>
              </w:rPr>
              <w:t>Downgrade below “Adequate Servicer”</w:t>
            </w:r>
          </w:p>
        </w:tc>
        <w:tc>
          <w:tcPr>
            <w:tcW w:type="dxa" w:w="2304"/>
          </w:tcPr>
          <w:p>
            <w:r/>
            <w:r>
              <w:rPr>
                <w:sz w:val="17"/>
              </w:rPr>
              <w:t>Downgrade below “Adequate” or withdrawal</w:t>
            </w:r>
          </w:p>
        </w:tc>
        <w:tc>
          <w:tcPr>
            <w:tcW w:type="dxa" w:w="2664"/>
          </w:tcPr>
          <w:p>
            <w:r/>
            <w:r>
              <w:rPr>
                <w:sz w:val="17"/>
              </w:rPr>
              <w:t>Favors Lenders. Adds a trigger outside Hawthorne’s control.</w:t>
            </w:r>
          </w:p>
        </w:tc>
        <w:tc>
          <w:tcPr>
            <w:tcW w:type="dxa" w:w="1152"/>
          </w:tcPr>
          <w:p>
            <w:r/>
            <w:r>
              <w:rPr>
                <w:sz w:val="17"/>
              </w:rPr>
              <w:t>9</w:t>
            </w:r>
          </w:p>
        </w:tc>
      </w:tr>
      <w:tr>
        <w:tc>
          <w:tcPr>
            <w:tcW w:type="dxa" w:w="1440"/>
          </w:tcPr>
          <w:p>
            <w:r/>
            <w:r>
              <w:rPr>
                <w:sz w:val="17"/>
              </w:rPr>
              <w:t>MAC</w:t>
            </w:r>
          </w:p>
        </w:tc>
        <w:tc>
          <w:tcPr>
            <w:tcW w:type="dxa" w:w="2088"/>
          </w:tcPr>
          <w:p>
            <w:r/>
            <w:r>
              <w:rPr>
                <w:sz w:val="17"/>
              </w:rPr>
              <w:t>MAC EoD (Hawthorne-specific) and MAC CP</w:t>
            </w:r>
          </w:p>
        </w:tc>
        <w:tc>
          <w:tcPr>
            <w:tcW w:type="dxa" w:w="2304"/>
          </w:tcPr>
          <w:p>
            <w:r/>
            <w:r>
              <w:rPr>
                <w:sz w:val="17"/>
              </w:rPr>
              <w:t>Separate market-wide “MAC” for MDE; expressly additive to the MAC EoD</w:t>
            </w:r>
          </w:p>
        </w:tc>
        <w:tc>
          <w:tcPr>
            <w:tcW w:type="dxa" w:w="2664"/>
          </w:tcPr>
          <w:p>
            <w:r/>
            <w:r>
              <w:rPr>
                <w:sz w:val="17"/>
              </w:rPr>
              <w:t>Favors Pinnacle</w:t>
            </w:r>
          </w:p>
        </w:tc>
        <w:tc>
          <w:tcPr>
            <w:tcW w:type="dxa" w:w="1152"/>
          </w:tcPr>
          <w:p>
            <w:r/>
            <w:r>
              <w:rPr>
                <w:sz w:val="17"/>
              </w:rPr>
              <w:t>2, 14</w:t>
            </w:r>
          </w:p>
        </w:tc>
      </w:tr>
      <w:tr>
        <w:tc>
          <w:tcPr>
            <w:tcW w:type="dxa" w:w="1440"/>
          </w:tcPr>
          <w:p>
            <w:r/>
            <w:r>
              <w:rPr>
                <w:sz w:val="17"/>
              </w:rPr>
              <w:t>Takeout</w:t>
            </w:r>
          </w:p>
        </w:tc>
        <w:tc>
          <w:tcPr>
            <w:tcW w:type="dxa" w:w="2088"/>
          </w:tcPr>
          <w:p>
            <w:r/>
            <w:r>
              <w:rPr>
                <w:sz w:val="17"/>
              </w:rPr>
              <w:t>Purpose: fund pending securitization or other takeout; no restriction</w:t>
            </w:r>
          </w:p>
        </w:tc>
        <w:tc>
          <w:tcPr>
            <w:tcW w:type="dxa" w:w="2304"/>
          </w:tcPr>
          <w:p>
            <w:r/>
            <w:r>
              <w:rPr>
                <w:sz w:val="17"/>
              </w:rPr>
              <w:t>ROFR on every Takeout Transaction through Aug. 15, 2028</w:t>
            </w:r>
          </w:p>
        </w:tc>
        <w:tc>
          <w:tcPr>
            <w:tcW w:type="dxa" w:w="2664"/>
          </w:tcPr>
          <w:p>
            <w:r/>
            <w:r>
              <w:rPr>
                <w:sz w:val="17"/>
              </w:rPr>
              <w:t>Favors Pinnacle; constrains Hawthorne and Ridgeline</w:t>
            </w:r>
          </w:p>
        </w:tc>
        <w:tc>
          <w:tcPr>
            <w:tcW w:type="dxa" w:w="1152"/>
          </w:tcPr>
          <w:p>
            <w:r/>
            <w:r>
              <w:rPr>
                <w:sz w:val="17"/>
              </w:rPr>
              <w:t>10</w:t>
            </w:r>
          </w:p>
        </w:tc>
      </w:tr>
      <w:tr>
        <w:tc>
          <w:tcPr>
            <w:tcW w:type="dxa" w:w="1440"/>
          </w:tcPr>
          <w:p>
            <w:r/>
            <w:r>
              <w:rPr>
                <w:sz w:val="17"/>
              </w:rPr>
              <w:t>Personnel</w:t>
            </w:r>
          </w:p>
        </w:tc>
        <w:tc>
          <w:tcPr>
            <w:tcW w:type="dxa" w:w="2088"/>
          </w:tcPr>
          <w:p>
            <w:r/>
            <w:r>
              <w:rPr>
                <w:sz w:val="17"/>
              </w:rPr>
              <w:t>None</w:t>
            </w:r>
          </w:p>
        </w:tc>
        <w:tc>
          <w:tcPr>
            <w:tcW w:type="dxa" w:w="2304"/>
          </w:tcPr>
          <w:p>
            <w:r/>
            <w:r>
              <w:rPr>
                <w:sz w:val="17"/>
              </w:rPr>
              <w:t>18-month post-term non-solicit or no-hire with liquidated damages</w:t>
            </w:r>
          </w:p>
        </w:tc>
        <w:tc>
          <w:tcPr>
            <w:tcW w:type="dxa" w:w="2664"/>
          </w:tcPr>
          <w:p>
            <w:r/>
            <w:r>
              <w:rPr>
                <w:sz w:val="17"/>
              </w:rPr>
              <w:t>Favors Pinnacle</w:t>
            </w:r>
          </w:p>
        </w:tc>
        <w:tc>
          <w:tcPr>
            <w:tcW w:type="dxa" w:w="1152"/>
          </w:tcPr>
          <w:p>
            <w:r/>
            <w:r>
              <w:rPr>
                <w:sz w:val="17"/>
              </w:rPr>
              <w:t>22</w:t>
            </w:r>
          </w:p>
        </w:tc>
      </w:tr>
      <w:tr>
        <w:tc>
          <w:tcPr>
            <w:tcW w:type="dxa" w:w="1440"/>
          </w:tcPr>
          <w:p>
            <w:r/>
            <w:r>
              <w:rPr>
                <w:sz w:val="17"/>
              </w:rPr>
              <w:t>Confidentiality</w:t>
            </w:r>
          </w:p>
        </w:tc>
        <w:tc>
          <w:tcPr>
            <w:tcW w:type="dxa" w:w="2088"/>
          </w:tcPr>
          <w:p>
            <w:r/>
            <w:r>
              <w:rPr>
                <w:sz w:val="17"/>
              </w:rPr>
              <w:t>Customary; existing NDA</w:t>
            </w:r>
          </w:p>
        </w:tc>
        <w:tc>
          <w:tcPr>
            <w:tcW w:type="dxa" w:w="2304"/>
          </w:tcPr>
          <w:p>
            <w:r/>
            <w:r>
              <w:rPr>
                <w:sz w:val="17"/>
              </w:rPr>
              <w:t>Absolute bar on disclosure to Ridgeline, syndicate and takeout participants</w:t>
            </w:r>
          </w:p>
        </w:tc>
        <w:tc>
          <w:tcPr>
            <w:tcW w:type="dxa" w:w="2664"/>
          </w:tcPr>
          <w:p>
            <w:r/>
            <w:r>
              <w:rPr>
                <w:sz w:val="17"/>
              </w:rPr>
              <w:t>Creates disclosure and enforceability risk for all parties</w:t>
            </w:r>
          </w:p>
        </w:tc>
        <w:tc>
          <w:tcPr>
            <w:tcW w:type="dxa" w:w="1152"/>
          </w:tcPr>
          <w:p>
            <w:r/>
            <w:r>
              <w:rPr>
                <w:sz w:val="17"/>
              </w:rPr>
              <w:t>1, 10, 27</w:t>
            </w:r>
          </w:p>
        </w:tc>
      </w:tr>
      <w:tr>
        <w:tc>
          <w:tcPr>
            <w:tcW w:type="dxa" w:w="1440"/>
          </w:tcPr>
          <w:p>
            <w:r/>
            <w:r>
              <w:rPr>
                <w:sz w:val="17"/>
              </w:rPr>
              <w:t>Amendments</w:t>
            </w:r>
          </w:p>
        </w:tc>
        <w:tc>
          <w:tcPr>
            <w:tcW w:type="dxa" w:w="2088"/>
          </w:tcPr>
          <w:p>
            <w:r/>
            <w:r>
              <w:rPr>
                <w:sz w:val="17"/>
              </w:rPr>
              <w:t>Agent + Required Lenders (&gt; 50%)</w:t>
            </w:r>
          </w:p>
        </w:tc>
        <w:tc>
          <w:tcPr>
            <w:tcW w:type="dxa" w:w="2304"/>
          </w:tcPr>
          <w:p>
            <w:r/>
            <w:r>
              <w:rPr>
                <w:sz w:val="17"/>
              </w:rPr>
              <w:t>Pinnacle and Hawthorne only</w:t>
            </w:r>
          </w:p>
        </w:tc>
        <w:tc>
          <w:tcPr>
            <w:tcW w:type="dxa" w:w="2664"/>
          </w:tcPr>
          <w:p>
            <w:r/>
            <w:r>
              <w:rPr>
                <w:sz w:val="17"/>
              </w:rPr>
              <w:t>Side Letter purports to modify facility terms without Ridgeline</w:t>
            </w:r>
          </w:p>
        </w:tc>
        <w:tc>
          <w:tcPr>
            <w:tcW w:type="dxa" w:w="1152"/>
          </w:tcPr>
          <w:p>
            <w:r/>
            <w:r>
              <w:rPr>
                <w:sz w:val="17"/>
              </w:rPr>
              <w:t>1, 30</w:t>
            </w:r>
          </w:p>
        </w:tc>
      </w:tr>
      <w:tr>
        <w:tc>
          <w:tcPr>
            <w:tcW w:type="dxa" w:w="1440"/>
          </w:tcPr>
          <w:p>
            <w:r/>
            <w:r>
              <w:rPr>
                <w:sz w:val="17"/>
              </w:rPr>
              <w:t>Signatories</w:t>
            </w:r>
          </w:p>
        </w:tc>
        <w:tc>
          <w:tcPr>
            <w:tcW w:type="dxa" w:w="2088"/>
          </w:tcPr>
          <w:p>
            <w:r/>
            <w:r>
              <w:rPr>
                <w:sz w:val="17"/>
              </w:rPr>
              <w:t>Pinnacle, Hawthorne (CEO), Ridgeline</w:t>
            </w:r>
          </w:p>
        </w:tc>
        <w:tc>
          <w:tcPr>
            <w:tcW w:type="dxa" w:w="2304"/>
          </w:tcPr>
          <w:p>
            <w:r/>
            <w:r>
              <w:rPr>
                <w:sz w:val="17"/>
              </w:rPr>
              <w:t>Pinnacle, Hawthorne (GC); not Ridgeline or SPV</w:t>
            </w:r>
          </w:p>
        </w:tc>
        <w:tc>
          <w:tcPr>
            <w:tcW w:type="dxa" w:w="2664"/>
          </w:tcPr>
          <w:p>
            <w:r/>
            <w:r>
              <w:rPr>
                <w:sz w:val="17"/>
              </w:rPr>
              <w:t>Ridgeline not bound; SPV not bound</w:t>
            </w:r>
          </w:p>
        </w:tc>
        <w:tc>
          <w:tcPr>
            <w:tcW w:type="dxa" w:w="1152"/>
          </w:tcPr>
          <w:p>
            <w:r/>
            <w:r>
              <w:rPr>
                <w:sz w:val="17"/>
              </w:rPr>
              <w:t>1, 37</w:t>
            </w:r>
          </w:p>
        </w:tc>
      </w:tr>
    </w:tbl>
    <w:p>
      <w:pPr>
        <w:spacing w:after="40"/>
      </w:pPr>
    </w:p>
    <w:p>
      <w:pPr>
        <w:pStyle w:val="Heading1"/>
      </w:pPr>
      <w:r>
        <w:t>5. Arithmetic and Date Verification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016"/>
            <w:shd w:val="clear" w:color="auto" w:fill="1F3A5F"/>
          </w:tcPr>
          <w:p>
            <w:r/>
            <w:r>
              <w:rPr>
                <w:b/>
                <w:color w:val="FFFFFF"/>
                <w:sz w:val="17"/>
              </w:rPr>
              <w:t>Item</w:t>
            </w:r>
          </w:p>
        </w:tc>
        <w:tc>
          <w:tcPr>
            <w:tcW w:type="dxa" w:w="2088"/>
            <w:shd w:val="clear" w:color="auto" w:fill="1F3A5F"/>
          </w:tcPr>
          <w:p>
            <w:r/>
            <w:r>
              <w:rPr>
                <w:b/>
                <w:color w:val="FFFFFF"/>
                <w:sz w:val="17"/>
              </w:rPr>
              <w:t>Stated</w:t>
            </w:r>
          </w:p>
        </w:tc>
        <w:tc>
          <w:tcPr>
            <w:tcW w:type="dxa" w:w="3384"/>
            <w:shd w:val="clear" w:color="auto" w:fill="1F3A5F"/>
          </w:tcPr>
          <w:p>
            <w:r/>
            <w:r>
              <w:rPr>
                <w:b/>
                <w:color w:val="FFFFFF"/>
                <w:sz w:val="17"/>
              </w:rPr>
              <w:t>Recomputed</w:t>
            </w:r>
          </w:p>
        </w:tc>
        <w:tc>
          <w:tcPr>
            <w:tcW w:type="dxa" w:w="2160"/>
            <w:shd w:val="clear" w:color="auto" w:fill="1F3A5F"/>
          </w:tcPr>
          <w:p>
            <w:r/>
            <w:r>
              <w:rPr>
                <w:b/>
                <w:color w:val="FFFFFF"/>
                <w:sz w:val="17"/>
              </w:rPr>
              <w:t>Result</w:t>
            </w:r>
          </w:p>
        </w:tc>
      </w:tr>
      <w:tr>
        <w:tc>
          <w:tcPr>
            <w:tcW w:type="dxa" w:w="2016"/>
          </w:tcPr>
          <w:p>
            <w:r/>
            <w:r>
              <w:rPr>
                <w:sz w:val="17"/>
              </w:rPr>
              <w:t>Total commitments</w:t>
            </w:r>
          </w:p>
        </w:tc>
        <w:tc>
          <w:tcPr>
            <w:tcW w:type="dxa" w:w="2088"/>
          </w:tcPr>
          <w:p>
            <w:r/>
            <w:r>
              <w:rPr>
                <w:sz w:val="17"/>
              </w:rPr>
              <w:t>$350MM</w:t>
            </w:r>
          </w:p>
        </w:tc>
        <w:tc>
          <w:tcPr>
            <w:tcW w:type="dxa" w:w="3384"/>
          </w:tcPr>
          <w:p>
            <w:r/>
            <w:r>
              <w:rPr>
                <w:sz w:val="17"/>
              </w:rPr>
              <w:t>$250MM + $100MM = $350MM (71.43% / 28.57%)</w:t>
            </w:r>
          </w:p>
        </w:tc>
        <w:tc>
          <w:tcPr>
            <w:tcW w:type="dxa" w:w="2160"/>
          </w:tcPr>
          <w:p>
            <w:r/>
            <w:r>
              <w:rPr>
                <w:sz w:val="17"/>
              </w:rPr>
              <w:t>Consistent</w:t>
            </w:r>
          </w:p>
        </w:tc>
      </w:tr>
      <w:tr>
        <w:tc>
          <w:tcPr>
            <w:tcW w:type="dxa" w:w="2016"/>
          </w:tcPr>
          <w:p>
            <w:r/>
            <w:r>
              <w:rPr>
                <w:sz w:val="17"/>
              </w:rPr>
              <w:t>Accordion maximum</w:t>
            </w:r>
          </w:p>
        </w:tc>
        <w:tc>
          <w:tcPr>
            <w:tcW w:type="dxa" w:w="2088"/>
          </w:tcPr>
          <w:p>
            <w:r/>
            <w:r>
              <w:rPr>
                <w:sz w:val="17"/>
              </w:rPr>
              <w:t>$500MM</w:t>
            </w:r>
          </w:p>
        </w:tc>
        <w:tc>
          <w:tcPr>
            <w:tcW w:type="dxa" w:w="3384"/>
          </w:tcPr>
          <w:p>
            <w:r/>
            <w:r>
              <w:rPr>
                <w:sz w:val="17"/>
              </w:rPr>
              <w:t>$350MM + $150MM = $500MM</w:t>
            </w:r>
          </w:p>
        </w:tc>
        <w:tc>
          <w:tcPr>
            <w:tcW w:type="dxa" w:w="2160"/>
          </w:tcPr>
          <w:p>
            <w:r/>
            <w:r>
              <w:rPr>
                <w:sz w:val="17"/>
              </w:rPr>
              <w:t>Consistent. Note: if all $150MM goes to new lenders, Pinnacle falls to exactly 50.0% and is no longer “Required Lenders” (&gt; 50%) alone (Issue 30).</w:t>
            </w:r>
          </w:p>
        </w:tc>
      </w:tr>
      <w:tr>
        <w:tc>
          <w:tcPr>
            <w:tcW w:type="dxa" w:w="2016"/>
          </w:tcPr>
          <w:p>
            <w:r/>
            <w:r>
              <w:rPr>
                <w:sz w:val="17"/>
              </w:rPr>
              <w:t>Upfront fee</w:t>
            </w:r>
          </w:p>
        </w:tc>
        <w:tc>
          <w:tcPr>
            <w:tcW w:type="dxa" w:w="2088"/>
          </w:tcPr>
          <w:p>
            <w:r/>
            <w:r>
              <w:rPr>
                <w:sz w:val="17"/>
              </w:rPr>
              <w:t>$2,625,000</w:t>
            </w:r>
          </w:p>
        </w:tc>
        <w:tc>
          <w:tcPr>
            <w:tcW w:type="dxa" w:w="3384"/>
          </w:tcPr>
          <w:p>
            <w:r/>
            <w:r>
              <w:rPr>
                <w:sz w:val="17"/>
              </w:rPr>
              <w:t>0.75% × $350,000,000 = $2,625,000</w:t>
            </w:r>
          </w:p>
        </w:tc>
        <w:tc>
          <w:tcPr>
            <w:tcW w:type="dxa" w:w="2160"/>
          </w:tcPr>
          <w:p>
            <w:r/>
            <w:r>
              <w:rPr>
                <w:sz w:val="17"/>
              </w:rPr>
              <w:t>Consistent (no fee stated for accordion commitments)</w:t>
            </w:r>
          </w:p>
        </w:tc>
      </w:tr>
      <w:tr>
        <w:tc>
          <w:tcPr>
            <w:tcW w:type="dxa" w:w="2016"/>
          </w:tcPr>
          <w:p>
            <w:r/>
            <w:r>
              <w:rPr>
                <w:sz w:val="17"/>
              </w:rPr>
              <w:t>Total closing fees</w:t>
            </w:r>
          </w:p>
        </w:tc>
        <w:tc>
          <w:tcPr>
            <w:tcW w:type="dxa" w:w="2088"/>
          </w:tcPr>
          <w:p>
            <w:r/>
            <w:r>
              <w:rPr>
                <w:sz w:val="17"/>
              </w:rPr>
              <w:t>$3,000,000</w:t>
            </w:r>
          </w:p>
        </w:tc>
        <w:tc>
          <w:tcPr>
            <w:tcW w:type="dxa" w:w="3384"/>
          </w:tcPr>
          <w:p>
            <w:r/>
            <w:r>
              <w:rPr>
                <w:sz w:val="17"/>
              </w:rPr>
              <w:t>$2,625,000 + $375,000 = $3,000,000 (TS §V and CP 6)</w:t>
            </w:r>
          </w:p>
        </w:tc>
        <w:tc>
          <w:tcPr>
            <w:tcW w:type="dxa" w:w="2160"/>
          </w:tcPr>
          <w:p>
            <w:r/>
            <w:r>
              <w:rPr>
                <w:sz w:val="17"/>
              </w:rPr>
              <w:t>Consistent</w:t>
            </w:r>
          </w:p>
        </w:tc>
      </w:tr>
      <w:tr>
        <w:tc>
          <w:tcPr>
            <w:tcW w:type="dxa" w:w="2016"/>
          </w:tcPr>
          <w:p>
            <w:r/>
            <w:r>
              <w:rPr>
                <w:sz w:val="17"/>
              </w:rPr>
              <w:t>Agent fee</w:t>
            </w:r>
          </w:p>
        </w:tc>
        <w:tc>
          <w:tcPr>
            <w:tcW w:type="dxa" w:w="2088"/>
          </w:tcPr>
          <w:p>
            <w:r/>
            <w:r>
              <w:rPr>
                <w:sz w:val="17"/>
              </w:rPr>
              <w:t>$150,000 p.a. / $37,500 per quarter</w:t>
            </w:r>
          </w:p>
        </w:tc>
        <w:tc>
          <w:tcPr>
            <w:tcW w:type="dxa" w:w="3384"/>
          </w:tcPr>
          <w:p>
            <w:r/>
            <w:r>
              <w:rPr>
                <w:sz w:val="17"/>
              </w:rPr>
              <w:t>$150,000 ÷ 4 = $37,500</w:t>
            </w:r>
          </w:p>
        </w:tc>
        <w:tc>
          <w:tcPr>
            <w:tcW w:type="dxa" w:w="2160"/>
          </w:tcPr>
          <w:p>
            <w:r/>
            <w:r>
              <w:rPr>
                <w:sz w:val="17"/>
              </w:rPr>
              <w:t>Consistent, but $37,500 &gt; $25,000 monthly cap at waterfall step First (Issue 6)</w:t>
            </w:r>
          </w:p>
        </w:tc>
      </w:tr>
      <w:tr>
        <w:tc>
          <w:tcPr>
            <w:tcW w:type="dxa" w:w="2016"/>
          </w:tcPr>
          <w:p>
            <w:r/>
            <w:r>
              <w:rPr>
                <w:sz w:val="17"/>
              </w:rPr>
              <w:t>Back-up servicing fee</w:t>
            </w:r>
          </w:p>
        </w:tc>
        <w:tc>
          <w:tcPr>
            <w:tcW w:type="dxa" w:w="2088"/>
          </w:tcPr>
          <w:p>
            <w:r/>
            <w:r>
              <w:rPr>
                <w:sz w:val="17"/>
              </w:rPr>
              <w:t>$12,500/mo; $150,000 p.a.</w:t>
            </w:r>
          </w:p>
        </w:tc>
        <w:tc>
          <w:tcPr>
            <w:tcW w:type="dxa" w:w="3384"/>
          </w:tcPr>
          <w:p>
            <w:r/>
            <w:r>
              <w:rPr>
                <w:sz w:val="17"/>
              </w:rPr>
              <w:t>$12,500 × 12 = $150,000</w:t>
            </w:r>
          </w:p>
        </w:tc>
        <w:tc>
          <w:tcPr>
            <w:tcW w:type="dxa" w:w="2160"/>
          </w:tcPr>
          <w:p>
            <w:r/>
            <w:r>
              <w:rPr>
                <w:sz w:val="17"/>
              </w:rPr>
              <w:t>Consistent</w:t>
            </w:r>
          </w:p>
        </w:tc>
      </w:tr>
      <w:tr>
        <w:tc>
          <w:tcPr>
            <w:tcW w:type="dxa" w:w="2016"/>
          </w:tcPr>
          <w:p>
            <w:r/>
            <w:r>
              <w:rPr>
                <w:sz w:val="17"/>
              </w:rPr>
              <w:t>All-in spreads</w:t>
            </w:r>
          </w:p>
        </w:tc>
        <w:tc>
          <w:tcPr>
            <w:tcW w:type="dxa" w:w="2088"/>
          </w:tcPr>
          <w:p>
            <w:r/>
            <w:r>
              <w:rPr>
                <w:sz w:val="17"/>
              </w:rPr>
              <w:t>S+235 / S+285</w:t>
            </w:r>
          </w:p>
        </w:tc>
        <w:tc>
          <w:tcPr>
            <w:tcW w:type="dxa" w:w="3384"/>
          </w:tcPr>
          <w:p>
            <w:r/>
            <w:r>
              <w:rPr>
                <w:sz w:val="17"/>
              </w:rPr>
              <w:t>10 + 225 = 235; 10 + 275 = 285 bps</w:t>
            </w:r>
          </w:p>
        </w:tc>
        <w:tc>
          <w:tcPr>
            <w:tcW w:type="dxa" w:w="2160"/>
          </w:tcPr>
          <w:p>
            <w:r/>
            <w:r>
              <w:rPr>
                <w:sz w:val="17"/>
              </w:rPr>
              <w:t>Consistent (TS and SL)</w:t>
            </w:r>
          </w:p>
        </w:tc>
      </w:tr>
      <w:tr>
        <w:tc>
          <w:tcPr>
            <w:tcW w:type="dxa" w:w="2016"/>
          </w:tcPr>
          <w:p>
            <w:r/>
            <w:r>
              <w:rPr>
                <w:sz w:val="17"/>
              </w:rPr>
              <w:t>Overcollateralization</w:t>
            </w:r>
          </w:p>
        </w:tc>
        <w:tc>
          <w:tcPr>
            <w:tcW w:type="dxa" w:w="2088"/>
          </w:tcPr>
          <w:p>
            <w:r/>
            <w:r>
              <w:rPr>
                <w:sz w:val="17"/>
              </w:rPr>
              <w:t>15% / 20% (+500 bps)</w:t>
            </w:r>
          </w:p>
        </w:tc>
        <w:tc>
          <w:tcPr>
            <w:tcW w:type="dxa" w:w="3384"/>
          </w:tcPr>
          <w:p>
            <w:r/>
            <w:r>
              <w:rPr>
                <w:sz w:val="17"/>
              </w:rPr>
              <w:t>100% − 85% = 15%; 100% − 80% = 20%</w:t>
            </w:r>
          </w:p>
        </w:tc>
        <w:tc>
          <w:tcPr>
            <w:tcW w:type="dxa" w:w="2160"/>
          </w:tcPr>
          <w:p>
            <w:r/>
            <w:r>
              <w:rPr>
                <w:sz w:val="17"/>
              </w:rPr>
              <w:t>Consistent</w:t>
            </w:r>
          </w:p>
        </w:tc>
      </w:tr>
      <w:tr>
        <w:tc>
          <w:tcPr>
            <w:tcW w:type="dxa" w:w="2016"/>
          </w:tcPr>
          <w:p>
            <w:r/>
            <w:r>
              <w:rPr>
                <w:sz w:val="17"/>
              </w:rPr>
              <w:t>Revolving / Amortization / Maturity</w:t>
            </w:r>
          </w:p>
        </w:tc>
        <w:tc>
          <w:tcPr>
            <w:tcW w:type="dxa" w:w="2088"/>
          </w:tcPr>
          <w:p>
            <w:r/>
            <w:r>
              <w:rPr>
                <w:sz w:val="17"/>
              </w:rPr>
              <w:t>24 mo / 12 mo / Aug. 15, 2028</w:t>
            </w:r>
          </w:p>
        </w:tc>
        <w:tc>
          <w:tcPr>
            <w:tcW w:type="dxa" w:w="3384"/>
          </w:tcPr>
          <w:p>
            <w:r/>
            <w:r>
              <w:rPr>
                <w:sz w:val="17"/>
              </w:rPr>
              <w:t>Aug. 15, 2025 → Aug. 15, 2027 → Aug. 15, 2028</w:t>
            </w:r>
          </w:p>
        </w:tc>
        <w:tc>
          <w:tcPr>
            <w:tcW w:type="dxa" w:w="2160"/>
          </w:tcPr>
          <w:p>
            <w:r/>
            <w:r>
              <w:rPr>
                <w:sz w:val="17"/>
              </w:rPr>
              <w:t>Consistent (TS and SL)</w:t>
            </w:r>
          </w:p>
        </w:tc>
      </w:tr>
      <w:tr>
        <w:tc>
          <w:tcPr>
            <w:tcW w:type="dxa" w:w="2016"/>
          </w:tcPr>
          <w:p>
            <w:r/>
            <w:r>
              <w:rPr>
                <w:sz w:val="17"/>
              </w:rPr>
              <w:t>BUS deadline</w:t>
            </w:r>
          </w:p>
        </w:tc>
        <w:tc>
          <w:tcPr>
            <w:tcW w:type="dxa" w:w="2088"/>
          </w:tcPr>
          <w:p>
            <w:r/>
            <w:r>
              <w:rPr>
                <w:sz w:val="17"/>
              </w:rPr>
              <w:t>Nov. 13, 2025</w:t>
            </w:r>
          </w:p>
        </w:tc>
        <w:tc>
          <w:tcPr>
            <w:tcW w:type="dxa" w:w="3384"/>
          </w:tcPr>
          <w:p>
            <w:r/>
            <w:r>
              <w:rPr>
                <w:sz w:val="17"/>
              </w:rPr>
              <w:t>Aug. 15, 2025 + 90 days = Nov. 13, 2025</w:t>
            </w:r>
          </w:p>
        </w:tc>
        <w:tc>
          <w:tcPr>
            <w:tcW w:type="dxa" w:w="2160"/>
          </w:tcPr>
          <w:p>
            <w:r/>
            <w:r>
              <w:rPr>
                <w:sz w:val="17"/>
              </w:rPr>
              <w:t>Consistent (hard-coded date, Issue 34)</w:t>
            </w:r>
          </w:p>
        </w:tc>
      </w:tr>
      <w:tr>
        <w:tc>
          <w:tcPr>
            <w:tcW w:type="dxa" w:w="2016"/>
          </w:tcPr>
          <w:p>
            <w:r/>
            <w:r>
              <w:rPr>
                <w:sz w:val="17"/>
              </w:rPr>
              <w:t>MDE earliest effective date</w:t>
            </w:r>
          </w:p>
        </w:tc>
        <w:tc>
          <w:tcPr>
            <w:tcW w:type="dxa" w:w="2088"/>
          </w:tcPr>
          <w:p>
            <w:r/>
            <w:r>
              <w:rPr>
                <w:sz w:val="17"/>
              </w:rPr>
              <w:t>Feb. 15, 2027 (≈ 18 months)</w:t>
            </w:r>
          </w:p>
        </w:tc>
        <w:tc>
          <w:tcPr>
            <w:tcW w:type="dxa" w:w="3384"/>
          </w:tcPr>
          <w:p>
            <w:r/>
            <w:r>
              <w:rPr>
                <w:sz w:val="17"/>
              </w:rPr>
              <w:t>Aug. 15, 2027 − 6 months = Feb. 15, 2027 = Closing + 18 months</w:t>
            </w:r>
          </w:p>
        </w:tc>
        <w:tc>
          <w:tcPr>
            <w:tcW w:type="dxa" w:w="2160"/>
          </w:tcPr>
          <w:p>
            <w:r/>
            <w:r>
              <w:rPr>
                <w:sz w:val="17"/>
              </w:rPr>
              <w:t>Consistent</w:t>
            </w:r>
          </w:p>
        </w:tc>
      </w:tr>
      <w:tr>
        <w:tc>
          <w:tcPr>
            <w:tcW w:type="dxa" w:w="2016"/>
          </w:tcPr>
          <w:p>
            <w:r/>
            <w:r>
              <w:rPr>
                <w:sz w:val="17"/>
              </w:rPr>
              <w:t>Non-solicit tail</w:t>
            </w:r>
          </w:p>
        </w:tc>
        <w:tc>
          <w:tcPr>
            <w:tcW w:type="dxa" w:w="2088"/>
          </w:tcPr>
          <w:p>
            <w:r/>
            <w:r>
              <w:rPr>
                <w:sz w:val="17"/>
              </w:rPr>
              <w:t>Term + 18 months</w:t>
            </w:r>
          </w:p>
        </w:tc>
        <w:tc>
          <w:tcPr>
            <w:tcW w:type="dxa" w:w="3384"/>
          </w:tcPr>
          <w:p>
            <w:r/>
            <w:r>
              <w:rPr>
                <w:sz w:val="17"/>
              </w:rPr>
              <w:t>If facility runs to Aug. 15, 2028: through Feb. 15, 2030</w:t>
            </w:r>
          </w:p>
        </w:tc>
        <w:tc>
          <w:tcPr>
            <w:tcW w:type="dxa" w:w="2160"/>
          </w:tcPr>
          <w:p>
            <w:r/>
            <w:r>
              <w:rPr>
                <w:sz w:val="17"/>
              </w:rPr>
              <w:t>Derived</w:t>
            </w:r>
          </w:p>
        </w:tc>
      </w:tr>
      <w:tr>
        <w:tc>
          <w:tcPr>
            <w:tcW w:type="dxa" w:w="2016"/>
          </w:tcPr>
          <w:p>
            <w:r/>
            <w:r>
              <w:rPr>
                <w:sz w:val="17"/>
              </w:rPr>
              <w:t>Borrowing base at full draw</w:t>
            </w:r>
          </w:p>
        </w:tc>
        <w:tc>
          <w:tcPr>
            <w:tcW w:type="dxa" w:w="2088"/>
          </w:tcPr>
          <w:p>
            <w:r/>
            <w:r>
              <w:rPr>
                <w:sz w:val="17"/>
              </w:rPr>
              <w:t>n/a</w:t>
            </w:r>
          </w:p>
        </w:tc>
        <w:tc>
          <w:tcPr>
            <w:tcW w:type="dxa" w:w="3384"/>
          </w:tcPr>
          <w:p>
            <w:r/>
            <w:r>
              <w:rPr>
                <w:sz w:val="17"/>
              </w:rPr>
              <w:t>$350MM ÷ 85% = $411.76MM eligible receivables needed. At 80%, BB = $329.41MM, so the deficiency is $20.59MM, due in 2 BD.</w:t>
            </w:r>
          </w:p>
        </w:tc>
        <w:tc>
          <w:tcPr>
            <w:tcW w:type="dxa" w:w="2160"/>
          </w:tcPr>
          <w:p>
            <w:r/>
            <w:r>
              <w:rPr>
                <w:sz w:val="17"/>
              </w:rPr>
              <w:t>Derived (Issue 7)</w:t>
            </w:r>
          </w:p>
        </w:tc>
      </w:tr>
      <w:tr>
        <w:tc>
          <w:tcPr>
            <w:tcW w:type="dxa" w:w="2016"/>
          </w:tcPr>
          <w:p>
            <w:r/>
            <w:r>
              <w:rPr>
                <w:sz w:val="17"/>
              </w:rPr>
              <w:t>Leverage capacity</w:t>
            </w:r>
          </w:p>
        </w:tc>
        <w:tc>
          <w:tcPr>
            <w:tcW w:type="dxa" w:w="2088"/>
          </w:tcPr>
          <w:p>
            <w:r/>
            <w:r>
              <w:rPr>
                <w:sz w:val="17"/>
              </w:rPr>
              <w:t>D/E ≤ 4.00x; TNW ≥ $75MM</w:t>
            </w:r>
          </w:p>
        </w:tc>
        <w:tc>
          <w:tcPr>
            <w:tcW w:type="dxa" w:w="3384"/>
          </w:tcPr>
          <w:p>
            <w:r/>
            <w:r>
              <w:rPr>
                <w:sz w:val="17"/>
              </w:rPr>
              <w:t>4.00 × $75MM = $300MM &lt; $350MM facility. TNW needed: $87.5MM (facility fully drawn), $125MM (with accordion), before other debt.</w:t>
            </w:r>
          </w:p>
        </w:tc>
        <w:tc>
          <w:tcPr>
            <w:tcW w:type="dxa" w:w="2160"/>
          </w:tcPr>
          <w:p>
            <w:r/>
            <w:r>
              <w:rPr>
                <w:sz w:val="17"/>
              </w:rPr>
              <w:t>Potential structural conflict (Issue 4)</w:t>
            </w:r>
          </w:p>
        </w:tc>
      </w:tr>
      <w:tr>
        <w:tc>
          <w:tcPr>
            <w:tcW w:type="dxa" w:w="2016"/>
          </w:tcPr>
          <w:p>
            <w:r/>
            <w:r>
              <w:rPr>
                <w:sz w:val="17"/>
              </w:rPr>
              <w:t>Reserve Account target</w:t>
            </w:r>
          </w:p>
        </w:tc>
        <w:tc>
          <w:tcPr>
            <w:tcW w:type="dxa" w:w="2088"/>
          </w:tcPr>
          <w:p>
            <w:r/>
            <w:r>
              <w:rPr>
                <w:sz w:val="17"/>
              </w:rPr>
              <w:t>1.00% of facility balance</w:t>
            </w:r>
          </w:p>
        </w:tc>
        <w:tc>
          <w:tcPr>
            <w:tcW w:type="dxa" w:w="3384"/>
          </w:tcPr>
          <w:p>
            <w:r/>
            <w:r>
              <w:rPr>
                <w:sz w:val="17"/>
              </w:rPr>
              <w:t>$3.5MM at full draw ($5.0MM with accordion)</w:t>
            </w:r>
          </w:p>
        </w:tc>
        <w:tc>
          <w:tcPr>
            <w:tcW w:type="dxa" w:w="2160"/>
          </w:tcPr>
          <w:p>
            <w:r/>
            <w:r>
              <w:rPr>
                <w:sz w:val="17"/>
              </w:rPr>
              <w:t>Derived</w:t>
            </w:r>
          </w:p>
        </w:tc>
      </w:tr>
      <w:tr>
        <w:tc>
          <w:tcPr>
            <w:tcW w:type="dxa" w:w="2016"/>
          </w:tcPr>
          <w:p>
            <w:r/>
            <w:r>
              <w:rPr>
                <w:sz w:val="17"/>
              </w:rPr>
              <w:t>Servicing fee (senior to interest)</w:t>
            </w:r>
          </w:p>
        </w:tc>
        <w:tc>
          <w:tcPr>
            <w:tcW w:type="dxa" w:w="2088"/>
          </w:tcPr>
          <w:p>
            <w:r/>
            <w:r>
              <w:rPr>
                <w:sz w:val="17"/>
              </w:rPr>
              <w:t>1.50% p.a.</w:t>
            </w:r>
          </w:p>
        </w:tc>
        <w:tc>
          <w:tcPr>
            <w:tcW w:type="dxa" w:w="3384"/>
          </w:tcPr>
          <w:p>
            <w:r/>
            <w:r>
              <w:rPr>
                <w:sz w:val="17"/>
              </w:rPr>
              <w:t>≈ $6.18MM p.a. (≈ $515K/month) on a $411.76MM pool</w:t>
            </w:r>
          </w:p>
        </w:tc>
        <w:tc>
          <w:tcPr>
            <w:tcW w:type="dxa" w:w="2160"/>
          </w:tcPr>
          <w:p>
            <w:r/>
            <w:r>
              <w:rPr>
                <w:sz w:val="17"/>
              </w:rPr>
              <w:t>Derived (Issue 6)</w:t>
            </w:r>
          </w:p>
        </w:tc>
      </w:tr>
      <w:tr>
        <w:tc>
          <w:tcPr>
            <w:tcW w:type="dxa" w:w="2016"/>
          </w:tcPr>
          <w:p>
            <w:r/>
            <w:r>
              <w:rPr>
                <w:sz w:val="17"/>
              </w:rPr>
              <w:t>Unused fee exposure</w:t>
            </w:r>
          </w:p>
        </w:tc>
        <w:tc>
          <w:tcPr>
            <w:tcW w:type="dxa" w:w="2088"/>
          </w:tcPr>
          <w:p>
            <w:r/>
            <w:r>
              <w:rPr>
                <w:sz w:val="17"/>
              </w:rPr>
              <w:t>0.50% p.a.</w:t>
            </w:r>
          </w:p>
        </w:tc>
        <w:tc>
          <w:tcPr>
            <w:tcW w:type="dxa" w:w="3384"/>
          </w:tcPr>
          <w:p>
            <w:r/>
            <w:r>
              <w:rPr>
                <w:sz w:val="17"/>
              </w:rPr>
              <w:t>$1.75MM p.a. if fully undrawn; $875K p.a. at 50% utilization</w:t>
            </w:r>
          </w:p>
        </w:tc>
        <w:tc>
          <w:tcPr>
            <w:tcW w:type="dxa" w:w="2160"/>
          </w:tcPr>
          <w:p>
            <w:r/>
            <w:r>
              <w:rPr>
                <w:sz w:val="17"/>
              </w:rPr>
              <w:t>Derived (Issue 26)</w:t>
            </w:r>
          </w:p>
        </w:tc>
      </w:tr>
      <w:tr>
        <w:tc>
          <w:tcPr>
            <w:tcW w:type="dxa" w:w="2016"/>
          </w:tcPr>
          <w:p>
            <w:r/>
            <w:r>
              <w:rPr>
                <w:sz w:val="17"/>
              </w:rPr>
              <w:t>MDE step-up cost</w:t>
            </w:r>
          </w:p>
        </w:tc>
        <w:tc>
          <w:tcPr>
            <w:tcW w:type="dxa" w:w="2088"/>
          </w:tcPr>
          <w:p>
            <w:r/>
            <w:r>
              <w:rPr>
                <w:sz w:val="17"/>
              </w:rPr>
              <w:t>+50 bps</w:t>
            </w:r>
          </w:p>
        </w:tc>
        <w:tc>
          <w:tcPr>
            <w:tcW w:type="dxa" w:w="3384"/>
          </w:tcPr>
          <w:p>
            <w:r/>
            <w:r>
              <w:rPr>
                <w:sz w:val="17"/>
              </w:rPr>
              <w:t>≈ $1.5MM p.a. per $300MM outstanding, plus up to 6 months of lost revolving capacity</w:t>
            </w:r>
          </w:p>
        </w:tc>
        <w:tc>
          <w:tcPr>
            <w:tcW w:type="dxa" w:w="2160"/>
          </w:tcPr>
          <w:p>
            <w:r/>
            <w:r>
              <w:rPr>
                <w:sz w:val="17"/>
              </w:rPr>
              <w:t>Derived (Issue 2)</w:t>
            </w:r>
          </w:p>
        </w:tc>
      </w:tr>
      <w:tr>
        <w:tc>
          <w:tcPr>
            <w:tcW w:type="dxa" w:w="2016"/>
          </w:tcPr>
          <w:p>
            <w:r/>
            <w:r>
              <w:rPr>
                <w:sz w:val="17"/>
              </w:rPr>
              <w:t>Reporting vs. payment dates</w:t>
            </w:r>
          </w:p>
        </w:tc>
        <w:tc>
          <w:tcPr>
            <w:tcW w:type="dxa" w:w="2088"/>
          </w:tcPr>
          <w:p>
            <w:r/>
            <w:r>
              <w:rPr>
                <w:sz w:val="17"/>
              </w:rPr>
              <w:t>Report: 15th BD; Determination: 5th BD; Payment: 15th calendar day</w:t>
            </w:r>
          </w:p>
        </w:tc>
        <w:tc>
          <w:tcPr>
            <w:tcW w:type="dxa" w:w="3384"/>
          </w:tcPr>
          <w:p>
            <w:r/>
            <w:r>
              <w:rPr>
                <w:sz w:val="17"/>
              </w:rPr>
              <w:t>Report is due after both dates it feeds</w:t>
            </w:r>
          </w:p>
        </w:tc>
        <w:tc>
          <w:tcPr>
            <w:tcW w:type="dxa" w:w="2160"/>
          </w:tcPr>
          <w:p>
            <w:r/>
            <w:r>
              <w:rPr>
                <w:sz w:val="17"/>
              </w:rPr>
              <w:t>Inconsistent (Issue 5)</w:t>
            </w:r>
          </w:p>
        </w:tc>
      </w:tr>
      <w:tr>
        <w:tc>
          <w:tcPr>
            <w:tcW w:type="dxa" w:w="2016"/>
          </w:tcPr>
          <w:p>
            <w:r/>
            <w:r>
              <w:rPr>
                <w:sz w:val="17"/>
              </w:rPr>
              <w:t>Notice timing: litigation</w:t>
            </w:r>
          </w:p>
        </w:tc>
        <w:tc>
          <w:tcPr>
            <w:tcW w:type="dxa" w:w="2088"/>
          </w:tcPr>
          <w:p>
            <w:r/>
            <w:r>
              <w:rPr>
                <w:sz w:val="17"/>
              </w:rPr>
              <w:t>IX.10(b): 5 BD; XII.7(b): 2 BD</w:t>
            </w:r>
          </w:p>
        </w:tc>
        <w:tc>
          <w:tcPr>
            <w:tcW w:type="dxa" w:w="3384"/>
          </w:tcPr>
          <w:p>
            <w:r/>
            <w:r>
              <w:rPr>
                <w:sz w:val="17"/>
              </w:rPr>
            </w:r>
          </w:p>
        </w:tc>
        <w:tc>
          <w:tcPr>
            <w:tcW w:type="dxa" w:w="2160"/>
          </w:tcPr>
          <w:p>
            <w:r/>
            <w:r>
              <w:rPr>
                <w:sz w:val="17"/>
              </w:rPr>
              <w:t>Inconsistent (Issue 36)</w:t>
            </w:r>
          </w:p>
        </w:tc>
      </w:tr>
    </w:tbl>
    <w:p>
      <w:pPr>
        <w:spacing w:after="40"/>
      </w:pPr>
    </w:p>
    <w:p>
      <w:pPr>
        <w:pStyle w:val="Heading1"/>
      </w:pPr>
      <w:r>
        <w:t>6. Issues List with Severity Ratings</w:t>
      </w:r>
    </w:p>
    <w:p>
      <w:pPr>
        <w:spacing w:after="80"/>
      </w:pPr>
      <w:r>
        <w:rPr>
          <w:i w:val="0"/>
        </w:rPr>
        <w:t>Summary: 3 Critical, 11 High, 17 Medium, 7 Low (38 total). Issues 1–14 are the Critical and High items in order of priority; Issues 15–38 are the Medium and Low items; see the Severity column for each. Issue numbers are used for cross-reference throughout this memo.</w:t>
      </w:r>
    </w:p>
    <w:p>
      <w:pPr>
        <w:pStyle w:val="Heading2"/>
      </w:pPr>
      <w:r>
        <w:t>6.1 Summary Table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504"/>
            <w:shd w:val="clear" w:color="auto" w:fill="1F3A5F"/>
          </w:tcPr>
          <w:p>
            <w:r/>
            <w:r>
              <w:rPr>
                <w:b/>
                <w:color w:val="FFFFFF"/>
                <w:sz w:val="17"/>
              </w:rPr>
              <w:t>#</w:t>
            </w:r>
          </w:p>
        </w:tc>
        <w:tc>
          <w:tcPr>
            <w:tcW w:type="dxa" w:w="5544"/>
            <w:shd w:val="clear" w:color="auto" w:fill="1F3A5F"/>
          </w:tcPr>
          <w:p>
            <w:r/>
            <w:r>
              <w:rPr>
                <w:b/>
                <w:color w:val="FFFFFF"/>
                <w:sz w:val="17"/>
              </w:rPr>
              <w:t>Issue</w:t>
            </w:r>
          </w:p>
        </w:tc>
        <w:tc>
          <w:tcPr>
            <w:tcW w:type="dxa" w:w="1224"/>
            <w:shd w:val="clear" w:color="auto" w:fill="1F3A5F"/>
          </w:tcPr>
          <w:p>
            <w:r/>
            <w:r>
              <w:rPr>
                <w:b/>
                <w:color w:val="FFFFFF"/>
                <w:sz w:val="17"/>
              </w:rPr>
              <w:t>Severity</w:t>
            </w:r>
          </w:p>
        </w:tc>
        <w:tc>
          <w:tcPr>
            <w:tcW w:type="dxa" w:w="2376"/>
            <w:shd w:val="clear" w:color="auto" w:fill="1F3A5F"/>
          </w:tcPr>
          <w:p>
            <w:r/>
            <w:r>
              <w:rPr>
                <w:b/>
                <w:color w:val="FFFFFF"/>
                <w:sz w:val="17"/>
              </w:rPr>
              <w:t>Principally Affects</w:t>
            </w:r>
          </w:p>
        </w:tc>
      </w:tr>
      <w:tr>
        <w:tc>
          <w:tcPr>
            <w:tcW w:type="dxa" w:w="504"/>
          </w:tcPr>
          <w:p>
            <w:r/>
            <w:r>
              <w:rPr>
                <w:sz w:val="17"/>
              </w:rPr>
              <w:t>1</w:t>
            </w:r>
          </w:p>
        </w:tc>
        <w:tc>
          <w:tcPr>
            <w:tcW w:type="dxa" w:w="5544"/>
          </w:tcPr>
          <w:p>
            <w:r/>
            <w:r>
              <w:rPr>
                <w:sz w:val="17"/>
              </w:rPr>
              <w:t>Side Letter modifies facility-wide terms but is concealed from co-lender Ridgeline</w:t>
            </w:r>
          </w:p>
        </w:tc>
        <w:tc>
          <w:tcPr>
            <w:tcW w:type="dxa" w:w="1224"/>
            <w:shd w:val="clear" w:color="auto" w:fill="C00000"/>
          </w:tcPr>
          <w:p>
            <w:r/>
            <w:r>
              <w:rPr>
                <w:b/>
                <w:color w:val="FFFFFF"/>
                <w:sz w:val="17"/>
              </w:rPr>
              <w:t>Critical</w:t>
            </w:r>
          </w:p>
        </w:tc>
        <w:tc>
          <w:tcPr>
            <w:tcW w:type="dxa" w:w="2376"/>
          </w:tcPr>
          <w:p>
            <w:r/>
            <w:r>
              <w:rPr>
                <w:sz w:val="17"/>
              </w:rPr>
              <w:t>All parties (Ridgeline principally; Hawthorne exposure)</w:t>
            </w:r>
          </w:p>
        </w:tc>
      </w:tr>
      <w:tr>
        <w:tc>
          <w:tcPr>
            <w:tcW w:type="dxa" w:w="504"/>
          </w:tcPr>
          <w:p>
            <w:r/>
            <w:r>
              <w:rPr>
                <w:sz w:val="17"/>
              </w:rPr>
              <w:t>2</w:t>
            </w:r>
          </w:p>
        </w:tc>
        <w:tc>
          <w:tcPr>
            <w:tcW w:type="dxa" w:w="5544"/>
          </w:tcPr>
          <w:p>
            <w:r/>
            <w:r>
              <w:rPr>
                <w:sz w:val="17"/>
              </w:rPr>
              <w:t>Market Disruption Event: discretionary early termination of the Revolving Period</w:t>
            </w:r>
          </w:p>
        </w:tc>
        <w:tc>
          <w:tcPr>
            <w:tcW w:type="dxa" w:w="1224"/>
            <w:shd w:val="clear" w:color="auto" w:fill="C00000"/>
          </w:tcPr>
          <w:p>
            <w:r/>
            <w:r>
              <w:rPr>
                <w:b/>
                <w:color w:val="FFFFFF"/>
                <w:sz w:val="17"/>
              </w:rPr>
              <w:t>Critical</w:t>
            </w:r>
          </w:p>
        </w:tc>
        <w:tc>
          <w:tcPr>
            <w:tcW w:type="dxa" w:w="2376"/>
          </w:tcPr>
          <w:p>
            <w:r/>
            <w:r>
              <w:rPr>
                <w:sz w:val="17"/>
              </w:rPr>
              <w:t>Hawthorne / SPV</w:t>
            </w:r>
          </w:p>
        </w:tc>
      </w:tr>
      <w:tr>
        <w:tc>
          <w:tcPr>
            <w:tcW w:type="dxa" w:w="504"/>
          </w:tcPr>
          <w:p>
            <w:r/>
            <w:r>
              <w:rPr>
                <w:sz w:val="17"/>
              </w:rPr>
              <w:t>3</w:t>
            </w:r>
          </w:p>
        </w:tc>
        <w:tc>
          <w:tcPr>
            <w:tcW w:type="dxa" w:w="5544"/>
          </w:tcPr>
          <w:p>
            <w:r/>
            <w:r>
              <w:rPr>
                <w:sz w:val="17"/>
              </w:rPr>
              <w:t>Liquidity covenant creates a default cascade from lender-controlled events</w:t>
            </w:r>
          </w:p>
        </w:tc>
        <w:tc>
          <w:tcPr>
            <w:tcW w:type="dxa" w:w="1224"/>
            <w:shd w:val="clear" w:color="auto" w:fill="C00000"/>
          </w:tcPr>
          <w:p>
            <w:r/>
            <w:r>
              <w:rPr>
                <w:b/>
                <w:color w:val="FFFFFF"/>
                <w:sz w:val="17"/>
              </w:rPr>
              <w:t>Critical</w:t>
            </w:r>
          </w:p>
        </w:tc>
        <w:tc>
          <w:tcPr>
            <w:tcW w:type="dxa" w:w="2376"/>
          </w:tcPr>
          <w:p>
            <w:r/>
            <w:r>
              <w:rPr>
                <w:sz w:val="17"/>
              </w:rPr>
              <w:t>Hawthorne</w:t>
            </w:r>
          </w:p>
        </w:tc>
      </w:tr>
      <w:tr>
        <w:tc>
          <w:tcPr>
            <w:tcW w:type="dxa" w:w="504"/>
          </w:tcPr>
          <w:p>
            <w:r/>
            <w:r>
              <w:rPr>
                <w:sz w:val="17"/>
              </w:rPr>
              <w:t>4</w:t>
            </w:r>
          </w:p>
        </w:tc>
        <w:tc>
          <w:tcPr>
            <w:tcW w:type="dxa" w:w="5544"/>
          </w:tcPr>
          <w:p>
            <w:r/>
            <w:r>
              <w:rPr>
                <w:sz w:val="17"/>
              </w:rPr>
              <w:t>Debt-to-equity covenant may be arithmetically incompatible with facility size</w:t>
            </w:r>
          </w:p>
        </w:tc>
        <w:tc>
          <w:tcPr>
            <w:tcW w:type="dxa" w:w="1224"/>
            <w:shd w:val="clear" w:color="auto" w:fill="E46C0A"/>
          </w:tcPr>
          <w:p>
            <w:r/>
            <w:r>
              <w:rPr>
                <w:b/>
                <w:color w:val="FFFFFF"/>
                <w:sz w:val="17"/>
              </w:rPr>
              <w:t>High</w:t>
            </w:r>
          </w:p>
        </w:tc>
        <w:tc>
          <w:tcPr>
            <w:tcW w:type="dxa" w:w="2376"/>
          </w:tcPr>
          <w:p>
            <w:r/>
            <w:r>
              <w:rPr>
                <w:sz w:val="17"/>
              </w:rPr>
              <w:t>Hawthorne / Lenders</w:t>
            </w:r>
          </w:p>
        </w:tc>
      </w:tr>
      <w:tr>
        <w:tc>
          <w:tcPr>
            <w:tcW w:type="dxa" w:w="504"/>
          </w:tcPr>
          <w:p>
            <w:r/>
            <w:r>
              <w:rPr>
                <w:sz w:val="17"/>
              </w:rPr>
              <w:t>5</w:t>
            </w:r>
          </w:p>
        </w:tc>
        <w:tc>
          <w:tcPr>
            <w:tcW w:type="dxa" w:w="5544"/>
          </w:tcPr>
          <w:p>
            <w:r/>
            <w:r>
              <w:rPr>
                <w:sz w:val="17"/>
              </w:rPr>
              <w:t>Monthly Servicer Report due after the dates it is needed</w:t>
            </w:r>
          </w:p>
        </w:tc>
        <w:tc>
          <w:tcPr>
            <w:tcW w:type="dxa" w:w="1224"/>
            <w:shd w:val="clear" w:color="auto" w:fill="E46C0A"/>
          </w:tcPr>
          <w:p>
            <w:r/>
            <w:r>
              <w:rPr>
                <w:b/>
                <w:color w:val="FFFFFF"/>
                <w:sz w:val="17"/>
              </w:rPr>
              <w:t>High</w:t>
            </w:r>
          </w:p>
        </w:tc>
        <w:tc>
          <w:tcPr>
            <w:tcW w:type="dxa" w:w="2376"/>
          </w:tcPr>
          <w:p>
            <w:r/>
            <w:r>
              <w:rPr>
                <w:sz w:val="17"/>
              </w:rPr>
              <w:t>All parties</w:t>
            </w:r>
          </w:p>
        </w:tc>
      </w:tr>
      <w:tr>
        <w:tc>
          <w:tcPr>
            <w:tcW w:type="dxa" w:w="504"/>
          </w:tcPr>
          <w:p>
            <w:r/>
            <w:r>
              <w:rPr>
                <w:sz w:val="17"/>
              </w:rPr>
              <w:t>6</w:t>
            </w:r>
          </w:p>
        </w:tc>
        <w:tc>
          <w:tcPr>
            <w:tcW w:type="dxa" w:w="5544"/>
          </w:tcPr>
          <w:p>
            <w:r/>
            <w:r>
              <w:rPr>
                <w:sz w:val="17"/>
              </w:rPr>
              <w:t>Priority of payments: undefined amortization schedule, fee cap shortfall and missing steps</w:t>
            </w:r>
          </w:p>
        </w:tc>
        <w:tc>
          <w:tcPr>
            <w:tcW w:type="dxa" w:w="1224"/>
            <w:shd w:val="clear" w:color="auto" w:fill="E46C0A"/>
          </w:tcPr>
          <w:p>
            <w:r/>
            <w:r>
              <w:rPr>
                <w:b/>
                <w:color w:val="FFFFFF"/>
                <w:sz w:val="17"/>
              </w:rPr>
              <w:t>High</w:t>
            </w:r>
          </w:p>
        </w:tc>
        <w:tc>
          <w:tcPr>
            <w:tcW w:type="dxa" w:w="2376"/>
          </w:tcPr>
          <w:p>
            <w:r/>
            <w:r>
              <w:rPr>
                <w:sz w:val="17"/>
              </w:rPr>
              <w:t>Lenders / Hawthorne</w:t>
            </w:r>
          </w:p>
        </w:tc>
      </w:tr>
      <w:tr>
        <w:tc>
          <w:tcPr>
            <w:tcW w:type="dxa" w:w="504"/>
          </w:tcPr>
          <w:p>
            <w:r/>
            <w:r>
              <w:rPr>
                <w:sz w:val="17"/>
              </w:rPr>
              <w:t>7</w:t>
            </w:r>
          </w:p>
        </w:tc>
        <w:tc>
          <w:tcPr>
            <w:tcW w:type="dxa" w:w="5544"/>
          </w:tcPr>
          <w:p>
            <w:r/>
            <w:r>
              <w:rPr>
                <w:sz w:val="17"/>
              </w:rPr>
              <w:t>Advance-rate step-down creates an immediate, large borrowing base deficiency</w:t>
            </w:r>
          </w:p>
        </w:tc>
        <w:tc>
          <w:tcPr>
            <w:tcW w:type="dxa" w:w="1224"/>
            <w:shd w:val="clear" w:color="auto" w:fill="E46C0A"/>
          </w:tcPr>
          <w:p>
            <w:r/>
            <w:r>
              <w:rPr>
                <w:b/>
                <w:color w:val="FFFFFF"/>
                <w:sz w:val="17"/>
              </w:rPr>
              <w:t>High</w:t>
            </w:r>
          </w:p>
        </w:tc>
        <w:tc>
          <w:tcPr>
            <w:tcW w:type="dxa" w:w="2376"/>
          </w:tcPr>
          <w:p>
            <w:r/>
            <w:r>
              <w:rPr>
                <w:sz w:val="17"/>
              </w:rPr>
              <w:t>Hawthorne / SPV</w:t>
            </w:r>
          </w:p>
        </w:tc>
      </w:tr>
      <w:tr>
        <w:tc>
          <w:tcPr>
            <w:tcW w:type="dxa" w:w="504"/>
          </w:tcPr>
          <w:p>
            <w:r/>
            <w:r>
              <w:rPr>
                <w:sz w:val="17"/>
              </w:rPr>
              <w:t>8</w:t>
            </w:r>
          </w:p>
        </w:tc>
        <w:tc>
          <w:tcPr>
            <w:tcW w:type="dxa" w:w="5544"/>
          </w:tcPr>
          <w:p>
            <w:r/>
            <w:r>
              <w:rPr>
                <w:sz w:val="17"/>
              </w:rPr>
              <w:t>Financial covenants: no cure, continuous testing, and a blank Servicing Coverage Ratio</w:t>
            </w:r>
          </w:p>
        </w:tc>
        <w:tc>
          <w:tcPr>
            <w:tcW w:type="dxa" w:w="1224"/>
            <w:shd w:val="clear" w:color="auto" w:fill="E46C0A"/>
          </w:tcPr>
          <w:p>
            <w:r/>
            <w:r>
              <w:rPr>
                <w:b/>
                <w:color w:val="FFFFFF"/>
                <w:sz w:val="17"/>
              </w:rPr>
              <w:t>High</w:t>
            </w:r>
          </w:p>
        </w:tc>
        <w:tc>
          <w:tcPr>
            <w:tcW w:type="dxa" w:w="2376"/>
          </w:tcPr>
          <w:p>
            <w:r/>
            <w:r>
              <w:rPr>
                <w:sz w:val="17"/>
              </w:rPr>
              <w:t>Hawthorne</w:t>
            </w:r>
          </w:p>
        </w:tc>
      </w:tr>
      <w:tr>
        <w:tc>
          <w:tcPr>
            <w:tcW w:type="dxa" w:w="504"/>
          </w:tcPr>
          <w:p>
            <w:r/>
            <w:r>
              <w:rPr>
                <w:sz w:val="17"/>
              </w:rPr>
              <w:t>9</w:t>
            </w:r>
          </w:p>
        </w:tc>
        <w:tc>
          <w:tcPr>
            <w:tcW w:type="dxa" w:w="5544"/>
          </w:tcPr>
          <w:p>
            <w:r/>
            <w:r>
              <w:rPr>
                <w:sz w:val="17"/>
              </w:rPr>
              <w:t>Servicer rating Event of Default: automatic, no cure, now including withdrawal</w:t>
            </w:r>
          </w:p>
        </w:tc>
        <w:tc>
          <w:tcPr>
            <w:tcW w:type="dxa" w:w="1224"/>
            <w:shd w:val="clear" w:color="auto" w:fill="E46C0A"/>
          </w:tcPr>
          <w:p>
            <w:r/>
            <w:r>
              <w:rPr>
                <w:b/>
                <w:color w:val="FFFFFF"/>
                <w:sz w:val="17"/>
              </w:rPr>
              <w:t>High</w:t>
            </w:r>
          </w:p>
        </w:tc>
        <w:tc>
          <w:tcPr>
            <w:tcW w:type="dxa" w:w="2376"/>
          </w:tcPr>
          <w:p>
            <w:r/>
            <w:r>
              <w:rPr>
                <w:sz w:val="17"/>
              </w:rPr>
              <w:t>Hawthorne</w:t>
            </w:r>
          </w:p>
        </w:tc>
      </w:tr>
      <w:tr>
        <w:tc>
          <w:tcPr>
            <w:tcW w:type="dxa" w:w="504"/>
          </w:tcPr>
          <w:p>
            <w:r/>
            <w:r>
              <w:rPr>
                <w:sz w:val="17"/>
              </w:rPr>
              <w:t>10</w:t>
            </w:r>
          </w:p>
        </w:tc>
        <w:tc>
          <w:tcPr>
            <w:tcW w:type="dxa" w:w="5544"/>
          </w:tcPr>
          <w:p>
            <w:r/>
            <w:r>
              <w:rPr>
                <w:sz w:val="17"/>
              </w:rPr>
              <w:t>Right of First Refusal on all takeouts</w:t>
            </w:r>
          </w:p>
        </w:tc>
        <w:tc>
          <w:tcPr>
            <w:tcW w:type="dxa" w:w="1224"/>
            <w:shd w:val="clear" w:color="auto" w:fill="E46C0A"/>
          </w:tcPr>
          <w:p>
            <w:r/>
            <w:r>
              <w:rPr>
                <w:b/>
                <w:color w:val="FFFFFF"/>
                <w:sz w:val="17"/>
              </w:rPr>
              <w:t>High</w:t>
            </w:r>
          </w:p>
        </w:tc>
        <w:tc>
          <w:tcPr>
            <w:tcW w:type="dxa" w:w="2376"/>
          </w:tcPr>
          <w:p>
            <w:r/>
            <w:r>
              <w:rPr>
                <w:sz w:val="17"/>
              </w:rPr>
              <w:t>Hawthorne (and Ridgeline)</w:t>
            </w:r>
          </w:p>
        </w:tc>
      </w:tr>
      <w:tr>
        <w:tc>
          <w:tcPr>
            <w:tcW w:type="dxa" w:w="504"/>
          </w:tcPr>
          <w:p>
            <w:r/>
            <w:r>
              <w:rPr>
                <w:sz w:val="17"/>
              </w:rPr>
              <w:t>11</w:t>
            </w:r>
          </w:p>
        </w:tc>
        <w:tc>
          <w:tcPr>
            <w:tcW w:type="dxa" w:w="5544"/>
          </w:tcPr>
          <w:p>
            <w:r/>
            <w:r>
              <w:rPr>
                <w:sz w:val="17"/>
              </w:rPr>
              <w:t>Performance test definitions are defective (CNL misnomer, undefined period, denominator)</w:t>
            </w:r>
          </w:p>
        </w:tc>
        <w:tc>
          <w:tcPr>
            <w:tcW w:type="dxa" w:w="1224"/>
            <w:shd w:val="clear" w:color="auto" w:fill="E46C0A"/>
          </w:tcPr>
          <w:p>
            <w:r/>
            <w:r>
              <w:rPr>
                <w:b/>
                <w:color w:val="FFFFFF"/>
                <w:sz w:val="17"/>
              </w:rPr>
              <w:t>High</w:t>
            </w:r>
          </w:p>
        </w:tc>
        <w:tc>
          <w:tcPr>
            <w:tcW w:type="dxa" w:w="2376"/>
          </w:tcPr>
          <w:p>
            <w:r/>
            <w:r>
              <w:rPr>
                <w:sz w:val="17"/>
              </w:rPr>
              <w:t>All parties</w:t>
            </w:r>
          </w:p>
        </w:tc>
      </w:tr>
      <w:tr>
        <w:tc>
          <w:tcPr>
            <w:tcW w:type="dxa" w:w="504"/>
          </w:tcPr>
          <w:p>
            <w:r/>
            <w:r>
              <w:rPr>
                <w:sz w:val="17"/>
              </w:rPr>
              <w:t>12</w:t>
            </w:r>
          </w:p>
        </w:tc>
        <w:tc>
          <w:tcPr>
            <w:tcW w:type="dxa" w:w="5544"/>
          </w:tcPr>
          <w:p>
            <w:r/>
            <w:r>
              <w:rPr>
                <w:sz w:val="17"/>
              </w:rPr>
              <w:t>No intermediate early-amortization triggers</w:t>
            </w:r>
          </w:p>
        </w:tc>
        <w:tc>
          <w:tcPr>
            <w:tcW w:type="dxa" w:w="1224"/>
            <w:shd w:val="clear" w:color="auto" w:fill="E46C0A"/>
          </w:tcPr>
          <w:p>
            <w:r/>
            <w:r>
              <w:rPr>
                <w:b/>
                <w:color w:val="FFFFFF"/>
                <w:sz w:val="17"/>
              </w:rPr>
              <w:t>High</w:t>
            </w:r>
          </w:p>
        </w:tc>
        <w:tc>
          <w:tcPr>
            <w:tcW w:type="dxa" w:w="2376"/>
          </w:tcPr>
          <w:p>
            <w:r/>
            <w:r>
              <w:rPr>
                <w:sz w:val="17"/>
              </w:rPr>
              <w:t>All parties</w:t>
            </w:r>
          </w:p>
        </w:tc>
      </w:tr>
      <w:tr>
        <w:tc>
          <w:tcPr>
            <w:tcW w:type="dxa" w:w="504"/>
          </w:tcPr>
          <w:p>
            <w:r/>
            <w:r>
              <w:rPr>
                <w:sz w:val="17"/>
              </w:rPr>
              <w:t>13</w:t>
            </w:r>
          </w:p>
        </w:tc>
        <w:tc>
          <w:tcPr>
            <w:tcW w:type="dxa" w:w="5544"/>
          </w:tcPr>
          <w:p>
            <w:r/>
            <w:r>
              <w:rPr>
                <w:sz w:val="17"/>
              </w:rPr>
              <w:t>Cross-default: higher threshold but hair-trigger and ambiguous scope</w:t>
            </w:r>
          </w:p>
        </w:tc>
        <w:tc>
          <w:tcPr>
            <w:tcW w:type="dxa" w:w="1224"/>
            <w:shd w:val="clear" w:color="auto" w:fill="E46C0A"/>
          </w:tcPr>
          <w:p>
            <w:r/>
            <w:r>
              <w:rPr>
                <w:b/>
                <w:color w:val="FFFFFF"/>
                <w:sz w:val="17"/>
              </w:rPr>
              <w:t>High</w:t>
            </w:r>
          </w:p>
        </w:tc>
        <w:tc>
          <w:tcPr>
            <w:tcW w:type="dxa" w:w="2376"/>
          </w:tcPr>
          <w:p>
            <w:r/>
            <w:r>
              <w:rPr>
                <w:sz w:val="17"/>
              </w:rPr>
              <w:t>Hawthorne</w:t>
            </w:r>
          </w:p>
        </w:tc>
      </w:tr>
      <w:tr>
        <w:tc>
          <w:tcPr>
            <w:tcW w:type="dxa" w:w="504"/>
          </w:tcPr>
          <w:p>
            <w:r/>
            <w:r>
              <w:rPr>
                <w:sz w:val="17"/>
              </w:rPr>
              <w:t>14</w:t>
            </w:r>
          </w:p>
        </w:tc>
        <w:tc>
          <w:tcPr>
            <w:tcW w:type="dxa" w:w="5544"/>
          </w:tcPr>
          <w:p>
            <w:r/>
            <w:r>
              <w:rPr>
                <w:sz w:val="17"/>
              </w:rPr>
              <w:t>Broad MAC Event of Default and MAC condition</w:t>
            </w:r>
          </w:p>
        </w:tc>
        <w:tc>
          <w:tcPr>
            <w:tcW w:type="dxa" w:w="1224"/>
            <w:shd w:val="clear" w:color="auto" w:fill="E46C0A"/>
          </w:tcPr>
          <w:p>
            <w:r/>
            <w:r>
              <w:rPr>
                <w:b/>
                <w:color w:val="FFFFFF"/>
                <w:sz w:val="17"/>
              </w:rPr>
              <w:t>High</w:t>
            </w:r>
          </w:p>
        </w:tc>
        <w:tc>
          <w:tcPr>
            <w:tcW w:type="dxa" w:w="2376"/>
          </w:tcPr>
          <w:p>
            <w:r/>
            <w:r>
              <w:rPr>
                <w:sz w:val="17"/>
              </w:rPr>
              <w:t>Hawthorne</w:t>
            </w:r>
          </w:p>
        </w:tc>
      </w:tr>
      <w:tr>
        <w:tc>
          <w:tcPr>
            <w:tcW w:type="dxa" w:w="504"/>
          </w:tcPr>
          <w:p>
            <w:r/>
            <w:r>
              <w:rPr>
                <w:sz w:val="17"/>
              </w:rPr>
              <w:t>15</w:t>
            </w:r>
          </w:p>
        </w:tc>
        <w:tc>
          <w:tcPr>
            <w:tcW w:type="dxa" w:w="5544"/>
          </w:tcPr>
          <w:p>
            <w:r/>
            <w:r>
              <w:rPr>
                <w:sz w:val="17"/>
              </w:rPr>
              <w:t>Regulatory action EoD: conflicting TS and SL formulations</w:t>
            </w:r>
          </w:p>
        </w:tc>
        <w:tc>
          <w:tcPr>
            <w:tcW w:type="dxa" w:w="1224"/>
            <w:shd w:val="clear" w:color="auto" w:fill="BF9000"/>
          </w:tcPr>
          <w:p>
            <w:r/>
            <w:r>
              <w:rPr>
                <w:b/>
                <w:color w:val="FFFFFF"/>
                <w:sz w:val="17"/>
              </w:rPr>
              <w:t>Medium</w:t>
            </w:r>
          </w:p>
        </w:tc>
        <w:tc>
          <w:tcPr>
            <w:tcW w:type="dxa" w:w="2376"/>
          </w:tcPr>
          <w:p>
            <w:r/>
            <w:r>
              <w:rPr>
                <w:sz w:val="17"/>
              </w:rPr>
              <w:t>All parties</w:t>
            </w:r>
          </w:p>
        </w:tc>
      </w:tr>
      <w:tr>
        <w:tc>
          <w:tcPr>
            <w:tcW w:type="dxa" w:w="504"/>
          </w:tcPr>
          <w:p>
            <w:r/>
            <w:r>
              <w:rPr>
                <w:sz w:val="17"/>
              </w:rPr>
              <w:t>16</w:t>
            </w:r>
          </w:p>
        </w:tc>
        <w:tc>
          <w:tcPr>
            <w:tcW w:type="dxa" w:w="5544"/>
          </w:tcPr>
          <w:p>
            <w:r/>
            <w:r>
              <w:rPr>
                <w:sz w:val="17"/>
              </w:rPr>
              <w:t>Change of Control definition lacks permitted holders and SPV ownership test</w:t>
            </w:r>
          </w:p>
        </w:tc>
        <w:tc>
          <w:tcPr>
            <w:tcW w:type="dxa" w:w="1224"/>
            <w:shd w:val="clear" w:color="auto" w:fill="BF9000"/>
          </w:tcPr>
          <w:p>
            <w:r/>
            <w:r>
              <w:rPr>
                <w:b/>
                <w:color w:val="FFFFFF"/>
                <w:sz w:val="17"/>
              </w:rPr>
              <w:t>Medium</w:t>
            </w:r>
          </w:p>
        </w:tc>
        <w:tc>
          <w:tcPr>
            <w:tcW w:type="dxa" w:w="2376"/>
          </w:tcPr>
          <w:p>
            <w:r/>
            <w:r>
              <w:rPr>
                <w:sz w:val="17"/>
              </w:rPr>
              <w:t>Hawthorne / Lenders</w:t>
            </w:r>
          </w:p>
        </w:tc>
      </w:tr>
      <w:tr>
        <w:tc>
          <w:tcPr>
            <w:tcW w:type="dxa" w:w="504"/>
          </w:tcPr>
          <w:p>
            <w:r/>
            <w:r>
              <w:rPr>
                <w:sz w:val="17"/>
              </w:rPr>
              <w:t>17</w:t>
            </w:r>
          </w:p>
        </w:tc>
        <w:tc>
          <w:tcPr>
            <w:tcW w:type="dxa" w:w="5544"/>
          </w:tcPr>
          <w:p>
            <w:r/>
            <w:r>
              <w:rPr>
                <w:sz w:val="17"/>
              </w:rPr>
              <w:t>Most Favored Lender clause: drafting gaps</w:t>
            </w:r>
          </w:p>
        </w:tc>
        <w:tc>
          <w:tcPr>
            <w:tcW w:type="dxa" w:w="1224"/>
            <w:shd w:val="clear" w:color="auto" w:fill="BF9000"/>
          </w:tcPr>
          <w:p>
            <w:r/>
            <w:r>
              <w:rPr>
                <w:b/>
                <w:color w:val="FFFFFF"/>
                <w:sz w:val="17"/>
              </w:rPr>
              <w:t>Medium</w:t>
            </w:r>
          </w:p>
        </w:tc>
        <w:tc>
          <w:tcPr>
            <w:tcW w:type="dxa" w:w="2376"/>
          </w:tcPr>
          <w:p>
            <w:r/>
            <w:r>
              <w:rPr>
                <w:sz w:val="17"/>
              </w:rPr>
              <w:t>Hawthorne (benefit) / Ridgeline</w:t>
            </w:r>
          </w:p>
        </w:tc>
      </w:tr>
      <w:tr>
        <w:tc>
          <w:tcPr>
            <w:tcW w:type="dxa" w:w="504"/>
          </w:tcPr>
          <w:p>
            <w:r/>
            <w:r>
              <w:rPr>
                <w:sz w:val="17"/>
              </w:rPr>
              <w:t>18</w:t>
            </w:r>
          </w:p>
        </w:tc>
        <w:tc>
          <w:tcPr>
            <w:tcW w:type="dxa" w:w="5544"/>
          </w:tcPr>
          <w:p>
            <w:r/>
            <w:r>
              <w:rPr>
                <w:sz w:val="17"/>
              </w:rPr>
              <w:t>Insolvency EoD has no grace period for involuntary proceedings</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19</w:t>
            </w:r>
          </w:p>
        </w:tc>
        <w:tc>
          <w:tcPr>
            <w:tcW w:type="dxa" w:w="5544"/>
          </w:tcPr>
          <w:p>
            <w:r/>
            <w:r>
              <w:rPr>
                <w:sz w:val="17"/>
              </w:rPr>
              <w:t>Eligibility: state concentration and single obligor drafted as cliff criteria</w:t>
            </w:r>
          </w:p>
        </w:tc>
        <w:tc>
          <w:tcPr>
            <w:tcW w:type="dxa" w:w="1224"/>
            <w:shd w:val="clear" w:color="auto" w:fill="BF9000"/>
          </w:tcPr>
          <w:p>
            <w:r/>
            <w:r>
              <w:rPr>
                <w:b/>
                <w:color w:val="FFFFFF"/>
                <w:sz w:val="17"/>
              </w:rPr>
              <w:t>Medium</w:t>
            </w:r>
          </w:p>
        </w:tc>
        <w:tc>
          <w:tcPr>
            <w:tcW w:type="dxa" w:w="2376"/>
          </w:tcPr>
          <w:p>
            <w:r/>
            <w:r>
              <w:rPr>
                <w:sz w:val="17"/>
              </w:rPr>
              <w:t>Hawthorne / SPV</w:t>
            </w:r>
          </w:p>
        </w:tc>
      </w:tr>
      <w:tr>
        <w:tc>
          <w:tcPr>
            <w:tcW w:type="dxa" w:w="504"/>
          </w:tcPr>
          <w:p>
            <w:r/>
            <w:r>
              <w:rPr>
                <w:sz w:val="17"/>
              </w:rPr>
              <w:t>20</w:t>
            </w:r>
          </w:p>
        </w:tc>
        <w:tc>
          <w:tcPr>
            <w:tcW w:type="dxa" w:w="5544"/>
          </w:tcPr>
          <w:p>
            <w:r/>
            <w:r>
              <w:rPr>
                <w:sz w:val="17"/>
              </w:rPr>
              <w:t>Eligibility: other gaps (post-transfer delinquency, modifications, guideline changes, compliance)</w:t>
            </w:r>
          </w:p>
        </w:tc>
        <w:tc>
          <w:tcPr>
            <w:tcW w:type="dxa" w:w="1224"/>
            <w:shd w:val="clear" w:color="auto" w:fill="BF9000"/>
          </w:tcPr>
          <w:p>
            <w:r/>
            <w:r>
              <w:rPr>
                <w:b/>
                <w:color w:val="FFFFFF"/>
                <w:sz w:val="17"/>
              </w:rPr>
              <w:t>Medium</w:t>
            </w:r>
          </w:p>
        </w:tc>
        <w:tc>
          <w:tcPr>
            <w:tcW w:type="dxa" w:w="2376"/>
          </w:tcPr>
          <w:p>
            <w:r/>
            <w:r>
              <w:rPr>
                <w:sz w:val="17"/>
              </w:rPr>
              <w:t>Lenders / Hawthorne</w:t>
            </w:r>
          </w:p>
        </w:tc>
      </w:tr>
      <w:tr>
        <w:tc>
          <w:tcPr>
            <w:tcW w:type="dxa" w:w="504"/>
          </w:tcPr>
          <w:p>
            <w:r/>
            <w:r>
              <w:rPr>
                <w:sz w:val="17"/>
              </w:rPr>
              <w:t>21</w:t>
            </w:r>
          </w:p>
        </w:tc>
        <w:tc>
          <w:tcPr>
            <w:tcW w:type="dxa" w:w="5544"/>
          </w:tcPr>
          <w:p>
            <w:r/>
            <w:r>
              <w:rPr>
                <w:sz w:val="17"/>
              </w:rPr>
              <w:t>Licensing representation knowledge-qualified, inconsistent with CP and covenant</w:t>
            </w:r>
          </w:p>
        </w:tc>
        <w:tc>
          <w:tcPr>
            <w:tcW w:type="dxa" w:w="1224"/>
            <w:shd w:val="clear" w:color="auto" w:fill="BF9000"/>
          </w:tcPr>
          <w:p>
            <w:r/>
            <w:r>
              <w:rPr>
                <w:b/>
                <w:color w:val="FFFFFF"/>
                <w:sz w:val="17"/>
              </w:rPr>
              <w:t>Medium</w:t>
            </w:r>
          </w:p>
        </w:tc>
        <w:tc>
          <w:tcPr>
            <w:tcW w:type="dxa" w:w="2376"/>
          </w:tcPr>
          <w:p>
            <w:r/>
            <w:r>
              <w:rPr>
                <w:sz w:val="17"/>
              </w:rPr>
              <w:t>Lenders / Hawthorne</w:t>
            </w:r>
          </w:p>
        </w:tc>
      </w:tr>
      <w:tr>
        <w:tc>
          <w:tcPr>
            <w:tcW w:type="dxa" w:w="504"/>
          </w:tcPr>
          <w:p>
            <w:r/>
            <w:r>
              <w:rPr>
                <w:sz w:val="17"/>
              </w:rPr>
              <w:t>22</w:t>
            </w:r>
          </w:p>
        </w:tc>
        <w:tc>
          <w:tcPr>
            <w:tcW w:type="dxa" w:w="5544"/>
          </w:tcPr>
          <w:p>
            <w:r/>
            <w:r>
              <w:rPr>
                <w:sz w:val="17"/>
              </w:rPr>
              <w:t>Non-solicitation / no-hire with liquidated damages</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23</w:t>
            </w:r>
          </w:p>
        </w:tc>
        <w:tc>
          <w:tcPr>
            <w:tcW w:type="dxa" w:w="5544"/>
          </w:tcPr>
          <w:p>
            <w:r/>
            <w:r>
              <w:rPr>
                <w:sz w:val="17"/>
              </w:rPr>
              <w:t>Indemnification lacks customary indemnitee carve-outs and limits</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24</w:t>
            </w:r>
          </w:p>
        </w:tc>
        <w:tc>
          <w:tcPr>
            <w:tcW w:type="dxa" w:w="5544"/>
          </w:tcPr>
          <w:p>
            <w:r/>
            <w:r>
              <w:rPr>
                <w:sz w:val="17"/>
              </w:rPr>
              <w:t>Back-up servicing gap and successor servicing economics</w:t>
            </w:r>
          </w:p>
        </w:tc>
        <w:tc>
          <w:tcPr>
            <w:tcW w:type="dxa" w:w="1224"/>
            <w:shd w:val="clear" w:color="auto" w:fill="BF9000"/>
          </w:tcPr>
          <w:p>
            <w:r/>
            <w:r>
              <w:rPr>
                <w:b/>
                <w:color w:val="FFFFFF"/>
                <w:sz w:val="17"/>
              </w:rPr>
              <w:t>Medium</w:t>
            </w:r>
          </w:p>
        </w:tc>
        <w:tc>
          <w:tcPr>
            <w:tcW w:type="dxa" w:w="2376"/>
          </w:tcPr>
          <w:p>
            <w:r/>
            <w:r>
              <w:rPr>
                <w:sz w:val="17"/>
              </w:rPr>
              <w:t>Lenders / Hawthorne</w:t>
            </w:r>
          </w:p>
        </w:tc>
      </w:tr>
      <w:tr>
        <w:tc>
          <w:tcPr>
            <w:tcW w:type="dxa" w:w="504"/>
          </w:tcPr>
          <w:p>
            <w:r/>
            <w:r>
              <w:rPr>
                <w:sz w:val="17"/>
              </w:rPr>
              <w:t>25</w:t>
            </w:r>
          </w:p>
        </w:tc>
        <w:tc>
          <w:tcPr>
            <w:tcW w:type="dxa" w:w="5544"/>
          </w:tcPr>
          <w:p>
            <w:r/>
            <w:r>
              <w:rPr>
                <w:sz w:val="17"/>
              </w:rPr>
              <w:t>Binding versus non-binding provisions unclear</w:t>
            </w:r>
          </w:p>
        </w:tc>
        <w:tc>
          <w:tcPr>
            <w:tcW w:type="dxa" w:w="1224"/>
            <w:shd w:val="clear" w:color="auto" w:fill="BF9000"/>
          </w:tcPr>
          <w:p>
            <w:r/>
            <w:r>
              <w:rPr>
                <w:b/>
                <w:color w:val="FFFFFF"/>
                <w:sz w:val="17"/>
              </w:rPr>
              <w:t>Medium</w:t>
            </w:r>
          </w:p>
        </w:tc>
        <w:tc>
          <w:tcPr>
            <w:tcW w:type="dxa" w:w="2376"/>
          </w:tcPr>
          <w:p>
            <w:r/>
            <w:r>
              <w:rPr>
                <w:sz w:val="17"/>
              </w:rPr>
              <w:t>All parties</w:t>
            </w:r>
          </w:p>
        </w:tc>
      </w:tr>
      <w:tr>
        <w:tc>
          <w:tcPr>
            <w:tcW w:type="dxa" w:w="504"/>
          </w:tcPr>
          <w:p>
            <w:r/>
            <w:r>
              <w:rPr>
                <w:sz w:val="17"/>
              </w:rPr>
              <w:t>26</w:t>
            </w:r>
          </w:p>
        </w:tc>
        <w:tc>
          <w:tcPr>
            <w:tcW w:type="dxa" w:w="5544"/>
          </w:tcPr>
          <w:p>
            <w:r/>
            <w:r>
              <w:rPr>
                <w:sz w:val="17"/>
              </w:rPr>
              <w:t>Unused fee continues when the commitment cannot be drawn</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27</w:t>
            </w:r>
          </w:p>
        </w:tc>
        <w:tc>
          <w:tcPr>
            <w:tcW w:type="dxa" w:w="5544"/>
          </w:tcPr>
          <w:p>
            <w:r/>
            <w:r>
              <w:rPr>
                <w:sz w:val="17"/>
              </w:rPr>
              <w:t>Side Letter confidentiality conflicts with takeout and regulatory disclosure</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28</w:t>
            </w:r>
          </w:p>
        </w:tc>
        <w:tc>
          <w:tcPr>
            <w:tcW w:type="dxa" w:w="5544"/>
          </w:tcPr>
          <w:p>
            <w:r/>
            <w:r>
              <w:rPr>
                <w:sz w:val="17"/>
              </w:rPr>
              <w:t>No interest rate hedging framework</w:t>
            </w:r>
          </w:p>
        </w:tc>
        <w:tc>
          <w:tcPr>
            <w:tcW w:type="dxa" w:w="1224"/>
            <w:shd w:val="clear" w:color="auto" w:fill="BF9000"/>
          </w:tcPr>
          <w:p>
            <w:r/>
            <w:r>
              <w:rPr>
                <w:b/>
                <w:color w:val="FFFFFF"/>
                <w:sz w:val="17"/>
              </w:rPr>
              <w:t>Medium</w:t>
            </w:r>
          </w:p>
        </w:tc>
        <w:tc>
          <w:tcPr>
            <w:tcW w:type="dxa" w:w="2376"/>
          </w:tcPr>
          <w:p>
            <w:r/>
            <w:r>
              <w:rPr>
                <w:sz w:val="17"/>
              </w:rPr>
              <w:t>Lenders / Hawthorne</w:t>
            </w:r>
          </w:p>
        </w:tc>
      </w:tr>
      <w:tr>
        <w:tc>
          <w:tcPr>
            <w:tcW w:type="dxa" w:w="504"/>
          </w:tcPr>
          <w:p>
            <w:r/>
            <w:r>
              <w:rPr>
                <w:sz w:val="17"/>
              </w:rPr>
              <w:t>29</w:t>
            </w:r>
          </w:p>
        </w:tc>
        <w:tc>
          <w:tcPr>
            <w:tcW w:type="dxa" w:w="5544"/>
          </w:tcPr>
          <w:p>
            <w:r/>
            <w:r>
              <w:rPr>
                <w:sz w:val="17"/>
              </w:rPr>
              <w:t>Accordion mechanics incomplete</w:t>
            </w:r>
          </w:p>
        </w:tc>
        <w:tc>
          <w:tcPr>
            <w:tcW w:type="dxa" w:w="1224"/>
            <w:shd w:val="clear" w:color="auto" w:fill="548235"/>
          </w:tcPr>
          <w:p>
            <w:r/>
            <w:r>
              <w:rPr>
                <w:b/>
                <w:color w:val="FFFFFF"/>
                <w:sz w:val="17"/>
              </w:rPr>
              <w:t>Low</w:t>
            </w:r>
          </w:p>
        </w:tc>
        <w:tc>
          <w:tcPr>
            <w:tcW w:type="dxa" w:w="2376"/>
          </w:tcPr>
          <w:p>
            <w:r/>
            <w:r>
              <w:rPr>
                <w:sz w:val="17"/>
              </w:rPr>
              <w:t>Hawthorne / Ridgeline</w:t>
            </w:r>
          </w:p>
        </w:tc>
      </w:tr>
      <w:tr>
        <w:tc>
          <w:tcPr>
            <w:tcW w:type="dxa" w:w="504"/>
          </w:tcPr>
          <w:p>
            <w:r/>
            <w:r>
              <w:rPr>
                <w:sz w:val="17"/>
              </w:rPr>
              <w:t>30</w:t>
            </w:r>
          </w:p>
        </w:tc>
        <w:tc>
          <w:tcPr>
            <w:tcW w:type="dxa" w:w="5544"/>
          </w:tcPr>
          <w:p>
            <w:r/>
            <w:r>
              <w:rPr>
                <w:sz w:val="17"/>
              </w:rPr>
              <w:t>Amendments and assignments: Required Lenders control and lender transfers</w:t>
            </w:r>
          </w:p>
        </w:tc>
        <w:tc>
          <w:tcPr>
            <w:tcW w:type="dxa" w:w="1224"/>
            <w:shd w:val="clear" w:color="auto" w:fill="BF9000"/>
          </w:tcPr>
          <w:p>
            <w:r/>
            <w:r>
              <w:rPr>
                <w:b/>
                <w:color w:val="FFFFFF"/>
                <w:sz w:val="17"/>
              </w:rPr>
              <w:t>Medium</w:t>
            </w:r>
          </w:p>
        </w:tc>
        <w:tc>
          <w:tcPr>
            <w:tcW w:type="dxa" w:w="2376"/>
          </w:tcPr>
          <w:p>
            <w:r/>
            <w:r>
              <w:rPr>
                <w:sz w:val="17"/>
              </w:rPr>
              <w:t>Hawthorne / Ridgeline</w:t>
            </w:r>
          </w:p>
        </w:tc>
      </w:tr>
      <w:tr>
        <w:tc>
          <w:tcPr>
            <w:tcW w:type="dxa" w:w="504"/>
          </w:tcPr>
          <w:p>
            <w:r/>
            <w:r>
              <w:rPr>
                <w:sz w:val="17"/>
              </w:rPr>
              <w:t>31</w:t>
            </w:r>
          </w:p>
        </w:tc>
        <w:tc>
          <w:tcPr>
            <w:tcW w:type="dxa" w:w="5544"/>
          </w:tcPr>
          <w:p>
            <w:r/>
            <w:r>
              <w:rPr>
                <w:sz w:val="17"/>
              </w:rPr>
              <w:t>Determination Date frequency affects “consecutive” tests; 4.50% boundary</w:t>
            </w:r>
          </w:p>
        </w:tc>
        <w:tc>
          <w:tcPr>
            <w:tcW w:type="dxa" w:w="1224"/>
            <w:shd w:val="clear" w:color="auto" w:fill="548235"/>
          </w:tcPr>
          <w:p>
            <w:r/>
            <w:r>
              <w:rPr>
                <w:b/>
                <w:color w:val="FFFFFF"/>
                <w:sz w:val="17"/>
              </w:rPr>
              <w:t>Low</w:t>
            </w:r>
          </w:p>
        </w:tc>
        <w:tc>
          <w:tcPr>
            <w:tcW w:type="dxa" w:w="2376"/>
          </w:tcPr>
          <w:p>
            <w:r/>
            <w:r>
              <w:rPr>
                <w:sz w:val="17"/>
              </w:rPr>
              <w:t>Hawthorne</w:t>
            </w:r>
          </w:p>
        </w:tc>
      </w:tr>
      <w:tr>
        <w:tc>
          <w:tcPr>
            <w:tcW w:type="dxa" w:w="504"/>
          </w:tcPr>
          <w:p>
            <w:r/>
            <w:r>
              <w:rPr>
                <w:sz w:val="17"/>
              </w:rPr>
              <w:t>32</w:t>
            </w:r>
          </w:p>
        </w:tc>
        <w:tc>
          <w:tcPr>
            <w:tcW w:type="dxa" w:w="5544"/>
          </w:tcPr>
          <w:p>
            <w:r/>
            <w:r>
              <w:rPr>
                <w:sz w:val="17"/>
              </w:rPr>
              <w:t>“Credit Spread Adjustment” on a new SOFR facility</w:t>
            </w:r>
          </w:p>
        </w:tc>
        <w:tc>
          <w:tcPr>
            <w:tcW w:type="dxa" w:w="1224"/>
            <w:shd w:val="clear" w:color="auto" w:fill="548235"/>
          </w:tcPr>
          <w:p>
            <w:r/>
            <w:r>
              <w:rPr>
                <w:b/>
                <w:color w:val="FFFFFF"/>
                <w:sz w:val="17"/>
              </w:rPr>
              <w:t>Low</w:t>
            </w:r>
          </w:p>
        </w:tc>
        <w:tc>
          <w:tcPr>
            <w:tcW w:type="dxa" w:w="2376"/>
          </w:tcPr>
          <w:p>
            <w:r/>
            <w:r>
              <w:rPr>
                <w:sz w:val="17"/>
              </w:rPr>
              <w:t>Hawthorne</w:t>
            </w:r>
          </w:p>
        </w:tc>
      </w:tr>
      <w:tr>
        <w:tc>
          <w:tcPr>
            <w:tcW w:type="dxa" w:w="504"/>
          </w:tcPr>
          <w:p>
            <w:r/>
            <w:r>
              <w:rPr>
                <w:sz w:val="17"/>
              </w:rPr>
              <w:t>33</w:t>
            </w:r>
          </w:p>
        </w:tc>
        <w:tc>
          <w:tcPr>
            <w:tcW w:type="dxa" w:w="5544"/>
          </w:tcPr>
          <w:p>
            <w:r/>
            <w:r>
              <w:rPr>
                <w:sz w:val="17"/>
              </w:rPr>
              <w:t>Representations: bring-down timing and thresholds</w:t>
            </w:r>
          </w:p>
        </w:tc>
        <w:tc>
          <w:tcPr>
            <w:tcW w:type="dxa" w:w="1224"/>
            <w:shd w:val="clear" w:color="auto" w:fill="548235"/>
          </w:tcPr>
          <w:p>
            <w:r/>
            <w:r>
              <w:rPr>
                <w:b/>
                <w:color w:val="FFFFFF"/>
                <w:sz w:val="17"/>
              </w:rPr>
              <w:t>Low</w:t>
            </w:r>
          </w:p>
        </w:tc>
        <w:tc>
          <w:tcPr>
            <w:tcW w:type="dxa" w:w="2376"/>
          </w:tcPr>
          <w:p>
            <w:r/>
            <w:r>
              <w:rPr>
                <w:sz w:val="17"/>
              </w:rPr>
              <w:t>Hawthorne</w:t>
            </w:r>
          </w:p>
        </w:tc>
      </w:tr>
      <w:tr>
        <w:tc>
          <w:tcPr>
            <w:tcW w:type="dxa" w:w="504"/>
          </w:tcPr>
          <w:p>
            <w:r/>
            <w:r>
              <w:rPr>
                <w:sz w:val="17"/>
              </w:rPr>
              <w:t>34</w:t>
            </w:r>
          </w:p>
        </w:tc>
        <w:tc>
          <w:tcPr>
            <w:tcW w:type="dxa" w:w="5544"/>
          </w:tcPr>
          <w:p>
            <w:r/>
            <w:r>
              <w:rPr>
                <w:sz w:val="17"/>
              </w:rPr>
              <w:t>Timeline status and hard-coded dates</w:t>
            </w:r>
          </w:p>
        </w:tc>
        <w:tc>
          <w:tcPr>
            <w:tcW w:type="dxa" w:w="1224"/>
            <w:shd w:val="clear" w:color="auto" w:fill="BF9000"/>
          </w:tcPr>
          <w:p>
            <w:r/>
            <w:r>
              <w:rPr>
                <w:b/>
                <w:color w:val="FFFFFF"/>
                <w:sz w:val="17"/>
              </w:rPr>
              <w:t>Medium</w:t>
            </w:r>
          </w:p>
        </w:tc>
        <w:tc>
          <w:tcPr>
            <w:tcW w:type="dxa" w:w="2376"/>
          </w:tcPr>
          <w:p>
            <w:r/>
            <w:r>
              <w:rPr>
                <w:sz w:val="17"/>
              </w:rPr>
              <w:t>All parties</w:t>
            </w:r>
          </w:p>
        </w:tc>
      </w:tr>
      <w:tr>
        <w:tc>
          <w:tcPr>
            <w:tcW w:type="dxa" w:w="504"/>
          </w:tcPr>
          <w:p>
            <w:r/>
            <w:r>
              <w:rPr>
                <w:sz w:val="17"/>
              </w:rPr>
              <w:t>35</w:t>
            </w:r>
          </w:p>
        </w:tc>
        <w:tc>
          <w:tcPr>
            <w:tcW w:type="dxa" w:w="5544"/>
          </w:tcPr>
          <w:p>
            <w:r/>
            <w:r>
              <w:rPr>
                <w:sz w:val="17"/>
              </w:rPr>
              <w:t>Counsel identification and legal opinion allocation</w:t>
            </w:r>
          </w:p>
        </w:tc>
        <w:tc>
          <w:tcPr>
            <w:tcW w:type="dxa" w:w="1224"/>
            <w:shd w:val="clear" w:color="auto" w:fill="BF9000"/>
          </w:tcPr>
          <w:p>
            <w:r/>
            <w:r>
              <w:rPr>
                <w:b/>
                <w:color w:val="FFFFFF"/>
                <w:sz w:val="17"/>
              </w:rPr>
              <w:t>Medium</w:t>
            </w:r>
          </w:p>
        </w:tc>
        <w:tc>
          <w:tcPr>
            <w:tcW w:type="dxa" w:w="2376"/>
          </w:tcPr>
          <w:p>
            <w:r/>
            <w:r>
              <w:rPr>
                <w:sz w:val="17"/>
              </w:rPr>
              <w:t>Hawthorne</w:t>
            </w:r>
          </w:p>
        </w:tc>
      </w:tr>
      <w:tr>
        <w:tc>
          <w:tcPr>
            <w:tcW w:type="dxa" w:w="504"/>
          </w:tcPr>
          <w:p>
            <w:r/>
            <w:r>
              <w:rPr>
                <w:sz w:val="17"/>
              </w:rPr>
              <w:t>36</w:t>
            </w:r>
          </w:p>
        </w:tc>
        <w:tc>
          <w:tcPr>
            <w:tcW w:type="dxa" w:w="5544"/>
          </w:tcPr>
          <w:p>
            <w:r/>
            <w:r>
              <w:rPr>
                <w:sz w:val="17"/>
              </w:rPr>
              <w:t>Inconsistent notice periods and reporting overlaps</w:t>
            </w:r>
          </w:p>
        </w:tc>
        <w:tc>
          <w:tcPr>
            <w:tcW w:type="dxa" w:w="1224"/>
            <w:shd w:val="clear" w:color="auto" w:fill="548235"/>
          </w:tcPr>
          <w:p>
            <w:r/>
            <w:r>
              <w:rPr>
                <w:b/>
                <w:color w:val="FFFFFF"/>
                <w:sz w:val="17"/>
              </w:rPr>
              <w:t>Low</w:t>
            </w:r>
          </w:p>
        </w:tc>
        <w:tc>
          <w:tcPr>
            <w:tcW w:type="dxa" w:w="2376"/>
          </w:tcPr>
          <w:p>
            <w:r/>
            <w:r>
              <w:rPr>
                <w:sz w:val="17"/>
              </w:rPr>
              <w:t>Hawthorne</w:t>
            </w:r>
          </w:p>
        </w:tc>
      </w:tr>
      <w:tr>
        <w:tc>
          <w:tcPr>
            <w:tcW w:type="dxa" w:w="504"/>
          </w:tcPr>
          <w:p>
            <w:r/>
            <w:r>
              <w:rPr>
                <w:sz w:val="17"/>
              </w:rPr>
              <w:t>37</w:t>
            </w:r>
          </w:p>
        </w:tc>
        <w:tc>
          <w:tcPr>
            <w:tcW w:type="dxa" w:w="5544"/>
          </w:tcPr>
          <w:p>
            <w:r/>
            <w:r>
              <w:rPr>
                <w:sz w:val="17"/>
              </w:rPr>
              <w:t>Execution and party mechanics</w:t>
            </w:r>
          </w:p>
        </w:tc>
        <w:tc>
          <w:tcPr>
            <w:tcW w:type="dxa" w:w="1224"/>
            <w:shd w:val="clear" w:color="auto" w:fill="548235"/>
          </w:tcPr>
          <w:p>
            <w:r/>
            <w:r>
              <w:rPr>
                <w:b/>
                <w:color w:val="FFFFFF"/>
                <w:sz w:val="17"/>
              </w:rPr>
              <w:t>Low</w:t>
            </w:r>
          </w:p>
        </w:tc>
        <w:tc>
          <w:tcPr>
            <w:tcW w:type="dxa" w:w="2376"/>
          </w:tcPr>
          <w:p>
            <w:r/>
            <w:r>
              <w:rPr>
                <w:sz w:val="17"/>
              </w:rPr>
              <w:t>All parties</w:t>
            </w:r>
          </w:p>
        </w:tc>
      </w:tr>
      <w:tr>
        <w:tc>
          <w:tcPr>
            <w:tcW w:type="dxa" w:w="504"/>
          </w:tcPr>
          <w:p>
            <w:r/>
            <w:r>
              <w:rPr>
                <w:sz w:val="17"/>
              </w:rPr>
              <w:t>38</w:t>
            </w:r>
          </w:p>
        </w:tc>
        <w:tc>
          <w:tcPr>
            <w:tcW w:type="dxa" w:w="5544"/>
          </w:tcPr>
          <w:p>
            <w:r/>
            <w:r>
              <w:rPr>
                <w:sz w:val="17"/>
              </w:rPr>
              <w:t>Use of proceeds and closing-fee funding</w:t>
            </w:r>
          </w:p>
        </w:tc>
        <w:tc>
          <w:tcPr>
            <w:tcW w:type="dxa" w:w="1224"/>
            <w:shd w:val="clear" w:color="auto" w:fill="548235"/>
          </w:tcPr>
          <w:p>
            <w:r/>
            <w:r>
              <w:rPr>
                <w:b/>
                <w:color w:val="FFFFFF"/>
                <w:sz w:val="17"/>
              </w:rPr>
              <w:t>Low</w:t>
            </w:r>
          </w:p>
        </w:tc>
        <w:tc>
          <w:tcPr>
            <w:tcW w:type="dxa" w:w="2376"/>
          </w:tcPr>
          <w:p>
            <w:r/>
            <w:r>
              <w:rPr>
                <w:sz w:val="17"/>
              </w:rPr>
              <w:t>Hawthorne</w:t>
            </w:r>
          </w:p>
        </w:tc>
      </w:tr>
    </w:tbl>
    <w:p>
      <w:pPr>
        <w:spacing w:after="40"/>
      </w:pPr>
    </w:p>
    <w:p>
      <w:pPr>
        <w:pStyle w:val="Heading2"/>
      </w:pPr>
      <w:r>
        <w:t>6.2 Detailed Analysis and Recommendations</w:t>
      </w:r>
    </w:p>
    <w:p>
      <w:pPr>
        <w:keepNext/>
        <w:spacing w:before="160" w:after="40"/>
      </w:pPr>
      <w:r>
        <w:rPr>
          <w:b/>
          <w:color w:val="1F3A5F"/>
          <w:sz w:val="21"/>
        </w:rPr>
        <w:t xml:space="preserve">Issue 1. Side Letter modifies facility-wide terms but is concealed from co-lender Ridgeline  </w:t>
      </w:r>
      <w:r>
        <w:rPr>
          <w:b/>
          <w:color w:val="C00000"/>
        </w:rPr>
        <w:t>[CRITICAL]</w:t>
      </w:r>
    </w:p>
    <w:p>
      <w:pPr>
        <w:spacing w:after="80"/>
      </w:pPr>
      <w:r>
        <w:rPr>
          <w:b/>
          <w:sz w:val="19"/>
        </w:rPr>
        <w:t xml:space="preserve">Source: </w:t>
      </w:r>
      <w:r>
        <w:rPr>
          <w:i w:val="0"/>
          <w:sz w:val="19"/>
        </w:rPr>
        <w:t>SL §1, §2, §3, §5, §7; TS §II (Early Amortization (b)), §XVII (Side Letter, Amendments, Entire Agreement)  |  Principally affects: All parties (Ridgeline principally; Hawthorne exposure)</w:t>
      </w:r>
    </w:p>
    <w:p>
      <w:pPr>
        <w:spacing w:after="80"/>
      </w:pPr>
      <w:r>
        <w:rPr>
          <w:b/>
        </w:rPr>
        <w:t xml:space="preserve">Analysis: </w:t>
      </w:r>
      <w:r>
        <w:rPr>
          <w:i w:val="0"/>
        </w:rPr>
        <w:t>Ridgeline is a $100MM (28.57%) Lender, Syndication Agent and Term Sheet signatory. The Side Letter (i) automatically reduces “the applicable spread under this Facility” through the MFL, which cuts Ridgeline’s yield; (ii) lets Pinnacle alone end the Revolving Period for the whole facility through the MDE; and (iii) rewrites the cross-default, regulatory and servicer rating EoDs. Yet SL §1 and §7 bar disclosure to Ridgeline, any syndicate member or any takeout participant. The Term Sheet Ridgeline will sign makes the MDE an early-amortization trigger “as described in the Confidential Side Letter” and incorporates the Side Letter by reference, so Ridgeline would be accepting terms it cannot see. Consequences: (a) the modifications are likely unenforceable against Ridgeline, which is not a party, and conflict with the TS amendment clause (Agent + Required Lenders) and any unanimous-lender protections for pricing; (b) exposure to misrepresentation or concealment claims and to breach of the Agent’s duties and implied covenant of good faith, including as against Hawthorne as a knowing participant; (c) syndication and accordion lenders would be marketed an incomplete deal; (d) under the TS “Entire Agreement” clause the definitive documents will supersede the TS, so any Side Letter term not carried into them may fall away. A confidential deal also creates a two-tier facility in which Pinnacle (holding 71.43%) controls economics and timing.</w:t>
      </w:r>
    </w:p>
    <w:p>
      <w:pPr>
        <w:spacing w:after="80"/>
      </w:pPr>
      <w:r>
        <w:rPr>
          <w:b/>
        </w:rPr>
        <w:t xml:space="preserve">Recommendation: </w:t>
      </w:r>
      <w:r>
        <w:rPr>
          <w:i w:val="0"/>
        </w:rPr>
        <w:t>Require that every term affecting the facility as a whole (MFL, MDE, EoD changes) either be disclosed to and agreed by Ridgeline and written into the Credit Agreement, or be expressly limited to Pinnacle’s own commitment. Strictly bilateral items (ROFR, non-solicit, Pinnacle-only fees) can stay in a fee/side letter. Remove the disclosure bar as to Ridgeline and permit disclosure to Lenders, prospective assignees and accordion lenders under customary confidentiality. Confirm the definitive documents state what survives.</w:t>
      </w:r>
    </w:p>
    <w:p>
      <w:pPr>
        <w:keepNext/>
        <w:spacing w:before="160" w:after="40"/>
      </w:pPr>
      <w:r>
        <w:rPr>
          <w:b/>
          <w:color w:val="1F3A5F"/>
          <w:sz w:val="21"/>
        </w:rPr>
        <w:t xml:space="preserve">Issue 2. Market Disruption Event: discretionary early termination of the Revolving Period  </w:t>
      </w:r>
      <w:r>
        <w:rPr>
          <w:b/>
          <w:color w:val="C00000"/>
        </w:rPr>
        <w:t>[CRITICAL]</w:t>
      </w:r>
    </w:p>
    <w:p>
      <w:pPr>
        <w:spacing w:after="80"/>
      </w:pPr>
      <w:r>
        <w:rPr>
          <w:b/>
          <w:sz w:val="19"/>
        </w:rPr>
        <w:t xml:space="preserve">Source: </w:t>
      </w:r>
      <w:r>
        <w:rPr>
          <w:i w:val="0"/>
          <w:sz w:val="19"/>
        </w:rPr>
        <w:t>SL §3; TS §II, §V  |  Principally affects: Hawthorne / SPV</w:t>
      </w:r>
    </w:p>
    <w:p>
      <w:pPr>
        <w:spacing w:after="80"/>
      </w:pPr>
      <w:r>
        <w:rPr>
          <w:b/>
        </w:rPr>
        <w:t xml:space="preserve">Analysis: </w:t>
      </w:r>
      <w:r>
        <w:rPr>
          <w:i w:val="0"/>
        </w:rPr>
        <w:t>The MDE is a market-wide “MAC” determined in Pinnacle’s “sole and absolute discretion.” It expressly excludes the customary carve-outs (general economic conditions, industry-wide changes, changes in law, GAAP, rates), cannot be contested, and is final and binding. Effects: (i) the Revolving Period can be ended as early as Feb. 15, 2027, so only 18 of the 24 committed months are assured; (ii) amortization pricing steps up 50 bps to S+285 (about $1.5MM p.a. per $300MM outstanding); (iii) the MFL lapses because it applies only in the Revolving Period; (iv) it is additive to the MAC EoD; (v) through Issue 3 it can trigger an EoD. A warehouse is meant to bridge originations to a takeout in exactly the market conditions this clause excludes. The clause also contradicts itself: “no right to contest” versus “absent manifest error” (manifest error implies a challenge right). It is also unclear whether one Lender (Pinnacle as Agent) can terminate Ridgeline’s commitment.</w:t>
      </w:r>
    </w:p>
    <w:p>
      <w:pPr>
        <w:spacing w:after="80"/>
      </w:pPr>
      <w:r>
        <w:rPr>
          <w:b/>
        </w:rPr>
        <w:t xml:space="preserve">Recommendation: </w:t>
      </w:r>
      <w:r>
        <w:rPr>
          <w:i w:val="0"/>
        </w:rPr>
        <w:t>Delete, or failing that: (a) objective triggers (e.g., a defined ABS spread index above X bps for 30 consecutive days, or no comparable consumer ABS pricing for 60 days); (b) determination by Required Lenders acting reasonably and in good faith, consistently with similarly situated borrowers; (c) restore the customary carve-outs; (d) no pricing step-up and MFL survival for MDE-driven amortization; (e) 60–90 days’ notice and a consultation period; (f) remove the bar on contest; (g) no MDE effective before Feb. 15, 2027 and none if a takeout is in process.</w:t>
      </w:r>
    </w:p>
    <w:p>
      <w:pPr>
        <w:keepNext/>
        <w:spacing w:before="160" w:after="40"/>
      </w:pPr>
      <w:r>
        <w:rPr>
          <w:b/>
          <w:color w:val="1F3A5F"/>
          <w:sz w:val="21"/>
        </w:rPr>
        <w:t xml:space="preserve">Issue 3. Liquidity covenant creates a default cascade from lender-controlled events  </w:t>
      </w:r>
      <w:r>
        <w:rPr>
          <w:b/>
          <w:color w:val="C00000"/>
        </w:rPr>
        <w:t>[CRITICAL]</w:t>
      </w:r>
    </w:p>
    <w:p>
      <w:pPr>
        <w:spacing w:after="80"/>
      </w:pPr>
      <w:r>
        <w:rPr>
          <w:b/>
          <w:sz w:val="19"/>
        </w:rPr>
        <w:t xml:space="preserve">Source: </w:t>
      </w:r>
      <w:r>
        <w:rPr>
          <w:i w:val="0"/>
          <w:sz w:val="19"/>
        </w:rPr>
        <w:t>TS §VII.3, §XI.3, §III; SL §3  |  Principally affects: Hawthorne</w:t>
      </w:r>
    </w:p>
    <w:p>
      <w:pPr>
        <w:spacing w:after="80"/>
      </w:pPr>
      <w:r>
        <w:rPr>
          <w:b/>
        </w:rPr>
        <w:t xml:space="preserve">Analysis: </w:t>
      </w:r>
      <w:r>
        <w:rPr>
          <w:i w:val="0"/>
        </w:rPr>
        <w:t>“Liquidity” includes unused availability under all committed warehouse facilities, including this one, and must be at least $25MM “at all times.” Breach of any financial covenant is an immediate EoD with no cure period (EoD 3). Availability disappears when the Revolving Period ends (MDE or early amortization) and shrinks on an advance-rate step-down. A Pinnacle-declared MDE, or a 4.50% delinquency print, can therefore by itself cause a Liquidity breach. That breach leads to an EoD, acceleration, default interest (+200 bps) and cross-defaults under Hawthorne’s other warehouses, turning a discretionary amortization into a default. “Unused availability” is also undefined (commitment headroom or borrowing-base availability?).</w:t>
      </w:r>
    </w:p>
    <w:p>
      <w:pPr>
        <w:spacing w:after="80"/>
      </w:pPr>
      <w:r>
        <w:rPr>
          <w:b/>
        </w:rPr>
        <w:t xml:space="preserve">Recommendation: </w:t>
      </w:r>
      <w:r>
        <w:rPr>
          <w:i w:val="0"/>
        </w:rPr>
        <w:t>Measure Liquidity on unrestricted cash only, or count availability only to the extent drawable on the test date under the borrowing base. Exclude the effect of an MDE or early amortization. Test monthly or quarterly rather than “at all times”. Add a cure period and an equity cure. Define “availability”.</w:t>
      </w:r>
    </w:p>
    <w:p>
      <w:pPr>
        <w:keepNext/>
        <w:spacing w:before="160" w:after="40"/>
      </w:pPr>
      <w:r>
        <w:rPr>
          <w:b/>
          <w:color w:val="1F3A5F"/>
          <w:sz w:val="21"/>
        </w:rPr>
        <w:t xml:space="preserve">Issue 4. Debt-to-equity covenant may be arithmetically incompatible with facility size  </w:t>
      </w:r>
      <w:r>
        <w:rPr>
          <w:b/>
          <w:color w:val="E46C0A"/>
        </w:rPr>
        <w:t>[HIGH]</w:t>
      </w:r>
    </w:p>
    <w:p>
      <w:pPr>
        <w:spacing w:after="80"/>
      </w:pPr>
      <w:r>
        <w:rPr>
          <w:b/>
          <w:sz w:val="19"/>
        </w:rPr>
        <w:t xml:space="preserve">Source: </w:t>
      </w:r>
      <w:r>
        <w:rPr>
          <w:i w:val="0"/>
          <w:sz w:val="19"/>
        </w:rPr>
        <w:t>TS §VII.1–2, §II  |  Principally affects: Hawthorne / Lenders</w:t>
      </w:r>
    </w:p>
    <w:p>
      <w:pPr>
        <w:spacing w:after="80"/>
      </w:pPr>
      <w:r>
        <w:rPr>
          <w:b/>
        </w:rPr>
        <w:t xml:space="preserve">Analysis: </w:t>
      </w:r>
      <w:r>
        <w:rPr>
          <w:i w:val="0"/>
        </w:rPr>
        <w:t>At the $75MM TNW floor, 4.00x permits $300MM of total indebtedness, which is less than the $350MM facility alone. Full use needs TNW of at least $87.5MM ($125MM with the $500MM accordion), before any other Hawthorne debt. The Liquidity definition implies other committed warehouses exist, and $1.2BN of annual originations points to substantial on-balance-sheet debt. Under GAAP the wholly owned SPV consolidates, so its warehouse debt counts unless excluded. Covenant headroom therefore cannot be judged without Hawthorne’s balance sheet and debt schedule.</w:t>
      </w:r>
    </w:p>
    <w:p>
      <w:pPr>
        <w:spacing w:after="80"/>
      </w:pPr>
      <w:r>
        <w:rPr>
          <w:b/>
        </w:rPr>
        <w:t xml:space="preserve">Recommendation: </w:t>
      </w:r>
      <w:r>
        <w:rPr>
          <w:i w:val="0"/>
        </w:rPr>
        <w:t>Obtain Hawthorne’s latest financials and a pro forma covenant model at full draw and with the accordion. Negotiate a recourse-debt-only definition (excluding non-recourse SPV warehouse and securitization debt) or a higher multiple consistent with Hawthorne’s other facilities. Align TNW and leverage definitions across facilities.</w:t>
      </w:r>
    </w:p>
    <w:p>
      <w:pPr>
        <w:keepNext/>
        <w:spacing w:before="160" w:after="40"/>
      </w:pPr>
      <w:r>
        <w:rPr>
          <w:b/>
          <w:color w:val="1F3A5F"/>
          <w:sz w:val="21"/>
        </w:rPr>
        <w:t xml:space="preserve">Issue 5. Monthly Servicer Report due after the dates it is needed  </w:t>
      </w:r>
      <w:r>
        <w:rPr>
          <w:b/>
          <w:color w:val="E46C0A"/>
        </w:rPr>
        <w:t>[HIGH]</w:t>
      </w:r>
    </w:p>
    <w:p>
      <w:pPr>
        <w:spacing w:after="80"/>
      </w:pPr>
      <w:r>
        <w:rPr>
          <w:b/>
          <w:sz w:val="19"/>
        </w:rPr>
        <w:t xml:space="preserve">Source: </w:t>
      </w:r>
      <w:r>
        <w:rPr>
          <w:i w:val="0"/>
          <w:sz w:val="19"/>
        </w:rPr>
        <w:t>TS §III, §V, §VI, §XII.1  |  Principally affects: All parties</w:t>
      </w:r>
    </w:p>
    <w:p>
      <w:pPr>
        <w:spacing w:after="80"/>
      </w:pPr>
      <w:r>
        <w:rPr>
          <w:b/>
        </w:rPr>
        <w:t xml:space="preserve">Analysis: </w:t>
      </w:r>
      <w:r>
        <w:rPr>
          <w:i w:val="0"/>
        </w:rPr>
        <w:t>The Determination Date is the 5th business day of the month and the Payment Date the 15th calendar day, but the Monthly Servicer Report, which carries the borrowing base, delinquency ratios and collections, is due by the 15th business day (about the 21st). The Trustee cannot run the waterfall, and the Agent cannot test the 4.50% step-down, the 6.00% covenant or eligibility, on data not yet delivered. Payment Date distributions (including releases to Hawthorne at step Eighth) would run blind.</w:t>
      </w:r>
    </w:p>
    <w:p>
      <w:pPr>
        <w:spacing w:after="80"/>
      </w:pPr>
      <w:r>
        <w:rPr>
          <w:b/>
        </w:rPr>
        <w:t xml:space="preserve">Recommendation: </w:t>
      </w:r>
      <w:r>
        <w:rPr>
          <w:i w:val="0"/>
        </w:rPr>
        <w:t>Require the Monthly Servicer Report (and borrowing base certificate) on or before the Determination Date and at least 2–3 business days before each Payment Date. Align the Determination Date, report date and Payment Date in a single calendar.</w:t>
      </w:r>
    </w:p>
    <w:p>
      <w:pPr>
        <w:keepNext/>
        <w:spacing w:before="160" w:after="40"/>
      </w:pPr>
      <w:r>
        <w:rPr>
          <w:b/>
          <w:color w:val="1F3A5F"/>
          <w:sz w:val="21"/>
        </w:rPr>
        <w:t xml:space="preserve">Issue 6. Priority of payments: undefined amortization schedule, fee cap shortfall and missing steps  </w:t>
      </w:r>
      <w:r>
        <w:rPr>
          <w:b/>
          <w:color w:val="E46C0A"/>
        </w:rPr>
        <w:t>[HIGH]</w:t>
      </w:r>
    </w:p>
    <w:p>
      <w:pPr>
        <w:spacing w:after="80"/>
      </w:pPr>
      <w:r>
        <w:rPr>
          <w:b/>
          <w:sz w:val="19"/>
        </w:rPr>
        <w:t xml:space="preserve">Source: </w:t>
      </w:r>
      <w:r>
        <w:rPr>
          <w:i w:val="0"/>
          <w:sz w:val="19"/>
        </w:rPr>
        <w:t>TS §II, §V, §VI, §XIV, §XV  |  Principally affects: Lenders / Hawthorne</w:t>
      </w:r>
    </w:p>
    <w:p>
      <w:pPr>
        <w:spacing w:after="80"/>
      </w:pPr>
      <w:r>
        <w:rPr>
          <w:b/>
        </w:rPr>
        <w:t xml:space="preserve">Analysis: </w:t>
      </w:r>
      <w:r>
        <w:rPr>
          <w:i w:val="0"/>
        </w:rPr>
        <w:t>(a) Step Fifth refers to an “Amortization Schedule” that is not defined, while §II says “all collections” repay advances in the Amortization Period (full turbo), and step Eighth still releases residual cash to Hawthorne. These cannot all be true. (b) Step First caps Trustee and Agent fees at $25,000/month, but the Agent fee is $37,500 quarterly in arrears, so the cap is exceeded in every quarter-end month even before Trustee fees (which are not quantified anywhere). There is no subordinated step for capped excess, expenses, indemnities, default interest or breakage. (c) There is no post-EoD or post-acceleration waterfall. (d) The Reserve Account has a target (1.00%, $3.5MM at full draw) but no stated use (interest shortfalls? final payment?) or release mechanics. (e) The 1.50% servicing fee (about $515K/month) is paid to an affiliate ahead of interest, with no provision for a higher successor-servicer fee if Graystone steps in.</w:t>
      </w:r>
    </w:p>
    <w:p>
      <w:pPr>
        <w:spacing w:after="80"/>
      </w:pPr>
      <w:r>
        <w:rPr>
          <w:b/>
        </w:rPr>
        <w:t xml:space="preserve">Recommendation: </w:t>
      </w:r>
      <w:r>
        <w:rPr>
          <w:i w:val="0"/>
        </w:rPr>
        <w:t>Define the amortization mechanics (full turbo with no residual release during amortization is customary for warehouses, or a scheduled amortization with stated dates). Raise the cap or switch to an annual cap and add a subordinated step for excess fees and indemnities. Add a post-EoD waterfall, Reserve Account draw and release rules, and a successor-servicer fee mechanism (e.g., capped transition costs senior, and a market-rate fee).</w:t>
      </w:r>
    </w:p>
    <w:p>
      <w:pPr>
        <w:keepNext/>
        <w:spacing w:before="160" w:after="40"/>
      </w:pPr>
      <w:r>
        <w:rPr>
          <w:b/>
          <w:color w:val="1F3A5F"/>
          <w:sz w:val="21"/>
        </w:rPr>
        <w:t xml:space="preserve">Issue 7. Advance-rate step-down creates an immediate, large borrowing base deficiency  </w:t>
      </w:r>
      <w:r>
        <w:rPr>
          <w:b/>
          <w:color w:val="E46C0A"/>
        </w:rPr>
        <w:t>[HIGH]</w:t>
      </w:r>
    </w:p>
    <w:p>
      <w:pPr>
        <w:spacing w:after="80"/>
      </w:pPr>
      <w:r>
        <w:rPr>
          <w:b/>
          <w:sz w:val="19"/>
        </w:rPr>
        <w:t xml:space="preserve">Source: </w:t>
      </w:r>
      <w:r>
        <w:rPr>
          <w:i w:val="0"/>
          <w:sz w:val="19"/>
        </w:rPr>
        <w:t>TS §III, §VI (Sixth)  |  Principally affects: Hawthorne / SPV</w:t>
      </w:r>
    </w:p>
    <w:p>
      <w:pPr>
        <w:spacing w:after="80"/>
      </w:pPr>
      <w:r>
        <w:rPr>
          <w:b/>
        </w:rPr>
        <w:t xml:space="preserve">Analysis: </w:t>
      </w:r>
      <w:r>
        <w:rPr>
          <w:i w:val="0"/>
        </w:rPr>
        <w:t>A single determination date above 4.50% cuts the advance rate from 85% to 80%. At full draw ($350MM against $411.76MM of eligible receivables) the borrowing base drops to $329.41MM, a deficiency of about $20.59MM that must be cured within 2 business days. That is in tension with the waterfall, which cures deficiencies monthly at step Sixth. The consequence of failing to cure is not stated (an immediate EoD, or a covenant breach with a 30-day cure under EoD 4?). Restoration requires the ratio to fall below 4.50% for two consecutive dates, so a reading of exactly 4.50% neither triggers nor cures. Because the Agent may call extra Determination Dates, the step-down can be tested intra-month.</w:t>
      </w:r>
    </w:p>
    <w:p>
      <w:pPr>
        <w:spacing w:after="80"/>
      </w:pPr>
      <w:r>
        <w:rPr>
          <w:b/>
        </w:rPr>
        <w:t xml:space="preserve">Recommendation: </w:t>
      </w:r>
      <w:r>
        <w:rPr>
          <w:i w:val="0"/>
        </w:rPr>
        <w:t>Phase in the step-down (e.g., 1% per month) or let the resulting deficiency be cured through the waterfall over one or two Payment Dates. Extend the general cure period to 5–10 business days. State the consequence of an uncured deficiency (early amortization rather than EoD). Use a 3-month rolling average for the trigger. Fix the 4.50% boundary (“equal to or exceeds” / “is less than”).</w:t>
      </w:r>
    </w:p>
    <w:p>
      <w:pPr>
        <w:keepNext/>
        <w:spacing w:before="160" w:after="40"/>
      </w:pPr>
      <w:r>
        <w:rPr>
          <w:b/>
          <w:color w:val="1F3A5F"/>
          <w:sz w:val="21"/>
        </w:rPr>
        <w:t xml:space="preserve">Issue 8. Financial covenants: no cure, continuous testing, and a blank Servicing Coverage Ratio  </w:t>
      </w:r>
      <w:r>
        <w:rPr>
          <w:b/>
          <w:color w:val="E46C0A"/>
        </w:rPr>
        <w:t>[HIGH]</w:t>
      </w:r>
    </w:p>
    <w:p>
      <w:pPr>
        <w:spacing w:after="80"/>
      </w:pPr>
      <w:r>
        <w:rPr>
          <w:b/>
          <w:sz w:val="19"/>
        </w:rPr>
        <w:t xml:space="preserve">Source: </w:t>
      </w:r>
      <w:r>
        <w:rPr>
          <w:i w:val="0"/>
          <w:sz w:val="19"/>
        </w:rPr>
        <w:t>TS §VII, §XI.3  |  Principally affects: Hawthorne</w:t>
      </w:r>
    </w:p>
    <w:p>
      <w:pPr>
        <w:spacing w:after="80"/>
      </w:pPr>
      <w:r>
        <w:rPr>
          <w:b/>
        </w:rPr>
        <w:t xml:space="preserve">Analysis: </w:t>
      </w:r>
      <w:r>
        <w:rPr>
          <w:i w:val="0"/>
        </w:rPr>
        <w:t>EoD 3 has no grace period, and TNW and Liquidity apply “at all times” while the lead-in says covenants are measured at quarter-end and certified quarterly. That creates a continuous, unmonitorable test and an argument that any intra-quarter dip is an EoD. The Minimum Servicing Coverage Ratio is entirely blank ([●] : 1.00, “calculated as [●]”), so Hawthorne would be agreeing to a covenant, breach of which is an EoD, with no content. Financial covenants 4 and 5 duplicate EoD 15, creating two default routes for the same event.</w:t>
      </w:r>
    </w:p>
    <w:p>
      <w:pPr>
        <w:spacing w:after="80"/>
      </w:pPr>
      <w:r>
        <w:rPr>
          <w:b/>
        </w:rPr>
        <w:t xml:space="preserve">Recommendation: </w:t>
      </w:r>
      <w:r>
        <w:rPr>
          <w:i w:val="0"/>
        </w:rPr>
        <w:t>Test all financial covenants at quarter-end (Liquidity monthly at most). Add an equity cure and a 30-day cure for TNW and Liquidity. Require the SCR definition and level before acceptance or delete it. Keep pool performance only as an EoD or amortization trigger, not also as a Hawthorne covenant.</w:t>
      </w:r>
    </w:p>
    <w:p>
      <w:pPr>
        <w:keepNext/>
        <w:spacing w:before="160" w:after="40"/>
      </w:pPr>
      <w:r>
        <w:rPr>
          <w:b/>
          <w:color w:val="1F3A5F"/>
          <w:sz w:val="21"/>
        </w:rPr>
        <w:t xml:space="preserve">Issue 9. Servicer rating Event of Default: automatic, no cure, now including withdrawal  </w:t>
      </w:r>
      <w:r>
        <w:rPr>
          <w:b/>
          <w:color w:val="E46C0A"/>
        </w:rPr>
        <w:t>[HIGH]</w:t>
      </w:r>
    </w:p>
    <w:p>
      <w:pPr>
        <w:spacing w:after="80"/>
      </w:pPr>
      <w:r>
        <w:rPr>
          <w:b/>
          <w:sz w:val="19"/>
        </w:rPr>
        <w:t xml:space="preserve">Source: </w:t>
      </w:r>
      <w:r>
        <w:rPr>
          <w:i w:val="0"/>
          <w:sz w:val="19"/>
        </w:rPr>
        <w:t>TS §I, §VIII.14, §IX.10(d), §XI.14, §XIII.8, §XV; SL §5  |  Principally affects: Hawthorne</w:t>
      </w:r>
    </w:p>
    <w:p>
      <w:pPr>
        <w:spacing w:after="80"/>
      </w:pPr>
      <w:r>
        <w:rPr>
          <w:b/>
        </w:rPr>
        <w:t xml:space="preserve">Analysis: </w:t>
      </w:r>
      <w:r>
        <w:rPr>
          <w:i w:val="0"/>
        </w:rPr>
        <w:t>Hawthorne is rated “Adequate Servicer” and any downgrade below that is an immediate EoD with no cure. Since Hawthorne is at the minimum level, there is no cushion. The SL adds withdrawal, which can happen for reasons unrelated to Hawthorne’s performance (agency exits the asset class, fee dispute, consolidation), and there is a single named agency with no substitute. The TS only requires “commercially reasonable efforts” to keep the rating (§XV), which is inconsistent with treating loss of the rating as an automatic EoD. The rating is also a rep (14) and a CP (8). Formatting suggests rep 14 and EoD 14 were late additions (unbolded, unlike adjacent items).</w:t>
      </w:r>
    </w:p>
    <w:p>
      <w:pPr>
        <w:spacing w:after="80"/>
      </w:pPr>
      <w:r>
        <w:rPr>
          <w:b/>
        </w:rPr>
        <w:t xml:space="preserve">Recommendation: </w:t>
      </w:r>
      <w:r>
        <w:rPr>
          <w:i w:val="0"/>
        </w:rPr>
        <w:t>Make a downgrade or withdrawal a Servicer Termination Event or early-amortization trigger only, with a 60–90 day period to obtain an equivalent rating from Aldersgate or another agency. Exclude withdrawal for reasons not related to Hawthorne’s servicing. Conform §XV.</w:t>
      </w:r>
    </w:p>
    <w:p>
      <w:pPr>
        <w:keepNext/>
        <w:spacing w:before="160" w:after="40"/>
      </w:pPr>
      <w:r>
        <w:rPr>
          <w:b/>
          <w:color w:val="1F3A5F"/>
          <w:sz w:val="21"/>
        </w:rPr>
        <w:t xml:space="preserve">Issue 10. Right of First Refusal on all takeouts  </w:t>
      </w:r>
      <w:r>
        <w:rPr>
          <w:b/>
          <w:color w:val="E46C0A"/>
        </w:rPr>
        <w:t>[HIGH]</w:t>
      </w:r>
    </w:p>
    <w:p>
      <w:pPr>
        <w:spacing w:after="80"/>
      </w:pPr>
      <w:r>
        <w:rPr>
          <w:b/>
          <w:sz w:val="19"/>
        </w:rPr>
        <w:t xml:space="preserve">Source: </w:t>
      </w:r>
      <w:r>
        <w:rPr>
          <w:i w:val="0"/>
          <w:sz w:val="19"/>
        </w:rPr>
        <w:t>SL §4, §7  |  Principally affects: Hawthorne (and Ridgeline)</w:t>
      </w:r>
    </w:p>
    <w:p>
      <w:pPr>
        <w:spacing w:after="80"/>
      </w:pPr>
      <w:r>
        <w:rPr>
          <w:b/>
        </w:rPr>
        <w:t xml:space="preserve">Analysis: </w:t>
      </w:r>
      <w:r>
        <w:rPr>
          <w:i w:val="0"/>
        </w:rPr>
        <w:t>The facility exists to warehouse loans “pending securitization or other takeout,” but every Takeout Transaction involving “all or any portion” of pledged receivables (including any whole loan sale, however small) requires 30 business days’ notice (about 6 weeks), a 15 BD exercise window and a 10 BD negotiation. That can add 10–11 weeks to execution and deters competing arrangers. The fallback (“terms … no more favorable in the aggregate than those last offered to Pinnacle”) is unclear: it is Pinnacle that offers to participate “on substantially similar terms,” and “in the aggregate” invites dispute. The ROFR runs through Aug. 15, 2028 even if the facility is repaid or refinanced earlier, applies even after Pinnacle has declared an MDE, and conflicts with Ridgeline’s natural expectation of a takeout role. Hawthorne also cannot disclose the ROFR to takeout participants (SL §7).</w:t>
      </w:r>
    </w:p>
    <w:p>
      <w:pPr>
        <w:spacing w:after="80"/>
      </w:pPr>
      <w:r>
        <w:rPr>
          <w:b/>
        </w:rPr>
        <w:t xml:space="preserve">Recommendation: </w:t>
      </w:r>
      <w:r>
        <w:rPr>
          <w:i w:val="0"/>
        </w:rPr>
        <w:t>Narrow to a right to act as joint lead or co-manager on public term ABS on market terms. Exclude whole loan sales and forward-flow below a size threshold. Shorten to 10 BD notice and 5 BD exercise. Terminate on facility repayment, an MDE or Pinnacle’s default. Make the match test price-based and objective. Permit disclosure to takeout counterparties.</w:t>
      </w:r>
    </w:p>
    <w:p>
      <w:pPr>
        <w:keepNext/>
        <w:spacing w:before="160" w:after="40"/>
      </w:pPr>
      <w:r>
        <w:rPr>
          <w:b/>
          <w:color w:val="1F3A5F"/>
          <w:sz w:val="21"/>
        </w:rPr>
        <w:t xml:space="preserve">Issue 11. Performance test definitions are defective (CNL misnomer, undefined period, denominator)  </w:t>
      </w:r>
      <w:r>
        <w:rPr>
          <w:b/>
          <w:color w:val="E46C0A"/>
        </w:rPr>
        <w:t>[HIGH]</w:t>
      </w:r>
    </w:p>
    <w:p>
      <w:pPr>
        <w:spacing w:after="80"/>
      </w:pPr>
      <w:r>
        <w:rPr>
          <w:b/>
          <w:sz w:val="19"/>
        </w:rPr>
        <w:t xml:space="preserve">Source: </w:t>
      </w:r>
      <w:r>
        <w:rPr>
          <w:i w:val="0"/>
          <w:sz w:val="19"/>
        </w:rPr>
        <w:t>TS §VII.4–5, §XI.15  |  Principally affects: All parties</w:t>
      </w:r>
    </w:p>
    <w:p>
      <w:pPr>
        <w:spacing w:after="80"/>
      </w:pPr>
      <w:r>
        <w:rPr>
          <w:b/>
        </w:rPr>
        <w:t xml:space="preserve">Analysis: </w:t>
      </w:r>
      <w:r>
        <w:rPr>
          <w:i w:val="0"/>
        </w:rPr>
        <w:t>The “Cumulative Net Loss Ratio” is defined as an annualized periodic loss rate (charge-offs in a measurement period ÷ average balance, annualized), not a cumulative measure, and the “measurement period” is undefined (monthly? 3-month rolling? since closing?). A single month’s annualized loss could trigger an EoD. The 60+ DQ and CNL denominators refer to “all receivables,” which leaves unclear whether they mean the SPV pool or Hawthorne’s managed portfolio. The covenants are imposed on Hawthorne, but the triggers are pool tests. Charge-off policy (e.g., at 120 dpd) is not defined. For near-prime unsecured installment loans, a 12% annualized level may leave little headroom, depending on Hawthorne’s static pool history (not provided).</w:t>
      </w:r>
    </w:p>
    <w:p>
      <w:pPr>
        <w:spacing w:after="80"/>
      </w:pPr>
      <w:r>
        <w:rPr>
          <w:b/>
        </w:rPr>
        <w:t xml:space="preserve">Recommendation: </w:t>
      </w:r>
      <w:r>
        <w:rPr>
          <w:i w:val="0"/>
        </w:rPr>
        <w:t>Rename it Annualized Net Loss Ratio and use a 3-month rolling average. Define the measurement period, the charge-off policy and the denominator (SPV pool). Calibrate thresholds against Hawthorne’s vintage data and the annual pool performance report.</w:t>
      </w:r>
    </w:p>
    <w:p>
      <w:pPr>
        <w:keepNext/>
        <w:spacing w:before="160" w:after="40"/>
      </w:pPr>
      <w:r>
        <w:rPr>
          <w:b/>
          <w:color w:val="1F3A5F"/>
          <w:sz w:val="21"/>
        </w:rPr>
        <w:t xml:space="preserve">Issue 12. No intermediate early-amortization triggers  </w:t>
      </w:r>
      <w:r>
        <w:rPr>
          <w:b/>
          <w:color w:val="E46C0A"/>
        </w:rPr>
        <w:t>[HIGH]</w:t>
      </w:r>
    </w:p>
    <w:p>
      <w:pPr>
        <w:spacing w:after="80"/>
      </w:pPr>
      <w:r>
        <w:rPr>
          <w:b/>
          <w:sz w:val="19"/>
        </w:rPr>
        <w:t xml:space="preserve">Source: </w:t>
      </w:r>
      <w:r>
        <w:rPr>
          <w:i w:val="0"/>
          <w:sz w:val="19"/>
        </w:rPr>
        <w:t>TS §II, §III, §VII, §XI.15  |  Principally affects: All parties</w:t>
      </w:r>
    </w:p>
    <w:p>
      <w:pPr>
        <w:spacing w:after="80"/>
      </w:pPr>
      <w:r>
        <w:rPr>
          <w:b/>
        </w:rPr>
        <w:t xml:space="preserve">Analysis: </w:t>
      </w:r>
      <w:r>
        <w:rPr>
          <w:i w:val="0"/>
        </w:rPr>
        <w:t>§II refers to “Early Amortization Trigger Event (including performance triggers described below),” but no such triggers are defined. The only performance consequences are the 4.50% advance-rate step-down and the 6.00% DQ / 12% CNL tests, which are both covenants and EoDs. Deterioration therefore skips straight from a haircut to default and acceleration, with no amortization-only middle tier. That is worse for Hawthorne (default interest, cross-defaults) and leaves the Lenders without an early-warning lever.</w:t>
      </w:r>
    </w:p>
    <w:p>
      <w:pPr>
        <w:spacing w:after="80"/>
      </w:pPr>
      <w:r>
        <w:rPr>
          <w:b/>
        </w:rPr>
        <w:t xml:space="preserve">Recommendation: </w:t>
      </w:r>
      <w:r>
        <w:rPr>
          <w:i w:val="0"/>
        </w:rPr>
        <w:t>Define Early Amortization Events (e.g., 60+ DQ above 5.25% or annualized net loss above 10% on a 3-month average, a servicer rating downgrade, a Reserve Account shortfall) set below the EoD levels, with EoDs reserved for more severe levels.</w:t>
      </w:r>
    </w:p>
    <w:p>
      <w:pPr>
        <w:keepNext/>
        <w:spacing w:before="160" w:after="40"/>
      </w:pPr>
      <w:r>
        <w:rPr>
          <w:b/>
          <w:color w:val="1F3A5F"/>
          <w:sz w:val="21"/>
        </w:rPr>
        <w:t xml:space="preserve">Issue 13. Cross-default: higher threshold but hair-trigger and ambiguous scope  </w:t>
      </w:r>
      <w:r>
        <w:rPr>
          <w:b/>
          <w:color w:val="E46C0A"/>
        </w:rPr>
        <w:t>[HIGH]</w:t>
      </w:r>
    </w:p>
    <w:p>
      <w:pPr>
        <w:spacing w:after="80"/>
      </w:pPr>
      <w:r>
        <w:rPr>
          <w:b/>
          <w:sz w:val="19"/>
        </w:rPr>
        <w:t xml:space="preserve">Source: </w:t>
      </w:r>
      <w:r>
        <w:rPr>
          <w:i w:val="0"/>
          <w:sz w:val="19"/>
        </w:rPr>
        <w:t>TS §XI.7; SL §5  |  Principally affects: Hawthorne</w:t>
      </w:r>
    </w:p>
    <w:p>
      <w:pPr>
        <w:spacing w:after="80"/>
      </w:pPr>
      <w:r>
        <w:rPr>
          <w:b/>
        </w:rPr>
        <w:t xml:space="preserve">Analysis: </w:t>
      </w:r>
      <w:r>
        <w:rPr>
          <w:i w:val="0"/>
        </w:rPr>
        <w:t>The SL raises the threshold from $10MM to $15MM but drops the TS requirement that the other debt be accelerated or accelerable, and extends to “any” default (including technical defaults within grace periods) under borrowed money and any credit, warehouse or repo facility, and to the SPV. Given Hawthorne’s multiple warehouses (which likely cross-default back to this one), a minor default elsewhere could instantly default this facility. “Notwithstanding anything to the contrary” leaves unclear whether the SL wholly replaces EoD 7. Ridgeline would be relying on the TS version.</w:t>
      </w:r>
    </w:p>
    <w:p>
      <w:pPr>
        <w:spacing w:after="80"/>
      </w:pPr>
      <w:r>
        <w:rPr>
          <w:b/>
        </w:rPr>
        <w:t xml:space="preserve">Recommendation: </w:t>
      </w:r>
      <w:r>
        <w:rPr>
          <w:i w:val="0"/>
        </w:rPr>
        <w:t>Keep the $15MM threshold with the TS cross-acceleration standard (or payment default at maturity after grace). Exclude non-recourse securitization debt and debt being contested in good faith. Draft one consolidated clause in the Credit Agreement.</w:t>
      </w:r>
    </w:p>
    <w:p>
      <w:pPr>
        <w:keepNext/>
        <w:spacing w:before="160" w:after="40"/>
      </w:pPr>
      <w:r>
        <w:rPr>
          <w:b/>
          <w:color w:val="1F3A5F"/>
          <w:sz w:val="21"/>
        </w:rPr>
        <w:t xml:space="preserve">Issue 14. Broad MAC Event of Default and MAC condition  </w:t>
      </w:r>
      <w:r>
        <w:rPr>
          <w:b/>
          <w:color w:val="E46C0A"/>
        </w:rPr>
        <w:t>[HIGH]</w:t>
      </w:r>
    </w:p>
    <w:p>
      <w:pPr>
        <w:spacing w:after="80"/>
      </w:pPr>
      <w:r>
        <w:rPr>
          <w:b/>
          <w:sz w:val="19"/>
        </w:rPr>
        <w:t xml:space="preserve">Source: </w:t>
      </w:r>
      <w:r>
        <w:rPr>
          <w:i w:val="0"/>
          <w:sz w:val="19"/>
        </w:rPr>
        <w:t>TS §XI.8, §XIII.11; SL §3  |  Principally affects: Hawthorne</w:t>
      </w:r>
    </w:p>
    <w:p>
      <w:pPr>
        <w:spacing w:after="80"/>
      </w:pPr>
      <w:r>
        <w:rPr>
          <w:b/>
        </w:rPr>
        <w:t xml:space="preserve">Analysis: </w:t>
      </w:r>
      <w:r>
        <w:rPr>
          <w:i w:val="0"/>
        </w:rPr>
        <w:t>EoD 8 covers any event that “could reasonably be expected to have” a MAC in Hawthorne’s business, assets, operations or financial condition, on top of specific EoDs and the separate discretionary MDE. A business MAC EoD is resisted in sponsor warehouses because the borrowing base, performance triggers and covenants already allocate credit risk. The MAC CP runs from the term sheet date (June 12, 2025).</w:t>
      </w:r>
    </w:p>
    <w:p>
      <w:pPr>
        <w:spacing w:after="80"/>
      </w:pPr>
      <w:r>
        <w:rPr>
          <w:b/>
        </w:rPr>
        <w:t xml:space="preserve">Recommendation: </w:t>
      </w:r>
      <w:r>
        <w:rPr>
          <w:i w:val="0"/>
        </w:rPr>
        <w:t>Delete the business MAC EoD, or limit it to clauses (b) and (c) (ability to perform; collectibility of receivables and the security interest) with a materiality standard measured on the pool. Limit the MAC CP to the period since the latest audited financials and to disclosed matters.</w:t>
      </w:r>
    </w:p>
    <w:p>
      <w:pPr>
        <w:keepNext/>
        <w:spacing w:before="160" w:after="40"/>
      </w:pPr>
      <w:r>
        <w:rPr>
          <w:b/>
          <w:color w:val="1F3A5F"/>
          <w:sz w:val="21"/>
        </w:rPr>
        <w:t xml:space="preserve">Issue 15. Regulatory action EoD: conflicting TS and SL formulations  </w:t>
      </w:r>
      <w:r>
        <w:rPr>
          <w:b/>
          <w:color w:val="BF9000"/>
        </w:rPr>
        <w:t>[MEDIUM]</w:t>
      </w:r>
    </w:p>
    <w:p>
      <w:pPr>
        <w:spacing w:after="80"/>
      </w:pPr>
      <w:r>
        <w:rPr>
          <w:b/>
          <w:sz w:val="19"/>
        </w:rPr>
        <w:t xml:space="preserve">Source: </w:t>
      </w:r>
      <w:r>
        <w:rPr>
          <w:i w:val="0"/>
          <w:sz w:val="19"/>
        </w:rPr>
        <w:t>TS §XI.11; SL §5  |  Principally affects: All parties</w:t>
      </w:r>
    </w:p>
    <w:p>
      <w:pPr>
        <w:spacing w:after="80"/>
      </w:pPr>
      <w:r>
        <w:rPr>
          <w:b/>
        </w:rPr>
        <w:t xml:space="preserve">Analysis: </w:t>
      </w:r>
      <w:r>
        <w:rPr>
          <w:i w:val="0"/>
        </w:rPr>
        <w:t>The SL broadens the TS clause (“any regulatory authority,” not just federal or state; adds “collect”; Agent’s “reasonable judgment” instead of an objective test) and narrows it in other ways (Hawthorne only, dropping subsidiaries including the SPV; limited to pledged receivables). It does not say whether it replaces or supplements TS EoD 11, leaving two inconsistent EoDs. Consumer lenders face routine state consent orders; a reasonable-judgment standard increases the risk of a contested call.</w:t>
      </w:r>
    </w:p>
    <w:p>
      <w:pPr>
        <w:spacing w:after="80"/>
      </w:pPr>
      <w:r>
        <w:rPr>
          <w:b/>
        </w:rPr>
        <w:t xml:space="preserve">Recommendation: </w:t>
      </w:r>
      <w:r>
        <w:rPr>
          <w:i w:val="0"/>
        </w:rPr>
        <w:t>Use one clause: final, non-appealable orders by a governmental authority with jurisdiction, against Hawthorne or the SPV, that would reasonably be expected to materially impair origination, servicing or collection of the pledged receivables, measured objectively and with a cure or stay period.</w:t>
      </w:r>
    </w:p>
    <w:p>
      <w:pPr>
        <w:keepNext/>
        <w:spacing w:before="160" w:after="40"/>
      </w:pPr>
      <w:r>
        <w:rPr>
          <w:b/>
          <w:color w:val="1F3A5F"/>
          <w:sz w:val="21"/>
        </w:rPr>
        <w:t xml:space="preserve">Issue 16. Change of Control definition lacks permitted holders and SPV ownership test  </w:t>
      </w:r>
      <w:r>
        <w:rPr>
          <w:b/>
          <w:color w:val="BF9000"/>
        </w:rPr>
        <w:t>[MEDIUM]</w:t>
      </w:r>
    </w:p>
    <w:p>
      <w:pPr>
        <w:spacing w:after="80"/>
      </w:pPr>
      <w:r>
        <w:rPr>
          <w:b/>
          <w:sz w:val="19"/>
        </w:rPr>
        <w:t xml:space="preserve">Source: </w:t>
      </w:r>
      <w:r>
        <w:rPr>
          <w:i w:val="0"/>
          <w:sz w:val="19"/>
        </w:rPr>
        <w:t>TS §X.6, §XI.6, §IX.10(e)  |  Principally affects: Hawthorne / Lenders</w:t>
      </w:r>
    </w:p>
    <w:p>
      <w:pPr>
        <w:spacing w:after="80"/>
      </w:pPr>
      <w:r>
        <w:rPr>
          <w:b/>
        </w:rPr>
        <w:t xml:space="preserve">Analysis: </w:t>
      </w:r>
      <w:r>
        <w:rPr>
          <w:i w:val="0"/>
        </w:rPr>
        <w:t>Any person or 13(d) group acquiring more than 50% of Hawthorne’s voting equity is an EoD with no permitted-holder carve-out. If an existing sponsor or founder already holds or later consolidates more than 50%, or an affiliate transfer occurs, it could trigger. Conversely, nothing requires Hawthorne to keep owning 100% of the SPV or to remain Servicer under common control.</w:t>
      </w:r>
    </w:p>
    <w:p>
      <w:pPr>
        <w:spacing w:after="80"/>
      </w:pPr>
      <w:r>
        <w:rPr>
          <w:b/>
        </w:rPr>
        <w:t xml:space="preserve">Recommendation: </w:t>
      </w:r>
      <w:r>
        <w:rPr>
          <w:i w:val="0"/>
        </w:rPr>
        <w:t>Add permitted holders (current owners and their affiliates and funds). Include loss of 100% ownership of the SPV. Confirm Hawthorne’s current cap table.</w:t>
      </w:r>
    </w:p>
    <w:p>
      <w:pPr>
        <w:keepNext/>
        <w:spacing w:before="160" w:after="40"/>
      </w:pPr>
      <w:r>
        <w:rPr>
          <w:b/>
          <w:color w:val="1F3A5F"/>
          <w:sz w:val="21"/>
        </w:rPr>
        <w:t xml:space="preserve">Issue 17. Most Favored Lender clause: drafting gaps  </w:t>
      </w:r>
      <w:r>
        <w:rPr>
          <w:b/>
          <w:color w:val="BF9000"/>
        </w:rPr>
        <w:t>[MEDIUM]</w:t>
      </w:r>
    </w:p>
    <w:p>
      <w:pPr>
        <w:spacing w:after="80"/>
      </w:pPr>
      <w:r>
        <w:rPr>
          <w:b/>
          <w:sz w:val="19"/>
        </w:rPr>
        <w:t xml:space="preserve">Source: </w:t>
      </w:r>
      <w:r>
        <w:rPr>
          <w:i w:val="0"/>
          <w:sz w:val="19"/>
        </w:rPr>
        <w:t>SL §2  |  Principally affects: Hawthorne (benefit) / Ridgeline</w:t>
      </w:r>
    </w:p>
    <w:p>
      <w:pPr>
        <w:spacing w:after="80"/>
      </w:pPr>
      <w:r>
        <w:rPr>
          <w:b/>
        </w:rPr>
        <w:t xml:space="preserve">Analysis: </w:t>
      </w:r>
      <w:r>
        <w:rPr>
          <w:i w:val="0"/>
        </w:rPr>
        <w:t>The MFL benefits Hawthorne, but it (i) compares spreads across facilities with different advance rates, asset mixes, tenors and benchmarks (Term SOFR or fixed-rate repo), leaving “lower spread” open to dispute; (ii) has no size threshold; (iii) creates a 5 BD notice and certification covenant, breach of which is a covenant EoD; (iv) automatically reprices Ridgeline’s share (Issue 1); and (v) lapses if Pinnacle declares an MDE. It is unclear whether a later amendment that tightens the Comparable Facility’s spread counts, and whether the reduction reverses if that facility ends.</w:t>
      </w:r>
    </w:p>
    <w:p>
      <w:pPr>
        <w:spacing w:after="80"/>
      </w:pPr>
      <w:r>
        <w:rPr>
          <w:b/>
        </w:rPr>
        <w:t xml:space="preserve">Recommendation: </w:t>
      </w:r>
      <w:r>
        <w:rPr>
          <w:i w:val="0"/>
        </w:rPr>
        <w:t>Preserve, but define Comparable Facility (consumer installment collateral, committed, comparable advance rate ± 5%), the all-in spread comparison (including CSA, excluding fees, benchmark-adjusted), that the reduction is permanent, and survival through MDE-triggered amortization. Obtain Ridgeline’s agreement.</w:t>
      </w:r>
    </w:p>
    <w:p>
      <w:pPr>
        <w:keepNext/>
        <w:spacing w:before="160" w:after="40"/>
      </w:pPr>
      <w:r>
        <w:rPr>
          <w:b/>
          <w:color w:val="1F3A5F"/>
          <w:sz w:val="21"/>
        </w:rPr>
        <w:t xml:space="preserve">Issue 18. Insolvency EoD has no grace period for involuntary proceedings  </w:t>
      </w:r>
      <w:r>
        <w:rPr>
          <w:b/>
          <w:color w:val="BF9000"/>
        </w:rPr>
        <w:t>[MEDIUM]</w:t>
      </w:r>
    </w:p>
    <w:p>
      <w:pPr>
        <w:spacing w:after="80"/>
      </w:pPr>
      <w:r>
        <w:rPr>
          <w:b/>
          <w:sz w:val="19"/>
        </w:rPr>
        <w:t xml:space="preserve">Source: </w:t>
      </w:r>
      <w:r>
        <w:rPr>
          <w:i w:val="0"/>
          <w:sz w:val="19"/>
        </w:rPr>
        <w:t>TS §XI.5, §XI.9(c)  |  Principally affects: Hawthorne</w:t>
      </w:r>
    </w:p>
    <w:p>
      <w:pPr>
        <w:spacing w:after="80"/>
      </w:pPr>
      <w:r>
        <w:rPr>
          <w:b/>
        </w:rPr>
        <w:t xml:space="preserve">Analysis: </w:t>
      </w:r>
      <w:r>
        <w:rPr>
          <w:i w:val="0"/>
        </w:rPr>
        <w:t>Any proceeding “against” Hawthorne or the SPV is an immediate EoD, so a frivolous involuntary petition defaults the facility.</w:t>
      </w:r>
    </w:p>
    <w:p>
      <w:pPr>
        <w:spacing w:after="80"/>
      </w:pPr>
      <w:r>
        <w:rPr>
          <w:b/>
        </w:rPr>
        <w:t xml:space="preserve">Recommendation: </w:t>
      </w:r>
      <w:r>
        <w:rPr>
          <w:i w:val="0"/>
        </w:rPr>
        <w:t>Customary 60-day dismissal period for involuntary proceedings (not for the SPV if Lenders insist), and exclude proceedings that are stayed or bonded.</w:t>
      </w:r>
    </w:p>
    <w:p>
      <w:pPr>
        <w:keepNext/>
        <w:spacing w:before="160" w:after="40"/>
      </w:pPr>
      <w:r>
        <w:rPr>
          <w:b/>
          <w:color w:val="1F3A5F"/>
          <w:sz w:val="21"/>
        </w:rPr>
        <w:t xml:space="preserve">Issue 19. Eligibility: state concentration and single obligor drafted as cliff criteria  </w:t>
      </w:r>
      <w:r>
        <w:rPr>
          <w:b/>
          <w:color w:val="BF9000"/>
        </w:rPr>
        <w:t>[MEDIUM]</w:t>
      </w:r>
    </w:p>
    <w:p>
      <w:pPr>
        <w:spacing w:after="80"/>
      </w:pPr>
      <w:r>
        <w:rPr>
          <w:b/>
          <w:sz w:val="19"/>
        </w:rPr>
        <w:t xml:space="preserve">Source: </w:t>
      </w:r>
      <w:r>
        <w:rPr>
          <w:i w:val="0"/>
          <w:sz w:val="19"/>
        </w:rPr>
        <w:t>TS §IV.9–10  |  Principally affects: Hawthorne / SPV</w:t>
      </w:r>
    </w:p>
    <w:p>
      <w:pPr>
        <w:spacing w:after="80"/>
      </w:pPr>
      <w:r>
        <w:rPr>
          <w:b/>
        </w:rPr>
        <w:t xml:space="preserve">Analysis: </w:t>
      </w:r>
      <w:r>
        <w:rPr>
          <w:i w:val="0"/>
        </w:rPr>
        <w:t>Concentration limits are written as eligibility criteria. If any state exceeds 15%, arguably every receivable in that state fails, not just the excess, and the test re-runs on each determination date, so paydowns elsewhere can push a state over. With Hawthorne in North Carolina and licensed in 42 states + DC, home-state concentration is a realistic risk.</w:t>
      </w:r>
    </w:p>
    <w:p>
      <w:pPr>
        <w:spacing w:after="80"/>
      </w:pPr>
      <w:r>
        <w:rPr>
          <w:b/>
        </w:rPr>
        <w:t xml:space="preserve">Recommendation: </w:t>
      </w:r>
      <w:r>
        <w:rPr>
          <w:i w:val="0"/>
        </w:rPr>
        <w:t>Convert to “Excess Concentration Amounts” excluded from the borrowing base (only the excess is disregarded), with clear ordering rules. Consider higher limits for the largest states (e.g., CA/TX/FL) based on pool data.</w:t>
      </w:r>
    </w:p>
    <w:p>
      <w:pPr>
        <w:keepNext/>
        <w:spacing w:before="160" w:after="40"/>
      </w:pPr>
      <w:r>
        <w:rPr>
          <w:b/>
          <w:color w:val="1F3A5F"/>
          <w:sz w:val="21"/>
        </w:rPr>
        <w:t xml:space="preserve">Issue 20. Eligibility: other gaps (post-transfer delinquency, modifications, guideline changes, compliance)  </w:t>
      </w:r>
      <w:r>
        <w:rPr>
          <w:b/>
          <w:color w:val="BF9000"/>
        </w:rPr>
        <w:t>[MEDIUM]</w:t>
      </w:r>
    </w:p>
    <w:p>
      <w:pPr>
        <w:spacing w:after="80"/>
      </w:pPr>
      <w:r>
        <w:rPr>
          <w:b/>
          <w:sz w:val="19"/>
        </w:rPr>
        <w:t xml:space="preserve">Source: </w:t>
      </w:r>
      <w:r>
        <w:rPr>
          <w:i w:val="0"/>
          <w:sz w:val="19"/>
        </w:rPr>
        <w:t>TS §IV.4–5, 7, 12; §X.8  |  Principally affects: Lenders / Hawthorne</w:t>
      </w:r>
    </w:p>
    <w:p>
      <w:pPr>
        <w:spacing w:after="80"/>
      </w:pPr>
      <w:r>
        <w:rPr>
          <w:b/>
        </w:rPr>
        <w:t xml:space="preserve">Analysis: </w:t>
      </w:r>
      <w:r>
        <w:rPr>
          <w:i w:val="0"/>
        </w:rPr>
        <w:t>(a) Criterion 4 (≤ 30 dpd) is tested only at transfer, so a receivable that later becomes 90+ dpd or is charged off stays “Eligible.” There is no defaulted or charged-off exclusion, which matters to Lenders and should be anticipated. (b) Criterion 7 makes a receivable ineligible if modified “in any respect,” which would catch routine SCRA rate caps, due-date changes and hardship deferrals required by law. (c) Criterion 5 ties eligibility to guidelines “as approved … on or prior to the Closing Date,” so receivables originated under guideline changes the Agent consents to under Negative Covenant 8 would still be ineligible. (d) There is no criterion for compliance with consumer-protection law at origination (TILA, MLA, state usury), originator licensing in the obligor’s state, or the absence of third-party true-lender or bank-partner features.</w:t>
      </w:r>
    </w:p>
    <w:p>
      <w:pPr>
        <w:spacing w:after="80"/>
      </w:pPr>
      <w:r>
        <w:rPr>
          <w:b/>
        </w:rPr>
        <w:t xml:space="preserve">Recommendation: </w:t>
      </w:r>
      <w:r>
        <w:rPr>
          <w:i w:val="0"/>
        </w:rPr>
        <w:t>Add a defaulted or charged-off exclusion, with a dpd threshold, as a known Lender ask. Permit modifications required by law or made under credit-and-collection policy (with a concentration limit). Tie criterion 5 to guidelines “as amended in accordance with the facility documents.” Add a compliance-with-law and licensing criterion matched to the rep.</w:t>
      </w:r>
    </w:p>
    <w:p>
      <w:pPr>
        <w:keepNext/>
        <w:spacing w:before="160" w:after="40"/>
      </w:pPr>
      <w:r>
        <w:rPr>
          <w:b/>
          <w:color w:val="1F3A5F"/>
          <w:sz w:val="21"/>
        </w:rPr>
        <w:t xml:space="preserve">Issue 21. Licensing representation knowledge-qualified, inconsistent with CP and covenant  </w:t>
      </w:r>
      <w:r>
        <w:rPr>
          <w:b/>
          <w:color w:val="BF9000"/>
        </w:rPr>
        <w:t>[MEDIUM]</w:t>
      </w:r>
    </w:p>
    <w:p>
      <w:pPr>
        <w:spacing w:after="80"/>
      </w:pPr>
      <w:r>
        <w:rPr>
          <w:b/>
          <w:sz w:val="19"/>
        </w:rPr>
        <w:t xml:space="preserve">Source: </w:t>
      </w:r>
      <w:r>
        <w:rPr>
          <w:i w:val="0"/>
          <w:sz w:val="19"/>
        </w:rPr>
        <w:t>TS §VIII.15, §IX.3, §XIII.13  |  Principally affects: Lenders / Hawthorne</w:t>
      </w:r>
    </w:p>
    <w:p>
      <w:pPr>
        <w:spacing w:after="80"/>
      </w:pPr>
      <w:r>
        <w:rPr>
          <w:b/>
        </w:rPr>
        <w:t xml:space="preserve">Analysis: </w:t>
      </w:r>
      <w:r>
        <w:rPr>
          <w:i w:val="0"/>
        </w:rPr>
        <w:t>The licensing rep is “to the best of Hawthorne’s knowledge,” but CP 13 requires satisfactory evidence of licensing in all states and the covenant requires maintaining licenses. Lenders will push to remove the qualifier. Hawthorne should confirm whether it originates or services into any state outside its 42 + DC licenses (e.g., under exemptions).</w:t>
      </w:r>
    </w:p>
    <w:p>
      <w:pPr>
        <w:spacing w:after="80"/>
      </w:pPr>
      <w:r>
        <w:rPr>
          <w:b/>
        </w:rPr>
        <w:t xml:space="preserve">Recommendation: </w:t>
      </w:r>
      <w:r>
        <w:rPr>
          <w:i w:val="0"/>
        </w:rPr>
        <w:t>Expect the knowledge qualifier to be removed. Prepare a licensing schedule with exemptions. Consider a materiality qualifier instead.</w:t>
      </w:r>
    </w:p>
    <w:p>
      <w:pPr>
        <w:keepNext/>
        <w:spacing w:before="160" w:after="40"/>
      </w:pPr>
      <w:r>
        <w:rPr>
          <w:b/>
          <w:color w:val="1F3A5F"/>
          <w:sz w:val="21"/>
        </w:rPr>
        <w:t xml:space="preserve">Issue 22. Non-solicitation / no-hire with liquidated damages  </w:t>
      </w:r>
      <w:r>
        <w:rPr>
          <w:b/>
          <w:color w:val="BF9000"/>
        </w:rPr>
        <w:t>[MEDIUM]</w:t>
      </w:r>
    </w:p>
    <w:p>
      <w:pPr>
        <w:spacing w:after="80"/>
      </w:pPr>
      <w:r>
        <w:rPr>
          <w:b/>
          <w:sz w:val="19"/>
        </w:rPr>
        <w:t xml:space="preserve">Source: </w:t>
      </w:r>
      <w:r>
        <w:rPr>
          <w:i w:val="0"/>
          <w:sz w:val="19"/>
        </w:rPr>
        <w:t>SL §6, §7  |  Principally affects: Hawthorne</w:t>
      </w:r>
    </w:p>
    <w:p>
      <w:pPr>
        <w:spacing w:after="80"/>
      </w:pPr>
      <w:r>
        <w:rPr>
          <w:b/>
        </w:rPr>
        <w:t xml:space="preserve">Analysis: </w:t>
      </w:r>
      <w:r>
        <w:rPr>
          <w:i w:val="0"/>
        </w:rPr>
        <w:t>The restriction runs for the facility term plus 18 months (through Feb. 15, 2030 if the facility runs to maturity), covers consultants, and bars hiring, not only soliciting. The carve-out for unsolicited inquiries and general postings narrows only “solicit,” so hiring a person who answers a public posting is still prohibited. Liquidated damages of 100% of first-year total compensation “paid or offered” can arise even if no hire occurs and may be challenged as a penalty under New York law. The obligation is one-way and, oddly, sits in a document stated to be non-binding.</w:t>
      </w:r>
    </w:p>
    <w:p>
      <w:pPr>
        <w:spacing w:after="80"/>
      </w:pPr>
      <w:r>
        <w:rPr>
          <w:b/>
        </w:rPr>
        <w:t xml:space="preserve">Recommendation: </w:t>
      </w:r>
      <w:r>
        <w:rPr>
          <w:i w:val="0"/>
        </w:rPr>
        <w:t>Limit to active solicitation of individuals Hawthorne dealt with on this facility, for 12 months post-closing. Expressly permit hiring through general solicitations and unsolicited approaches. Delete liquidated damages or cap them at a reasonable recruiting-fee proxy. Make it mutual.</w:t>
      </w:r>
    </w:p>
    <w:p>
      <w:pPr>
        <w:keepNext/>
        <w:spacing w:before="160" w:after="40"/>
      </w:pPr>
      <w:r>
        <w:rPr>
          <w:b/>
          <w:color w:val="1F3A5F"/>
          <w:sz w:val="21"/>
        </w:rPr>
        <w:t xml:space="preserve">Issue 23. Indemnification lacks customary indemnitee carve-outs and limits  </w:t>
      </w:r>
      <w:r>
        <w:rPr>
          <w:b/>
          <w:color w:val="BF9000"/>
        </w:rPr>
        <w:t>[MEDIUM]</w:t>
      </w:r>
    </w:p>
    <w:p>
      <w:pPr>
        <w:spacing w:after="80"/>
      </w:pPr>
      <w:r>
        <w:rPr>
          <w:b/>
          <w:sz w:val="19"/>
        </w:rPr>
        <w:t xml:space="preserve">Source: </w:t>
      </w:r>
      <w:r>
        <w:rPr>
          <w:i w:val="0"/>
          <w:sz w:val="19"/>
        </w:rPr>
        <w:t>TS §XVI, §XVII (Expenses, Survival)  |  Principally affects: Hawthorne</w:t>
      </w:r>
    </w:p>
    <w:p>
      <w:pPr>
        <w:spacing w:after="80"/>
      </w:pPr>
      <w:r>
        <w:rPr>
          <w:b/>
        </w:rPr>
        <w:t xml:space="preserve">Analysis: </w:t>
      </w:r>
      <w:r>
        <w:rPr>
          <w:i w:val="0"/>
        </w:rPr>
        <w:t>The indemnity has no exclusion for the indemnitee’s gross negligence, willful misconduct or bad faith (as determined by a court), no exclusion for disputes among indemnitees or for taxes, and no waiver of consequential damages. Clause (e) “any fraud or willful misconduct” does not say whose. It is uncapped and survives termination, and it covers counsel. Expense reimbursement is uncapped and applies whether or not the facility closes.</w:t>
      </w:r>
    </w:p>
    <w:p>
      <w:pPr>
        <w:spacing w:after="80"/>
      </w:pPr>
      <w:r>
        <w:rPr>
          <w:b/>
        </w:rPr>
        <w:t xml:space="preserve">Recommendation: </w:t>
      </w:r>
      <w:r>
        <w:rPr>
          <w:i w:val="0"/>
        </w:rPr>
        <w:t>Add the customary GN/WM/bad-faith and material-breach carve-outs, intra-indemnitee dispute and tax exclusions, a mutual consequential-damages waiver, clarify (e) as Hawthorne’s or its agents’ fraud or willful misconduct, and add a cap or budget for pre-closing legal expenses.</w:t>
      </w:r>
    </w:p>
    <w:p>
      <w:pPr>
        <w:keepNext/>
        <w:spacing w:before="160" w:after="40"/>
      </w:pPr>
      <w:r>
        <w:rPr>
          <w:b/>
          <w:color w:val="1F3A5F"/>
          <w:sz w:val="21"/>
        </w:rPr>
        <w:t xml:space="preserve">Issue 24. Back-up servicing gap and successor servicing economics  </w:t>
      </w:r>
      <w:r>
        <w:rPr>
          <w:b/>
          <w:color w:val="BF9000"/>
        </w:rPr>
        <w:t>[MEDIUM]</w:t>
      </w:r>
    </w:p>
    <w:p>
      <w:pPr>
        <w:spacing w:after="80"/>
      </w:pPr>
      <w:r>
        <w:rPr>
          <w:b/>
          <w:sz w:val="19"/>
        </w:rPr>
        <w:t xml:space="preserve">Source: </w:t>
      </w:r>
      <w:r>
        <w:rPr>
          <w:i w:val="0"/>
          <w:sz w:val="19"/>
        </w:rPr>
        <w:t>TS §I, §IX.9, §XI.10, §XIII.14, §XV  |  Principally affects: Lenders / Hawthorne</w:t>
      </w:r>
    </w:p>
    <w:p>
      <w:pPr>
        <w:spacing w:after="80"/>
      </w:pPr>
      <w:r>
        <w:rPr>
          <w:b/>
        </w:rPr>
        <w:t xml:space="preserve">Analysis: </w:t>
      </w:r>
      <w:r>
        <w:rPr>
          <w:i w:val="0"/>
        </w:rPr>
        <w:t>CP 14 allows closing before the BUS Agreement is signed (up to 90 days), during which no back-up exists. EoD 10 bites only once Hawthorne has ceased to be Servicer and no BUS is ready within 30 days. Failure to appoint Graystone by the deadline is only a general covenant breach (30-day cure). Graystone’s successor-servicing fee and transition costs are not addressed, and the 1.50% fee may not attract a successor.</w:t>
      </w:r>
    </w:p>
    <w:p>
      <w:pPr>
        <w:spacing w:after="80"/>
      </w:pPr>
      <w:r>
        <w:rPr>
          <w:b/>
        </w:rPr>
        <w:t xml:space="preserve">Recommendation: </w:t>
      </w:r>
      <w:r>
        <w:rPr>
          <w:i w:val="0"/>
        </w:rPr>
        <w:t>Hawthorne: accept but seek a reasonable extension mechanic for the BUS deadline. Expect Lenders to require signing at closing, warm or cold back-up specifications, and a successor fee with senior transition expenses.</w:t>
      </w:r>
    </w:p>
    <w:p>
      <w:pPr>
        <w:keepNext/>
        <w:spacing w:before="160" w:after="40"/>
      </w:pPr>
      <w:r>
        <w:rPr>
          <w:b/>
          <w:color w:val="1F3A5F"/>
          <w:sz w:val="21"/>
        </w:rPr>
        <w:t xml:space="preserve">Issue 25. Binding versus non-binding provisions unclear  </w:t>
      </w:r>
      <w:r>
        <w:rPr>
          <w:b/>
          <w:color w:val="BF9000"/>
        </w:rPr>
        <w:t>[MEDIUM]</w:t>
      </w:r>
    </w:p>
    <w:p>
      <w:pPr>
        <w:spacing w:after="80"/>
      </w:pPr>
      <w:r>
        <w:rPr>
          <w:b/>
          <w:sz w:val="19"/>
        </w:rPr>
        <w:t xml:space="preserve">Source: </w:t>
      </w:r>
      <w:r>
        <w:rPr>
          <w:i w:val="0"/>
          <w:sz w:val="19"/>
        </w:rPr>
        <w:t>TS Intro, §XVII, §XVIII; SL §6, §7  |  Principally affects: All parties</w:t>
      </w:r>
    </w:p>
    <w:p>
      <w:pPr>
        <w:spacing w:after="80"/>
      </w:pPr>
      <w:r>
        <w:rPr>
          <w:b/>
        </w:rPr>
        <w:t xml:space="preserve">Analysis: </w:t>
      </w:r>
      <w:r>
        <w:rPr>
          <w:i w:val="0"/>
        </w:rPr>
        <w:t>Both documents say they are wholly non-binding, yet contain provisions plainly intended to bind on signature: confidentiality (TS and SL), expense reimbursement “whether or not the facility closes,” the non-solicit with liquidated damages, the ROFR, governing law, and the SL amendment clause. As drafted those provisions are arguably unenforceable, and a later dispute over them is foreseeable. The TS also asks Ridgeline to countersign an expressly non-binding document.</w:t>
      </w:r>
    </w:p>
    <w:p>
      <w:pPr>
        <w:spacing w:after="80"/>
      </w:pPr>
      <w:r>
        <w:rPr>
          <w:b/>
        </w:rPr>
        <w:t xml:space="preserve">Recommendation: </w:t>
      </w:r>
      <w:r>
        <w:rPr>
          <w:i w:val="0"/>
        </w:rPr>
        <w:t>State expressly which provisions are binding on countersignature (typically confidentiality, expenses with a cap, governing law and jurisdiction), and that the MFL, MDE, ROFR and non-solicit will be effective only if included in the definitive documents.</w:t>
      </w:r>
    </w:p>
    <w:p>
      <w:pPr>
        <w:keepNext/>
        <w:spacing w:before="160" w:after="40"/>
      </w:pPr>
      <w:r>
        <w:rPr>
          <w:b/>
          <w:color w:val="1F3A5F"/>
          <w:sz w:val="21"/>
        </w:rPr>
        <w:t xml:space="preserve">Issue 26. Unused fee continues when the commitment cannot be drawn  </w:t>
      </w:r>
      <w:r>
        <w:rPr>
          <w:b/>
          <w:color w:val="BF9000"/>
        </w:rPr>
        <w:t>[MEDIUM]</w:t>
      </w:r>
    </w:p>
    <w:p>
      <w:pPr>
        <w:spacing w:after="80"/>
      </w:pPr>
      <w:r>
        <w:rPr>
          <w:b/>
          <w:sz w:val="19"/>
        </w:rPr>
        <w:t xml:space="preserve">Source: </w:t>
      </w:r>
      <w:r>
        <w:rPr>
          <w:i w:val="0"/>
          <w:sz w:val="19"/>
        </w:rPr>
        <w:t>TS §V, §II; SL §3  |  Principally affects: Hawthorne</w:t>
      </w:r>
    </w:p>
    <w:p>
      <w:pPr>
        <w:spacing w:after="80"/>
      </w:pPr>
      <w:r>
        <w:rPr>
          <w:b/>
        </w:rPr>
        <w:t xml:space="preserve">Analysis: </w:t>
      </w:r>
      <w:r>
        <w:rPr>
          <w:i w:val="0"/>
        </w:rPr>
        <w:t>The 0.50% unused fee is charged on the “undrawn committed amount” with no stated end, so it arguably continues during the Amortization Period (including MDE-triggered amortization) and while availability is cut by the advance-rate step-down, when no advances can be made. Exposure is up to $1.75MM p.a. on a fully undrawn $350MM.</w:t>
      </w:r>
    </w:p>
    <w:p>
      <w:pPr>
        <w:spacing w:after="80"/>
      </w:pPr>
      <w:r>
        <w:rPr>
          <w:b/>
        </w:rPr>
        <w:t xml:space="preserve">Recommendation: </w:t>
      </w:r>
      <w:r>
        <w:rPr>
          <w:i w:val="0"/>
        </w:rPr>
        <w:t>The unused fee should stop at the end of the Revolving Period (and on any early termination) and be calculated on the commitment net of outstanding advances. Consider a utilization-based tiered fee. Specify accordion fee terms.</w:t>
      </w:r>
    </w:p>
    <w:p>
      <w:pPr>
        <w:keepNext/>
        <w:spacing w:before="160" w:after="40"/>
      </w:pPr>
      <w:r>
        <w:rPr>
          <w:b/>
          <w:color w:val="1F3A5F"/>
          <w:sz w:val="21"/>
        </w:rPr>
        <w:t xml:space="preserve">Issue 27. Side Letter confidentiality conflicts with takeout and regulatory disclosure  </w:t>
      </w:r>
      <w:r>
        <w:rPr>
          <w:b/>
          <w:color w:val="BF9000"/>
        </w:rPr>
        <w:t>[MEDIUM]</w:t>
      </w:r>
    </w:p>
    <w:p>
      <w:pPr>
        <w:spacing w:after="80"/>
      </w:pPr>
      <w:r>
        <w:rPr>
          <w:b/>
          <w:sz w:val="19"/>
        </w:rPr>
        <w:t xml:space="preserve">Source: </w:t>
      </w:r>
      <w:r>
        <w:rPr>
          <w:i w:val="0"/>
          <w:sz w:val="19"/>
        </w:rPr>
        <w:t>SL Preamble, §7; SL §4  |  Principally affects: Hawthorne</w:t>
      </w:r>
    </w:p>
    <w:p>
      <w:pPr>
        <w:spacing w:after="80"/>
      </w:pPr>
      <w:r>
        <w:rPr>
          <w:b/>
        </w:rPr>
        <w:t xml:space="preserve">Analysis: </w:t>
      </w:r>
      <w:r>
        <w:rPr>
          <w:i w:val="0"/>
        </w:rPr>
        <w:t>The SL bars disclosure to “any potential takeout securitization participant,” yet the ROFR, MDE and MFL are material to any arranger and possibly to disclosure in a public or Rule 144A ABS takeout (material agreements, conflicts of interest). The preamble requires only Pinnacle’s consent, while §7 requires mutual consent. Exceptions cover law, legal process and bank regulators but not rating agencies, auditors’ work papers beyond “need-to-know,” or prospective investors and acquirers in a change-of-control process.</w:t>
      </w:r>
    </w:p>
    <w:p>
      <w:pPr>
        <w:spacing w:after="80"/>
      </w:pPr>
      <w:r>
        <w:rPr>
          <w:b/>
        </w:rPr>
        <w:t xml:space="preserve">Recommendation: </w:t>
      </w:r>
      <w:r>
        <w:rPr>
          <w:i w:val="0"/>
        </w:rPr>
        <w:t>Conform to a mutual standard. Add exceptions for rating agencies, takeout arrangers and underwriters, prospective lenders, acquirers and investors under NDA, and securities-law disclosure.</w:t>
      </w:r>
    </w:p>
    <w:p>
      <w:pPr>
        <w:keepNext/>
        <w:spacing w:before="160" w:after="40"/>
      </w:pPr>
      <w:r>
        <w:rPr>
          <w:b/>
          <w:color w:val="1F3A5F"/>
          <w:sz w:val="21"/>
        </w:rPr>
        <w:t xml:space="preserve">Issue 28. No interest rate hedging framework  </w:t>
      </w:r>
      <w:r>
        <w:rPr>
          <w:b/>
          <w:color w:val="BF9000"/>
        </w:rPr>
        <w:t>[MEDIUM]</w:t>
      </w:r>
    </w:p>
    <w:p>
      <w:pPr>
        <w:spacing w:after="80"/>
      </w:pPr>
      <w:r>
        <w:rPr>
          <w:b/>
          <w:sz w:val="19"/>
        </w:rPr>
        <w:t xml:space="preserve">Source: </w:t>
      </w:r>
      <w:r>
        <w:rPr>
          <w:i w:val="0"/>
          <w:sz w:val="19"/>
        </w:rPr>
        <w:t>TS §IV.8, §V, §VI  |  Principally affects: Lenders / Hawthorne</w:t>
      </w:r>
    </w:p>
    <w:p>
      <w:pPr>
        <w:spacing w:after="80"/>
      </w:pPr>
      <w:r>
        <w:rPr>
          <w:b/>
        </w:rPr>
        <w:t xml:space="preserve">Analysis: </w:t>
      </w:r>
      <w:r>
        <w:rPr>
          <w:i w:val="0"/>
        </w:rPr>
        <w:t>The collateral is fixed-rate consumer installment loans (APR up to 29.99%) and the funding is floating-rate Daily SOFR (0.50% floor), with no hedging requirement, no excess spread trigger and no hedge payments in the waterfall. Lenders commonly add a hedging covenant when SOFR rises. Hawthorne should anticipate the ask and seek control over it.</w:t>
      </w:r>
    </w:p>
    <w:p>
      <w:pPr>
        <w:spacing w:after="80"/>
      </w:pPr>
      <w:r>
        <w:rPr>
          <w:b/>
        </w:rPr>
        <w:t xml:space="preserve">Recommendation: </w:t>
      </w:r>
      <w:r>
        <w:rPr>
          <w:i w:val="0"/>
        </w:rPr>
        <w:t>Pre-empt with an excess spread test or rate-cap requirement triggered only above a defined SOFR level, with hedge payments in the waterfall (counterparty payments senior to interest pari passu, termination payments subordinated).</w:t>
      </w:r>
    </w:p>
    <w:p>
      <w:pPr>
        <w:keepNext/>
        <w:spacing w:before="160" w:after="40"/>
      </w:pPr>
      <w:r>
        <w:rPr>
          <w:b/>
          <w:color w:val="1F3A5F"/>
          <w:sz w:val="21"/>
        </w:rPr>
        <w:t xml:space="preserve">Issue 29. Accordion mechanics incomplete  </w:t>
      </w:r>
      <w:r>
        <w:rPr>
          <w:b/>
          <w:color w:val="548235"/>
        </w:rPr>
        <w:t>[LOW]</w:t>
      </w:r>
    </w:p>
    <w:p>
      <w:pPr>
        <w:spacing w:after="80"/>
      </w:pPr>
      <w:r>
        <w:rPr>
          <w:b/>
          <w:sz w:val="19"/>
        </w:rPr>
        <w:t xml:space="preserve">Source: </w:t>
      </w:r>
      <w:r>
        <w:rPr>
          <w:i w:val="0"/>
          <w:sz w:val="19"/>
        </w:rPr>
        <w:t>TS §II, §V, §XVII  |  Principally affects: Hawthorne / Ridgeline</w:t>
      </w:r>
    </w:p>
    <w:p>
      <w:pPr>
        <w:spacing w:after="80"/>
      </w:pPr>
      <w:r>
        <w:rPr>
          <w:b/>
        </w:rPr>
        <w:t xml:space="preserve">Analysis: </w:t>
      </w:r>
      <w:r>
        <w:rPr>
          <w:i w:val="0"/>
        </w:rPr>
        <w:t>The accordion requires only the Agent’s consent and approval of new lenders. There are no pricing, fee, MFL or ROFR terms for accordion commitments, no minimum increment, and no existing-lender first right (relevant to Ridgeline). The interaction with Required Lenders is covered in Issue 30.</w:t>
      </w:r>
    </w:p>
    <w:p>
      <w:pPr>
        <w:spacing w:after="80"/>
      </w:pPr>
      <w:r>
        <w:rPr>
          <w:b/>
        </w:rPr>
        <w:t xml:space="preserve">Recommendation: </w:t>
      </w:r>
      <w:r>
        <w:rPr>
          <w:i w:val="0"/>
        </w:rPr>
        <w:t>Specify that accordion terms match the existing facility (or MFL-protected), fee terms, increments, and borrower discretion to choose accordion lenders subject to Agent consent not unreasonably withheld.</w:t>
      </w:r>
    </w:p>
    <w:p>
      <w:pPr>
        <w:keepNext/>
        <w:spacing w:before="160" w:after="40"/>
      </w:pPr>
      <w:r>
        <w:rPr>
          <w:b/>
          <w:color w:val="1F3A5F"/>
          <w:sz w:val="21"/>
        </w:rPr>
        <w:t xml:space="preserve">Issue 30. Amendments and assignments: Required Lenders control and lender transfers  </w:t>
      </w:r>
      <w:r>
        <w:rPr>
          <w:b/>
          <w:color w:val="BF9000"/>
        </w:rPr>
        <w:t>[MEDIUM]</w:t>
      </w:r>
    </w:p>
    <w:p>
      <w:pPr>
        <w:spacing w:after="80"/>
      </w:pPr>
      <w:r>
        <w:rPr>
          <w:b/>
          <w:sz w:val="19"/>
        </w:rPr>
        <w:t xml:space="preserve">Source: </w:t>
      </w:r>
      <w:r>
        <w:rPr>
          <w:i w:val="0"/>
          <w:sz w:val="19"/>
        </w:rPr>
        <w:t>TS §XVII; SL §7  |  Principally affects: Hawthorne / Ridgeline</w:t>
      </w:r>
    </w:p>
    <w:p>
      <w:pPr>
        <w:spacing w:after="80"/>
      </w:pPr>
      <w:r>
        <w:rPr>
          <w:b/>
        </w:rPr>
        <w:t xml:space="preserve">Analysis: </w:t>
      </w:r>
      <w:r>
        <w:rPr>
          <w:i w:val="0"/>
        </w:rPr>
        <w:t>Pinnacle (71.43%) alone constitutes Required Lenders (&gt; 50%) and can approve all amendments and waivers. There is no list of all-lender or affected-lender rights (pricing, maturity, advance rate, eligibility, waterfall), which concerns Ridgeline and supports Issue 1. If the full $150MM accordion goes to new lenders, Pinnacle drops to exactly 50% and no single lender is Required Lenders. Lenders may assign with only Agent consent, with no borrower consent (absent an EoD) and no disqualified-lender (competitor) list, while the SPV needs unanimous consent to assign.</w:t>
      </w:r>
    </w:p>
    <w:p>
      <w:pPr>
        <w:spacing w:after="80"/>
      </w:pPr>
      <w:r>
        <w:rPr>
          <w:b/>
        </w:rPr>
        <w:t xml:space="preserve">Recommendation: </w:t>
      </w:r>
      <w:r>
        <w:rPr>
          <w:i w:val="0"/>
        </w:rPr>
        <w:t>Hawthorne: seek a borrower consent right (not unreasonably withheld, deemed after 10 BD, falling away on an EoD), a disqualified-lender list, and minimum assignment amounts. Ridgeline will require affected-lender protections.</w:t>
      </w:r>
    </w:p>
    <w:p>
      <w:pPr>
        <w:keepNext/>
        <w:spacing w:before="160" w:after="40"/>
      </w:pPr>
      <w:r>
        <w:rPr>
          <w:b/>
          <w:color w:val="1F3A5F"/>
          <w:sz w:val="21"/>
        </w:rPr>
        <w:t xml:space="preserve">Issue 31. Determination Date frequency affects “consecutive” tests; 4.50% boundary  </w:t>
      </w:r>
      <w:r>
        <w:rPr>
          <w:b/>
          <w:color w:val="548235"/>
        </w:rPr>
        <w:t>[LOW]</w:t>
      </w:r>
    </w:p>
    <w:p>
      <w:pPr>
        <w:spacing w:after="80"/>
      </w:pPr>
      <w:r>
        <w:rPr>
          <w:b/>
          <w:sz w:val="19"/>
        </w:rPr>
        <w:t xml:space="preserve">Source: </w:t>
      </w:r>
      <w:r>
        <w:rPr>
          <w:i w:val="0"/>
          <w:sz w:val="19"/>
        </w:rPr>
        <w:t>TS §III, §VII.4, §XI.15(a)  |  Principally affects: Hawthorne</w:t>
      </w:r>
    </w:p>
    <w:p>
      <w:pPr>
        <w:spacing w:after="80"/>
      </w:pPr>
      <w:r>
        <w:rPr>
          <w:b/>
        </w:rPr>
        <w:t xml:space="preserve">Analysis: </w:t>
      </w:r>
      <w:r>
        <w:rPr>
          <w:i w:val="0"/>
        </w:rPr>
        <w:t>The Agent may call additional determination dates. The advance-rate trigger and cure use “determination dates” (any), while the 6.00% tests use “monthly determination dates.” Extra dates could accelerate a step-down or delay a cure. The exactly-4.50% gap is noted in Issue 7.</w:t>
      </w:r>
    </w:p>
    <w:p>
      <w:pPr>
        <w:spacing w:after="80"/>
      </w:pPr>
      <w:r>
        <w:rPr>
          <w:b/>
        </w:rPr>
        <w:t xml:space="preserve">Recommendation: </w:t>
      </w:r>
      <w:r>
        <w:rPr>
          <w:i w:val="0"/>
        </w:rPr>
        <w:t>Limit extra determination dates to borrowing-base purposes and keep all performance tests on monthly dates.</w:t>
      </w:r>
    </w:p>
    <w:p>
      <w:pPr>
        <w:keepNext/>
        <w:spacing w:before="160" w:after="40"/>
      </w:pPr>
      <w:r>
        <w:rPr>
          <w:b/>
          <w:color w:val="1F3A5F"/>
          <w:sz w:val="21"/>
        </w:rPr>
        <w:t xml:space="preserve">Issue 32. “Credit Spread Adjustment” on a new SOFR facility  </w:t>
      </w:r>
      <w:r>
        <w:rPr>
          <w:b/>
          <w:color w:val="548235"/>
        </w:rPr>
        <w:t>[LOW]</w:t>
      </w:r>
    </w:p>
    <w:p>
      <w:pPr>
        <w:spacing w:after="80"/>
      </w:pPr>
      <w:r>
        <w:rPr>
          <w:b/>
          <w:sz w:val="19"/>
        </w:rPr>
        <w:t xml:space="preserve">Source: </w:t>
      </w:r>
      <w:r>
        <w:rPr>
          <w:i w:val="0"/>
          <w:sz w:val="19"/>
        </w:rPr>
        <w:t>TS §V; SL §2  |  Principally affects: Hawthorne</w:t>
      </w:r>
    </w:p>
    <w:p>
      <w:pPr>
        <w:spacing w:after="80"/>
      </w:pPr>
      <w:r>
        <w:rPr>
          <w:b/>
        </w:rPr>
        <w:t xml:space="preserve">Analysis: </w:t>
      </w:r>
      <w:r>
        <w:rPr>
          <w:i w:val="0"/>
        </w:rPr>
        <w:t>A CSA was a LIBOR-to-SOFR transition device. In a facility originating on SOFR it is simply 10 bps of additional margin. This matters for MFL comparisons (the SL correctly compares spreads including CSA) and for any future benchmark replacement. The floor applies to SOFR before CSA, so the effective floor is 0.60% plus margin.</w:t>
      </w:r>
    </w:p>
    <w:p>
      <w:pPr>
        <w:spacing w:after="80"/>
      </w:pPr>
      <w:r>
        <w:rPr>
          <w:b/>
        </w:rPr>
        <w:t xml:space="preserve">Recommendation: </w:t>
      </w:r>
      <w:r>
        <w:rPr>
          <w:i w:val="0"/>
        </w:rPr>
        <w:t>Seek elimination (all-in margin of 225/275), or at least confirm that the CSA is excluded from default-rate and step-up calculations and that MFL comparisons are all-in.</w:t>
      </w:r>
    </w:p>
    <w:p>
      <w:pPr>
        <w:keepNext/>
        <w:spacing w:before="160" w:after="40"/>
      </w:pPr>
      <w:r>
        <w:rPr>
          <w:b/>
          <w:color w:val="1F3A5F"/>
          <w:sz w:val="21"/>
        </w:rPr>
        <w:t xml:space="preserve">Issue 33. Representations: bring-down timing and thresholds  </w:t>
      </w:r>
      <w:r>
        <w:rPr>
          <w:b/>
          <w:color w:val="548235"/>
        </w:rPr>
        <w:t>[LOW]</w:t>
      </w:r>
    </w:p>
    <w:p>
      <w:pPr>
        <w:spacing w:after="80"/>
      </w:pPr>
      <w:r>
        <w:rPr>
          <w:b/>
          <w:sz w:val="19"/>
        </w:rPr>
        <w:t xml:space="preserve">Source: </w:t>
      </w:r>
      <w:r>
        <w:rPr>
          <w:i w:val="0"/>
          <w:sz w:val="19"/>
        </w:rPr>
        <w:t>TS §VIII  |  Principally affects: Hawthorne</w:t>
      </w:r>
    </w:p>
    <w:p>
      <w:pPr>
        <w:spacing w:after="80"/>
      </w:pPr>
      <w:r>
        <w:rPr>
          <w:b/>
        </w:rPr>
        <w:t xml:space="preserve">Analysis: </w:t>
      </w:r>
      <w:r>
        <w:rPr>
          <w:i w:val="0"/>
        </w:rPr>
        <w:t>The TS says “certain” entity reps are repeated on each borrowing date without saying which. Repeating litigation (including “threatened … investigation” above $2.5MM), solvency and compliance reps at every draw creates draw-stop risk. The $2.5MM litigation threshold is low relative to the $15MM cross-default and $5MM ERISA thresholds. The true-sale rep is a legal conclusion better addressed by opinion.</w:t>
      </w:r>
    </w:p>
    <w:p>
      <w:pPr>
        <w:spacing w:after="80"/>
      </w:pPr>
      <w:r>
        <w:rPr>
          <w:b/>
        </w:rPr>
        <w:t xml:space="preserve">Recommendation: </w:t>
      </w:r>
      <w:r>
        <w:rPr>
          <w:i w:val="0"/>
        </w:rPr>
        <w:t>Specify the bring-down reps, add knowledge and materiality qualifiers for threatened matters, raise the litigation threshold (e.g., $7.5MM), and rely on true-sale and non-consolidation opinions rather than a flat rep.</w:t>
      </w:r>
    </w:p>
    <w:p>
      <w:pPr>
        <w:keepNext/>
        <w:spacing w:before="160" w:after="40"/>
      </w:pPr>
      <w:r>
        <w:rPr>
          <w:b/>
          <w:color w:val="1F3A5F"/>
          <w:sz w:val="21"/>
        </w:rPr>
        <w:t xml:space="preserve">Issue 34. Timeline status and hard-coded dates  </w:t>
      </w:r>
      <w:r>
        <w:rPr>
          <w:b/>
          <w:color w:val="BF9000"/>
        </w:rPr>
        <w:t>[MEDIUM]</w:t>
      </w:r>
    </w:p>
    <w:p>
      <w:pPr>
        <w:spacing w:after="80"/>
      </w:pPr>
      <w:r>
        <w:rPr>
          <w:b/>
          <w:sz w:val="19"/>
        </w:rPr>
        <w:t xml:space="preserve">Source: </w:t>
      </w:r>
      <w:r>
        <w:rPr>
          <w:i w:val="0"/>
          <w:sz w:val="19"/>
        </w:rPr>
        <w:t>TS Intro, §I, §II, §IX.9, §XVIII; SL §1, §3  |  Principally affects: All parties</w:t>
      </w:r>
    </w:p>
    <w:p>
      <w:pPr>
        <w:spacing w:after="80"/>
      </w:pPr>
      <w:r>
        <w:rPr>
          <w:b/>
        </w:rPr>
        <w:t xml:space="preserve">Analysis: </w:t>
      </w:r>
      <w:r>
        <w:rPr>
          <w:i w:val="0"/>
        </w:rPr>
        <w:t>The TS expired unless accepted by July 15, 2025, and the documents assume an Aug. 15, 2025 closing. As of the date of this memo both dates have passed. If the TS was not accepted or extended in writing, it has lapsed and a reissued term sheet is needed. Many dates are hard-coded (BUS by Nov. 13, 2025; Revolving Period end Aug. 15, 2027; MDE floor Feb. 15, 2027; Maturity Aug. 15, 2028; ROFR end date) and will be wrong if closing slips.</w:t>
      </w:r>
    </w:p>
    <w:p>
      <w:pPr>
        <w:spacing w:after="80"/>
      </w:pPr>
      <w:r>
        <w:rPr>
          <w:b/>
        </w:rPr>
        <w:t xml:space="preserve">Recommendation: </w:t>
      </w:r>
      <w:r>
        <w:rPr>
          <w:i w:val="0"/>
        </w:rPr>
        <w:t>Confirm the acceptance and extension status with the client. In definitive documents, express all dates relative to the actual Closing Date (Closing + 90 days, + 24 months, etc.), and update the ROFR and non-solicit tails to match.</w:t>
      </w:r>
    </w:p>
    <w:p>
      <w:pPr>
        <w:keepNext/>
        <w:spacing w:before="160" w:after="40"/>
      </w:pPr>
      <w:r>
        <w:rPr>
          <w:b/>
          <w:color w:val="1F3A5F"/>
          <w:sz w:val="21"/>
        </w:rPr>
        <w:t xml:space="preserve">Issue 35. Counsel identification and legal opinion allocation  </w:t>
      </w:r>
      <w:r>
        <w:rPr>
          <w:b/>
          <w:color w:val="BF9000"/>
        </w:rPr>
        <w:t>[MEDIUM]</w:t>
      </w:r>
    </w:p>
    <w:p>
      <w:pPr>
        <w:spacing w:after="80"/>
      </w:pPr>
      <w:r>
        <w:rPr>
          <w:b/>
          <w:sz w:val="19"/>
        </w:rPr>
        <w:t xml:space="preserve">Source: </w:t>
      </w:r>
      <w:r>
        <w:rPr>
          <w:i w:val="0"/>
          <w:sz w:val="19"/>
        </w:rPr>
        <w:t>TS §I, §XIII.3, §XVII (Notices)  |  Principally affects: Hawthorne</w:t>
      </w:r>
    </w:p>
    <w:p>
      <w:pPr>
        <w:spacing w:after="80"/>
      </w:pPr>
      <w:r>
        <w:rPr>
          <w:b/>
        </w:rPr>
        <w:t xml:space="preserve">Analysis: </w:t>
      </w:r>
      <w:r>
        <w:rPr>
          <w:i w:val="0"/>
        </w:rPr>
        <w:t>Borrower’s counsel is named “Cromdale Consulting, Aldrich &amp; Stone LLP.” The firm’s correct legal name must be confirmed, because a consulting entity cannot deliver the true-sale, non-consolidation, enforceability and perfection opinions required by CP 3. CP 3 also calls for Bramwell &amp; Locke to opine “as to Pinnacle Bank, N.A.” on true sale and non-consolidation. Those opinions are customarily given by sponsor or borrower counsel about the sponsor and SPV, not by agent’s counsel about the lender. Mis-allocation could leave a gap or shift cost.</w:t>
      </w:r>
    </w:p>
    <w:p>
      <w:pPr>
        <w:spacing w:after="80"/>
      </w:pPr>
      <w:r>
        <w:rPr>
          <w:b/>
        </w:rPr>
        <w:t xml:space="preserve">Recommendation: </w:t>
      </w:r>
      <w:r>
        <w:rPr>
          <w:i w:val="0"/>
        </w:rPr>
        <w:t>Correct the firm name throughout (parties, CP 3, notices). Allocate opinions: borrower counsel gives corporate, enforceability, true sale, non-con and UCC opinions on Hawthorne and the SPV; agent’s counsel gives none, or only on Pinnacle’s authority. Scope the true-sale and non-con opinions early given cost and timing.</w:t>
      </w:r>
    </w:p>
    <w:p>
      <w:pPr>
        <w:keepNext/>
        <w:spacing w:before="160" w:after="40"/>
      </w:pPr>
      <w:r>
        <w:rPr>
          <w:b/>
          <w:color w:val="1F3A5F"/>
          <w:sz w:val="21"/>
        </w:rPr>
        <w:t xml:space="preserve">Issue 36. Inconsistent notice periods and reporting overlaps  </w:t>
      </w:r>
      <w:r>
        <w:rPr>
          <w:b/>
          <w:color w:val="548235"/>
        </w:rPr>
        <w:t>[LOW]</w:t>
      </w:r>
    </w:p>
    <w:p>
      <w:pPr>
        <w:spacing w:after="80"/>
      </w:pPr>
      <w:r>
        <w:rPr>
          <w:b/>
          <w:sz w:val="19"/>
        </w:rPr>
        <w:t xml:space="preserve">Source: </w:t>
      </w:r>
      <w:r>
        <w:rPr>
          <w:i w:val="0"/>
          <w:sz w:val="19"/>
        </w:rPr>
        <w:t>TS §IX.10, §XII.7, §X.8  |  Principally affects: Hawthorne</w:t>
      </w:r>
    </w:p>
    <w:p>
      <w:pPr>
        <w:spacing w:after="80"/>
      </w:pPr>
      <w:r>
        <w:rPr>
          <w:b/>
        </w:rPr>
        <w:t xml:space="preserve">Analysis: </w:t>
      </w:r>
      <w:r>
        <w:rPr>
          <w:i w:val="0"/>
        </w:rPr>
        <w:t>Material litigation and regulatory actions must be notified within 5 BD under Affirmative Covenant 10(b) but within 2 BD under Reporting 7(b)–(c). Underwriting changes require notice (IX.10(c)), “prompt” notice within 2 BD (XII.7(e)) and 30 days’ prior notice with consent for material changes (X.8). The annual pool report (90 days) precedes the audited financials (120 days), which is acceptable but should be confirmed as operationally feasible.</w:t>
      </w:r>
    </w:p>
    <w:p>
      <w:pPr>
        <w:spacing w:after="80"/>
      </w:pPr>
      <w:r>
        <w:rPr>
          <w:b/>
        </w:rPr>
        <w:t xml:space="preserve">Recommendation: </w:t>
      </w:r>
      <w:r>
        <w:rPr>
          <w:i w:val="0"/>
        </w:rPr>
        <w:t>Conform to one schedule (e.g., 5 BD for litigation and regulatory matters; 2 BD for EoDs after a responsible officer obtains knowledge).</w:t>
      </w:r>
    </w:p>
    <w:p>
      <w:pPr>
        <w:keepNext/>
        <w:spacing w:before="160" w:after="40"/>
      </w:pPr>
      <w:r>
        <w:rPr>
          <w:b/>
          <w:color w:val="1F3A5F"/>
          <w:sz w:val="21"/>
        </w:rPr>
        <w:t xml:space="preserve">Issue 37. Execution and party mechanics  </w:t>
      </w:r>
      <w:r>
        <w:rPr>
          <w:b/>
          <w:color w:val="548235"/>
        </w:rPr>
        <w:t>[LOW]</w:t>
      </w:r>
    </w:p>
    <w:p>
      <w:pPr>
        <w:spacing w:after="80"/>
      </w:pPr>
      <w:r>
        <w:rPr>
          <w:b/>
          <w:sz w:val="19"/>
        </w:rPr>
        <w:t xml:space="preserve">Source: </w:t>
      </w:r>
      <w:r>
        <w:rPr>
          <w:i w:val="0"/>
          <w:sz w:val="19"/>
        </w:rPr>
        <w:t>TS §XVIII, §XVII (Notices); SL signature page, §7  |  Principally affects: All parties</w:t>
      </w:r>
    </w:p>
    <w:p>
      <w:pPr>
        <w:spacing w:after="80"/>
      </w:pPr>
      <w:r>
        <w:rPr>
          <w:b/>
        </w:rPr>
        <w:t xml:space="preserve">Analysis: </w:t>
      </w:r>
      <w:r>
        <w:rPr>
          <w:i w:val="0"/>
        </w:rPr>
        <w:t>The SPV, which will be the Borrower, is not a party to either document (it is not yet formed). The TS is to be signed for Hawthorne by the CEO, while the SL is signed by the GC with the date pre-filled as June 12, 2025, the issue date, before any negotiation. GC signing authority should be confirmed. Ridgeline’s signatory and notice attention line are blank. The SL has no jurisdiction or jury-waiver clause, unlike the TS.</w:t>
      </w:r>
    </w:p>
    <w:p>
      <w:pPr>
        <w:spacing w:after="80"/>
      </w:pPr>
      <w:r>
        <w:rPr>
          <w:b/>
        </w:rPr>
        <w:t xml:space="preserve">Recommendation: </w:t>
      </w:r>
      <w:r>
        <w:rPr>
          <w:i w:val="0"/>
        </w:rPr>
        <w:t>Confirm signing authority and do not countersign the SL until it has been negotiated. Add the SPV by joinder at formation. Complete Ridgeline’s details. Conform the forum and jury waiver in the SL.</w:t>
      </w:r>
    </w:p>
    <w:p>
      <w:pPr>
        <w:keepNext/>
        <w:spacing w:before="160" w:after="40"/>
      </w:pPr>
      <w:r>
        <w:rPr>
          <w:b/>
          <w:color w:val="1F3A5F"/>
          <w:sz w:val="21"/>
        </w:rPr>
        <w:t xml:space="preserve">Issue 38. Use of proceeds and closing-fee funding  </w:t>
      </w:r>
      <w:r>
        <w:rPr>
          <w:b/>
          <w:color w:val="548235"/>
        </w:rPr>
        <w:t>[LOW]</w:t>
      </w:r>
    </w:p>
    <w:p>
      <w:pPr>
        <w:spacing w:after="80"/>
      </w:pPr>
      <w:r>
        <w:rPr>
          <w:b/>
          <w:sz w:val="19"/>
        </w:rPr>
        <w:t xml:space="preserve">Source: </w:t>
      </w:r>
      <w:r>
        <w:rPr>
          <w:i w:val="0"/>
          <w:sz w:val="19"/>
        </w:rPr>
        <w:t>TS §IX.13, §V, §XIII.6  |  Principally affects: Hawthorne</w:t>
      </w:r>
    </w:p>
    <w:p>
      <w:pPr>
        <w:spacing w:after="80"/>
      </w:pPr>
      <w:r>
        <w:rPr>
          <w:b/>
        </w:rPr>
        <w:t xml:space="preserve">Analysis: </w:t>
      </w:r>
      <w:r>
        <w:rPr>
          <w:i w:val="0"/>
        </w:rPr>
        <w:t>Proceeds may be used “solely” to acquire eligible receivables from Hawthorne, so the $3.0MM of closing fees, Reserve Account funding and transaction costs cannot be paid from the initial advance, and Hawthorne must fund them from its own liquidity (which also affects the Liquidity covenant at closing).</w:t>
      </w:r>
    </w:p>
    <w:p>
      <w:pPr>
        <w:spacing w:after="80"/>
      </w:pPr>
      <w:r>
        <w:rPr>
          <w:b/>
        </w:rPr>
        <w:t xml:space="preserve">Recommendation: </w:t>
      </w:r>
      <w:r>
        <w:rPr>
          <w:i w:val="0"/>
        </w:rPr>
        <w:t>Permit use of the initial advance to pay closing fees and expenses and to fund the Reserve Account.</w:t>
      </w:r>
    </w:p>
    <w:p>
      <w:pPr>
        <w:pStyle w:val="Heading1"/>
      </w:pPr>
      <w:r>
        <w:t>7. Open Items, Information Requests and Next Steps</w:t>
      </w:r>
    </w:p>
    <w:p>
      <w:pPr>
        <w:pStyle w:val="Heading2"/>
      </w:pPr>
      <w:r>
        <w:t>7.1 Information required from Hawthorne</w:t>
      </w:r>
    </w:p>
    <w:p>
      <w:pPr>
        <w:pStyle w:val="ListBullet"/>
        <w:spacing w:after="40"/>
      </w:pPr>
      <w:r>
        <w:t>Latest audited and interim financial statements, consolidated debt schedule and a pro forma covenant model (TNW, Debt/TNW, Liquidity) at full draw and with the accordion (Issues 3, 4, 8).</w:t>
      </w:r>
    </w:p>
    <w:p>
      <w:pPr>
        <w:pStyle w:val="ListBullet"/>
        <w:spacing w:after="40"/>
      </w:pPr>
      <w:r>
        <w:t>Copies of all existing warehouse, repo and securitization facilities: pricing (MFL baseline), cross-default and change-of-control terms, and any ROFRs or exclusivity already granted (Issues 10, 13, 17).</w:t>
      </w:r>
    </w:p>
    <w:p>
      <w:pPr>
        <w:pStyle w:val="ListBullet"/>
        <w:spacing w:after="40"/>
      </w:pPr>
      <w:r>
        <w:t>Cap table and ownership chain for the Change of Control analysis (Issue 16).</w:t>
      </w:r>
    </w:p>
    <w:p>
      <w:pPr>
        <w:pStyle w:val="ListBullet"/>
        <w:spacing w:after="40"/>
      </w:pPr>
      <w:r>
        <w:t>Static pool, vintage, delinquency and charge-off data, to calibrate the 4.50%/6.00% DQ and 12% loss triggers and the state concentration limits (Issues 7, 11, 12, 19).</w:t>
      </w:r>
    </w:p>
    <w:p>
      <w:pPr>
        <w:pStyle w:val="ListBullet"/>
        <w:spacing w:after="40"/>
      </w:pPr>
      <w:r>
        <w:t>Current Aldersgate rating report and any watch status; availability of alternative servicer ratings (Issue 9).</w:t>
      </w:r>
    </w:p>
    <w:p>
      <w:pPr>
        <w:pStyle w:val="ListBullet"/>
        <w:spacing w:after="40"/>
      </w:pPr>
      <w:r>
        <w:t>Licensing matrix by state (42 + DC) and any exemptions relied upon (Issues 20, 21).</w:t>
      </w:r>
    </w:p>
    <w:p>
      <w:pPr>
        <w:pStyle w:val="ListBullet"/>
        <w:spacing w:after="40"/>
      </w:pPr>
      <w:r>
        <w:t>Confirmation of whether the Term Sheet was accepted or extended, and whether the Side Letter has been countersigned (Issues 25, 34, 37).</w:t>
      </w:r>
    </w:p>
    <w:p>
      <w:pPr>
        <w:pStyle w:val="ListBullet"/>
        <w:spacing w:after="40"/>
      </w:pPr>
      <w:r>
        <w:t>Correct legal name of borrower’s counsel and the proposed opinion allocation (Issue 35).</w:t>
      </w:r>
    </w:p>
    <w:p>
      <w:pPr>
        <w:pStyle w:val="Heading2"/>
      </w:pPr>
      <w:r>
        <w:t>7.2 Terms left open in the documents</w:t>
      </w:r>
    </w:p>
    <w:p>
      <w:pPr>
        <w:pStyle w:val="ListBullet"/>
        <w:spacing w:after="40"/>
      </w:pPr>
      <w:r>
        <w:t>Minimum Servicing Coverage Ratio: definition, level and methodology ([●]).</w:t>
      </w:r>
    </w:p>
    <w:p>
      <w:pPr>
        <w:pStyle w:val="ListBullet"/>
        <w:spacing w:after="40"/>
      </w:pPr>
      <w:r>
        <w:t>“Amortization Schedule” (waterfall step Fifth); Early Amortization Trigger Events; CNL measurement period.</w:t>
      </w:r>
    </w:p>
    <w:p>
      <w:pPr>
        <w:pStyle w:val="ListBullet"/>
        <w:spacing w:after="40"/>
      </w:pPr>
      <w:r>
        <w:t>Trustee fees; successor servicer fee; Reserve Account use and release; post-EoD waterfall.</w:t>
      </w:r>
    </w:p>
    <w:p>
      <w:pPr>
        <w:pStyle w:val="ListBullet"/>
        <w:spacing w:after="40"/>
      </w:pPr>
      <w:r>
        <w:t>Accordion pricing and fees; Benchmark Replacement mechanics (ARRC language to be drafted).</w:t>
      </w:r>
    </w:p>
    <w:p>
      <w:pPr>
        <w:pStyle w:val="ListBullet"/>
        <w:spacing w:after="40"/>
      </w:pPr>
      <w:r>
        <w:t>Which representations are brought down on each borrowing date; which TS and SL provisions are binding on signature.</w:t>
      </w:r>
    </w:p>
    <w:p>
      <w:pPr>
        <w:pStyle w:val="Heading2"/>
      </w:pPr>
      <w:r>
        <w:t>7.3 Recommended next steps</w:t>
      </w:r>
    </w:p>
    <w:p>
      <w:pPr>
        <w:pStyle w:val="ListBullet"/>
        <w:spacing w:after="40"/>
      </w:pPr>
      <w:r>
        <w:t>Advise the client not to countersign the Side Letter in its current form. Raise Issue 1 (Ridgeline disclosure) with Pinnacle and Bramwell &amp; Locke immediately, since it shapes how every other Side Letter term is documented.</w:t>
      </w:r>
    </w:p>
    <w:p>
      <w:pPr>
        <w:pStyle w:val="ListBullet"/>
        <w:spacing w:after="40"/>
      </w:pPr>
      <w:r>
        <w:t>Prepare a borrower mark-up of the Term Sheet and Side Letter focused on Issues 2–14, with fallback positions as set out above.</w:t>
      </w:r>
    </w:p>
    <w:p>
      <w:pPr>
        <w:pStyle w:val="ListBullet"/>
        <w:spacing w:after="40"/>
      </w:pPr>
      <w:r>
        <w:t>Run the covenant and borrowing-base model before proposing levels, so that counter-proposals on TNW, leverage, Liquidity and trigger levels are grounded in Hawthorne’s numbers.</w:t>
      </w:r>
    </w:p>
    <w:p>
      <w:pPr>
        <w:pStyle w:val="ListBullet"/>
        <w:spacing w:after="40"/>
      </w:pPr>
      <w:r>
        <w:t>Build a single operational calendar (Determination Date, report date, Payment Date, compliance certificate) and conform the notice periods.</w:t>
      </w:r>
    </w:p>
    <w:p>
      <w:pPr>
        <w:pStyle w:val="ListBullet"/>
        <w:spacing w:after="40"/>
      </w:pPr>
      <w:r>
        <w:t>Once the commercial points are agreed, convert all hard-coded dates to Closing-relative definitions in the definitive documents.</w:t>
      </w:r>
    </w:p>
    <w:p>
      <w:pPr>
        <w:spacing w:after="80"/>
      </w:pPr>
      <w:r>
        <w:rPr>
          <w:i/>
          <w:sz w:val="18"/>
        </w:rPr>
        <w:t>This memorandum is based solely on the Term Sheet and Side Letter dated June 12, 2025. It does not address tax, regulatory licensing or securities-law matters beyond identifying issues for further analysis. Defined terms not defined here have the meanings given in the Term Sheet.</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Hawthorne / Pinnacle Warehouse Facility: Key Terms &amp; Issues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