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sz w:val="20"/>
        </w:rPr>
        <w:t>PRIVILEGED &amp; CONFIDENTIAL</w:t>
      </w:r>
    </w:p>
    <w:p>
      <w:pPr>
        <w:spacing w:after="0"/>
        <w:jc w:val="center"/>
      </w:pPr>
      <w:r>
        <w:rPr>
          <w:b/>
          <w:i w:val="0"/>
          <w:sz w:val="16"/>
        </w:rPr>
        <w:t>ATTORNEY-CLIENT COMMUNICATION | ATTORNEY WORK PRODUCT | PREPARED IN ANTICIPATION OF NEGOTIATION</w:t>
      </w:r>
    </w:p>
    <w:p>
      <w:pPr>
        <w:spacing w:after="240"/>
        <w:jc w:val="center"/>
      </w:pPr>
      <w:r>
        <w:rPr>
          <w:b/>
          <w:i w:val="0"/>
          <w:sz w:val="18"/>
        </w:rPr>
        <w:t>INTERNAL DRAFT FOR PARTNER REVIEW</w:t>
      </w:r>
    </w:p>
    <w:p>
      <w:pPr>
        <w:spacing w:after="0"/>
        <w:jc w:val="center"/>
      </w:pPr>
      <w:r>
        <w:rPr>
          <w:b/>
          <w:i w:val="0"/>
          <w:sz w:val="26"/>
        </w:rPr>
        <w:t>ASHWORTH, BLEDSOE &amp; CAHILL LLP</w:t>
      </w:r>
    </w:p>
    <w:p>
      <w:pPr>
        <w:spacing w:after="200"/>
        <w:jc w:val="center"/>
      </w:pPr>
      <w:r>
        <w:rPr>
          <w:b/>
          <w:i w:val="0"/>
          <w:sz w:val="26"/>
        </w:rPr>
        <w:t>MEMORANDUM</w:t>
      </w:r>
    </w:p>
    <w:tbl>
      <w:tblPr>
        <w:tblW w:type="auto" w:w="0"/>
        <w:tblLook w:firstColumn="1" w:firstRow="1" w:lastColumn="0" w:lastRow="0" w:noHBand="0" w:noVBand="1" w:val="04A0"/>
      </w:tblPr>
      <w:tblGrid>
        <w:gridCol w:w="4680"/>
        <w:gridCol w:w="4680"/>
      </w:tblGrid>
      <w:tr>
        <w:tc>
          <w:tcPr>
            <w:tcW w:type="dxa" w:w="1296"/>
          </w:tcPr>
          <w:p>
            <w:r/>
            <w:r>
              <w:rPr>
                <w:b/>
              </w:rPr>
              <w:t>TO:</w:t>
            </w:r>
          </w:p>
        </w:tc>
        <w:tc>
          <w:tcPr>
            <w:tcW w:type="dxa" w:w="8064"/>
          </w:tcPr>
          <w:p>
            <w:r/>
            <w:r>
              <w:t>Redstone Capital Partners Fund IV, LP — Heartland Deal Team; Marcus Halpern (Engagement Partner)</w:t>
            </w:r>
          </w:p>
        </w:tc>
      </w:tr>
      <w:tr>
        <w:tc>
          <w:tcPr>
            <w:tcW w:type="dxa" w:w="1296"/>
          </w:tcPr>
          <w:p>
            <w:r/>
            <w:r>
              <w:rPr>
                <w:b/>
              </w:rPr>
              <w:t>FROM:</w:t>
            </w:r>
          </w:p>
        </w:tc>
        <w:tc>
          <w:tcPr>
            <w:tcW w:type="dxa" w:w="8064"/>
          </w:tcPr>
          <w:p>
            <w:r/>
            <w:r>
              <w:t>ABC Tax Group (prepared for Victoria Chen, Tax Partner; with Ryan Kowalski, Senior Associate)</w:t>
            </w:r>
          </w:p>
        </w:tc>
      </w:tr>
      <w:tr>
        <w:tc>
          <w:tcPr>
            <w:tcW w:type="dxa" w:w="1296"/>
          </w:tcPr>
          <w:p>
            <w:r/>
            <w:r>
              <w:rPr>
                <w:b/>
              </w:rPr>
              <w:t>DATE:</w:t>
            </w:r>
          </w:p>
        </w:tc>
        <w:tc>
          <w:tcPr>
            <w:tcW w:type="dxa" w:w="8064"/>
          </w:tcPr>
          <w:p>
            <w:r/>
            <w:r>
              <w:t>November 25, 2024</w:t>
            </w:r>
          </w:p>
        </w:tc>
      </w:tr>
      <w:tr>
        <w:tc>
          <w:tcPr>
            <w:tcW w:type="dxa" w:w="1296"/>
          </w:tcPr>
          <w:p>
            <w:r/>
            <w:r>
              <w:rPr>
                <w:b/>
              </w:rPr>
              <w:t>RE:</w:t>
            </w:r>
          </w:p>
        </w:tc>
        <w:tc>
          <w:tcPr>
            <w:tcW w:type="dxa" w:w="8064"/>
          </w:tcPr>
          <w:p>
            <w:r/>
            <w:r>
              <w:t>Project Heartland — Acquisition Structure Alternatives and Recommended Tax Structure for the Acquisition of Heartland Industrial Supply, Inc. (EIN 38-3291045) from the Kressler Shareholders</w:t>
            </w:r>
          </w:p>
        </w:tc>
      </w:tr>
    </w:tbl>
    <w:p>
      <w:pPr>
        <w:spacing w:after="120"/>
      </w:pPr>
      <w:r>
        <w:t>______________________________________________________________________________________</w:t>
      </w:r>
    </w:p>
    <w:p>
      <w:pPr>
        <w:pStyle w:val="Heading1"/>
      </w:pPr>
      <w:r>
        <w:t>I. Executive Summary and Recommendation</w:t>
      </w:r>
    </w:p>
    <w:p>
      <w:pPr>
        <w:jc w:val="both"/>
      </w:pPr>
      <w:r>
        <w:t>This memorandum analyzes the acquisition structure alternatives for Fund IV’s proposed $385.0 million (enterprise value) acquisition of Heartland Industrial Supply, Inc. (“HIS”), a Michigan S corporation owned by Gerald (62%), Patricia (18%), David (10%) and Sarah Kressler-Cho (10%), and recommends a structure for the definitive agreement targeted for signing on December 6, 2024 (closing targeted January 31, 2025). It covers each item promised in the November 5 email chain: structure comparison, LIFO, seller after-tax comparison, David Kressler’s rollover, Section 197 benefit, Section 163(j), 14-state conformity, purchase price allocation, and transaction costs. It is based on the signed LOI (Sept. 15, 2024), the CIM (Oct. 2024), the Ridgeline QoE executive summary (Oct. 28, 2024), our Tax Due Diligence Report (Nov. 18, 2024), Ridgeline’s state tax filing matrix (Nov. 18, 2024), Pinnacle’s draft PPA (Nov. 22, 2024), the Ironclad term sheet (Nov. 2024), and the October 17 – November 8 email chain. Figures are in millions of dollars unless stated otherwise and are estimates subject to the open items in Part XIV.</w:t>
      </w:r>
    </w:p>
    <w:p>
      <w:pPr>
        <w:pStyle w:val="Heading2"/>
      </w:pPr>
      <w:r>
        <w:t>A. Bottom line</w:t>
      </w:r>
    </w:p>
    <w:p>
      <w:pPr>
        <w:pStyle w:val="ListNumber"/>
        <w:numPr>
          <w:ilvl w:val="0"/>
          <w:numId w:val="10"/>
        </w:numPr>
        <w:spacing w:after="60"/>
      </w:pPr>
      <w:r>
        <w:rPr>
          <w:b/>
        </w:rPr>
        <w:t>Recommended structure: pre-closing “F” reorganization followed by a purchase of 100% of the LLC interests (not a Section 338(h)(10) election).</w:t>
      </w:r>
      <w:r>
        <w:t xml:space="preserve"> The Kressler shareholders would form a new S corporation (“NewCo”), contribute all HIS stock to NewCo, NewCo would make a QSub election for HIS, and HIS would then convert under Michigan law into a single-member LLC (“HIS, LLC”) (Rev. Rul. 2008-18; Treas. Reg. § 1.368-2(m)). Fund IV’s acquisition vehicle would buy 100% of the HIS, LLC interests from NewCo for cash. For federal income tax purposes (and in every state that follows federal entity classification) this is an actual asset purchase: Fund IV gets the same full basis step-up that a 338(h)(10) election would provide, while HIS remains the same legal entity for contracts, permits, leases and employees in all 14 states. Compared with 338(h)(10), the structure (i) works with a partnership buyer, (ii) eliminates the state 338(h)(10) conformity risk (Pennsylvania, Georgia, Alabama, Missouri), (iii) protects the step-up if HIS’s S election turns out to be invalid, and (iv) leaves historic S-corporation income tax liabilities with NewCo. The tax cost to the sellers is the same as under a 338(h)(10) election.</w:t>
      </w:r>
    </w:p>
    <w:p>
      <w:pPr>
        <w:pStyle w:val="ListNumber"/>
        <w:numPr>
          <w:ilvl w:val="0"/>
          <w:numId w:val="10"/>
        </w:numPr>
        <w:spacing w:after="60"/>
      </w:pPr>
      <w:r>
        <w:rPr>
          <w:b/>
        </w:rPr>
        <w:t>The working assumption on LIFO recapture is wrong and should be dropped from every workstream.</w:t>
      </w:r>
      <w:r>
        <w:t xml:space="preserve"> Section 1363(d) imposes LIFO recapture only when a C corporation becomes an S corporation (an inclusion in the last C-corporation year). It does not apply when an S election terminates or when an S corporation sells (or is deemed to sell) its assets. HIS elected S status in 2001; Section 1374 has long since expired; and S corporations are exempt from Michigan’s CIT. Under any step-up structure, the $11.8 LIFO reserve is ordinary income on the sale of inventory that passes through to the shareholders under Section 1366. </w:t>
      </w:r>
      <w:r>
        <w:rPr>
          <w:b/>
        </w:rPr>
        <w:t>There is no $2.478 federal (or $0.198–$0.708 Michigan) corporate-level “LIFO recapture tax.”</w:t>
      </w:r>
      <w:r>
        <w:t xml:space="preserve"> The real cost is the shareholders’ rate differential on that income: about $2.0 federal ($11.8 × 17 points). In a straight stock sale, the LIFO reserve is not triggered at all, even if the S election then terminates.</w:t>
      </w:r>
    </w:p>
    <w:p>
      <w:pPr>
        <w:pStyle w:val="ListNumber"/>
        <w:numPr>
          <w:ilvl w:val="0"/>
          <w:numId w:val="10"/>
        </w:numPr>
        <w:spacing w:after="60"/>
      </w:pPr>
      <w:r>
        <w:rPr>
          <w:b/>
        </w:rPr>
        <w:t>Corrected incremental seller tax cost of a step-up structure: about $7.8 in aggregate</w:t>
      </w:r>
      <w:r>
        <w:t xml:space="preserve"> (versus a straight stock sale, before pass-through-entity (“PTE”) tax elections). This is about $3.9 of federal character cost (LIFO, Section 1245 and unrecaptured Section 1250) and about $3.9 of state cost (gain sourced to higher-rate states, plus the entity-level Tennessee excise tax and Illinois replacement tax). PTE elections for the sale year could offset an estimated $3–6 of this. A $8.5 non-compete allocation would add about $1.3.</w:t>
      </w:r>
    </w:p>
    <w:p>
      <w:pPr>
        <w:pStyle w:val="ListNumber"/>
        <w:numPr>
          <w:ilvl w:val="0"/>
          <w:numId w:val="10"/>
        </w:numPr>
        <w:spacing w:after="60"/>
      </w:pPr>
      <w:r>
        <w:rPr>
          <w:b/>
        </w:rPr>
        <w:t>The buyer’s step-up is worth more than the draft PPA shows.</w:t>
      </w:r>
      <w:r>
        <w:t xml:space="preserve"> The PPA treats the $385.0 enterprise value as the deemed sale price. That leaves out the roughly $64.0 of operating liabilities (accounts payable and accruals) the buyer takes on. The corrected adjusted grossed-up basis (“AGUB”) is about $455.8. On that basis, Section 197 basis is about $279.2 (about $18.6 of amortization a year), not $220.6. The present value of the step-up to the buyer is about </w:t>
      </w:r>
      <w:r>
        <w:rPr>
          <w:b/>
        </w:rPr>
        <w:t>$31–43</w:t>
      </w:r>
      <w:r>
        <w:t xml:space="preserve"> (10% discount rate; 25.4% blended corporate rate). The low end reflects the current EBIT-based Section 163(j) limitation.</w:t>
      </w:r>
    </w:p>
    <w:p>
      <w:pPr>
        <w:pStyle w:val="ListNumber"/>
        <w:numPr>
          <w:ilvl w:val="0"/>
          <w:numId w:val="10"/>
        </w:numPr>
        <w:spacing w:after="60"/>
      </w:pPr>
      <w:r>
        <w:rPr>
          <w:b/>
        </w:rPr>
        <w:t>Economics: the step-up is worth roughly four to five times the sellers’ corrected cost.</w:t>
      </w:r>
      <w:r>
        <w:t xml:space="preserve"> We recommend offering a formula-based “Tax Structure Payment” (a gross-up) tied to the sellers’ *actual* incremental tax under the agreed model. The sellers would be required to make the available PTE elections, and the payment would be capped (we suggest at about $10.5, which is the full pre-PTE gross-up). Because the payment adds to amortizable basis, its net after-tax cost to the buyer is about 86% of face. Even a full gross-up leaves the buyer with $20 or more of net present value.</w:t>
      </w:r>
    </w:p>
    <w:p>
      <w:pPr>
        <w:pStyle w:val="ListNumber"/>
        <w:numPr>
          <w:ilvl w:val="0"/>
          <w:numId w:val="10"/>
        </w:numPr>
        <w:spacing w:after="60"/>
      </w:pPr>
      <w:r>
        <w:rPr>
          <w:b/>
        </w:rPr>
        <w:t>Non-compete allocation: give it up.</w:t>
      </w:r>
      <w:r>
        <w:t xml:space="preserve"> The buyer amortizes non-compete consideration over 15 years under Section 197, exactly as it does goodwill. The buyer gains nothing from the $8.5 non-compete allocation, while each dollar costs the sellers 17 or more percentage points of extra tax and raises the gross-up. The allocation should be reduced to an amount Pinnacle can support (principally Gerald and Patricia), with little or no allocation to Sarah.</w:t>
      </w:r>
    </w:p>
    <w:p>
      <w:pPr>
        <w:pStyle w:val="ListNumber"/>
        <w:numPr>
          <w:ilvl w:val="0"/>
          <w:numId w:val="10"/>
        </w:numPr>
        <w:spacing w:after="60"/>
      </w:pPr>
      <w:r>
        <w:rPr>
          <w:b/>
        </w:rPr>
        <w:t>David Kressler’s rollover: use a taxable cash rollover at the HIS Holdings level.</w:t>
      </w:r>
      <w:r>
        <w:t xml:space="preserve"> Under any step-up structure, David is taxed on his full 10% share of the gain. A deferral that benefits David alone cannot be built inside an S corporation, which must have pro rata economics. A rollover at the HIS level would also breach the draft credit agreement’s change-of-control test, which requires the Borrower to own 100% of HIS. Worked example (Part VIII): total tax of about $8.62 and after-tax proceeds of about $25.83 leave about </w:t>
      </w:r>
      <w:r>
        <w:rPr>
          <w:b/>
        </w:rPr>
        <w:t>$13.83 of cash after funding the $12.0 rollover. The rollover is feasible.</w:t>
      </w:r>
      <w:r>
        <w:t xml:space="preserve"> David takes a full $12.0 basis in his HIS Holdings units.</w:t>
      </w:r>
    </w:p>
    <w:p>
      <w:pPr>
        <w:pStyle w:val="ListNumber"/>
        <w:numPr>
          <w:ilvl w:val="0"/>
          <w:numId w:val="10"/>
        </w:numPr>
        <w:spacing w:after="60"/>
      </w:pPr>
      <w:r>
        <w:rPr>
          <w:b/>
        </w:rPr>
        <w:t>Acquisition vehicle:</w:t>
      </w:r>
      <w:r>
        <w:t xml:space="preserve"> HIS Holdings, LLC (taxed as a partnership), as contemplated by the Ironclad term sheet, buying the HIS, LLC interests. Blocker corporations would be used for any tax-exempt or non-U.S. Fund IV investors. If Fund IV instead requires a corporate holding structure, HIS Acquisition Corp should buy the LLC interests. The F-reorganization recommendation is the same either way.</w:t>
      </w:r>
    </w:p>
    <w:p>
      <w:pPr>
        <w:pStyle w:val="Heading2"/>
      </w:pPr>
      <w:r>
        <w:t>B. Summary comparison of alternatives</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656"/>
            <w:shd w:val="clear" w:color="auto" w:fill="D9E1F2"/>
          </w:tcPr>
          <w:p>
            <w:r/>
            <w:r>
              <w:rPr>
                <w:b/>
                <w:sz w:val="16"/>
              </w:rPr>
              <w:t>Criterion</w:t>
            </w:r>
          </w:p>
        </w:tc>
        <w:tc>
          <w:tcPr>
            <w:tcW w:type="dxa" w:w="1872"/>
            <w:shd w:val="clear" w:color="auto" w:fill="D9E1F2"/>
          </w:tcPr>
          <w:p>
            <w:r/>
            <w:r>
              <w:rPr>
                <w:b/>
                <w:sz w:val="16"/>
              </w:rPr>
              <w:t>1. Straight stock purchase</w:t>
            </w:r>
          </w:p>
        </w:tc>
        <w:tc>
          <w:tcPr>
            <w:tcW w:type="dxa" w:w="1944"/>
            <w:shd w:val="clear" w:color="auto" w:fill="D9E1F2"/>
          </w:tcPr>
          <w:p>
            <w:r/>
            <w:r>
              <w:rPr>
                <w:b/>
                <w:sz w:val="16"/>
              </w:rPr>
              <w:t>2. Stock purchase + §338(h)(10) / §336(e)</w:t>
            </w:r>
          </w:p>
        </w:tc>
        <w:tc>
          <w:tcPr>
            <w:tcW w:type="dxa" w:w="1800"/>
            <w:shd w:val="clear" w:color="auto" w:fill="D9E1F2"/>
          </w:tcPr>
          <w:p>
            <w:r/>
            <w:r>
              <w:rPr>
                <w:b/>
                <w:sz w:val="16"/>
              </w:rPr>
              <w:t>3. Direct asset purchase</w:t>
            </w:r>
          </w:p>
        </w:tc>
        <w:tc>
          <w:tcPr>
            <w:tcW w:type="dxa" w:w="2088"/>
            <w:shd w:val="clear" w:color="auto" w:fill="D9E1F2"/>
          </w:tcPr>
          <w:p>
            <w:r/>
            <w:r>
              <w:rPr>
                <w:b/>
                <w:sz w:val="16"/>
              </w:rPr>
              <w:t>4. F reorg + LLC interest purchase (Recommended)</w:t>
            </w:r>
          </w:p>
        </w:tc>
      </w:tr>
      <w:tr>
        <w:tc>
          <w:tcPr>
            <w:tcW w:type="dxa" w:w="1656"/>
          </w:tcPr>
          <w:p>
            <w:pPr>
              <w:spacing w:after="0"/>
            </w:pPr>
            <w:r/>
            <w:r>
              <w:rPr>
                <w:b w:val="0"/>
                <w:sz w:val="16"/>
              </w:rPr>
              <w:t>Buyer basis step-up</w:t>
            </w:r>
          </w:p>
        </w:tc>
        <w:tc>
          <w:tcPr>
            <w:tcW w:type="dxa" w:w="1872"/>
          </w:tcPr>
          <w:p>
            <w:pPr>
              <w:spacing w:after="0"/>
            </w:pPr>
            <w:r/>
            <w:r>
              <w:rPr>
                <w:b w:val="0"/>
                <w:sz w:val="16"/>
              </w:rPr>
              <w:t>None (carryover $134.2 basis; HIS becomes a C corp if acquired by a partnership or corporation)</w:t>
            </w:r>
          </w:p>
        </w:tc>
        <w:tc>
          <w:tcPr>
            <w:tcW w:type="dxa" w:w="1944"/>
          </w:tcPr>
          <w:p>
            <w:pPr>
              <w:spacing w:after="0"/>
            </w:pPr>
            <w:r/>
            <w:r>
              <w:rPr>
                <w:b w:val="0"/>
                <w:sz w:val="16"/>
              </w:rPr>
              <w:t>Full (AGUB ≈ $455.8)</w:t>
            </w:r>
          </w:p>
        </w:tc>
        <w:tc>
          <w:tcPr>
            <w:tcW w:type="dxa" w:w="1800"/>
          </w:tcPr>
          <w:p>
            <w:pPr>
              <w:spacing w:after="0"/>
            </w:pPr>
            <w:r/>
            <w:r>
              <w:rPr>
                <w:b w:val="0"/>
                <w:sz w:val="16"/>
              </w:rPr>
              <w:t>Full</w:t>
            </w:r>
          </w:p>
        </w:tc>
        <w:tc>
          <w:tcPr>
            <w:tcW w:type="dxa" w:w="2088"/>
          </w:tcPr>
          <w:p>
            <w:pPr>
              <w:spacing w:after="0"/>
            </w:pPr>
            <w:r/>
            <w:r>
              <w:rPr>
                <w:b w:val="0"/>
                <w:sz w:val="16"/>
              </w:rPr>
              <w:t>Full (cost basis ≈ $455.8)</w:t>
            </w:r>
          </w:p>
        </w:tc>
      </w:tr>
      <w:tr>
        <w:tc>
          <w:tcPr>
            <w:tcW w:type="dxa" w:w="1656"/>
          </w:tcPr>
          <w:p>
            <w:pPr>
              <w:spacing w:after="0"/>
            </w:pPr>
            <w:r/>
            <w:r>
              <w:rPr>
                <w:b w:val="0"/>
                <w:sz w:val="16"/>
              </w:rPr>
              <w:t>PV of step-up to buyer</w:t>
            </w:r>
          </w:p>
        </w:tc>
        <w:tc>
          <w:tcPr>
            <w:tcW w:type="dxa" w:w="1872"/>
          </w:tcPr>
          <w:p>
            <w:pPr>
              <w:spacing w:after="0"/>
            </w:pPr>
            <w:r/>
            <w:r>
              <w:rPr>
                <w:b w:val="0"/>
                <w:sz w:val="16"/>
              </w:rPr>
              <w:t>$0</w:t>
            </w:r>
          </w:p>
        </w:tc>
        <w:tc>
          <w:tcPr>
            <w:tcW w:type="dxa" w:w="1944"/>
          </w:tcPr>
          <w:p>
            <w:pPr>
              <w:spacing w:after="0"/>
            </w:pPr>
            <w:r/>
            <w:r>
              <w:rPr>
                <w:b w:val="0"/>
                <w:sz w:val="16"/>
              </w:rPr>
              <w:t>$31–43 (less state non-conformity leakage)</w:t>
            </w:r>
          </w:p>
        </w:tc>
        <w:tc>
          <w:tcPr>
            <w:tcW w:type="dxa" w:w="1800"/>
          </w:tcPr>
          <w:p>
            <w:pPr>
              <w:spacing w:after="0"/>
            </w:pPr>
            <w:r/>
            <w:r>
              <w:rPr>
                <w:b w:val="0"/>
                <w:sz w:val="16"/>
              </w:rPr>
              <w:t>$31–43</w:t>
            </w:r>
          </w:p>
        </w:tc>
        <w:tc>
          <w:tcPr>
            <w:tcW w:type="dxa" w:w="2088"/>
          </w:tcPr>
          <w:p>
            <w:pPr>
              <w:spacing w:after="0"/>
            </w:pPr>
            <w:r/>
            <w:r>
              <w:rPr>
                <w:b w:val="0"/>
                <w:sz w:val="16"/>
              </w:rPr>
              <w:t>$31–43 (no conformity leakage)</w:t>
            </w:r>
          </w:p>
        </w:tc>
      </w:tr>
      <w:tr>
        <w:tc>
          <w:tcPr>
            <w:tcW w:type="dxa" w:w="1656"/>
          </w:tcPr>
          <w:p>
            <w:pPr>
              <w:spacing w:after="0"/>
            </w:pPr>
            <w:r/>
            <w:r>
              <w:rPr>
                <w:b w:val="0"/>
                <w:sz w:val="16"/>
              </w:rPr>
              <w:t>Seller incremental tax vs. stock sale</w:t>
            </w:r>
          </w:p>
        </w:tc>
        <w:tc>
          <w:tcPr>
            <w:tcW w:type="dxa" w:w="1872"/>
          </w:tcPr>
          <w:p>
            <w:pPr>
              <w:spacing w:after="0"/>
            </w:pPr>
            <w:r/>
            <w:r>
              <w:rPr>
                <w:b w:val="0"/>
                <w:sz w:val="16"/>
              </w:rPr>
              <w:t>Baseline (all LTCG)</w:t>
            </w:r>
          </w:p>
        </w:tc>
        <w:tc>
          <w:tcPr>
            <w:tcW w:type="dxa" w:w="1944"/>
          </w:tcPr>
          <w:p>
            <w:pPr>
              <w:spacing w:after="0"/>
            </w:pPr>
            <w:r/>
            <w:r>
              <w:rPr>
                <w:b w:val="0"/>
                <w:sz w:val="16"/>
              </w:rPr>
              <w:t>≈ $7.8 before PTE elections</w:t>
            </w:r>
          </w:p>
        </w:tc>
        <w:tc>
          <w:tcPr>
            <w:tcW w:type="dxa" w:w="1800"/>
          </w:tcPr>
          <w:p>
            <w:pPr>
              <w:spacing w:after="0"/>
            </w:pPr>
            <w:r/>
            <w:r>
              <w:rPr>
                <w:b w:val="0"/>
                <w:sz w:val="16"/>
              </w:rPr>
              <w:t>≈ $7.8 + any transfer/sales taxes</w:t>
            </w:r>
          </w:p>
        </w:tc>
        <w:tc>
          <w:tcPr>
            <w:tcW w:type="dxa" w:w="2088"/>
          </w:tcPr>
          <w:p>
            <w:pPr>
              <w:spacing w:after="0"/>
            </w:pPr>
            <w:r/>
            <w:r>
              <w:rPr>
                <w:b w:val="0"/>
                <w:sz w:val="16"/>
              </w:rPr>
              <w:t>≈ $7.8 before PTE elections</w:t>
            </w:r>
          </w:p>
        </w:tc>
      </w:tr>
      <w:tr>
        <w:tc>
          <w:tcPr>
            <w:tcW w:type="dxa" w:w="1656"/>
          </w:tcPr>
          <w:p>
            <w:pPr>
              <w:spacing w:after="0"/>
            </w:pPr>
            <w:r/>
            <w:r>
              <w:rPr>
                <w:b w:val="0"/>
                <w:sz w:val="16"/>
              </w:rPr>
              <w:t>Corporate-level income tax</w:t>
            </w:r>
          </w:p>
        </w:tc>
        <w:tc>
          <w:tcPr>
            <w:tcW w:type="dxa" w:w="1872"/>
          </w:tcPr>
          <w:p>
            <w:pPr>
              <w:spacing w:after="0"/>
            </w:pPr>
            <w:r/>
            <w:r>
              <w:rPr>
                <w:b w:val="0"/>
                <w:sz w:val="16"/>
              </w:rPr>
              <w:t>None</w:t>
            </w:r>
          </w:p>
        </w:tc>
        <w:tc>
          <w:tcPr>
            <w:tcW w:type="dxa" w:w="1944"/>
          </w:tcPr>
          <w:p>
            <w:pPr>
              <w:spacing w:after="0"/>
            </w:pPr>
            <w:r/>
            <w:r>
              <w:rPr>
                <w:b w:val="0"/>
                <w:sz w:val="16"/>
              </w:rPr>
              <w:t>None (no §1374; §1363(d) not applicable)</w:t>
            </w:r>
          </w:p>
        </w:tc>
        <w:tc>
          <w:tcPr>
            <w:tcW w:type="dxa" w:w="1800"/>
          </w:tcPr>
          <w:p>
            <w:pPr>
              <w:spacing w:after="0"/>
            </w:pPr>
            <w:r/>
            <w:r>
              <w:rPr>
                <w:b w:val="0"/>
                <w:sz w:val="16"/>
              </w:rPr>
              <w:t>None</w:t>
            </w:r>
          </w:p>
        </w:tc>
        <w:tc>
          <w:tcPr>
            <w:tcW w:type="dxa" w:w="2088"/>
          </w:tcPr>
          <w:p>
            <w:pPr>
              <w:spacing w:after="0"/>
            </w:pPr>
            <w:r/>
            <w:r>
              <w:rPr>
                <w:b w:val="0"/>
                <w:sz w:val="16"/>
              </w:rPr>
              <w:t>None</w:t>
            </w:r>
          </w:p>
        </w:tc>
      </w:tr>
      <w:tr>
        <w:tc>
          <w:tcPr>
            <w:tcW w:type="dxa" w:w="1656"/>
          </w:tcPr>
          <w:p>
            <w:pPr>
              <w:spacing w:after="0"/>
            </w:pPr>
            <w:r/>
            <w:r>
              <w:rPr>
                <w:b w:val="0"/>
                <w:sz w:val="16"/>
              </w:rPr>
              <w:t>Purchaser must be a corporation?</w:t>
            </w:r>
          </w:p>
        </w:tc>
        <w:tc>
          <w:tcPr>
            <w:tcW w:type="dxa" w:w="1872"/>
          </w:tcPr>
          <w:p>
            <w:pPr>
              <w:spacing w:after="0"/>
            </w:pPr>
            <w:r/>
            <w:r>
              <w:rPr>
                <w:b w:val="0"/>
                <w:sz w:val="16"/>
              </w:rPr>
              <w:t>No</w:t>
            </w:r>
          </w:p>
        </w:tc>
        <w:tc>
          <w:tcPr>
            <w:tcW w:type="dxa" w:w="1944"/>
          </w:tcPr>
          <w:p>
            <w:pPr>
              <w:spacing w:after="0"/>
            </w:pPr>
            <w:r/>
            <w:r>
              <w:rPr>
                <w:b w:val="0"/>
                <w:sz w:val="16"/>
              </w:rPr>
              <w:t>Yes for §338(h)(10); §336(e) allows a partnership buyer</w:t>
            </w:r>
          </w:p>
        </w:tc>
        <w:tc>
          <w:tcPr>
            <w:tcW w:type="dxa" w:w="1800"/>
          </w:tcPr>
          <w:p>
            <w:pPr>
              <w:spacing w:after="0"/>
            </w:pPr>
            <w:r/>
            <w:r>
              <w:rPr>
                <w:b w:val="0"/>
                <w:sz w:val="16"/>
              </w:rPr>
              <w:t>No</w:t>
            </w:r>
          </w:p>
        </w:tc>
        <w:tc>
          <w:tcPr>
            <w:tcW w:type="dxa" w:w="2088"/>
          </w:tcPr>
          <w:p>
            <w:pPr>
              <w:spacing w:after="0"/>
            </w:pPr>
            <w:r/>
            <w:r>
              <w:rPr>
                <w:b w:val="0"/>
                <w:sz w:val="16"/>
              </w:rPr>
              <w:t>No</w:t>
            </w:r>
          </w:p>
        </w:tc>
      </w:tr>
      <w:tr>
        <w:tc>
          <w:tcPr>
            <w:tcW w:type="dxa" w:w="1656"/>
          </w:tcPr>
          <w:p>
            <w:pPr>
              <w:spacing w:after="0"/>
            </w:pPr>
            <w:r/>
            <w:r>
              <w:rPr>
                <w:b w:val="0"/>
                <w:sz w:val="16"/>
              </w:rPr>
              <w:t>State conformity risk</w:t>
            </w:r>
          </w:p>
        </w:tc>
        <w:tc>
          <w:tcPr>
            <w:tcW w:type="dxa" w:w="1872"/>
          </w:tcPr>
          <w:p>
            <w:pPr>
              <w:spacing w:after="0"/>
            </w:pPr>
            <w:r/>
            <w:r>
              <w:rPr>
                <w:b w:val="0"/>
                <w:sz w:val="16"/>
              </w:rPr>
              <w:t>N/A</w:t>
            </w:r>
          </w:p>
        </w:tc>
        <w:tc>
          <w:tcPr>
            <w:tcW w:type="dxa" w:w="1944"/>
          </w:tcPr>
          <w:p>
            <w:pPr>
              <w:spacing w:after="0"/>
            </w:pPr>
            <w:r/>
            <w:r>
              <w:rPr>
                <w:b w:val="0"/>
                <w:sz w:val="16"/>
              </w:rPr>
              <w:t>Yes — PA (non-conforming per Ridgeline); GA, AL, MO uncertain</w:t>
            </w:r>
          </w:p>
        </w:tc>
        <w:tc>
          <w:tcPr>
            <w:tcW w:type="dxa" w:w="1800"/>
          </w:tcPr>
          <w:p>
            <w:pPr>
              <w:spacing w:after="0"/>
            </w:pPr>
            <w:r/>
            <w:r>
              <w:rPr>
                <w:b w:val="0"/>
                <w:sz w:val="16"/>
              </w:rPr>
              <w:t>None</w:t>
            </w:r>
          </w:p>
        </w:tc>
        <w:tc>
          <w:tcPr>
            <w:tcW w:type="dxa" w:w="2088"/>
          </w:tcPr>
          <w:p>
            <w:pPr>
              <w:spacing w:after="0"/>
            </w:pPr>
            <w:r/>
            <w:r>
              <w:rPr>
                <w:b w:val="0"/>
                <w:sz w:val="16"/>
              </w:rPr>
              <w:t>None (actual purchase for tax)</w:t>
            </w:r>
          </w:p>
        </w:tc>
      </w:tr>
      <w:tr>
        <w:tc>
          <w:tcPr>
            <w:tcW w:type="dxa" w:w="1656"/>
          </w:tcPr>
          <w:p>
            <w:pPr>
              <w:spacing w:after="0"/>
            </w:pPr>
            <w:r/>
            <w:r>
              <w:rPr>
                <w:b w:val="0"/>
                <w:sz w:val="16"/>
              </w:rPr>
              <w:t>Contract/permit assignments in 14 states</w:t>
            </w:r>
          </w:p>
        </w:tc>
        <w:tc>
          <w:tcPr>
            <w:tcW w:type="dxa" w:w="1872"/>
          </w:tcPr>
          <w:p>
            <w:pPr>
              <w:spacing w:after="0"/>
            </w:pPr>
            <w:r/>
            <w:r>
              <w:rPr>
                <w:b w:val="0"/>
                <w:sz w:val="16"/>
              </w:rPr>
              <w:t>None</w:t>
            </w:r>
          </w:p>
        </w:tc>
        <w:tc>
          <w:tcPr>
            <w:tcW w:type="dxa" w:w="1944"/>
          </w:tcPr>
          <w:p>
            <w:pPr>
              <w:spacing w:after="0"/>
            </w:pPr>
            <w:r/>
            <w:r>
              <w:rPr>
                <w:b w:val="0"/>
                <w:sz w:val="16"/>
              </w:rPr>
              <w:t>None</w:t>
            </w:r>
          </w:p>
        </w:tc>
        <w:tc>
          <w:tcPr>
            <w:tcW w:type="dxa" w:w="1800"/>
          </w:tcPr>
          <w:p>
            <w:pPr>
              <w:spacing w:after="0"/>
            </w:pPr>
            <w:r/>
            <w:r>
              <w:rPr>
                <w:b w:val="0"/>
                <w:sz w:val="16"/>
              </w:rPr>
              <w:t>Extensive (8 leased DCs, customer/VMI contracts, permits, titles)</w:t>
            </w:r>
          </w:p>
        </w:tc>
        <w:tc>
          <w:tcPr>
            <w:tcW w:type="dxa" w:w="2088"/>
          </w:tcPr>
          <w:p>
            <w:pPr>
              <w:spacing w:after="0"/>
            </w:pPr>
            <w:r/>
            <w:r>
              <w:rPr>
                <w:b w:val="0"/>
                <w:sz w:val="16"/>
              </w:rPr>
              <w:t>Generally none (same legal entity); confirm change-of-form clauses</w:t>
            </w:r>
          </w:p>
        </w:tc>
      </w:tr>
      <w:tr>
        <w:tc>
          <w:tcPr>
            <w:tcW w:type="dxa" w:w="1656"/>
          </w:tcPr>
          <w:p>
            <w:pPr>
              <w:spacing w:after="0"/>
            </w:pPr>
            <w:r/>
            <w:r>
              <w:rPr>
                <w:b w:val="0"/>
                <w:sz w:val="16"/>
              </w:rPr>
              <w:t>Buyer exposure to historic HIS income taxes / invalid S election</w:t>
            </w:r>
          </w:p>
        </w:tc>
        <w:tc>
          <w:tcPr>
            <w:tcW w:type="dxa" w:w="1872"/>
          </w:tcPr>
          <w:p>
            <w:pPr>
              <w:spacing w:after="0"/>
            </w:pPr>
            <w:r/>
            <w:r>
              <w:rPr>
                <w:b w:val="0"/>
                <w:sz w:val="16"/>
              </w:rPr>
              <w:t>Full (inherits entity)</w:t>
            </w:r>
          </w:p>
        </w:tc>
        <w:tc>
          <w:tcPr>
            <w:tcW w:type="dxa" w:w="1944"/>
          </w:tcPr>
          <w:p>
            <w:pPr>
              <w:spacing w:after="0"/>
            </w:pPr>
            <w:r/>
            <w:r>
              <w:rPr>
                <w:b w:val="0"/>
                <w:sz w:val="16"/>
              </w:rPr>
              <w:t>Inherits entity; invalid S election defeats the election</w:t>
            </w:r>
          </w:p>
        </w:tc>
        <w:tc>
          <w:tcPr>
            <w:tcW w:type="dxa" w:w="1800"/>
          </w:tcPr>
          <w:p>
            <w:pPr>
              <w:spacing w:after="0"/>
            </w:pPr>
            <w:r/>
            <w:r>
              <w:rPr>
                <w:b w:val="0"/>
                <w:sz w:val="16"/>
              </w:rPr>
              <w:t>Minimal</w:t>
            </w:r>
          </w:p>
        </w:tc>
        <w:tc>
          <w:tcPr>
            <w:tcW w:type="dxa" w:w="2088"/>
          </w:tcPr>
          <w:p>
            <w:pPr>
              <w:spacing w:after="0"/>
            </w:pPr>
            <w:r/>
            <w:r>
              <w:rPr>
                <w:b w:val="0"/>
                <w:sz w:val="16"/>
              </w:rPr>
              <w:t>Limited (the tax entity stays with NewCo); state-law successor risk addressed by indemnity</w:t>
            </w:r>
          </w:p>
        </w:tc>
      </w:tr>
      <w:tr>
        <w:tc>
          <w:tcPr>
            <w:tcW w:type="dxa" w:w="1656"/>
          </w:tcPr>
          <w:p>
            <w:pPr>
              <w:spacing w:after="0"/>
            </w:pPr>
            <w:r/>
            <w:r>
              <w:rPr>
                <w:b w:val="0"/>
                <w:sz w:val="16"/>
              </w:rPr>
              <w:t>David rollover deferral</w:t>
            </w:r>
          </w:p>
        </w:tc>
        <w:tc>
          <w:tcPr>
            <w:tcW w:type="dxa" w:w="1872"/>
          </w:tcPr>
          <w:p>
            <w:pPr>
              <w:spacing w:after="0"/>
            </w:pPr>
            <w:r/>
            <w:r>
              <w:rPr>
                <w:b w:val="0"/>
                <w:sz w:val="16"/>
              </w:rPr>
              <w:t>Available (§721/§351)</w:t>
            </w:r>
          </w:p>
        </w:tc>
        <w:tc>
          <w:tcPr>
            <w:tcW w:type="dxa" w:w="1944"/>
          </w:tcPr>
          <w:p>
            <w:pPr>
              <w:spacing w:after="0"/>
            </w:pPr>
            <w:r/>
            <w:r>
              <w:rPr>
                <w:b w:val="0"/>
                <w:sz w:val="16"/>
              </w:rPr>
              <w:t>Not available for David alone</w:t>
            </w:r>
          </w:p>
        </w:tc>
        <w:tc>
          <w:tcPr>
            <w:tcW w:type="dxa" w:w="1800"/>
          </w:tcPr>
          <w:p>
            <w:pPr>
              <w:spacing w:after="0"/>
            </w:pPr>
            <w:r/>
            <w:r>
              <w:rPr>
                <w:b w:val="0"/>
                <w:sz w:val="16"/>
              </w:rPr>
              <w:t>Not available for David alone</w:t>
            </w:r>
          </w:p>
        </w:tc>
        <w:tc>
          <w:tcPr>
            <w:tcW w:type="dxa" w:w="2088"/>
          </w:tcPr>
          <w:p>
            <w:pPr>
              <w:spacing w:after="0"/>
            </w:pPr>
            <w:r/>
            <w:r>
              <w:rPr>
                <w:b w:val="0"/>
                <w:sz w:val="16"/>
              </w:rPr>
              <w:t>Not available for David alone (cash rollover)</w:t>
            </w:r>
          </w:p>
        </w:tc>
      </w:tr>
      <w:tr>
        <w:tc>
          <w:tcPr>
            <w:tcW w:type="dxa" w:w="1656"/>
          </w:tcPr>
          <w:p>
            <w:pPr>
              <w:spacing w:after="0"/>
            </w:pPr>
            <w:r/>
            <w:r>
              <w:rPr>
                <w:b w:val="0"/>
                <w:sz w:val="16"/>
              </w:rPr>
              <w:t>Execution risk / timing</w:t>
            </w:r>
          </w:p>
        </w:tc>
        <w:tc>
          <w:tcPr>
            <w:tcW w:type="dxa" w:w="1872"/>
          </w:tcPr>
          <w:p>
            <w:pPr>
              <w:spacing w:after="0"/>
            </w:pPr>
            <w:r/>
            <w:r>
              <w:rPr>
                <w:b w:val="0"/>
                <w:sz w:val="16"/>
              </w:rPr>
              <w:t>Lowest</w:t>
            </w:r>
          </w:p>
        </w:tc>
        <w:tc>
          <w:tcPr>
            <w:tcW w:type="dxa" w:w="1944"/>
          </w:tcPr>
          <w:p>
            <w:pPr>
              <w:spacing w:after="0"/>
            </w:pPr>
            <w:r/>
            <w:r>
              <w:rPr>
                <w:b w:val="0"/>
                <w:sz w:val="16"/>
              </w:rPr>
              <w:t>Low (Forms 8023/8883)</w:t>
            </w:r>
          </w:p>
        </w:tc>
        <w:tc>
          <w:tcPr>
            <w:tcW w:type="dxa" w:w="1800"/>
          </w:tcPr>
          <w:p>
            <w:pPr>
              <w:spacing w:after="0"/>
            </w:pPr>
            <w:r/>
            <w:r>
              <w:rPr>
                <w:b w:val="0"/>
                <w:sz w:val="16"/>
              </w:rPr>
              <w:t>Highest</w:t>
            </w:r>
          </w:p>
        </w:tc>
        <w:tc>
          <w:tcPr>
            <w:tcW w:type="dxa" w:w="2088"/>
          </w:tcPr>
          <w:p>
            <w:pPr>
              <w:spacing w:after="0"/>
            </w:pPr>
            <w:r/>
            <w:r>
              <w:rPr>
                <w:b w:val="0"/>
                <w:sz w:val="16"/>
              </w:rPr>
              <w:t>Moderate (formation, QSub election, conversion before closing)</w:t>
            </w:r>
          </w:p>
        </w:tc>
      </w:tr>
    </w:tbl>
    <w:p>
      <w:pPr>
        <w:spacing w:after="40"/>
      </w:pPr>
    </w:p>
    <w:p>
      <w:pPr>
        <w:pStyle w:val="Heading1"/>
      </w:pPr>
      <w:r>
        <w:t>II. Key Facts and Assumptions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1584"/>
            <w:shd w:val="clear" w:color="auto" w:fill="D9E1F2"/>
          </w:tcPr>
          <w:p>
            <w:r/>
            <w:r>
              <w:rPr>
                <w:b/>
                <w:sz w:val="16"/>
              </w:rPr>
              <w:t>Item</w:t>
            </w:r>
          </w:p>
        </w:tc>
        <w:tc>
          <w:tcPr>
            <w:tcW w:type="dxa" w:w="5616"/>
            <w:shd w:val="clear" w:color="auto" w:fill="D9E1F2"/>
          </w:tcPr>
          <w:p>
            <w:r/>
            <w:r>
              <w:rPr>
                <w:b/>
                <w:sz w:val="16"/>
              </w:rPr>
              <w:t>Fact / assumption</w:t>
            </w:r>
          </w:p>
        </w:tc>
        <w:tc>
          <w:tcPr>
            <w:tcW w:type="dxa" w:w="2160"/>
            <w:shd w:val="clear" w:color="auto" w:fill="D9E1F2"/>
          </w:tcPr>
          <w:p>
            <w:r/>
            <w:r>
              <w:rPr>
                <w:b/>
                <w:sz w:val="16"/>
              </w:rPr>
              <w:t>Source</w:t>
            </w:r>
          </w:p>
        </w:tc>
      </w:tr>
      <w:tr>
        <w:tc>
          <w:tcPr>
            <w:tcW w:type="dxa" w:w="1584"/>
          </w:tcPr>
          <w:p>
            <w:pPr>
              <w:spacing w:after="0"/>
            </w:pPr>
            <w:r/>
            <w:r>
              <w:rPr>
                <w:b w:val="0"/>
                <w:sz w:val="16"/>
              </w:rPr>
              <w:t>Parties</w:t>
            </w:r>
          </w:p>
        </w:tc>
        <w:tc>
          <w:tcPr>
            <w:tcW w:type="dxa" w:w="5616"/>
          </w:tcPr>
          <w:p>
            <w:pPr>
              <w:spacing w:after="0"/>
            </w:pPr>
            <w:r/>
            <w:r>
              <w:rPr>
                <w:b w:val="0"/>
                <w:sz w:val="16"/>
              </w:rPr>
              <w:t>Buyer: Redstone Capital Partners Fund IV, LP (DE LP; GP Redstone Capital GP IV, LLC). Vehicle TBD: HIS Holdings, LLC or HIS Acquisition Corp.</w:t>
            </w:r>
          </w:p>
        </w:tc>
        <w:tc>
          <w:tcPr>
            <w:tcW w:type="dxa" w:w="2160"/>
          </w:tcPr>
          <w:p>
            <w:pPr>
              <w:spacing w:after="0"/>
            </w:pPr>
            <w:r/>
            <w:r>
              <w:rPr>
                <w:b w:val="0"/>
                <w:sz w:val="16"/>
              </w:rPr>
              <w:t>LOI recitals; term sheet §1</w:t>
            </w:r>
          </w:p>
        </w:tc>
      </w:tr>
      <w:tr>
        <w:tc>
          <w:tcPr>
            <w:tcW w:type="dxa" w:w="1584"/>
          </w:tcPr>
          <w:p>
            <w:pPr>
              <w:spacing w:after="0"/>
            </w:pPr>
            <w:r/>
            <w:r>
              <w:rPr>
                <w:b w:val="0"/>
                <w:sz w:val="16"/>
              </w:rPr>
              <w:t>Target</w:t>
            </w:r>
          </w:p>
        </w:tc>
        <w:tc>
          <w:tcPr>
            <w:tcW w:type="dxa" w:w="5616"/>
          </w:tcPr>
          <w:p>
            <w:pPr>
              <w:spacing w:after="0"/>
            </w:pPr>
            <w:r/>
            <w:r>
              <w:rPr>
                <w:b w:val="0"/>
                <w:sz w:val="16"/>
              </w:rPr>
              <w:t>Michigan corporation incorporated 1997; C corporation through 12/31/2000; S election effective 1/1/2001; single class of stock; four U.S.-citizen Michigan-resident individual shareholders; no C-corporation E&amp;P</w:t>
            </w:r>
          </w:p>
        </w:tc>
        <w:tc>
          <w:tcPr>
            <w:tcW w:type="dxa" w:w="2160"/>
          </w:tcPr>
          <w:p>
            <w:pPr>
              <w:spacing w:after="0"/>
            </w:pPr>
            <w:r/>
            <w:r>
              <w:rPr>
                <w:b w:val="0"/>
                <w:sz w:val="16"/>
              </w:rPr>
              <w:t>LOI; DD §II; QoE §II</w:t>
            </w:r>
          </w:p>
        </w:tc>
      </w:tr>
      <w:tr>
        <w:tc>
          <w:tcPr>
            <w:tcW w:type="dxa" w:w="1584"/>
          </w:tcPr>
          <w:p>
            <w:pPr>
              <w:spacing w:after="0"/>
            </w:pPr>
            <w:r/>
            <w:r>
              <w:rPr>
                <w:b w:val="0"/>
                <w:sz w:val="16"/>
              </w:rPr>
              <w:t>Price</w:t>
            </w:r>
          </w:p>
        </w:tc>
        <w:tc>
          <w:tcPr>
            <w:tcW w:type="dxa" w:w="5616"/>
          </w:tcPr>
          <w:p>
            <w:pPr>
              <w:spacing w:after="0"/>
            </w:pPr>
            <w:r/>
            <w:r>
              <w:rPr>
                <w:b w:val="0"/>
                <w:sz w:val="16"/>
              </w:rPr>
              <w:t>EV $385.0; funded debt $47.3 (repaid at closing); cash $6.8; equity value $344.5 ($332.5 cash + $12.0 David rollover)</w:t>
            </w:r>
          </w:p>
        </w:tc>
        <w:tc>
          <w:tcPr>
            <w:tcW w:type="dxa" w:w="2160"/>
          </w:tcPr>
          <w:p>
            <w:pPr>
              <w:spacing w:after="0"/>
            </w:pPr>
            <w:r/>
            <w:r>
              <w:rPr>
                <w:b w:val="0"/>
                <w:sz w:val="16"/>
              </w:rPr>
              <w:t>LOI §2</w:t>
            </w:r>
          </w:p>
        </w:tc>
      </w:tr>
      <w:tr>
        <w:tc>
          <w:tcPr>
            <w:tcW w:type="dxa" w:w="1584"/>
          </w:tcPr>
          <w:p>
            <w:pPr>
              <w:spacing w:after="0"/>
            </w:pPr>
            <w:r/>
            <w:r>
              <w:rPr>
                <w:b w:val="0"/>
                <w:sz w:val="16"/>
              </w:rPr>
              <w:t>Shareholder basis</w:t>
            </w:r>
          </w:p>
        </w:tc>
        <w:tc>
          <w:tcPr>
            <w:tcW w:type="dxa" w:w="5616"/>
          </w:tcPr>
          <w:p>
            <w:pPr>
              <w:spacing w:after="0"/>
            </w:pPr>
            <w:r/>
            <w:r>
              <w:rPr>
                <w:b w:val="0"/>
                <w:sz w:val="16"/>
              </w:rPr>
              <w:t>Gerald $8.4; Patricia $3.8; David $2.1; Sarah $2.1 (total $16.4). David and Sarah received gifted shares (carryover basis; tacked holding period)</w:t>
            </w:r>
          </w:p>
        </w:tc>
        <w:tc>
          <w:tcPr>
            <w:tcW w:type="dxa" w:w="2160"/>
          </w:tcPr>
          <w:p>
            <w:pPr>
              <w:spacing w:after="0"/>
            </w:pPr>
            <w:r/>
            <w:r>
              <w:rPr>
                <w:b w:val="0"/>
                <w:sz w:val="16"/>
              </w:rPr>
              <w:t>DD §III; Forsberg email 10/29</w:t>
            </w:r>
          </w:p>
        </w:tc>
      </w:tr>
      <w:tr>
        <w:tc>
          <w:tcPr>
            <w:tcW w:type="dxa" w:w="1584"/>
          </w:tcPr>
          <w:p>
            <w:pPr>
              <w:spacing w:after="0"/>
            </w:pPr>
            <w:r/>
            <w:r>
              <w:rPr>
                <w:b w:val="0"/>
                <w:sz w:val="16"/>
              </w:rPr>
              <w:t>Inside basis / FMV</w:t>
            </w:r>
          </w:p>
        </w:tc>
        <w:tc>
          <w:tcPr>
            <w:tcW w:type="dxa" w:w="5616"/>
          </w:tcPr>
          <w:p>
            <w:pPr>
              <w:spacing w:after="0"/>
            </w:pPr>
            <w:r/>
            <w:r>
              <w:rPr>
                <w:b w:val="0"/>
                <w:sz w:val="16"/>
              </w:rPr>
              <w:t>Tax basis $134.2 (ex-cash) vs FMV $168.6 of tangible assets: inventory $64.2 LIFO / $76.0 FIFO; A/R $48.7; equipment $9.8 / $18.9; land $1.2 / $4.5; building $3.0 / $12.0; leasehold improvements $1.9 / $3.1; other $5.4 / $5.4</w:t>
            </w:r>
          </w:p>
        </w:tc>
        <w:tc>
          <w:tcPr>
            <w:tcW w:type="dxa" w:w="2160"/>
          </w:tcPr>
          <w:p>
            <w:pPr>
              <w:spacing w:after="0"/>
            </w:pPr>
            <w:r/>
            <w:r>
              <w:rPr>
                <w:b w:val="0"/>
                <w:sz w:val="16"/>
              </w:rPr>
              <w:t>DD App. C; PPA Asset Detail</w:t>
            </w:r>
          </w:p>
        </w:tc>
      </w:tr>
      <w:tr>
        <w:tc>
          <w:tcPr>
            <w:tcW w:type="dxa" w:w="1584"/>
          </w:tcPr>
          <w:p>
            <w:pPr>
              <w:spacing w:after="0"/>
            </w:pPr>
            <w:r/>
            <w:r>
              <w:rPr>
                <w:b w:val="0"/>
                <w:sz w:val="16"/>
              </w:rPr>
              <w:t>Operating liabilities</w:t>
            </w:r>
          </w:p>
        </w:tc>
        <w:tc>
          <w:tcPr>
            <w:tcW w:type="dxa" w:w="5616"/>
          </w:tcPr>
          <w:p>
            <w:pPr>
              <w:spacing w:after="0"/>
            </w:pPr>
            <w:r/>
            <w:r>
              <w:rPr>
                <w:b w:val="0"/>
                <w:sz w:val="16"/>
              </w:rPr>
              <w:t>QoE NWC: A/P $49.8 + accrued $14.2 = $64.0 (CIM shows A/P &amp; accrued $38.9 + other $4.8 = $43.7 — to be reconciled)</w:t>
            </w:r>
          </w:p>
        </w:tc>
        <w:tc>
          <w:tcPr>
            <w:tcW w:type="dxa" w:w="2160"/>
          </w:tcPr>
          <w:p>
            <w:pPr>
              <w:spacing w:after="0"/>
            </w:pPr>
            <w:r/>
            <w:r>
              <w:rPr>
                <w:b w:val="0"/>
                <w:sz w:val="16"/>
              </w:rPr>
              <w:t>QoE §V.A; CIM §VII.D</w:t>
            </w:r>
          </w:p>
        </w:tc>
      </w:tr>
      <w:tr>
        <w:tc>
          <w:tcPr>
            <w:tcW w:type="dxa" w:w="1584"/>
          </w:tcPr>
          <w:p>
            <w:pPr>
              <w:spacing w:after="0"/>
            </w:pPr>
            <w:r/>
            <w:r>
              <w:rPr>
                <w:b w:val="0"/>
                <w:sz w:val="16"/>
              </w:rPr>
              <w:t>LIFO reserve</w:t>
            </w:r>
          </w:p>
        </w:tc>
        <w:tc>
          <w:tcPr>
            <w:tcW w:type="dxa" w:w="5616"/>
          </w:tcPr>
          <w:p>
            <w:pPr>
              <w:spacing w:after="0"/>
            </w:pPr>
            <w:r/>
            <w:r>
              <w:rPr>
                <w:b w:val="0"/>
                <w:sz w:val="16"/>
              </w:rPr>
              <w:t>$11.6 at 9/30/24; $11.8 estimated at 12/31/24; will be re-measured at closing</w:t>
            </w:r>
          </w:p>
        </w:tc>
        <w:tc>
          <w:tcPr>
            <w:tcW w:type="dxa" w:w="2160"/>
          </w:tcPr>
          <w:p>
            <w:pPr>
              <w:spacing w:after="0"/>
            </w:pPr>
            <w:r/>
            <w:r>
              <w:rPr>
                <w:b w:val="0"/>
                <w:sz w:val="16"/>
              </w:rPr>
              <w:t>QoE §VI; Forsberg email</w:t>
            </w:r>
          </w:p>
        </w:tc>
      </w:tr>
      <w:tr>
        <w:tc>
          <w:tcPr>
            <w:tcW w:type="dxa" w:w="1584"/>
          </w:tcPr>
          <w:p>
            <w:pPr>
              <w:spacing w:after="0"/>
            </w:pPr>
            <w:r/>
            <w:r>
              <w:rPr>
                <w:b w:val="0"/>
                <w:sz w:val="16"/>
              </w:rPr>
              <w:t>Shareholder roles</w:t>
            </w:r>
          </w:p>
        </w:tc>
        <w:tc>
          <w:tcPr>
            <w:tcW w:type="dxa" w:w="5616"/>
          </w:tcPr>
          <w:p>
            <w:pPr>
              <w:spacing w:after="0"/>
            </w:pPr>
            <w:r/>
            <w:r>
              <w:rPr>
                <w:b w:val="0"/>
                <w:sz w:val="16"/>
              </w:rPr>
              <w:t>Gerald (CEO) and Patricia (CFO) active for 27 years, retiring; David (VP Ops) continuing under 3-year employment agreement; Sarah passive</w:t>
            </w:r>
          </w:p>
        </w:tc>
        <w:tc>
          <w:tcPr>
            <w:tcW w:type="dxa" w:w="2160"/>
          </w:tcPr>
          <w:p>
            <w:pPr>
              <w:spacing w:after="0"/>
            </w:pPr>
            <w:r/>
            <w:r>
              <w:rPr>
                <w:b w:val="0"/>
                <w:sz w:val="16"/>
              </w:rPr>
              <w:t>CIM §VIII</w:t>
            </w:r>
          </w:p>
        </w:tc>
      </w:tr>
      <w:tr>
        <w:tc>
          <w:tcPr>
            <w:tcW w:type="dxa" w:w="1584"/>
          </w:tcPr>
          <w:p>
            <w:pPr>
              <w:spacing w:after="0"/>
            </w:pPr>
            <w:r/>
            <w:r>
              <w:rPr>
                <w:b w:val="0"/>
                <w:sz w:val="16"/>
              </w:rPr>
              <w:t>Financing</w:t>
            </w:r>
          </w:p>
        </w:tc>
        <w:tc>
          <w:tcPr>
            <w:tcW w:type="dxa" w:w="5616"/>
          </w:tcPr>
          <w:p>
            <w:pPr>
              <w:spacing w:after="0"/>
            </w:pPr>
            <w:r/>
            <w:r>
              <w:rPr>
                <w:b w:val="0"/>
                <w:sz w:val="16"/>
              </w:rPr>
              <w:t>$200.0 7-year term loan (SOFR + 425; ~9.25% all-in; 2% OID; 0.5% arrangement; 0.25% placement); Sponsor equity $185.0</w:t>
            </w:r>
          </w:p>
        </w:tc>
        <w:tc>
          <w:tcPr>
            <w:tcW w:type="dxa" w:w="2160"/>
          </w:tcPr>
          <w:p>
            <w:pPr>
              <w:spacing w:after="0"/>
            </w:pPr>
            <w:r/>
            <w:r>
              <w:rPr>
                <w:b w:val="0"/>
                <w:sz w:val="16"/>
              </w:rPr>
              <w:t>Term sheet §§3–6</w:t>
            </w:r>
          </w:p>
        </w:tc>
      </w:tr>
      <w:tr>
        <w:tc>
          <w:tcPr>
            <w:tcW w:type="dxa" w:w="1584"/>
          </w:tcPr>
          <w:p>
            <w:pPr>
              <w:spacing w:after="0"/>
            </w:pPr>
            <w:r/>
            <w:r>
              <w:rPr>
                <w:b w:val="0"/>
                <w:sz w:val="16"/>
              </w:rPr>
              <w:t>Timing</w:t>
            </w:r>
          </w:p>
        </w:tc>
        <w:tc>
          <w:tcPr>
            <w:tcW w:type="dxa" w:w="5616"/>
          </w:tcPr>
          <w:p>
            <w:pPr>
              <w:spacing w:after="0"/>
            </w:pPr>
            <w:r/>
            <w:r>
              <w:rPr>
                <w:b w:val="0"/>
                <w:sz w:val="16"/>
              </w:rPr>
              <w:t>Signing ~Dec. 6, 2024; closing ~Jan. 31, 2025 (the sale falls in the shareholders’ 2025 tax year)</w:t>
            </w:r>
          </w:p>
        </w:tc>
        <w:tc>
          <w:tcPr>
            <w:tcW w:type="dxa" w:w="2160"/>
          </w:tcPr>
          <w:p>
            <w:pPr>
              <w:spacing w:after="0"/>
            </w:pPr>
            <w:r/>
            <w:r>
              <w:rPr>
                <w:b w:val="0"/>
                <w:sz w:val="16"/>
              </w:rPr>
              <w:t>LOI §9</w:t>
            </w:r>
          </w:p>
        </w:tc>
      </w:tr>
      <w:tr>
        <w:tc>
          <w:tcPr>
            <w:tcW w:type="dxa" w:w="1584"/>
          </w:tcPr>
          <w:p>
            <w:pPr>
              <w:spacing w:after="0"/>
            </w:pPr>
            <w:r/>
            <w:r>
              <w:rPr>
                <w:b w:val="0"/>
                <w:sz w:val="16"/>
              </w:rPr>
              <w:t>Rates used</w:t>
            </w:r>
          </w:p>
        </w:tc>
        <w:tc>
          <w:tcPr>
            <w:tcW w:type="dxa" w:w="5616"/>
          </w:tcPr>
          <w:p>
            <w:pPr>
              <w:spacing w:after="0"/>
            </w:pPr>
            <w:r/>
            <w:r>
              <w:rPr>
                <w:b w:val="0"/>
                <w:sz w:val="16"/>
              </w:rPr>
              <w:t>Federal: 37% ordinary, 20% LTCG/§1231, 25% unrecaptured §1250, 3.8% NIIT where applicable; buyer 21% + 5.63% blended state (net 25.4%); Michigan individual 4.25%; other states per Ridgeline matrix</w:t>
            </w:r>
          </w:p>
        </w:tc>
        <w:tc>
          <w:tcPr>
            <w:tcW w:type="dxa" w:w="2160"/>
          </w:tcPr>
          <w:p>
            <w:pPr>
              <w:spacing w:after="0"/>
            </w:pPr>
            <w:r/>
            <w:r>
              <w:rPr>
                <w:b w:val="0"/>
                <w:sz w:val="16"/>
              </w:rPr>
              <w:t>Law as of the date of this memo</w:t>
            </w:r>
          </w:p>
        </w:tc>
      </w:tr>
    </w:tbl>
    <w:p>
      <w:pPr>
        <w:spacing w:after="40"/>
      </w:pPr>
    </w:p>
    <w:p>
      <w:pPr>
        <w:pStyle w:val="Heading1"/>
      </w:pPr>
      <w:r>
        <w:t>III. Threshold Corrections to the Working Assumptions</w:t>
      </w:r>
    </w:p>
    <w:p>
      <w:pPr>
        <w:jc w:val="both"/>
      </w:pPr>
      <w:r>
        <w:t>Several premises that run through the deal file (and that both sides have relied on in the email chain) are wrong or internally inconsistent. Because they drive the seller’s gross-up demand and the buyer’s valuation of the step-up, they need to be corrected before we share the after-tax comparison with Prescott &amp; Lowell.</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360"/>
            <w:shd w:val="clear" w:color="auto" w:fill="D9E1F2"/>
          </w:tcPr>
          <w:p>
            <w:r/>
            <w:r>
              <w:rPr>
                <w:b/>
                <w:sz w:val="15"/>
              </w:rPr>
              <w:t>#</w:t>
            </w:r>
          </w:p>
        </w:tc>
        <w:tc>
          <w:tcPr>
            <w:tcW w:type="dxa" w:w="2808"/>
            <w:shd w:val="clear" w:color="auto" w:fill="D9E1F2"/>
          </w:tcPr>
          <w:p>
            <w:r/>
            <w:r>
              <w:rPr>
                <w:b/>
                <w:sz w:val="15"/>
              </w:rPr>
              <w:t>Working assumption (source)</w:t>
            </w:r>
          </w:p>
        </w:tc>
        <w:tc>
          <w:tcPr>
            <w:tcW w:type="dxa" w:w="3672"/>
            <w:shd w:val="clear" w:color="auto" w:fill="D9E1F2"/>
          </w:tcPr>
          <w:p>
            <w:r/>
            <w:r>
              <w:rPr>
                <w:b/>
                <w:sz w:val="15"/>
              </w:rPr>
              <w:t>Correct position</w:t>
            </w:r>
          </w:p>
        </w:tc>
        <w:tc>
          <w:tcPr>
            <w:tcW w:type="dxa" w:w="2520"/>
            <w:shd w:val="clear" w:color="auto" w:fill="D9E1F2"/>
          </w:tcPr>
          <w:p>
            <w:r/>
            <w:r>
              <w:rPr>
                <w:b/>
                <w:sz w:val="15"/>
              </w:rPr>
              <w:t>Consequence</w:t>
            </w:r>
          </w:p>
        </w:tc>
      </w:tr>
      <w:tr>
        <w:tc>
          <w:tcPr>
            <w:tcW w:type="dxa" w:w="360"/>
          </w:tcPr>
          <w:p>
            <w:pPr>
              <w:spacing w:after="0"/>
            </w:pPr>
            <w:r/>
            <w:r>
              <w:rPr>
                <w:b w:val="0"/>
                <w:sz w:val="15"/>
              </w:rPr>
              <w:t>1</w:t>
            </w:r>
          </w:p>
        </w:tc>
        <w:tc>
          <w:tcPr>
            <w:tcW w:type="dxa" w:w="2808"/>
          </w:tcPr>
          <w:p>
            <w:pPr>
              <w:spacing w:after="0"/>
            </w:pPr>
            <w:r/>
            <w:r>
              <w:rPr>
                <w:b w:val="0"/>
                <w:sz w:val="15"/>
              </w:rPr>
              <w:t>Section 1363(d) imposes a corporate-level LIFO recapture tax of $2.478 federal (+ $0.198 MI per DD; $0.708 MI per QoE) when the S election terminates or a 338(h)(10) election is made (DD §IV.B; QoE §VI.C; PPA notes; matrix col. M; LOI §4.2(i); emails of 10/24, 10/29, 11/5)</w:t>
            </w:r>
          </w:p>
        </w:tc>
        <w:tc>
          <w:tcPr>
            <w:tcW w:type="dxa" w:w="3672"/>
          </w:tcPr>
          <w:p>
            <w:pPr>
              <w:spacing w:after="0"/>
            </w:pPr>
            <w:r/>
            <w:r>
              <w:rPr>
                <w:b w:val="0"/>
                <w:sz w:val="15"/>
              </w:rPr>
              <w:t>§1363(d) applies only to a C corporation that elects S status (inclusion in its last C year, with tax payable in four installments). It does not apply to termination of an S election or to an S corporation’s actual or deemed asset sale. The LIFO reserve is ordinary income passing through under §1366. No §1374 tax applies (recognition period expired). The MI CIT does not apply to S corporations.</w:t>
            </w:r>
          </w:p>
        </w:tc>
        <w:tc>
          <w:tcPr>
            <w:tcW w:type="dxa" w:w="2520"/>
          </w:tcPr>
          <w:p>
            <w:pPr>
              <w:spacing w:after="0"/>
            </w:pPr>
            <w:r/>
            <w:r>
              <w:rPr>
                <w:b w:val="0"/>
                <w:sz w:val="15"/>
              </w:rPr>
              <w:t>Removes a phantom $2.9–3.2 cost. The real LIFO cost is the shareholder-level character differential (≈ $2.0 federal). The LOI language on “corporate-level taxes arising from LIFO recapture” should not carry into the SPA.</w:t>
            </w:r>
          </w:p>
        </w:tc>
      </w:tr>
      <w:tr>
        <w:tc>
          <w:tcPr>
            <w:tcW w:type="dxa" w:w="360"/>
          </w:tcPr>
          <w:p>
            <w:pPr>
              <w:spacing w:after="0"/>
            </w:pPr>
            <w:r/>
            <w:r>
              <w:rPr>
                <w:b w:val="0"/>
                <w:sz w:val="15"/>
              </w:rPr>
              <w:t>2</w:t>
            </w:r>
          </w:p>
        </w:tc>
        <w:tc>
          <w:tcPr>
            <w:tcW w:type="dxa" w:w="2808"/>
          </w:tcPr>
          <w:p>
            <w:pPr>
              <w:spacing w:after="0"/>
            </w:pPr>
            <w:r/>
            <w:r>
              <w:rPr>
                <w:b w:val="0"/>
                <w:sz w:val="15"/>
              </w:rPr>
              <w:t>Step-up = EV $385.0 − inside basis $134.2 = $250.8; ADSP/AGUB = $385.0 (PPA; QoE §VII; DD §IV.A)</w:t>
            </w:r>
          </w:p>
        </w:tc>
        <w:tc>
          <w:tcPr>
            <w:tcW w:type="dxa" w:w="3672"/>
          </w:tcPr>
          <w:p>
            <w:pPr>
              <w:spacing w:after="0"/>
            </w:pPr>
            <w:r/>
            <w:r>
              <w:rPr>
                <w:b w:val="0"/>
                <w:sz w:val="15"/>
              </w:rPr>
              <w:t>ADSP/AGUB include the liabilities of HIS taken on by the buyer (Treas. Reg. §§1.338-4, -5; the same principle applies to cost basis in an asset purchase). With the QoE’s $64.0 of A/P and accruals, AGUB ≈ $455.8 and the residual goodwill is about $58.6 higher than the PPA. The net figure reflects the $64.0 liability correction, partly offset by the $5.4 of other tangible assets that the PPA summary left out of its $163.2 tangible total.</w:t>
            </w:r>
          </w:p>
        </w:tc>
        <w:tc>
          <w:tcPr>
            <w:tcW w:type="dxa" w:w="2520"/>
          </w:tcPr>
          <w:p>
            <w:pPr>
              <w:spacing w:after="0"/>
            </w:pPr>
            <w:r/>
            <w:r>
              <w:rPr>
                <w:b w:val="0"/>
                <w:sz w:val="15"/>
              </w:rPr>
              <w:t>§197 basis ≈ $279.2, not $220.6 ($18.6/yr vs $14.7/yr). The seller’s inside gain is ≈ $314.8, and total gain ($328.1) equals the stock-sale gain once the §331 liquidation step is included.</w:t>
            </w:r>
          </w:p>
        </w:tc>
      </w:tr>
      <w:tr>
        <w:tc>
          <w:tcPr>
            <w:tcW w:type="dxa" w:w="360"/>
          </w:tcPr>
          <w:p>
            <w:pPr>
              <w:spacing w:after="0"/>
            </w:pPr>
            <w:r/>
            <w:r>
              <w:rPr>
                <w:b w:val="0"/>
                <w:sz w:val="15"/>
              </w:rPr>
              <w:t>3</w:t>
            </w:r>
          </w:p>
        </w:tc>
        <w:tc>
          <w:tcPr>
            <w:tcW w:type="dxa" w:w="2808"/>
          </w:tcPr>
          <w:p>
            <w:pPr>
              <w:spacing w:after="0"/>
            </w:pPr>
            <w:r/>
            <w:r>
              <w:rPr>
                <w:b w:val="0"/>
                <w:sz w:val="15"/>
              </w:rPr>
              <w:t>A 338(h)(10) election works with a pass-through acquisition vehicle such as HIS Holdings, LLC (emails 10/17 and 11/5; DD §VIII.B)</w:t>
            </w:r>
          </w:p>
        </w:tc>
        <w:tc>
          <w:tcPr>
            <w:tcW w:type="dxa" w:w="3672"/>
          </w:tcPr>
          <w:p>
            <w:pPr>
              <w:spacing w:after="0"/>
            </w:pPr>
            <w:r/>
            <w:r>
              <w:rPr>
                <w:b w:val="0"/>
                <w:sz w:val="15"/>
              </w:rPr>
              <w:t>A §338(h)(10) election requires a qualified stock purchase by a purchasing corporation (§338(d)(1), (h)(10); Treas. Reg. §1.338(h)(10)-1(c)). A partnership purchaser would need a §336(e) election (Treas. Reg. §1.336-1 et seq.) or the F-reorganization structure.</w:t>
            </w:r>
          </w:p>
        </w:tc>
        <w:tc>
          <w:tcPr>
            <w:tcW w:type="dxa" w:w="2520"/>
          </w:tcPr>
          <w:p>
            <w:pPr>
              <w:spacing w:after="0"/>
            </w:pPr>
            <w:r/>
            <w:r>
              <w:rPr>
                <w:b w:val="0"/>
                <w:sz w:val="15"/>
              </w:rPr>
              <w:t>The choice of vehicle and the choice of election have to be made together.</w:t>
            </w:r>
          </w:p>
        </w:tc>
      </w:tr>
      <w:tr>
        <w:tc>
          <w:tcPr>
            <w:tcW w:type="dxa" w:w="360"/>
          </w:tcPr>
          <w:p>
            <w:pPr>
              <w:spacing w:after="0"/>
            </w:pPr>
            <w:r/>
            <w:r>
              <w:rPr>
                <w:b w:val="0"/>
                <w:sz w:val="15"/>
              </w:rPr>
              <w:t>4</w:t>
            </w:r>
          </w:p>
        </w:tc>
        <w:tc>
          <w:tcPr>
            <w:tcW w:type="dxa" w:w="2808"/>
          </w:tcPr>
          <w:p>
            <w:pPr>
              <w:spacing w:after="0"/>
            </w:pPr>
            <w:r/>
            <w:r>
              <w:rPr>
                <w:b w:val="0"/>
                <w:sz w:val="15"/>
              </w:rPr>
              <w:t>The §1374 recognition period was “permanently set at five years under the PATH Act for elections made prior to 2012” and expired 12/31/2005 (DD; LOI §4.2; QoE)</w:t>
            </w:r>
          </w:p>
        </w:tc>
        <w:tc>
          <w:tcPr>
            <w:tcW w:type="dxa" w:w="3672"/>
          </w:tcPr>
          <w:p>
            <w:pPr>
              <w:spacing w:after="0"/>
            </w:pPr>
            <w:r/>
            <w:r>
              <w:rPr>
                <w:b w:val="0"/>
                <w:sz w:val="15"/>
              </w:rPr>
              <w:t>For a 2001 election, the recognition period in effect was 10 years (it ended 12/31/2010). PATH made the 5-year period permanent for taxable years beginning after 2014 (§1374(d)(7)). The conclusion is correct either way: no BIG tax.</w:t>
            </w:r>
          </w:p>
        </w:tc>
        <w:tc>
          <w:tcPr>
            <w:tcW w:type="dxa" w:w="2520"/>
          </w:tcPr>
          <w:p>
            <w:pPr>
              <w:spacing w:after="0"/>
            </w:pPr>
            <w:r/>
            <w:r>
              <w:rPr>
                <w:b w:val="0"/>
                <w:sz w:val="15"/>
              </w:rPr>
              <w:t>Fix the citation in the SPA recitals and representations.</w:t>
            </w:r>
          </w:p>
        </w:tc>
      </w:tr>
      <w:tr>
        <w:tc>
          <w:tcPr>
            <w:tcW w:type="dxa" w:w="360"/>
          </w:tcPr>
          <w:p>
            <w:pPr>
              <w:spacing w:after="0"/>
            </w:pPr>
            <w:r/>
            <w:r>
              <w:rPr>
                <w:b w:val="0"/>
                <w:sz w:val="15"/>
              </w:rPr>
              <w:t>5</w:t>
            </w:r>
          </w:p>
        </w:tc>
        <w:tc>
          <w:tcPr>
            <w:tcW w:type="dxa" w:w="2808"/>
          </w:tcPr>
          <w:p>
            <w:pPr>
              <w:spacing w:after="0"/>
            </w:pPr>
            <w:r/>
            <w:r>
              <w:rPr>
                <w:b w:val="0"/>
                <w:sz w:val="15"/>
              </w:rPr>
              <w:t>ATI under §163(j) is EBITDA-based for 2025 and becomes EBIT-based in 2026 (DD §VIII.D)</w:t>
            </w:r>
          </w:p>
        </w:tc>
        <w:tc>
          <w:tcPr>
            <w:tcW w:type="dxa" w:w="3672"/>
          </w:tcPr>
          <w:p>
            <w:pPr>
              <w:spacing w:after="0"/>
            </w:pPr>
            <w:r/>
            <w:r>
              <w:rPr>
                <w:b w:val="0"/>
                <w:sz w:val="15"/>
              </w:rPr>
              <w:t>ATI has been computed without adding back depreciation and amortization for taxable years beginning after 12/31/2021 (§163(j)(8)(A)(v)). H.R. 7024 (passed by the House in January 2024; stalled in the Senate) would restore EBITDA for 2024–2025, but it is not law.</w:t>
            </w:r>
          </w:p>
        </w:tc>
        <w:tc>
          <w:tcPr>
            <w:tcW w:type="dxa" w:w="2520"/>
          </w:tcPr>
          <w:p>
            <w:pPr>
              <w:spacing w:after="0"/>
            </w:pPr>
            <w:r/>
            <w:r>
              <w:rPr>
                <w:b w:val="0"/>
                <w:sz w:val="15"/>
              </w:rPr>
              <w:t>The step-up structure increases disallowed interest in the early years (Part XI).</w:t>
            </w:r>
          </w:p>
        </w:tc>
      </w:tr>
      <w:tr>
        <w:tc>
          <w:tcPr>
            <w:tcW w:type="dxa" w:w="360"/>
          </w:tcPr>
          <w:p>
            <w:pPr>
              <w:spacing w:after="0"/>
            </w:pPr>
            <w:r/>
            <w:r>
              <w:rPr>
                <w:b w:val="0"/>
                <w:sz w:val="15"/>
              </w:rPr>
              <w:t>6</w:t>
            </w:r>
          </w:p>
        </w:tc>
        <w:tc>
          <w:tcPr>
            <w:tcW w:type="dxa" w:w="2808"/>
          </w:tcPr>
          <w:p>
            <w:pPr>
              <w:spacing w:after="0"/>
            </w:pPr>
            <w:r/>
            <w:r>
              <w:rPr>
                <w:b w:val="0"/>
                <w:sz w:val="15"/>
              </w:rPr>
              <w:t>LTCG rate of 23.8% and ordinary rate of 40.8% apply to all shareholders (emails 10/24, 11/5)</w:t>
            </w:r>
          </w:p>
        </w:tc>
        <w:tc>
          <w:tcPr>
            <w:tcW w:type="dxa" w:w="3672"/>
          </w:tcPr>
          <w:p>
            <w:pPr>
              <w:spacing w:after="0"/>
            </w:pPr>
            <w:r/>
            <w:r>
              <w:rPr>
                <w:b w:val="0"/>
                <w:sz w:val="15"/>
              </w:rPr>
              <w:t>Gerald, Patricia and David materially participate (at least under the 5-of-10-year test, Treas. Reg. §1.469-5T(a)(5)). Their share of gain on business assets, and their stock gain to the same extent (§1411(c)(4)), is not net investment income. NIIT applies to Sarah (passive).</w:t>
            </w:r>
          </w:p>
        </w:tc>
        <w:tc>
          <w:tcPr>
            <w:tcW w:type="dxa" w:w="2520"/>
          </w:tcPr>
          <w:p>
            <w:pPr>
              <w:spacing w:after="0"/>
            </w:pPr>
            <w:r/>
            <w:r>
              <w:rPr>
                <w:b w:val="0"/>
                <w:sz w:val="15"/>
              </w:rPr>
              <w:t>The differential is 37% vs 20% for the active shareholders. The NIIT is neutral across structures.</w:t>
            </w:r>
          </w:p>
        </w:tc>
      </w:tr>
      <w:tr>
        <w:tc>
          <w:tcPr>
            <w:tcW w:type="dxa" w:w="360"/>
          </w:tcPr>
          <w:p>
            <w:pPr>
              <w:spacing w:after="0"/>
            </w:pPr>
            <w:r/>
            <w:r>
              <w:rPr>
                <w:b w:val="0"/>
                <w:sz w:val="15"/>
              </w:rPr>
              <w:t>7</w:t>
            </w:r>
          </w:p>
        </w:tc>
        <w:tc>
          <w:tcPr>
            <w:tcW w:type="dxa" w:w="2808"/>
          </w:tcPr>
          <w:p>
            <w:pPr>
              <w:spacing w:after="0"/>
            </w:pPr>
            <w:r/>
            <w:r>
              <w:rPr>
                <w:b w:val="0"/>
                <w:sz w:val="15"/>
              </w:rPr>
              <w:t>Non-compete payments are ordinary income “under §197(f)(9)”; buyer/seller rate shown as “~24.5% incl. ~0.7% net Michigan” (DD §VI.C)</w:t>
            </w:r>
          </w:p>
        </w:tc>
        <w:tc>
          <w:tcPr>
            <w:tcW w:type="dxa" w:w="3672"/>
          </w:tcPr>
          <w:p>
            <w:pPr>
              <w:spacing w:after="0"/>
            </w:pPr>
            <w:r/>
            <w:r>
              <w:rPr>
                <w:b w:val="0"/>
                <w:sz w:val="15"/>
              </w:rPr>
              <w:t>Covenant consideration is ordinary income because it is payment for a promise to refrain from competing, not proceeds from the sale of a capital asset. §197(f)(9) is the anti-churning rule and is irrelevant here. Michigan tax is 4.25% on both ordinary income and capital gain.</w:t>
            </w:r>
          </w:p>
        </w:tc>
        <w:tc>
          <w:tcPr>
            <w:tcW w:type="dxa" w:w="2520"/>
          </w:tcPr>
          <w:p>
            <w:pPr>
              <w:spacing w:after="0"/>
            </w:pPr>
            <w:r/>
            <w:r>
              <w:rPr>
                <w:b w:val="0"/>
                <w:sz w:val="15"/>
              </w:rPr>
              <w:t>Correct the analysis before it is shared.</w:t>
            </w:r>
          </w:p>
        </w:tc>
      </w:tr>
      <w:tr>
        <w:tc>
          <w:tcPr>
            <w:tcW w:type="dxa" w:w="360"/>
          </w:tcPr>
          <w:p>
            <w:pPr>
              <w:spacing w:after="0"/>
            </w:pPr>
            <w:r/>
            <w:r>
              <w:rPr>
                <w:b w:val="0"/>
                <w:sz w:val="15"/>
              </w:rPr>
              <w:t>8</w:t>
            </w:r>
          </w:p>
        </w:tc>
        <w:tc>
          <w:tcPr>
            <w:tcW w:type="dxa" w:w="2808"/>
          </w:tcPr>
          <w:p>
            <w:pPr>
              <w:spacing w:after="0"/>
            </w:pPr>
            <w:r/>
            <w:r>
              <w:rPr>
                <w:b w:val="0"/>
                <w:sz w:val="15"/>
              </w:rPr>
              <w:t>State footprint and factors (Ridgeline matrix) match the DD and QoE</w:t>
            </w:r>
          </w:p>
        </w:tc>
        <w:tc>
          <w:tcPr>
            <w:tcW w:type="dxa" w:w="3672"/>
          </w:tcPr>
          <w:p>
            <w:pPr>
              <w:spacing w:after="0"/>
            </w:pPr>
            <w:r/>
            <w:r>
              <w:rPr>
                <w:b w:val="0"/>
                <w:sz w:val="15"/>
              </w:rPr>
              <w:t>The matrix lists Iowa (4%) instead of Virginia (1%). It shows TN at 1.5% (DD/QoE: 8%), WI 8% (5%), MN 5% (4%), NC 1% (1.5%). It shows no physical presence in PA, GA, TN, WI and MN, but the CIM lists leased DCs in Pittsburgh, Atlanta, Memphis, Milwaukee and Minneapolis. The PA CNIT rate is shown as 9.99% (the scheduled 2025 rate is 7.99%). The Ironclad term sheet places the DCs in IA and MO and describes HIS as an MRO/safety distributor.</w:t>
            </w:r>
          </w:p>
        </w:tc>
        <w:tc>
          <w:tcPr>
            <w:tcW w:type="dxa" w:w="2520"/>
          </w:tcPr>
          <w:p>
            <w:pPr>
              <w:spacing w:after="0"/>
            </w:pPr>
            <w:r/>
            <w:r>
              <w:rPr>
                <w:b w:val="0"/>
                <w:sz w:val="15"/>
              </w:rPr>
              <w:t>Reconcile before signing. A Virginia or Iowa filing gap is a potential pre-closing exposure for the indemnity. Correct the collateral description in the credit documents.</w:t>
            </w:r>
          </w:p>
        </w:tc>
      </w:tr>
      <w:tr>
        <w:tc>
          <w:tcPr>
            <w:tcW w:type="dxa" w:w="360"/>
          </w:tcPr>
          <w:p>
            <w:pPr>
              <w:spacing w:after="0"/>
            </w:pPr>
            <w:r/>
            <w:r>
              <w:rPr>
                <w:b w:val="0"/>
                <w:sz w:val="15"/>
              </w:rPr>
              <w:t>9</w:t>
            </w:r>
          </w:p>
        </w:tc>
        <w:tc>
          <w:tcPr>
            <w:tcW w:type="dxa" w:w="2808"/>
          </w:tcPr>
          <w:p>
            <w:pPr>
              <w:spacing w:after="0"/>
            </w:pPr>
            <w:r/>
            <w:r>
              <w:rPr>
                <w:b w:val="0"/>
                <w:sz w:val="15"/>
              </w:rPr>
              <w:t>PPA classification</w:t>
            </w:r>
          </w:p>
        </w:tc>
        <w:tc>
          <w:tcPr>
            <w:tcW w:type="dxa" w:w="3672"/>
          </w:tcPr>
          <w:p>
            <w:pPr>
              <w:spacing w:after="0"/>
            </w:pPr>
            <w:r/>
            <w:r>
              <w:rPr>
                <w:b w:val="0"/>
                <w:sz w:val="15"/>
              </w:rPr>
              <w:t>A/R is Class III (not II). The favorable Memphis lease is a lessee interest excluded from §197 (§197(e)(5)), so it is Class V and amortized over the remaining term. Covenants given by the shareholders are not HIS assets. The Class V basis total is $21.3 (not $20.3). Unrecaptured §1250 gain is limited to depreciation taken on the building (≈ $6.0; cost ≈ $9.0 less basis $3.0), not the full $9.0 of gain.</w:t>
            </w:r>
          </w:p>
        </w:tc>
        <w:tc>
          <w:tcPr>
            <w:tcW w:type="dxa" w:w="2520"/>
          </w:tcPr>
          <w:p>
            <w:pPr>
              <w:spacing w:after="0"/>
            </w:pPr>
            <w:r/>
            <w:r>
              <w:rPr>
                <w:b w:val="0"/>
                <w:sz w:val="15"/>
              </w:rPr>
              <w:t>See corrected allocation (Part X).</w:t>
            </w:r>
          </w:p>
        </w:tc>
      </w:tr>
      <w:tr>
        <w:tc>
          <w:tcPr>
            <w:tcW w:type="dxa" w:w="360"/>
          </w:tcPr>
          <w:p>
            <w:pPr>
              <w:spacing w:after="0"/>
            </w:pPr>
            <w:r/>
            <w:r>
              <w:rPr>
                <w:b w:val="0"/>
                <w:sz w:val="15"/>
              </w:rPr>
              <w:t>10</w:t>
            </w:r>
          </w:p>
        </w:tc>
        <w:tc>
          <w:tcPr>
            <w:tcW w:type="dxa" w:w="2808"/>
          </w:tcPr>
          <w:p>
            <w:pPr>
              <w:spacing w:after="0"/>
            </w:pPr>
            <w:r/>
            <w:r>
              <w:rPr>
                <w:b w:val="0"/>
                <w:sz w:val="15"/>
              </w:rPr>
              <w:t>DD conclusion that a §351 rollover fails because David alone owns less than 80%</w:t>
            </w:r>
          </w:p>
        </w:tc>
        <w:tc>
          <w:tcPr>
            <w:tcW w:type="dxa" w:w="3672"/>
          </w:tcPr>
          <w:p>
            <w:pPr>
              <w:spacing w:after="0"/>
            </w:pPr>
            <w:r/>
            <w:r>
              <w:rPr>
                <w:b w:val="0"/>
                <w:sz w:val="15"/>
              </w:rPr>
              <w:t>Transferors acting under the same plan are aggregated. Fund IV’s simultaneous contribution counts toward 80% control (§351(a); Treas. Reg. §1.351-1(a)(1)).</w:t>
            </w:r>
          </w:p>
        </w:tc>
        <w:tc>
          <w:tcPr>
            <w:tcW w:type="dxa" w:w="2520"/>
          </w:tcPr>
          <w:p>
            <w:pPr>
              <w:spacing w:after="0"/>
            </w:pPr>
            <w:r/>
            <w:r>
              <w:rPr>
                <w:b w:val="0"/>
                <w:sz w:val="15"/>
              </w:rPr>
              <w:t>Relevant only to a stock-sale or corporate-vehicle alternative.</w:t>
            </w:r>
          </w:p>
        </w:tc>
      </w:tr>
    </w:tbl>
    <w:p>
      <w:pPr>
        <w:spacing w:after="40"/>
      </w:pPr>
    </w:p>
    <w:p>
      <w:pPr>
        <w:jc w:val="both"/>
      </w:pPr>
      <w:r>
        <w:rPr>
          <w:b/>
        </w:rPr>
        <w:t>Additional diligence flags.</w:t>
      </w:r>
      <w:r>
        <w:t xml:space="preserve"> (i) The $14.7 NUBIG computed at the 2001 S election includes a $5.4 “LIFO reserve” component. If §1363(d) had been applied correctly on the 2000 return, that reserve would already have been recaptured and would not appear as built-in gain. The 2000 return should be checked. Any exposure belongs to a long-closed year and is likely time-barred, but the representation package should cover it. (ii) Ridgeline is the sellers’ long-time accountant, is acting as the sellers’ tax advisor in these negotiations, and also prepared the buyer’s QoE. The QoE’s tax content (which repeats the §1363(d) error) and its liability figures should be independently confirmed. (iii) The CIM and QoE give different 2022–2023 revenue and EBITDA figures and describe the 2024 litigation settlement differently. (iv) Alabama requires a separate S election (Form 20S). Confirm it was filed for all open years.</w:t>
      </w:r>
    </w:p>
    <w:p>
      <w:pPr>
        <w:pStyle w:val="Heading1"/>
      </w:pPr>
      <w:r>
        <w:t>IV. Analysis of the Structural Alternatives</w:t>
      </w:r>
    </w:p>
    <w:p>
      <w:pPr>
        <w:pStyle w:val="Heading2"/>
      </w:pPr>
      <w:r>
        <w:t>A. Alternative 1 — Straight stock purchase (no election)</w:t>
      </w:r>
    </w:p>
    <w:p>
      <w:pPr>
        <w:jc w:val="both"/>
      </w:pPr>
      <w:r>
        <w:rPr>
          <w:b/>
        </w:rPr>
        <w:t>Sellers.</w:t>
      </w:r>
      <w:r>
        <w:t xml:space="preserve"> Each shareholder recognizes long-term capital gain equal to amount realized less stock basis: $328.1 in total (Gerald $205.19; Patricia $58.21; David $32.35; Sarah $32.35). Total tax is about $80.8 (20% federal; 4.25% Michigan; 3.8% NIIT for Sarah only). Gain on stock is generally sourced to the shareholder’s state of residence (Michigan). Note, however, that some states (Minnesota, for example) may try to source part of a nonresident’s gain on S corporation stock to their own state; this should be confirmed. This is the sellers’ baseline and their stated preference.</w:t>
      </w:r>
    </w:p>
    <w:p>
      <w:pPr>
        <w:jc w:val="both"/>
      </w:pPr>
      <w:r>
        <w:rPr>
          <w:b/>
        </w:rPr>
        <w:t>Buyer.</w:t>
      </w:r>
      <w:r>
        <w:t xml:space="preserve"> The buyer takes a carryover basis in HIS’s assets ($134.2) and gets no step-up, forgoing a benefit worth roughly $31–43 in present value. A partnership or corporation cannot be an S corporation shareholder (§1361(b)(1)(B)), so HIS’s S election terminates on the closing date. HIS becomes a C corporation, with an S short year and a C short year (§1362(e)). Because at least 50% of the stock changes hands, the closing-of-the-books method is mandatory (§1362(e)(6)(D)). Termination does </w:t>
      </w:r>
      <w:r>
        <w:rPr>
          <w:b/>
        </w:rPr>
        <w:t>not</w:t>
      </w:r>
      <w:r>
        <w:t xml:space="preserve"> trigger §1363(d) LIFO recapture. The $11.8 reserve remains a deferred liability inside a C corporation, taxed at 21% plus Michigan’s 6% CIT and other state corporate taxes when the layers are liquidated. All future earnings bear two levels of tax. Converting HIS to an LLC after closing would be a taxable liquidation. The buyer’s acquisition costs are capitalized into stock basis and are not recovered until exit. The buyer also inherits HIS’s full historic tax profile, including the risk (low on current diligence) that the S election was invalid in an open year, which would expose HIS to C-corporation tax for those years. The one advantage is that David’s rollover can be tax-deferred under §721 or §351.</w:t>
      </w:r>
    </w:p>
    <w:p>
      <w:pPr>
        <w:jc w:val="both"/>
      </w:pPr>
      <w:r>
        <w:rPr>
          <w:b/>
        </w:rPr>
        <w:t>Assessment:</w:t>
      </w:r>
      <w:r>
        <w:t xml:space="preserve"> not recommended. It forfeits the step-up, which is the single largest tax value lever in the deal, and leaves Fund IV holding a C corporation with built-in LIFO and asset gain.</w:t>
      </w:r>
    </w:p>
    <w:p>
      <w:pPr>
        <w:pStyle w:val="Heading2"/>
      </w:pPr>
      <w:r>
        <w:t>B. Alternative 2 — Stock purchase with a §338(h)(10) election (or a §336(e) election)</w:t>
      </w:r>
    </w:p>
    <w:p>
      <w:pPr>
        <w:jc w:val="both"/>
      </w:pPr>
      <w:r>
        <w:rPr>
          <w:b/>
        </w:rPr>
        <w:t>Mechanics.</w:t>
      </w:r>
      <w:r>
        <w:t xml:space="preserve"> The buyer must make a qualified stock purchase, meaning it must acquire at least 80% of HIS by vote and value within 12 months (§338(d)(3)), and it must be a </w:t>
      </w:r>
      <w:r>
        <w:rPr>
          <w:b/>
        </w:rPr>
        <w:t>corporation</w:t>
      </w:r>
      <w:r>
        <w:t>. HIS Acquisition Corp, not HIS Holdings, LLC, would have to be the purchaser. The election is made jointly on Form 8023, signed by the purchaser and by every S shareholder (including any shareholder who does not sell). It is due by the 15th day of the 9th month after the acquisition month, i.e., by October 15, 2025 for a January 31, 2025 closing (Treas. Reg. §1.338(h)(10)-1(c)(3)). Old HIS is treated as selling its assets at ADSP while still an S corporation and then liquidating. The S shareholders, whether or not they sell, take their pro rata shares of the deemed-sale gain into account on the final Schedules K-1 (Treas. Reg. §1.338(h)(10)-1(d)(3), (5)). New HIS takes an AGUB basis allocated under Treas. Reg. §§1.338-6 and -7 (Form 8883).</w:t>
      </w:r>
    </w:p>
    <w:p>
      <w:pPr>
        <w:jc w:val="both"/>
      </w:pPr>
      <w:r>
        <w:rPr>
          <w:b/>
        </w:rPr>
        <w:t>§336(e) variant.</w:t>
      </w:r>
      <w:r>
        <w:t xml:space="preserve"> If Fund IV insists on a partnership acquisition vehicle and the sellers will not do an F reorganization, a §336(e) election gives the same deemed-asset-sale result for a non-corporate purchaser of an S corporation. It requires a “qualified stock disposition” of at least 80% within 12 months to unrelated purchasers. It is made by a binding written agreement between HIS and all of its shareholders, with an election statement attached to HIS’s final S return (Treas. Reg. §1.336-2(h)). After closing, HIS would be a new C corporation owned by a partnership. The step-up would be used at corporate rates, and the stepped-up assets could not later be moved into a flow-through structure without tax. State conformity to §336(e) is less developed than for §338(h)(10).</w:t>
      </w:r>
    </w:p>
    <w:p>
      <w:pPr>
        <w:jc w:val="both"/>
      </w:pPr>
      <w:r>
        <w:rPr>
          <w:b/>
        </w:rPr>
        <w:t>Weaknesses relative to Alternative 4.</w:t>
      </w:r>
      <w:r>
        <w:t xml:space="preserve"> (i) A corporate purchaser is required (or a §336(e) election, with the limits just described). (ii) State conformity risk: Ridgeline treats Pennsylvania as non-conforming and Georgia, Alabama and Missouri as uncertain. On Ridgeline’s own (overstated) inputs, the lost state benefit is $0.09–0.17 a year. We have not independently confirmed Ridgeline’s Pennsylvania characterization (Pennsylvania’s treatment of §338(h)(10) for CNIT and PIT has changed by statute over time) and would need Pennsylvania counsel to confirm it. (iii) Validity risk: if HIS’s S election were invalid for any period, the §338(h)(10) election would be invalid. The buyer would then have bought C-corporation stock with no step-up and with the corporate tax history. (iv) No deferral is available for David (Part VIII).</w:t>
      </w:r>
    </w:p>
    <w:p>
      <w:pPr>
        <w:pStyle w:val="Heading2"/>
      </w:pPr>
      <w:r>
        <w:t>C. Alternative 3 — Direct asset purchase</w:t>
      </w:r>
    </w:p>
    <w:p>
      <w:pPr>
        <w:jc w:val="both"/>
      </w:pPr>
      <w:r>
        <w:t xml:space="preserve">Tax results are the same as the F-reorganization structure: HIS sells its assets, the gain passes through, and HIS distributes the proceeds and liquidates. The legal cost is substantial: assigning customer, VMI and supplier contracts and the eight DC leases (including the below-market Memphis lease, which a landlord may use as leverage when asked to consent); re-titling 45 vehicles; new employer and payroll registrations in 14 states; transferring permits; Michigan real estate transfer tax on the deed to the Grand Rapids HQ (state 0.75% plus county 0.11%, about $0.14 on $16.5); sales and use tax on transfers of equipment and vehicles in states without an occasional-sale exemption; and Michigan successor-liability escrow or tax-clearance procedures (MCL 205.27a). </w:t>
      </w:r>
      <w:r>
        <w:rPr>
          <w:b/>
        </w:rPr>
        <w:t>Assessment:</w:t>
      </w:r>
      <w:r>
        <w:t xml:space="preserve"> dominated by Alternative 4, which gives the same tax result without the transfer friction.</w:t>
      </w:r>
    </w:p>
    <w:p>
      <w:pPr>
        <w:pStyle w:val="Heading2"/>
      </w:pPr>
      <w:r>
        <w:t>D. Alternative 4 (Recommended) — Pre-closing F reorganization and purchase of 100% of HIS, LLC</w:t>
      </w:r>
    </w:p>
    <w:p>
      <w:pPr>
        <w:jc w:val="both"/>
      </w:pPr>
      <w:r>
        <w:rPr>
          <w:b/>
        </w:rPr>
        <w:t>Steps</w:t>
      </w:r>
      <w:r>
        <w:t xml:space="preserve"> (to be completed between signing and closing; the Ridgeline-prepared election forms should be reviewed by us before filing):</w:t>
      </w:r>
    </w:p>
    <w:p>
      <w:pPr>
        <w:pStyle w:val="ListNumber"/>
        <w:numPr>
          <w:ilvl w:val="0"/>
          <w:numId w:val="11"/>
        </w:numPr>
        <w:spacing w:after="60"/>
      </w:pPr>
      <w:r>
        <w:t>The four Kressler shareholders form NewCo (a Michigan corporation) and contribute all of their HIS shares in exchange for NewCo shares in the same proportions (62/18/10/10). NewCo must have only one class of stock and pro rata economics.</w:t>
      </w:r>
    </w:p>
    <w:p>
      <w:pPr>
        <w:pStyle w:val="ListNumber"/>
        <w:numPr>
          <w:ilvl w:val="0"/>
          <w:numId w:val="11"/>
        </w:numPr>
        <w:spacing w:after="60"/>
      </w:pPr>
      <w:r>
        <w:t>NewCo elects to treat HIS as a qualified subchapter S subsidiary (Form 8869), effective on the contribution date. The contribution plus the QSub election is an F reorganization. NewCo succeeds to HIS’s S election and tax history without a new Form 2553 (Rev. Rul. 2008-18). NewCo obtains its own EIN. HIS’s existing EIN, payroll and sales-tax accounts generally remain with HIS, LLC (to be confirmed for each state).</w:t>
      </w:r>
    </w:p>
    <w:p>
      <w:pPr>
        <w:pStyle w:val="ListNumber"/>
        <w:numPr>
          <w:ilvl w:val="0"/>
          <w:numId w:val="11"/>
        </w:numPr>
        <w:spacing w:after="60"/>
      </w:pPr>
      <w:r>
        <w:t>HIS converts into a Michigan limited liability company (HIS, LLC) under the Michigan statutory conversion provisions. The conversion is disregarded for income tax purposes (QSub to disregarded entity), and HIS, LLC remains the same legal person, so no contracts, leases or titles are conveyed.</w:t>
      </w:r>
    </w:p>
    <w:p>
      <w:pPr>
        <w:pStyle w:val="ListNumber"/>
        <w:numPr>
          <w:ilvl w:val="0"/>
          <w:numId w:val="11"/>
        </w:numPr>
        <w:spacing w:after="60"/>
      </w:pPr>
      <w:r>
        <w:t>At closing, HIS Holdings, LLC buys 100% of the HIS, LLC membership interests from NewCo for $344.5 in cash (subject to adjustments) and causes HIS, LLC to repay the $47.3 of funded debt. A purchase of 100% of a disregarded entity’s interests is treated as a purchase of its assets. The F-reorganization status of step 2 is not affected by the later sale (Treas. Reg. §1.368-2(m)).</w:t>
      </w:r>
    </w:p>
    <w:p>
      <w:pPr>
        <w:pStyle w:val="ListNumber"/>
        <w:numPr>
          <w:ilvl w:val="0"/>
          <w:numId w:val="11"/>
        </w:numPr>
        <w:spacing w:after="60"/>
      </w:pPr>
      <w:r>
        <w:t>David contributes $12.0 of cash (from his share of the proceeds, netted in the funds flow) to HIS Holdings, LLC for units (§721). This preserves the credit agreement requirement that the Borrower own 100% of HIS.</w:t>
      </w:r>
    </w:p>
    <w:p>
      <w:pPr>
        <w:pStyle w:val="ListNumber"/>
        <w:numPr>
          <w:ilvl w:val="0"/>
          <w:numId w:val="11"/>
        </w:numPr>
        <w:spacing w:after="60"/>
      </w:pPr>
      <w:r>
        <w:t>NewCo funds the indemnity escrow and holdback, makes the PTE tax elections for its 2025 year, distributes the net proceeds and later liquidates. Because NewCo’s indemnity is only as good as its retained assets, the SPA should require joint and several (or several) guarantees from the Kressler shareholders, an escrow, and R&amp;W insurance.</w:t>
      </w:r>
    </w:p>
    <w:p>
      <w:pPr>
        <w:jc w:val="both"/>
      </w:pPr>
      <w:r>
        <w:rPr>
          <w:b/>
        </w:rPr>
        <w:t>Why it is superior.</w:t>
      </w:r>
      <w:r>
        <w:t xml:space="preserve"> (i) Full step-up with a partnership or corporate buyer, and no federal election, so no Form 8023 consent leverage and no deadline. (ii) No state conformity issue: in every state that follows federal entity classification, the step-up is an actual cost basis. Pennsylvania, Georgia, Alabama and Missouri drop out. (iii) The step-up does not depend on HIS’s S election being valid, and pre-closing federal income tax liabilities stay with NewCo, the continuing taxpayer. (iv) Legal continuity in all 14 states. (v) Identical economics for the sellers, who can make PTE elections at the NewCo level. (vi) It allows a clean §721 cash rollover and a flow-through holding structure with a step-up that can be monetized again on exit.</w:t>
      </w:r>
    </w:p>
    <w:p>
      <w:pPr>
        <w:jc w:val="both"/>
      </w:pPr>
      <w:r>
        <w:rPr>
          <w:b/>
        </w:rPr>
        <w:t>Execution points.</w:t>
      </w:r>
      <w:r>
        <w:t xml:space="preserve"> The legal team should review material contracts, the eight DC leases and permits for clauses that treat a conversion or change of entity form as an assignment or change of control. The Ironclad documents should name HIS, LLC as the guarantor; §10(c) of the term sheet prohibits a post-closing change of legal form, so the conversion must happen before closing. Confirm whether the conversion counts as a “transfer of ownership” that uncaps Michigan property taxes; the closing itself will uncap the Grand Rapids HQ’s taxable value in any structure. Allow enough time between the QSub election and the conversion, and keep NewCo’s distributions strictly pro rata until it liquidates.</w:t>
      </w:r>
    </w:p>
    <w:p>
      <w:pPr>
        <w:pStyle w:val="Heading1"/>
      </w:pPr>
      <w:r>
        <w:t>V. Buyer Economics — Basis Step-Up and Section 197 Amortization</w:t>
      </w:r>
    </w:p>
    <w:p>
      <w:pPr>
        <w:pStyle w:val="Heading2"/>
      </w:pPr>
      <w:r>
        <w:t>A. Corrected AGUB / cost basis</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3744"/>
            <w:shd w:val="clear" w:color="auto" w:fill="D9E1F2"/>
          </w:tcPr>
          <w:p>
            <w:r/>
            <w:r>
              <w:rPr>
                <w:b/>
                <w:sz w:val="17"/>
              </w:rPr>
              <w:t>Component</w:t>
            </w:r>
          </w:p>
        </w:tc>
        <w:tc>
          <w:tcPr>
            <w:tcW w:type="dxa" w:w="1872"/>
            <w:shd w:val="clear" w:color="auto" w:fill="D9E1F2"/>
          </w:tcPr>
          <w:p>
            <w:r/>
            <w:r>
              <w:rPr>
                <w:b/>
                <w:sz w:val="17"/>
              </w:rPr>
              <w:t>QoE liabilities (base case)</w:t>
            </w:r>
          </w:p>
        </w:tc>
        <w:tc>
          <w:tcPr>
            <w:tcW w:type="dxa" w:w="1872"/>
            <w:shd w:val="clear" w:color="auto" w:fill="D9E1F2"/>
          </w:tcPr>
          <w:p>
            <w:r/>
            <w:r>
              <w:rPr>
                <w:b/>
                <w:sz w:val="17"/>
              </w:rPr>
              <w:t>CIM liabilities (sensitivity)</w:t>
            </w:r>
          </w:p>
        </w:tc>
        <w:tc>
          <w:tcPr>
            <w:tcW w:type="dxa" w:w="1872"/>
            <w:shd w:val="clear" w:color="auto" w:fill="D9E1F2"/>
          </w:tcPr>
          <w:p>
            <w:r/>
            <w:r>
              <w:rPr>
                <w:b/>
                <w:sz w:val="17"/>
              </w:rPr>
              <w:t>PPA as drafted</w:t>
            </w:r>
          </w:p>
        </w:tc>
      </w:tr>
      <w:tr>
        <w:tc>
          <w:tcPr>
            <w:tcW w:type="dxa" w:w="3744"/>
          </w:tcPr>
          <w:p>
            <w:pPr>
              <w:spacing w:after="0"/>
            </w:pPr>
            <w:r/>
            <w:r>
              <w:rPr>
                <w:b w:val="0"/>
                <w:sz w:val="17"/>
              </w:rPr>
              <w:t>Cash price for equity / LLC interests</w:t>
            </w:r>
          </w:p>
        </w:tc>
        <w:tc>
          <w:tcPr>
            <w:tcW w:type="dxa" w:w="1872"/>
          </w:tcPr>
          <w:p>
            <w:pPr>
              <w:spacing w:after="0"/>
            </w:pPr>
            <w:r/>
            <w:r>
              <w:rPr>
                <w:b w:val="0"/>
                <w:sz w:val="17"/>
              </w:rPr>
              <w:t>$344.5</w:t>
            </w:r>
          </w:p>
        </w:tc>
        <w:tc>
          <w:tcPr>
            <w:tcW w:type="dxa" w:w="1872"/>
          </w:tcPr>
          <w:p>
            <w:pPr>
              <w:spacing w:after="0"/>
            </w:pPr>
            <w:r/>
            <w:r>
              <w:rPr>
                <w:b w:val="0"/>
                <w:sz w:val="17"/>
              </w:rPr>
              <w:t>$344.5</w:t>
            </w:r>
          </w:p>
        </w:tc>
        <w:tc>
          <w:tcPr>
            <w:tcW w:type="dxa" w:w="1872"/>
          </w:tcPr>
          <w:p>
            <w:pPr>
              <w:spacing w:after="0"/>
            </w:pPr>
            <w:r/>
            <w:r>
              <w:rPr>
                <w:b w:val="0"/>
                <w:sz w:val="17"/>
              </w:rPr>
              <w:t>$344.5</w:t>
            </w:r>
          </w:p>
        </w:tc>
      </w:tr>
      <w:tr>
        <w:tc>
          <w:tcPr>
            <w:tcW w:type="dxa" w:w="3744"/>
          </w:tcPr>
          <w:p>
            <w:pPr>
              <w:spacing w:after="0"/>
            </w:pPr>
            <w:r/>
            <w:r>
              <w:rPr>
                <w:b w:val="0"/>
                <w:sz w:val="17"/>
              </w:rPr>
              <w:t>Repayment of HIS funded debt</w:t>
            </w:r>
          </w:p>
        </w:tc>
        <w:tc>
          <w:tcPr>
            <w:tcW w:type="dxa" w:w="1872"/>
          </w:tcPr>
          <w:p>
            <w:pPr>
              <w:spacing w:after="0"/>
            </w:pPr>
            <w:r/>
            <w:r>
              <w:rPr>
                <w:b w:val="0"/>
                <w:sz w:val="17"/>
              </w:rPr>
              <w:t>$47.3</w:t>
            </w:r>
          </w:p>
        </w:tc>
        <w:tc>
          <w:tcPr>
            <w:tcW w:type="dxa" w:w="1872"/>
          </w:tcPr>
          <w:p>
            <w:pPr>
              <w:spacing w:after="0"/>
            </w:pPr>
            <w:r/>
            <w:r>
              <w:rPr>
                <w:b w:val="0"/>
                <w:sz w:val="17"/>
              </w:rPr>
              <w:t>$47.3</w:t>
            </w:r>
          </w:p>
        </w:tc>
        <w:tc>
          <w:tcPr>
            <w:tcW w:type="dxa" w:w="1872"/>
          </w:tcPr>
          <w:p>
            <w:pPr>
              <w:spacing w:after="0"/>
            </w:pPr>
            <w:r/>
            <w:r>
              <w:rPr>
                <w:b w:val="0"/>
                <w:sz w:val="17"/>
              </w:rPr>
              <w:t>$47.3</w:t>
            </w:r>
          </w:p>
        </w:tc>
      </w:tr>
      <w:tr>
        <w:tc>
          <w:tcPr>
            <w:tcW w:type="dxa" w:w="3744"/>
          </w:tcPr>
          <w:p>
            <w:pPr>
              <w:spacing w:after="0"/>
            </w:pPr>
            <w:r/>
            <w:r>
              <w:rPr>
                <w:b w:val="0"/>
                <w:sz w:val="17"/>
              </w:rPr>
              <w:t>Operating liabilities assumed (A/P, accruals, other)</w:t>
            </w:r>
          </w:p>
        </w:tc>
        <w:tc>
          <w:tcPr>
            <w:tcW w:type="dxa" w:w="1872"/>
          </w:tcPr>
          <w:p>
            <w:pPr>
              <w:spacing w:after="0"/>
            </w:pPr>
            <w:r/>
            <w:r>
              <w:rPr>
                <w:b w:val="0"/>
                <w:sz w:val="17"/>
              </w:rPr>
              <w:t>$64.0</w:t>
            </w:r>
          </w:p>
        </w:tc>
        <w:tc>
          <w:tcPr>
            <w:tcW w:type="dxa" w:w="1872"/>
          </w:tcPr>
          <w:p>
            <w:pPr>
              <w:spacing w:after="0"/>
            </w:pPr>
            <w:r/>
            <w:r>
              <w:rPr>
                <w:b w:val="0"/>
                <w:sz w:val="17"/>
              </w:rPr>
              <w:t>$43.7</w:t>
            </w:r>
          </w:p>
        </w:tc>
        <w:tc>
          <w:tcPr>
            <w:tcW w:type="dxa" w:w="1872"/>
          </w:tcPr>
          <w:p>
            <w:pPr>
              <w:spacing w:after="0"/>
            </w:pPr>
            <w:r/>
            <w:r>
              <w:rPr>
                <w:b w:val="0"/>
                <w:sz w:val="17"/>
              </w:rPr>
              <w:t>omitted</w:t>
            </w:r>
          </w:p>
        </w:tc>
      </w:tr>
      <w:tr>
        <w:tc>
          <w:tcPr>
            <w:tcW w:type="dxa" w:w="3744"/>
          </w:tcPr>
          <w:p>
            <w:pPr>
              <w:spacing w:after="0"/>
            </w:pPr>
            <w:r/>
            <w:r>
              <w:rPr>
                <w:b w:val="0"/>
                <w:sz w:val="17"/>
              </w:rPr>
              <w:t>Capitalized buyer acquisition costs (§263(a)-5)</w:t>
            </w:r>
          </w:p>
        </w:tc>
        <w:tc>
          <w:tcPr>
            <w:tcW w:type="dxa" w:w="1872"/>
          </w:tcPr>
          <w:p>
            <w:pPr>
              <w:spacing w:after="0"/>
            </w:pPr>
            <w:r/>
            <w:r>
              <w:rPr>
                <w:b w:val="0"/>
                <w:sz w:val="17"/>
              </w:rPr>
              <w:t>TBD (adds to basis)</w:t>
            </w:r>
          </w:p>
        </w:tc>
        <w:tc>
          <w:tcPr>
            <w:tcW w:type="dxa" w:w="1872"/>
          </w:tcPr>
          <w:p>
            <w:pPr>
              <w:spacing w:after="0"/>
            </w:pPr>
            <w:r/>
            <w:r>
              <w:rPr>
                <w:b w:val="0"/>
                <w:sz w:val="17"/>
              </w:rPr>
              <w:t>TBD</w:t>
            </w:r>
          </w:p>
        </w:tc>
        <w:tc>
          <w:tcPr>
            <w:tcW w:type="dxa" w:w="1872"/>
          </w:tcPr>
          <w:p>
            <w:pPr>
              <w:spacing w:after="0"/>
            </w:pPr>
            <w:r/>
            <w:r>
              <w:rPr>
                <w:b w:val="0"/>
                <w:sz w:val="17"/>
              </w:rPr>
              <w:t>omitted</w:t>
            </w:r>
          </w:p>
        </w:tc>
      </w:tr>
      <w:tr>
        <w:tc>
          <w:tcPr>
            <w:tcW w:type="dxa" w:w="3744"/>
          </w:tcPr>
          <w:p>
            <w:pPr>
              <w:spacing w:after="0"/>
            </w:pPr>
            <w:r/>
            <w:r>
              <w:rPr>
                <w:b/>
                <w:sz w:val="17"/>
              </w:rPr>
              <w:t>AGUB / total basis</w:t>
            </w:r>
          </w:p>
        </w:tc>
        <w:tc>
          <w:tcPr>
            <w:tcW w:type="dxa" w:w="1872"/>
          </w:tcPr>
          <w:p>
            <w:pPr>
              <w:spacing w:after="0"/>
            </w:pPr>
            <w:r/>
            <w:r>
              <w:rPr>
                <w:b/>
                <w:sz w:val="17"/>
              </w:rPr>
              <w:t>$455.8</w:t>
            </w:r>
          </w:p>
        </w:tc>
        <w:tc>
          <w:tcPr>
            <w:tcW w:type="dxa" w:w="1872"/>
          </w:tcPr>
          <w:p>
            <w:pPr>
              <w:spacing w:after="0"/>
            </w:pPr>
            <w:r/>
            <w:r>
              <w:rPr>
                <w:b/>
                <w:sz w:val="17"/>
              </w:rPr>
              <w:t>$435.5</w:t>
            </w:r>
          </w:p>
        </w:tc>
        <w:tc>
          <w:tcPr>
            <w:tcW w:type="dxa" w:w="1872"/>
          </w:tcPr>
          <w:p>
            <w:pPr>
              <w:spacing w:after="0"/>
            </w:pPr>
            <w:r/>
            <w:r>
              <w:rPr>
                <w:b/>
                <w:sz w:val="17"/>
              </w:rPr>
              <w:t>$391.8</w:t>
            </w:r>
          </w:p>
        </w:tc>
      </w:tr>
      <w:tr>
        <w:tc>
          <w:tcPr>
            <w:tcW w:type="dxa" w:w="3744"/>
          </w:tcPr>
          <w:p>
            <w:pPr>
              <w:spacing w:after="0"/>
            </w:pPr>
            <w:r/>
            <w:r>
              <w:rPr>
                <w:b w:val="0"/>
                <w:sz w:val="17"/>
              </w:rPr>
              <w:t>Less Class I cash</w:t>
            </w:r>
          </w:p>
        </w:tc>
        <w:tc>
          <w:tcPr>
            <w:tcW w:type="dxa" w:w="1872"/>
          </w:tcPr>
          <w:p>
            <w:pPr>
              <w:spacing w:after="0"/>
            </w:pPr>
            <w:r/>
            <w:r>
              <w:rPr>
                <w:b w:val="0"/>
                <w:sz w:val="17"/>
              </w:rPr>
              <w:t>($6.8)</w:t>
            </w:r>
          </w:p>
        </w:tc>
        <w:tc>
          <w:tcPr>
            <w:tcW w:type="dxa" w:w="1872"/>
          </w:tcPr>
          <w:p>
            <w:pPr>
              <w:spacing w:after="0"/>
            </w:pPr>
            <w:r/>
            <w:r>
              <w:rPr>
                <w:b w:val="0"/>
                <w:sz w:val="17"/>
              </w:rPr>
              <w:t>($6.8)</w:t>
            </w:r>
          </w:p>
        </w:tc>
        <w:tc>
          <w:tcPr>
            <w:tcW w:type="dxa" w:w="1872"/>
          </w:tcPr>
          <w:p>
            <w:pPr>
              <w:spacing w:after="0"/>
            </w:pPr>
            <w:r/>
            <w:r>
              <w:rPr>
                <w:b w:val="0"/>
                <w:sz w:val="17"/>
              </w:rPr>
              <w:t>($6.8)</w:t>
            </w:r>
          </w:p>
        </w:tc>
      </w:tr>
      <w:tr>
        <w:tc>
          <w:tcPr>
            <w:tcW w:type="dxa" w:w="3744"/>
          </w:tcPr>
          <w:p>
            <w:pPr>
              <w:spacing w:after="0"/>
            </w:pPr>
            <w:r/>
            <w:r>
              <w:rPr>
                <w:b w:val="0"/>
                <w:sz w:val="17"/>
              </w:rPr>
              <w:t>Allocable to Classes II–VII</w:t>
            </w:r>
          </w:p>
        </w:tc>
        <w:tc>
          <w:tcPr>
            <w:tcW w:type="dxa" w:w="1872"/>
          </w:tcPr>
          <w:p>
            <w:pPr>
              <w:spacing w:after="0"/>
            </w:pPr>
            <w:r/>
            <w:r>
              <w:rPr>
                <w:b w:val="0"/>
                <w:sz w:val="17"/>
              </w:rPr>
              <w:t>$449.0</w:t>
            </w:r>
          </w:p>
        </w:tc>
        <w:tc>
          <w:tcPr>
            <w:tcW w:type="dxa" w:w="1872"/>
          </w:tcPr>
          <w:p>
            <w:pPr>
              <w:spacing w:after="0"/>
            </w:pPr>
            <w:r/>
            <w:r>
              <w:rPr>
                <w:b w:val="0"/>
                <w:sz w:val="17"/>
              </w:rPr>
              <w:t>$428.7</w:t>
            </w:r>
          </w:p>
        </w:tc>
        <w:tc>
          <w:tcPr>
            <w:tcW w:type="dxa" w:w="1872"/>
          </w:tcPr>
          <w:p>
            <w:pPr>
              <w:spacing w:after="0"/>
            </w:pPr>
            <w:r/>
            <w:r>
              <w:rPr>
                <w:b w:val="0"/>
                <w:sz w:val="17"/>
              </w:rPr>
              <w:t>$385.0</w:t>
            </w:r>
          </w:p>
        </w:tc>
      </w:tr>
      <w:tr>
        <w:tc>
          <w:tcPr>
            <w:tcW w:type="dxa" w:w="3744"/>
          </w:tcPr>
          <w:p>
            <w:pPr>
              <w:spacing w:after="0"/>
            </w:pPr>
            <w:r/>
            <w:r>
              <w:rPr>
                <w:b w:val="0"/>
                <w:sz w:val="17"/>
              </w:rPr>
              <w:t>§197 intangibles (customer relationships, trade name, covenants, goodwill incl. assembled workforce)</w:t>
            </w:r>
          </w:p>
        </w:tc>
        <w:tc>
          <w:tcPr>
            <w:tcW w:type="dxa" w:w="1872"/>
          </w:tcPr>
          <w:p>
            <w:pPr>
              <w:spacing w:after="0"/>
            </w:pPr>
            <w:r/>
            <w:r>
              <w:rPr>
                <w:b w:val="0"/>
                <w:sz w:val="17"/>
              </w:rPr>
              <w:t>$279.2</w:t>
            </w:r>
          </w:p>
        </w:tc>
        <w:tc>
          <w:tcPr>
            <w:tcW w:type="dxa" w:w="1872"/>
          </w:tcPr>
          <w:p>
            <w:pPr>
              <w:spacing w:after="0"/>
            </w:pPr>
            <w:r/>
            <w:r>
              <w:rPr>
                <w:b w:val="0"/>
                <w:sz w:val="17"/>
              </w:rPr>
              <w:t>$258.9</w:t>
            </w:r>
          </w:p>
        </w:tc>
        <w:tc>
          <w:tcPr>
            <w:tcW w:type="dxa" w:w="1872"/>
          </w:tcPr>
          <w:p>
            <w:pPr>
              <w:spacing w:after="0"/>
            </w:pPr>
            <w:r/>
            <w:r>
              <w:rPr>
                <w:b w:val="0"/>
                <w:sz w:val="17"/>
              </w:rPr>
              <w:t>$220.6</w:t>
            </w:r>
          </w:p>
        </w:tc>
      </w:tr>
      <w:tr>
        <w:tc>
          <w:tcPr>
            <w:tcW w:type="dxa" w:w="3744"/>
          </w:tcPr>
          <w:p>
            <w:pPr>
              <w:spacing w:after="0"/>
            </w:pPr>
            <w:r/>
            <w:r>
              <w:rPr>
                <w:b w:val="0"/>
                <w:sz w:val="17"/>
              </w:rPr>
              <w:t>Annual §197 amortization</w:t>
            </w:r>
          </w:p>
        </w:tc>
        <w:tc>
          <w:tcPr>
            <w:tcW w:type="dxa" w:w="1872"/>
          </w:tcPr>
          <w:p>
            <w:pPr>
              <w:spacing w:after="0"/>
            </w:pPr>
            <w:r/>
            <w:r>
              <w:rPr>
                <w:b w:val="0"/>
                <w:sz w:val="17"/>
              </w:rPr>
              <w:t>$18.6</w:t>
            </w:r>
          </w:p>
        </w:tc>
        <w:tc>
          <w:tcPr>
            <w:tcW w:type="dxa" w:w="1872"/>
          </w:tcPr>
          <w:p>
            <w:pPr>
              <w:spacing w:after="0"/>
            </w:pPr>
            <w:r/>
            <w:r>
              <w:rPr>
                <w:b w:val="0"/>
                <w:sz w:val="17"/>
              </w:rPr>
              <w:t>$17.3</w:t>
            </w:r>
          </w:p>
        </w:tc>
        <w:tc>
          <w:tcPr>
            <w:tcW w:type="dxa" w:w="1872"/>
          </w:tcPr>
          <w:p>
            <w:pPr>
              <w:spacing w:after="0"/>
            </w:pPr>
            <w:r/>
            <w:r>
              <w:rPr>
                <w:b w:val="0"/>
                <w:sz w:val="17"/>
              </w:rPr>
              <w:t>$14.7</w:t>
            </w:r>
          </w:p>
        </w:tc>
      </w:tr>
    </w:tbl>
    <w:p>
      <w:pPr>
        <w:spacing w:after="40"/>
      </w:pPr>
    </w:p>
    <w:p>
      <w:pPr>
        <w:pStyle w:val="Heading2"/>
      </w:pPr>
      <w:r>
        <w:t>B. Basis recovery by asset (base case)</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2016"/>
            <w:shd w:val="clear" w:color="auto" w:fill="D9E1F2"/>
          </w:tcPr>
          <w:p>
            <w:r/>
            <w:r>
              <w:rPr>
                <w:b/>
                <w:sz w:val="16"/>
              </w:rPr>
              <w:t>Asset</w:t>
            </w:r>
          </w:p>
        </w:tc>
        <w:tc>
          <w:tcPr>
            <w:tcW w:type="dxa" w:w="1008"/>
            <w:shd w:val="clear" w:color="auto" w:fill="D9E1F2"/>
          </w:tcPr>
          <w:p>
            <w:r/>
            <w:r>
              <w:rPr>
                <w:b/>
                <w:sz w:val="16"/>
              </w:rPr>
              <w:t>New basis</w:t>
            </w:r>
          </w:p>
        </w:tc>
        <w:tc>
          <w:tcPr>
            <w:tcW w:type="dxa" w:w="1152"/>
            <w:shd w:val="clear" w:color="auto" w:fill="D9E1F2"/>
          </w:tcPr>
          <w:p>
            <w:r/>
            <w:r>
              <w:rPr>
                <w:b/>
                <w:sz w:val="16"/>
              </w:rPr>
              <w:t>Carryover basis</w:t>
            </w:r>
          </w:p>
        </w:tc>
        <w:tc>
          <w:tcPr>
            <w:tcW w:type="dxa" w:w="936"/>
            <w:shd w:val="clear" w:color="auto" w:fill="D9E1F2"/>
          </w:tcPr>
          <w:p>
            <w:r/>
            <w:r>
              <w:rPr>
                <w:b/>
                <w:sz w:val="16"/>
              </w:rPr>
              <w:t>Step-up</w:t>
            </w:r>
          </w:p>
        </w:tc>
        <w:tc>
          <w:tcPr>
            <w:tcW w:type="dxa" w:w="4248"/>
            <w:shd w:val="clear" w:color="auto" w:fill="D9E1F2"/>
          </w:tcPr>
          <w:p>
            <w:r/>
            <w:r>
              <w:rPr>
                <w:b/>
                <w:sz w:val="16"/>
              </w:rPr>
              <w:t>Recovery</w:t>
            </w:r>
          </w:p>
        </w:tc>
      </w:tr>
      <w:tr>
        <w:tc>
          <w:tcPr>
            <w:tcW w:type="dxa" w:w="2016"/>
          </w:tcPr>
          <w:p>
            <w:pPr>
              <w:spacing w:after="0"/>
            </w:pPr>
            <w:r/>
            <w:r>
              <w:rPr>
                <w:b w:val="0"/>
                <w:sz w:val="16"/>
              </w:rPr>
              <w:t>Inventory</w:t>
            </w:r>
          </w:p>
        </w:tc>
        <w:tc>
          <w:tcPr>
            <w:tcW w:type="dxa" w:w="1008"/>
          </w:tcPr>
          <w:p>
            <w:pPr>
              <w:spacing w:after="0"/>
            </w:pPr>
            <w:r/>
            <w:r>
              <w:rPr>
                <w:b w:val="0"/>
                <w:sz w:val="16"/>
              </w:rPr>
              <w:t>$76.0</w:t>
            </w:r>
          </w:p>
        </w:tc>
        <w:tc>
          <w:tcPr>
            <w:tcW w:type="dxa" w:w="1152"/>
          </w:tcPr>
          <w:p>
            <w:pPr>
              <w:spacing w:after="0"/>
            </w:pPr>
            <w:r/>
            <w:r>
              <w:rPr>
                <w:b w:val="0"/>
                <w:sz w:val="16"/>
              </w:rPr>
              <w:t>$64.2</w:t>
            </w:r>
          </w:p>
        </w:tc>
        <w:tc>
          <w:tcPr>
            <w:tcW w:type="dxa" w:w="936"/>
          </w:tcPr>
          <w:p>
            <w:pPr>
              <w:spacing w:after="0"/>
            </w:pPr>
            <w:r/>
            <w:r>
              <w:rPr>
                <w:b w:val="0"/>
                <w:sz w:val="16"/>
              </w:rPr>
              <w:t>$11.8</w:t>
            </w:r>
          </w:p>
        </w:tc>
        <w:tc>
          <w:tcPr>
            <w:tcW w:type="dxa" w:w="4248"/>
          </w:tcPr>
          <w:p>
            <w:pPr>
              <w:spacing w:after="0"/>
            </w:pPr>
            <w:r/>
            <w:r>
              <w:rPr>
                <w:b w:val="0"/>
                <w:sz w:val="16"/>
              </w:rPr>
              <w:t>Through COGS in ≈ 2–3 months (5.4 turns) if the new taxpayer does not adopt LIFO in year 1 (see C below)</w:t>
            </w:r>
          </w:p>
        </w:tc>
      </w:tr>
      <w:tr>
        <w:tc>
          <w:tcPr>
            <w:tcW w:type="dxa" w:w="2016"/>
          </w:tcPr>
          <w:p>
            <w:pPr>
              <w:spacing w:after="0"/>
            </w:pPr>
            <w:r/>
            <w:r>
              <w:rPr>
                <w:b w:val="0"/>
                <w:sz w:val="16"/>
              </w:rPr>
              <w:t>Accounts receivable</w:t>
            </w:r>
          </w:p>
        </w:tc>
        <w:tc>
          <w:tcPr>
            <w:tcW w:type="dxa" w:w="1008"/>
          </w:tcPr>
          <w:p>
            <w:pPr>
              <w:spacing w:after="0"/>
            </w:pPr>
            <w:r/>
            <w:r>
              <w:rPr>
                <w:b w:val="0"/>
                <w:sz w:val="16"/>
              </w:rPr>
              <w:t>$48.7</w:t>
            </w:r>
          </w:p>
        </w:tc>
        <w:tc>
          <w:tcPr>
            <w:tcW w:type="dxa" w:w="1152"/>
          </w:tcPr>
          <w:p>
            <w:pPr>
              <w:spacing w:after="0"/>
            </w:pPr>
            <w:r/>
            <w:r>
              <w:rPr>
                <w:b w:val="0"/>
                <w:sz w:val="16"/>
              </w:rPr>
              <w:t>$48.7</w:t>
            </w:r>
          </w:p>
        </w:tc>
        <w:tc>
          <w:tcPr>
            <w:tcW w:type="dxa" w:w="936"/>
          </w:tcPr>
          <w:p>
            <w:pPr>
              <w:spacing w:after="0"/>
            </w:pPr>
            <w:r/>
            <w:r>
              <w:rPr>
                <w:b w:val="0"/>
                <w:sz w:val="16"/>
              </w:rPr>
              <w:t>—</w:t>
            </w:r>
          </w:p>
        </w:tc>
        <w:tc>
          <w:tcPr>
            <w:tcW w:type="dxa" w:w="4248"/>
          </w:tcPr>
          <w:p>
            <w:pPr>
              <w:spacing w:after="0"/>
            </w:pPr>
            <w:r/>
            <w:r>
              <w:rPr>
                <w:b w:val="0"/>
                <w:sz w:val="16"/>
              </w:rPr>
              <w:t>Collection</w:t>
            </w:r>
          </w:p>
        </w:tc>
      </w:tr>
      <w:tr>
        <w:tc>
          <w:tcPr>
            <w:tcW w:type="dxa" w:w="2016"/>
          </w:tcPr>
          <w:p>
            <w:pPr>
              <w:spacing w:after="0"/>
            </w:pPr>
            <w:r/>
            <w:r>
              <w:rPr>
                <w:b w:val="0"/>
                <w:sz w:val="16"/>
              </w:rPr>
              <w:t>Machinery &amp; equipment</w:t>
            </w:r>
          </w:p>
        </w:tc>
        <w:tc>
          <w:tcPr>
            <w:tcW w:type="dxa" w:w="1008"/>
          </w:tcPr>
          <w:p>
            <w:pPr>
              <w:spacing w:after="0"/>
            </w:pPr>
            <w:r/>
            <w:r>
              <w:rPr>
                <w:b w:val="0"/>
                <w:sz w:val="16"/>
              </w:rPr>
              <w:t>$18.9</w:t>
            </w:r>
          </w:p>
        </w:tc>
        <w:tc>
          <w:tcPr>
            <w:tcW w:type="dxa" w:w="1152"/>
          </w:tcPr>
          <w:p>
            <w:pPr>
              <w:spacing w:after="0"/>
            </w:pPr>
            <w:r/>
            <w:r>
              <w:rPr>
                <w:b w:val="0"/>
                <w:sz w:val="16"/>
              </w:rPr>
              <w:t>$9.8</w:t>
            </w:r>
          </w:p>
        </w:tc>
        <w:tc>
          <w:tcPr>
            <w:tcW w:type="dxa" w:w="936"/>
          </w:tcPr>
          <w:p>
            <w:pPr>
              <w:spacing w:after="0"/>
            </w:pPr>
            <w:r/>
            <w:r>
              <w:rPr>
                <w:b w:val="0"/>
                <w:sz w:val="16"/>
              </w:rPr>
              <w:t>$9.1</w:t>
            </w:r>
          </w:p>
        </w:tc>
        <w:tc>
          <w:tcPr>
            <w:tcW w:type="dxa" w:w="4248"/>
          </w:tcPr>
          <w:p>
            <w:pPr>
              <w:spacing w:after="0"/>
            </w:pPr>
            <w:r/>
            <w:r>
              <w:rPr>
                <w:b w:val="0"/>
                <w:sz w:val="16"/>
              </w:rPr>
              <w:t>40% bonus (2025) on the full $18.9 as used property (§168(k)(2)(E)(ii)); remainder 5/7-year MACRS</w:t>
            </w:r>
          </w:p>
        </w:tc>
      </w:tr>
      <w:tr>
        <w:tc>
          <w:tcPr>
            <w:tcW w:type="dxa" w:w="2016"/>
          </w:tcPr>
          <w:p>
            <w:pPr>
              <w:spacing w:after="0"/>
            </w:pPr>
            <w:r/>
            <w:r>
              <w:rPr>
                <w:b w:val="0"/>
                <w:sz w:val="16"/>
              </w:rPr>
              <w:t>Other tangible assets</w:t>
            </w:r>
          </w:p>
        </w:tc>
        <w:tc>
          <w:tcPr>
            <w:tcW w:type="dxa" w:w="1008"/>
          </w:tcPr>
          <w:p>
            <w:pPr>
              <w:spacing w:after="0"/>
            </w:pPr>
            <w:r/>
            <w:r>
              <w:rPr>
                <w:b w:val="0"/>
                <w:sz w:val="16"/>
              </w:rPr>
              <w:t>$5.4</w:t>
            </w:r>
          </w:p>
        </w:tc>
        <w:tc>
          <w:tcPr>
            <w:tcW w:type="dxa" w:w="1152"/>
          </w:tcPr>
          <w:p>
            <w:pPr>
              <w:spacing w:after="0"/>
            </w:pPr>
            <w:r/>
            <w:r>
              <w:rPr>
                <w:b w:val="0"/>
                <w:sz w:val="16"/>
              </w:rPr>
              <w:t>$5.4</w:t>
            </w:r>
          </w:p>
        </w:tc>
        <w:tc>
          <w:tcPr>
            <w:tcW w:type="dxa" w:w="936"/>
          </w:tcPr>
          <w:p>
            <w:pPr>
              <w:spacing w:after="0"/>
            </w:pPr>
            <w:r/>
            <w:r>
              <w:rPr>
                <w:b w:val="0"/>
                <w:sz w:val="16"/>
              </w:rPr>
              <w:t>—</w:t>
            </w:r>
          </w:p>
        </w:tc>
        <w:tc>
          <w:tcPr>
            <w:tcW w:type="dxa" w:w="4248"/>
          </w:tcPr>
          <w:p>
            <w:pPr>
              <w:spacing w:after="0"/>
            </w:pPr>
            <w:r/>
            <w:r>
              <w:rPr>
                <w:b w:val="0"/>
                <w:sz w:val="16"/>
              </w:rPr>
              <w:t>40% bonus on the full $5.4 (accelerates recovery)</w:t>
            </w:r>
          </w:p>
        </w:tc>
      </w:tr>
      <w:tr>
        <w:tc>
          <w:tcPr>
            <w:tcW w:type="dxa" w:w="2016"/>
          </w:tcPr>
          <w:p>
            <w:pPr>
              <w:spacing w:after="0"/>
            </w:pPr>
            <w:r/>
            <w:r>
              <w:rPr>
                <w:b w:val="0"/>
                <w:sz w:val="16"/>
              </w:rPr>
              <w:t>Leasehold improvements (QIP)</w:t>
            </w:r>
          </w:p>
        </w:tc>
        <w:tc>
          <w:tcPr>
            <w:tcW w:type="dxa" w:w="1008"/>
          </w:tcPr>
          <w:p>
            <w:pPr>
              <w:spacing w:after="0"/>
            </w:pPr>
            <w:r/>
            <w:r>
              <w:rPr>
                <w:b w:val="0"/>
                <w:sz w:val="16"/>
              </w:rPr>
              <w:t>$3.1</w:t>
            </w:r>
          </w:p>
        </w:tc>
        <w:tc>
          <w:tcPr>
            <w:tcW w:type="dxa" w:w="1152"/>
          </w:tcPr>
          <w:p>
            <w:pPr>
              <w:spacing w:after="0"/>
            </w:pPr>
            <w:r/>
            <w:r>
              <w:rPr>
                <w:b w:val="0"/>
                <w:sz w:val="16"/>
              </w:rPr>
              <w:t>$1.9</w:t>
            </w:r>
          </w:p>
        </w:tc>
        <w:tc>
          <w:tcPr>
            <w:tcW w:type="dxa" w:w="936"/>
          </w:tcPr>
          <w:p>
            <w:pPr>
              <w:spacing w:after="0"/>
            </w:pPr>
            <w:r/>
            <w:r>
              <w:rPr>
                <w:b w:val="0"/>
                <w:sz w:val="16"/>
              </w:rPr>
              <w:t>$1.2</w:t>
            </w:r>
          </w:p>
        </w:tc>
        <w:tc>
          <w:tcPr>
            <w:tcW w:type="dxa" w:w="4248"/>
          </w:tcPr>
          <w:p>
            <w:pPr>
              <w:spacing w:after="0"/>
            </w:pPr>
            <w:r/>
            <w:r>
              <w:rPr>
                <w:b w:val="0"/>
                <w:sz w:val="16"/>
              </w:rPr>
              <w:t>15-year SL, 40% bonus</w:t>
            </w:r>
          </w:p>
        </w:tc>
      </w:tr>
      <w:tr>
        <w:tc>
          <w:tcPr>
            <w:tcW w:type="dxa" w:w="2016"/>
          </w:tcPr>
          <w:p>
            <w:pPr>
              <w:spacing w:after="0"/>
            </w:pPr>
            <w:r/>
            <w:r>
              <w:rPr>
                <w:b w:val="0"/>
                <w:sz w:val="16"/>
              </w:rPr>
              <w:t>Building (Grand Rapids)</w:t>
            </w:r>
          </w:p>
        </w:tc>
        <w:tc>
          <w:tcPr>
            <w:tcW w:type="dxa" w:w="1008"/>
          </w:tcPr>
          <w:p>
            <w:pPr>
              <w:spacing w:after="0"/>
            </w:pPr>
            <w:r/>
            <w:r>
              <w:rPr>
                <w:b w:val="0"/>
                <w:sz w:val="16"/>
              </w:rPr>
              <w:t>$12.0</w:t>
            </w:r>
          </w:p>
        </w:tc>
        <w:tc>
          <w:tcPr>
            <w:tcW w:type="dxa" w:w="1152"/>
          </w:tcPr>
          <w:p>
            <w:pPr>
              <w:spacing w:after="0"/>
            </w:pPr>
            <w:r/>
            <w:r>
              <w:rPr>
                <w:b w:val="0"/>
                <w:sz w:val="16"/>
              </w:rPr>
              <w:t>$3.0</w:t>
            </w:r>
          </w:p>
        </w:tc>
        <w:tc>
          <w:tcPr>
            <w:tcW w:type="dxa" w:w="936"/>
          </w:tcPr>
          <w:p>
            <w:pPr>
              <w:spacing w:after="0"/>
            </w:pPr>
            <w:r/>
            <w:r>
              <w:rPr>
                <w:b w:val="0"/>
                <w:sz w:val="16"/>
              </w:rPr>
              <w:t>$9.0</w:t>
            </w:r>
          </w:p>
        </w:tc>
        <w:tc>
          <w:tcPr>
            <w:tcW w:type="dxa" w:w="4248"/>
          </w:tcPr>
          <w:p>
            <w:pPr>
              <w:spacing w:after="0"/>
            </w:pPr>
            <w:r/>
            <w:r>
              <w:rPr>
                <w:b w:val="0"/>
                <w:sz w:val="16"/>
              </w:rPr>
              <w:t>39-year SL</w:t>
            </w:r>
          </w:p>
        </w:tc>
      </w:tr>
      <w:tr>
        <w:tc>
          <w:tcPr>
            <w:tcW w:type="dxa" w:w="2016"/>
          </w:tcPr>
          <w:p>
            <w:pPr>
              <w:spacing w:after="0"/>
            </w:pPr>
            <w:r/>
            <w:r>
              <w:rPr>
                <w:b w:val="0"/>
                <w:sz w:val="16"/>
              </w:rPr>
              <w:t>Land</w:t>
            </w:r>
          </w:p>
        </w:tc>
        <w:tc>
          <w:tcPr>
            <w:tcW w:type="dxa" w:w="1008"/>
          </w:tcPr>
          <w:p>
            <w:pPr>
              <w:spacing w:after="0"/>
            </w:pPr>
            <w:r/>
            <w:r>
              <w:rPr>
                <w:b w:val="0"/>
                <w:sz w:val="16"/>
              </w:rPr>
              <w:t>$4.5</w:t>
            </w:r>
          </w:p>
        </w:tc>
        <w:tc>
          <w:tcPr>
            <w:tcW w:type="dxa" w:w="1152"/>
          </w:tcPr>
          <w:p>
            <w:pPr>
              <w:spacing w:after="0"/>
            </w:pPr>
            <w:r/>
            <w:r>
              <w:rPr>
                <w:b w:val="0"/>
                <w:sz w:val="16"/>
              </w:rPr>
              <w:t>$1.2</w:t>
            </w:r>
          </w:p>
        </w:tc>
        <w:tc>
          <w:tcPr>
            <w:tcW w:type="dxa" w:w="936"/>
          </w:tcPr>
          <w:p>
            <w:pPr>
              <w:spacing w:after="0"/>
            </w:pPr>
            <w:r/>
            <w:r>
              <w:rPr>
                <w:b w:val="0"/>
                <w:sz w:val="16"/>
              </w:rPr>
              <w:t>$3.3</w:t>
            </w:r>
          </w:p>
        </w:tc>
        <w:tc>
          <w:tcPr>
            <w:tcW w:type="dxa" w:w="4248"/>
          </w:tcPr>
          <w:p>
            <w:pPr>
              <w:spacing w:after="0"/>
            </w:pPr>
            <w:r/>
            <w:r>
              <w:rPr>
                <w:b w:val="0"/>
                <w:sz w:val="16"/>
              </w:rPr>
              <w:t>Not depreciable</w:t>
            </w:r>
          </w:p>
        </w:tc>
      </w:tr>
      <w:tr>
        <w:tc>
          <w:tcPr>
            <w:tcW w:type="dxa" w:w="2016"/>
          </w:tcPr>
          <w:p>
            <w:pPr>
              <w:spacing w:after="0"/>
            </w:pPr>
            <w:r/>
            <w:r>
              <w:rPr>
                <w:b w:val="0"/>
                <w:sz w:val="16"/>
              </w:rPr>
              <w:t>Favorable Memphis lease (lessee interest)</w:t>
            </w:r>
          </w:p>
        </w:tc>
        <w:tc>
          <w:tcPr>
            <w:tcW w:type="dxa" w:w="1008"/>
          </w:tcPr>
          <w:p>
            <w:pPr>
              <w:spacing w:after="0"/>
            </w:pPr>
            <w:r/>
            <w:r>
              <w:rPr>
                <w:b w:val="0"/>
                <w:sz w:val="16"/>
              </w:rPr>
              <w:t>$1.2</w:t>
            </w:r>
          </w:p>
        </w:tc>
        <w:tc>
          <w:tcPr>
            <w:tcW w:type="dxa" w:w="1152"/>
          </w:tcPr>
          <w:p>
            <w:pPr>
              <w:spacing w:after="0"/>
            </w:pPr>
            <w:r/>
            <w:r>
              <w:rPr>
                <w:b w:val="0"/>
                <w:sz w:val="16"/>
              </w:rPr>
              <w:t>—</w:t>
            </w:r>
          </w:p>
        </w:tc>
        <w:tc>
          <w:tcPr>
            <w:tcW w:type="dxa" w:w="936"/>
          </w:tcPr>
          <w:p>
            <w:pPr>
              <w:spacing w:after="0"/>
            </w:pPr>
            <w:r/>
            <w:r>
              <w:rPr>
                <w:b w:val="0"/>
                <w:sz w:val="16"/>
              </w:rPr>
              <w:t>$1.2</w:t>
            </w:r>
          </w:p>
        </w:tc>
        <w:tc>
          <w:tcPr>
            <w:tcW w:type="dxa" w:w="4248"/>
          </w:tcPr>
          <w:p>
            <w:pPr>
              <w:spacing w:after="0"/>
            </w:pPr>
            <w:r/>
            <w:r>
              <w:rPr>
                <w:b w:val="0"/>
                <w:sz w:val="16"/>
              </w:rPr>
              <w:t>Over the remaining lease term (≈ 6 years); not §197 (§197(e)(5))</w:t>
            </w:r>
          </w:p>
        </w:tc>
      </w:tr>
      <w:tr>
        <w:tc>
          <w:tcPr>
            <w:tcW w:type="dxa" w:w="2016"/>
          </w:tcPr>
          <w:p>
            <w:pPr>
              <w:spacing w:after="0"/>
            </w:pPr>
            <w:r/>
            <w:r>
              <w:rPr>
                <w:b w:val="0"/>
                <w:sz w:val="16"/>
              </w:rPr>
              <w:t>§197 intangibles</w:t>
            </w:r>
          </w:p>
        </w:tc>
        <w:tc>
          <w:tcPr>
            <w:tcW w:type="dxa" w:w="1008"/>
          </w:tcPr>
          <w:p>
            <w:pPr>
              <w:spacing w:after="0"/>
            </w:pPr>
            <w:r/>
            <w:r>
              <w:rPr>
                <w:b w:val="0"/>
                <w:sz w:val="16"/>
              </w:rPr>
              <w:t>$279.2</w:t>
            </w:r>
          </w:p>
        </w:tc>
        <w:tc>
          <w:tcPr>
            <w:tcW w:type="dxa" w:w="1152"/>
          </w:tcPr>
          <w:p>
            <w:pPr>
              <w:spacing w:after="0"/>
            </w:pPr>
            <w:r/>
            <w:r>
              <w:rPr>
                <w:b w:val="0"/>
                <w:sz w:val="16"/>
              </w:rPr>
              <w:t>—</w:t>
            </w:r>
          </w:p>
        </w:tc>
        <w:tc>
          <w:tcPr>
            <w:tcW w:type="dxa" w:w="936"/>
          </w:tcPr>
          <w:p>
            <w:pPr>
              <w:spacing w:after="0"/>
            </w:pPr>
            <w:r/>
            <w:r>
              <w:rPr>
                <w:b w:val="0"/>
                <w:sz w:val="16"/>
              </w:rPr>
              <w:t>$279.2</w:t>
            </w:r>
          </w:p>
        </w:tc>
        <w:tc>
          <w:tcPr>
            <w:tcW w:type="dxa" w:w="4248"/>
          </w:tcPr>
          <w:p>
            <w:pPr>
              <w:spacing w:after="0"/>
            </w:pPr>
            <w:r/>
            <w:r>
              <w:rPr>
                <w:b w:val="0"/>
                <w:sz w:val="16"/>
              </w:rPr>
              <w:t>15-year SL (§197(a)); no bonus</w:t>
            </w:r>
          </w:p>
        </w:tc>
      </w:tr>
      <w:tr>
        <w:tc>
          <w:tcPr>
            <w:tcW w:type="dxa" w:w="2016"/>
          </w:tcPr>
          <w:p>
            <w:pPr>
              <w:spacing w:after="0"/>
            </w:pPr>
            <w:r/>
            <w:r>
              <w:rPr>
                <w:b/>
                <w:sz w:val="16"/>
              </w:rPr>
              <w:t>Total (ex-cash)</w:t>
            </w:r>
          </w:p>
        </w:tc>
        <w:tc>
          <w:tcPr>
            <w:tcW w:type="dxa" w:w="1008"/>
          </w:tcPr>
          <w:p>
            <w:pPr>
              <w:spacing w:after="0"/>
            </w:pPr>
            <w:r/>
            <w:r>
              <w:rPr>
                <w:b/>
                <w:sz w:val="16"/>
              </w:rPr>
              <w:t>$449.0</w:t>
            </w:r>
          </w:p>
        </w:tc>
        <w:tc>
          <w:tcPr>
            <w:tcW w:type="dxa" w:w="1152"/>
          </w:tcPr>
          <w:p>
            <w:pPr>
              <w:spacing w:after="0"/>
            </w:pPr>
            <w:r/>
            <w:r>
              <w:rPr>
                <w:b/>
                <w:sz w:val="16"/>
              </w:rPr>
              <w:t>$134.2</w:t>
            </w:r>
          </w:p>
        </w:tc>
        <w:tc>
          <w:tcPr>
            <w:tcW w:type="dxa" w:w="936"/>
          </w:tcPr>
          <w:p>
            <w:pPr>
              <w:spacing w:after="0"/>
            </w:pPr>
            <w:r/>
            <w:r>
              <w:rPr>
                <w:b/>
                <w:sz w:val="16"/>
              </w:rPr>
              <w:t>$314.8</w:t>
            </w:r>
          </w:p>
        </w:tc>
        <w:tc>
          <w:tcPr>
            <w:tcW w:type="dxa" w:w="4248"/>
          </w:tcPr>
          <w:p>
            <w:pPr>
              <w:spacing w:after="0"/>
            </w:pPr>
            <w:r/>
            <w:r>
              <w:rPr>
                <w:b w:val="0"/>
                <w:sz w:val="16"/>
              </w:rPr>
            </w:r>
          </w:p>
        </w:tc>
      </w:tr>
    </w:tbl>
    <w:p>
      <w:pPr>
        <w:spacing w:after="40"/>
      </w:pPr>
    </w:p>
    <w:p>
      <w:pPr>
        <w:pStyle w:val="Heading2"/>
      </w:pPr>
      <w:r>
        <w:t>C. Present value of the step-up</w:t>
      </w:r>
    </w:p>
    <w:p>
      <w:pPr>
        <w:jc w:val="both"/>
      </w:pPr>
      <w:r>
        <w:t>We modeled 15 years of federal and state cash taxes with and without the step-up. Assumptions: EBITDA of $41.85 growing 4% a year; maintenance and growth capex of $5.1 a year (40%/20%/0% bonus for 2025/2026/2027+ under current law); Term Loan interest at 9.25% on a balance amortizing 1% a year, plus OID and debt-issuance-cost amortization (≈ $19.3 in year 1); §163(j) applied with carryforwards; a 25.4% blended rate (21% federal plus 5.63% apportioned state corporate rate, net of the federal benefit); mid-year discounting.</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4896"/>
            <w:shd w:val="clear" w:color="auto" w:fill="D9E1F2"/>
          </w:tcPr>
          <w:p>
            <w:r/>
            <w:r>
              <w:rPr>
                <w:b/>
                <w:sz w:val="17"/>
              </w:rPr>
              <w:t>Scenario (base-case basis $279.2 of §197)</w:t>
            </w:r>
          </w:p>
        </w:tc>
        <w:tc>
          <w:tcPr>
            <w:tcW w:type="dxa" w:w="1440"/>
            <w:shd w:val="clear" w:color="auto" w:fill="D9E1F2"/>
          </w:tcPr>
          <w:p>
            <w:r/>
            <w:r>
              <w:rPr>
                <w:b/>
                <w:sz w:val="17"/>
              </w:rPr>
              <w:t>8% discount</w:t>
            </w:r>
          </w:p>
        </w:tc>
        <w:tc>
          <w:tcPr>
            <w:tcW w:type="dxa" w:w="1440"/>
            <w:shd w:val="clear" w:color="auto" w:fill="D9E1F2"/>
          </w:tcPr>
          <w:p>
            <w:r/>
            <w:r>
              <w:rPr>
                <w:b/>
                <w:sz w:val="17"/>
              </w:rPr>
              <w:t>10% discount</w:t>
            </w:r>
          </w:p>
        </w:tc>
        <w:tc>
          <w:tcPr>
            <w:tcW w:type="dxa" w:w="1440"/>
            <w:shd w:val="clear" w:color="auto" w:fill="D9E1F2"/>
          </w:tcPr>
          <w:p>
            <w:r/>
            <w:r>
              <w:rPr>
                <w:b/>
                <w:sz w:val="17"/>
              </w:rPr>
              <w:t>12% discount</w:t>
            </w:r>
          </w:p>
        </w:tc>
      </w:tr>
      <w:tr>
        <w:tc>
          <w:tcPr>
            <w:tcW w:type="dxa" w:w="4896"/>
          </w:tcPr>
          <w:p>
            <w:pPr>
              <w:spacing w:after="0"/>
            </w:pPr>
            <w:r/>
            <w:r>
              <w:rPr>
                <w:b w:val="0"/>
                <w:sz w:val="17"/>
              </w:rPr>
              <w:t>§163(j) as currently in effect (EBIT-based ATI); interest carryforwards valued at $0</w:t>
            </w:r>
          </w:p>
        </w:tc>
        <w:tc>
          <w:tcPr>
            <w:tcW w:type="dxa" w:w="1440"/>
          </w:tcPr>
          <w:p>
            <w:pPr>
              <w:spacing w:after="0"/>
            </w:pPr>
            <w:r/>
            <w:r>
              <w:rPr>
                <w:b w:val="0"/>
                <w:sz w:val="17"/>
              </w:rPr>
              <w:t>$33.7</w:t>
            </w:r>
          </w:p>
        </w:tc>
        <w:tc>
          <w:tcPr>
            <w:tcW w:type="dxa" w:w="1440"/>
          </w:tcPr>
          <w:p>
            <w:pPr>
              <w:spacing w:after="0"/>
            </w:pPr>
            <w:r/>
            <w:r>
              <w:rPr>
                <w:b w:val="0"/>
                <w:sz w:val="17"/>
              </w:rPr>
              <w:t>$30.6</w:t>
            </w:r>
          </w:p>
        </w:tc>
        <w:tc>
          <w:tcPr>
            <w:tcW w:type="dxa" w:w="1440"/>
          </w:tcPr>
          <w:p>
            <w:pPr>
              <w:spacing w:after="0"/>
            </w:pPr>
            <w:r/>
            <w:r>
              <w:rPr>
                <w:b w:val="0"/>
                <w:sz w:val="17"/>
              </w:rPr>
              <w:t>$27.9</w:t>
            </w:r>
          </w:p>
        </w:tc>
      </w:tr>
      <w:tr>
        <w:tc>
          <w:tcPr>
            <w:tcW w:type="dxa" w:w="4896"/>
          </w:tcPr>
          <w:p>
            <w:pPr>
              <w:spacing w:after="0"/>
            </w:pPr>
            <w:r/>
            <w:r>
              <w:rPr>
                <w:b w:val="0"/>
                <w:sz w:val="17"/>
              </w:rPr>
              <w:t>§163(j) with EBITDA-based ATI (if H.R. 7024-type relief is enacted)</w:t>
            </w:r>
          </w:p>
        </w:tc>
        <w:tc>
          <w:tcPr>
            <w:tcW w:type="dxa" w:w="1440"/>
          </w:tcPr>
          <w:p>
            <w:pPr>
              <w:spacing w:after="0"/>
            </w:pPr>
            <w:r/>
            <w:r>
              <w:rPr>
                <w:b w:val="0"/>
                <w:sz w:val="17"/>
              </w:rPr>
              <w:t>$47.2</w:t>
            </w:r>
          </w:p>
        </w:tc>
        <w:tc>
          <w:tcPr>
            <w:tcW w:type="dxa" w:w="1440"/>
          </w:tcPr>
          <w:p>
            <w:pPr>
              <w:spacing w:after="0"/>
            </w:pPr>
            <w:r/>
            <w:r>
              <w:rPr>
                <w:b w:val="0"/>
                <w:sz w:val="17"/>
              </w:rPr>
              <w:t>$42.5</w:t>
            </w:r>
          </w:p>
        </w:tc>
        <w:tc>
          <w:tcPr>
            <w:tcW w:type="dxa" w:w="1440"/>
          </w:tcPr>
          <w:p>
            <w:pPr>
              <w:spacing w:after="0"/>
            </w:pPr>
            <w:r/>
            <w:r>
              <w:rPr>
                <w:b w:val="0"/>
                <w:sz w:val="17"/>
              </w:rPr>
              <w:t>$38.7</w:t>
            </w:r>
          </w:p>
        </w:tc>
      </w:tr>
      <w:tr>
        <w:tc>
          <w:tcPr>
            <w:tcW w:type="dxa" w:w="4896"/>
          </w:tcPr>
          <w:p>
            <w:pPr>
              <w:spacing w:after="0"/>
            </w:pPr>
            <w:r/>
            <w:r>
              <w:rPr>
                <w:b w:val="0"/>
                <w:sz w:val="17"/>
              </w:rPr>
              <w:t>Sensitivity: CIM liability figures (EBIT / EBITDA)</w:t>
            </w:r>
          </w:p>
        </w:tc>
        <w:tc>
          <w:tcPr>
            <w:tcW w:type="dxa" w:w="1440"/>
          </w:tcPr>
          <w:p>
            <w:pPr>
              <w:spacing w:after="0"/>
            </w:pPr>
            <w:r/>
            <w:r>
              <w:rPr>
                <w:b w:val="0"/>
                <w:sz w:val="17"/>
              </w:rPr>
              <w:t>$31.5 / $44.2</w:t>
            </w:r>
          </w:p>
        </w:tc>
        <w:tc>
          <w:tcPr>
            <w:tcW w:type="dxa" w:w="1440"/>
          </w:tcPr>
          <w:p>
            <w:pPr>
              <w:spacing w:after="0"/>
            </w:pPr>
            <w:r/>
            <w:r>
              <w:rPr>
                <w:b w:val="0"/>
                <w:sz w:val="17"/>
              </w:rPr>
              <w:t>$28.6 / $39.9</w:t>
            </w:r>
          </w:p>
        </w:tc>
        <w:tc>
          <w:tcPr>
            <w:tcW w:type="dxa" w:w="1440"/>
          </w:tcPr>
          <w:p>
            <w:pPr>
              <w:spacing w:after="0"/>
            </w:pPr>
            <w:r/>
            <w:r>
              <w:rPr>
                <w:b w:val="0"/>
                <w:sz w:val="17"/>
              </w:rPr>
              <w:t>$26.1 / $36.3</w:t>
            </w:r>
          </w:p>
        </w:tc>
      </w:tr>
      <w:tr>
        <w:tc>
          <w:tcPr>
            <w:tcW w:type="dxa" w:w="4896"/>
          </w:tcPr>
          <w:p>
            <w:pPr>
              <w:spacing w:after="0"/>
            </w:pPr>
            <w:r/>
            <w:r>
              <w:rPr>
                <w:b w:val="0"/>
                <w:sz w:val="17"/>
              </w:rPr>
              <w:t>Memo: PPA as drafted (EBIT / EBITDA)</w:t>
            </w:r>
          </w:p>
        </w:tc>
        <w:tc>
          <w:tcPr>
            <w:tcW w:type="dxa" w:w="1440"/>
          </w:tcPr>
          <w:p>
            <w:pPr>
              <w:spacing w:after="0"/>
            </w:pPr>
            <w:r/>
            <w:r>
              <w:rPr>
                <w:b w:val="0"/>
                <w:sz w:val="17"/>
              </w:rPr>
              <w:t>$27.3 / $38.6</w:t>
            </w:r>
          </w:p>
        </w:tc>
        <w:tc>
          <w:tcPr>
            <w:tcW w:type="dxa" w:w="1440"/>
          </w:tcPr>
          <w:p>
            <w:pPr>
              <w:spacing w:after="0"/>
            </w:pPr>
            <w:r/>
            <w:r>
              <w:rPr>
                <w:b w:val="0"/>
                <w:sz w:val="17"/>
              </w:rPr>
              <w:t>$24.8 / $35.0</w:t>
            </w:r>
          </w:p>
        </w:tc>
        <w:tc>
          <w:tcPr>
            <w:tcW w:type="dxa" w:w="1440"/>
          </w:tcPr>
          <w:p>
            <w:pPr>
              <w:spacing w:after="0"/>
            </w:pPr>
            <w:r/>
            <w:r>
              <w:rPr>
                <w:b w:val="0"/>
                <w:sz w:val="17"/>
              </w:rPr>
              <w:t>$22.7 / $31.9</w:t>
            </w:r>
          </w:p>
        </w:tc>
      </w:tr>
    </w:tbl>
    <w:p>
      <w:pPr>
        <w:spacing w:after="40"/>
      </w:pPr>
    </w:p>
    <w:p>
      <w:pPr>
        <w:jc w:val="both"/>
      </w:pPr>
      <w:r>
        <w:t>Undiscounted incremental deductions over 15 years total about $304.6, with first-year cash tax savings of about $6.2. Under EBIT-based ATI, the step-up converts part of the benefit into disallowed-interest carryforwards (≈ $127 by year 15, versus ≈ $37 without a step-up). Those carryforwards do not expire and have value after the amortization period ends, so the $30.6 figure is conservative. If Fund IV uses a flow-through vehicle, taxable individual investors would use the deductions at higher individual rates. The model does not include the exit premium: a later buyer of HIS Holdings’ units or assets can obtain its own step-up, whereas a C corporation’s stock buyer cannot.</w:t>
      </w:r>
    </w:p>
    <w:p>
      <w:pPr>
        <w:jc w:val="both"/>
      </w:pPr>
      <w:r>
        <w:rPr>
          <w:b/>
        </w:rPr>
        <w:t>Inventory method.</w:t>
      </w:r>
      <w:r>
        <w:t xml:space="preserve"> The buyer (HIS Holdings, or HIS Acquisition Corp) is a new taxpayer and may choose its own inventory method for the acquired inventory. If it elects LIFO in its first year, the $76.0 stepped-up cost becomes the base LIFO layer, and the $11.8 inventory step-up (≈ $3.0 of tax value) is recovered only when that layer is liquidated. We recommend that the buyer not elect LIFO in its first taxable year, and that it consider a LIFO election (Form 970, no consent required) for a later year if the inflation outlook justifies one. The Ironclad negative covenant prohibiting any change from LIFO (§10(j)) should be revised to permit the new taxpayer’s initial method choice. Under ASC 805 purchase accounting, book inventory is restated to fair value at closing in any event.</w:t>
      </w:r>
    </w:p>
    <w:p>
      <w:pPr>
        <w:jc w:val="both"/>
      </w:pPr>
      <w:r>
        <w:rPr>
          <w:b/>
        </w:rPr>
        <w:t>Other buyer points.</w:t>
      </w:r>
      <w:r>
        <w:t xml:space="preserve"> The §197(f)(9) anti-churning rules do not apply: HIS was formed in 1997, so its goodwill was not held or used before August 10, 1993, and David’s roughly 3.5% interest is far below the 20% related-person threshold. §1239 does not apply. Bonus depreciation is available because the assets are acquired by purchase from an unrelated party.</w:t>
      </w:r>
    </w:p>
    <w:p>
      <w:pPr>
        <w:pStyle w:val="Heading2"/>
      </w:pPr>
      <w:r>
        <w:t>D. Choice of acquisition vehicle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1872"/>
            <w:shd w:val="clear" w:color="auto" w:fill="D9E1F2"/>
          </w:tcPr>
          <w:p>
            <w:r/>
            <w:r>
              <w:rPr>
                <w:b/>
                <w:sz w:val="16"/>
              </w:rPr>
              <w:t>Consideration</w:t>
            </w:r>
          </w:p>
        </w:tc>
        <w:tc>
          <w:tcPr>
            <w:tcW w:type="dxa" w:w="3888"/>
            <w:shd w:val="clear" w:color="auto" w:fill="D9E1F2"/>
          </w:tcPr>
          <w:p>
            <w:r/>
            <w:r>
              <w:rPr>
                <w:b/>
                <w:sz w:val="16"/>
              </w:rPr>
              <w:t>HIS Holdings, LLC (partnership) — recommended</w:t>
            </w:r>
          </w:p>
        </w:tc>
        <w:tc>
          <w:tcPr>
            <w:tcW w:type="dxa" w:w="3600"/>
            <w:shd w:val="clear" w:color="auto" w:fill="D9E1F2"/>
          </w:tcPr>
          <w:p>
            <w:r/>
            <w:r>
              <w:rPr>
                <w:b/>
                <w:sz w:val="16"/>
              </w:rPr>
              <w:t>HIS Acquisition Corp (C corporation)</w:t>
            </w:r>
          </w:p>
        </w:tc>
      </w:tr>
      <w:tr>
        <w:tc>
          <w:tcPr>
            <w:tcW w:type="dxa" w:w="1872"/>
          </w:tcPr>
          <w:p>
            <w:pPr>
              <w:spacing w:after="0"/>
            </w:pPr>
            <w:r/>
            <w:r>
              <w:rPr>
                <w:b w:val="0"/>
                <w:sz w:val="16"/>
              </w:rPr>
              <w:t>Use of step-up</w:t>
            </w:r>
          </w:p>
        </w:tc>
        <w:tc>
          <w:tcPr>
            <w:tcW w:type="dxa" w:w="3888"/>
          </w:tcPr>
          <w:p>
            <w:pPr>
              <w:spacing w:after="0"/>
            </w:pPr>
            <w:r/>
            <w:r>
              <w:rPr>
                <w:b w:val="0"/>
                <w:sz w:val="16"/>
              </w:rPr>
              <w:t>Flows to partners (individual rates up to 37% + state; 21% for blocker partners)</w:t>
            </w:r>
          </w:p>
        </w:tc>
        <w:tc>
          <w:tcPr>
            <w:tcW w:type="dxa" w:w="3600"/>
          </w:tcPr>
          <w:p>
            <w:pPr>
              <w:spacing w:after="0"/>
            </w:pPr>
            <w:r/>
            <w:r>
              <w:rPr>
                <w:b w:val="0"/>
                <w:sz w:val="16"/>
              </w:rPr>
              <w:t>21% + state at the corporate level</w:t>
            </w:r>
          </w:p>
        </w:tc>
      </w:tr>
      <w:tr>
        <w:tc>
          <w:tcPr>
            <w:tcW w:type="dxa" w:w="1872"/>
          </w:tcPr>
          <w:p>
            <w:pPr>
              <w:spacing w:after="0"/>
            </w:pPr>
            <w:r/>
            <w:r>
              <w:rPr>
                <w:b w:val="0"/>
                <w:sz w:val="16"/>
              </w:rPr>
              <w:t>Ongoing tax on earnings</w:t>
            </w:r>
          </w:p>
        </w:tc>
        <w:tc>
          <w:tcPr>
            <w:tcW w:type="dxa" w:w="3888"/>
          </w:tcPr>
          <w:p>
            <w:pPr>
              <w:spacing w:after="0"/>
            </w:pPr>
            <w:r/>
            <w:r>
              <w:rPr>
                <w:b w:val="0"/>
                <w:sz w:val="16"/>
              </w:rPr>
              <w:t>Single level (partner level)</w:t>
            </w:r>
          </w:p>
        </w:tc>
        <w:tc>
          <w:tcPr>
            <w:tcW w:type="dxa" w:w="3600"/>
          </w:tcPr>
          <w:p>
            <w:pPr>
              <w:spacing w:after="0"/>
            </w:pPr>
            <w:r/>
            <w:r>
              <w:rPr>
                <w:b w:val="0"/>
                <w:sz w:val="16"/>
              </w:rPr>
              <w:t>Two levels (21% corporate + tax on dividends/exit)</w:t>
            </w:r>
          </w:p>
        </w:tc>
      </w:tr>
      <w:tr>
        <w:tc>
          <w:tcPr>
            <w:tcW w:type="dxa" w:w="1872"/>
          </w:tcPr>
          <w:p>
            <w:pPr>
              <w:spacing w:after="0"/>
            </w:pPr>
            <w:r/>
            <w:r>
              <w:rPr>
                <w:b w:val="0"/>
                <w:sz w:val="16"/>
              </w:rPr>
              <w:t>Exit</w:t>
            </w:r>
          </w:p>
        </w:tc>
        <w:tc>
          <w:tcPr>
            <w:tcW w:type="dxa" w:w="3888"/>
          </w:tcPr>
          <w:p>
            <w:pPr>
              <w:spacing w:after="0"/>
            </w:pPr>
            <w:r/>
            <w:r>
              <w:rPr>
                <w:b w:val="0"/>
                <w:sz w:val="16"/>
              </w:rPr>
              <w:t>Sale of units/assets gives the next buyer a step-up (§743/§754 or asset treatment); a premium is possible</w:t>
            </w:r>
          </w:p>
        </w:tc>
        <w:tc>
          <w:tcPr>
            <w:tcW w:type="dxa" w:w="3600"/>
          </w:tcPr>
          <w:p>
            <w:pPr>
              <w:spacing w:after="0"/>
            </w:pPr>
            <w:r/>
            <w:r>
              <w:rPr>
                <w:b w:val="0"/>
                <w:sz w:val="16"/>
              </w:rPr>
              <w:t>A stock sale gives the next buyer no step-up unless it pays for a §338/§336(e) election</w:t>
            </w:r>
          </w:p>
        </w:tc>
      </w:tr>
      <w:tr>
        <w:tc>
          <w:tcPr>
            <w:tcW w:type="dxa" w:w="1872"/>
          </w:tcPr>
          <w:p>
            <w:pPr>
              <w:spacing w:after="0"/>
            </w:pPr>
            <w:r/>
            <w:r>
              <w:rPr>
                <w:b w:val="0"/>
                <w:sz w:val="16"/>
              </w:rPr>
              <w:t>David rollover</w:t>
            </w:r>
          </w:p>
        </w:tc>
        <w:tc>
          <w:tcPr>
            <w:tcW w:type="dxa" w:w="3888"/>
          </w:tcPr>
          <w:p>
            <w:pPr>
              <w:spacing w:after="0"/>
            </w:pPr>
            <w:r/>
            <w:r>
              <w:rPr>
                <w:b w:val="0"/>
                <w:sz w:val="16"/>
              </w:rPr>
              <w:t>§721 cash contribution; $12.0 basis; capital account; profits interests available for management incentives (Rev. Procs. 93-27, 2001-43)</w:t>
            </w:r>
          </w:p>
        </w:tc>
        <w:tc>
          <w:tcPr>
            <w:tcW w:type="dxa" w:w="3600"/>
          </w:tcPr>
          <w:p>
            <w:pPr>
              <w:spacing w:after="0"/>
            </w:pPr>
            <w:r/>
            <w:r>
              <w:rPr>
                <w:b w:val="0"/>
                <w:sz w:val="16"/>
              </w:rPr>
              <w:t>Cash for stock; basis $12.0</w:t>
            </w:r>
          </w:p>
        </w:tc>
      </w:tr>
      <w:tr>
        <w:tc>
          <w:tcPr>
            <w:tcW w:type="dxa" w:w="1872"/>
          </w:tcPr>
          <w:p>
            <w:pPr>
              <w:spacing w:after="0"/>
            </w:pPr>
            <w:r/>
            <w:r>
              <w:rPr>
                <w:b w:val="0"/>
                <w:sz w:val="16"/>
              </w:rPr>
              <w:t>Fund IV investor issues</w:t>
            </w:r>
          </w:p>
        </w:tc>
        <w:tc>
          <w:tcPr>
            <w:tcW w:type="dxa" w:w="3888"/>
          </w:tcPr>
          <w:p>
            <w:pPr>
              <w:spacing w:after="0"/>
            </w:pPr>
            <w:r/>
            <w:r>
              <w:rPr>
                <w:b w:val="0"/>
                <w:sz w:val="16"/>
              </w:rPr>
              <w:t>Operating income is UBTI/ECI. Tax-exempt and non-U.S. LPs need blockers. Partner-level filings or composite returns in up to 14 states</w:t>
            </w:r>
          </w:p>
        </w:tc>
        <w:tc>
          <w:tcPr>
            <w:tcW w:type="dxa" w:w="3600"/>
          </w:tcPr>
          <w:p>
            <w:pPr>
              <w:spacing w:after="0"/>
            </w:pPr>
            <w:r/>
            <w:r>
              <w:rPr>
                <w:b w:val="0"/>
                <w:sz w:val="16"/>
              </w:rPr>
              <w:t>Blocks UBTI/ECI; simple LP reporting</w:t>
            </w:r>
          </w:p>
        </w:tc>
      </w:tr>
      <w:tr>
        <w:tc>
          <w:tcPr>
            <w:tcW w:type="dxa" w:w="1872"/>
          </w:tcPr>
          <w:p>
            <w:pPr>
              <w:spacing w:after="0"/>
            </w:pPr>
            <w:r/>
            <w:r>
              <w:rPr>
                <w:b w:val="0"/>
                <w:sz w:val="16"/>
              </w:rPr>
              <w:t>§163(j)</w:t>
            </w:r>
          </w:p>
        </w:tc>
        <w:tc>
          <w:tcPr>
            <w:tcW w:type="dxa" w:w="3888"/>
          </w:tcPr>
          <w:p>
            <w:pPr>
              <w:spacing w:after="0"/>
            </w:pPr>
            <w:r/>
            <w:r>
              <w:rPr>
                <w:b w:val="0"/>
                <w:sz w:val="16"/>
              </w:rPr>
              <w:t>Applied at partnership level; excess business interest expense allocated to partners (§163(j)(4))</w:t>
            </w:r>
          </w:p>
        </w:tc>
        <w:tc>
          <w:tcPr>
            <w:tcW w:type="dxa" w:w="3600"/>
          </w:tcPr>
          <w:p>
            <w:pPr>
              <w:spacing w:after="0"/>
            </w:pPr>
            <w:r/>
            <w:r>
              <w:rPr>
                <w:b w:val="0"/>
                <w:sz w:val="16"/>
              </w:rPr>
              <w:t>Applied at corporate (consolidated) level</w:t>
            </w:r>
          </w:p>
        </w:tc>
      </w:tr>
      <w:tr>
        <w:tc>
          <w:tcPr>
            <w:tcW w:type="dxa" w:w="1872"/>
          </w:tcPr>
          <w:p>
            <w:pPr>
              <w:spacing w:after="0"/>
            </w:pPr>
            <w:r/>
            <w:r>
              <w:rPr>
                <w:b w:val="0"/>
                <w:sz w:val="16"/>
              </w:rPr>
              <w:t>State</w:t>
            </w:r>
          </w:p>
        </w:tc>
        <w:tc>
          <w:tcPr>
            <w:tcW w:type="dxa" w:w="3888"/>
          </w:tcPr>
          <w:p>
            <w:pPr>
              <w:spacing w:after="0"/>
            </w:pPr>
            <w:r/>
            <w:r>
              <w:rPr>
                <w:b w:val="0"/>
                <w:sz w:val="16"/>
              </w:rPr>
              <w:t>Partnership-level taxes only where imposed (TN excise, IL replacement 1.5%, possibly KY LLET); PA CNIT not applicable</w:t>
            </w:r>
          </w:p>
        </w:tc>
        <w:tc>
          <w:tcPr>
            <w:tcW w:type="dxa" w:w="3600"/>
          </w:tcPr>
          <w:p>
            <w:pPr>
              <w:spacing w:after="0"/>
            </w:pPr>
            <w:r/>
            <w:r>
              <w:rPr>
                <w:b w:val="0"/>
                <w:sz w:val="16"/>
              </w:rPr>
              <w:t>Full state corporate tax (MI CIT 6%, PA CNIT, etc.)</w:t>
            </w:r>
          </w:p>
        </w:tc>
      </w:tr>
    </w:tbl>
    <w:p>
      <w:pPr>
        <w:spacing w:after="40"/>
      </w:pPr>
    </w:p>
    <w:p>
      <w:pPr>
        <w:jc w:val="both"/>
      </w:pPr>
      <w:r>
        <w:t>Our recommendation of a partnership vehicle assumes Fund IV’s customary blocker arrangements are available for tax-exempt and non-U.S. limited partners. If Fund IV’s investor base or portfolio practice requires a corporate structure, HIS Acquisition Corp should buy the HIS, LLC interests. Every other recommendation in this memorandum stays the same.</w:t>
      </w:r>
    </w:p>
    <w:p>
      <w:pPr>
        <w:pStyle w:val="Heading1"/>
      </w:pPr>
      <w:r>
        <w:t>VI. Seller Economics — After-Tax Comparison by Shareholder</w:t>
      </w:r>
    </w:p>
    <w:p>
      <w:pPr>
        <w:jc w:val="both"/>
      </w:pPr>
      <w:r>
        <w:t xml:space="preserve">This is the comparison promised to Prescott &amp; Lowell on November 5. It compares a straight stock sale (Alternative 1) with the recommended structure. The recommended structure produces the same seller tax as a §338(h)(10) election or a direct asset sale. In a step-up structure, each shareholder’s total gain still equals the stock-sale gain ($328.1 in total). The inside gain on the asset sale ($314.8) passes through and increases stock basis, and the remaining $13.3 is capital gain on the liquidating distribution (§331). Only the </w:t>
      </w:r>
      <w:r>
        <w:rPr>
          <w:b/>
        </w:rPr>
        <w:t>character</w:t>
      </w:r>
      <w:r>
        <w:t xml:space="preserve"> of the gain and </w:t>
      </w:r>
      <w:r>
        <w:rPr>
          <w:b/>
        </w:rPr>
        <w:t>where it is taxed</w:t>
      </w:r>
      <w:r>
        <w:t xml:space="preserve"> change.</w:t>
      </w:r>
    </w:p>
    <w:p>
      <w:pPr>
        <w:pStyle w:val="Heading2"/>
      </w:pPr>
      <w:r>
        <w:t>A. Composition of the asset-sale gain (aggregate, base case)</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4176"/>
            <w:shd w:val="clear" w:color="auto" w:fill="D9E1F2"/>
          </w:tcPr>
          <w:p>
            <w:r/>
            <w:r>
              <w:rPr>
                <w:b/>
                <w:sz w:val="16"/>
              </w:rPr>
              <w:t>Component</w:t>
            </w:r>
          </w:p>
        </w:tc>
        <w:tc>
          <w:tcPr>
            <w:tcW w:type="dxa" w:w="1008"/>
            <w:shd w:val="clear" w:color="auto" w:fill="D9E1F2"/>
          </w:tcPr>
          <w:p>
            <w:r/>
            <w:r>
              <w:rPr>
                <w:b/>
                <w:sz w:val="16"/>
              </w:rPr>
              <w:t>Amount</w:t>
            </w:r>
          </w:p>
        </w:tc>
        <w:tc>
          <w:tcPr>
            <w:tcW w:type="dxa" w:w="2448"/>
            <w:shd w:val="clear" w:color="auto" w:fill="D9E1F2"/>
          </w:tcPr>
          <w:p>
            <w:r/>
            <w:r>
              <w:rPr>
                <w:b/>
                <w:sz w:val="16"/>
              </w:rPr>
              <w:t>Character / federal rate</w:t>
            </w:r>
          </w:p>
        </w:tc>
        <w:tc>
          <w:tcPr>
            <w:tcW w:type="dxa" w:w="1728"/>
            <w:shd w:val="clear" w:color="auto" w:fill="D9E1F2"/>
          </w:tcPr>
          <w:p>
            <w:r/>
            <w:r>
              <w:rPr>
                <w:b/>
                <w:sz w:val="16"/>
              </w:rPr>
              <w:t>Incremental federal cost vs 20% LTCG</w:t>
            </w:r>
          </w:p>
        </w:tc>
      </w:tr>
      <w:tr>
        <w:tc>
          <w:tcPr>
            <w:tcW w:type="dxa" w:w="4176"/>
          </w:tcPr>
          <w:p>
            <w:pPr>
              <w:spacing w:after="0"/>
            </w:pPr>
            <w:r/>
            <w:r>
              <w:rPr>
                <w:b w:val="0"/>
                <w:sz w:val="16"/>
              </w:rPr>
              <w:t>LIFO reserve (inventory FMV $76.0 − LIFO basis $64.2)</w:t>
            </w:r>
          </w:p>
        </w:tc>
        <w:tc>
          <w:tcPr>
            <w:tcW w:type="dxa" w:w="1008"/>
          </w:tcPr>
          <w:p>
            <w:pPr>
              <w:spacing w:after="0"/>
            </w:pPr>
            <w:r/>
            <w:r>
              <w:rPr>
                <w:b w:val="0"/>
                <w:sz w:val="16"/>
              </w:rPr>
              <w:t>$11.8</w:t>
            </w:r>
          </w:p>
        </w:tc>
        <w:tc>
          <w:tcPr>
            <w:tcW w:type="dxa" w:w="2448"/>
          </w:tcPr>
          <w:p>
            <w:pPr>
              <w:spacing w:after="0"/>
            </w:pPr>
            <w:r/>
            <w:r>
              <w:rPr>
                <w:b w:val="0"/>
                <w:sz w:val="16"/>
              </w:rPr>
              <w:t>Ordinary (37%)</w:t>
            </w:r>
          </w:p>
        </w:tc>
        <w:tc>
          <w:tcPr>
            <w:tcW w:type="dxa" w:w="1728"/>
          </w:tcPr>
          <w:p>
            <w:pPr>
              <w:spacing w:after="0"/>
            </w:pPr>
            <w:r/>
            <w:r>
              <w:rPr>
                <w:b w:val="0"/>
                <w:sz w:val="16"/>
              </w:rPr>
              <w:t>$2.01</w:t>
            </w:r>
          </w:p>
        </w:tc>
      </w:tr>
      <w:tr>
        <w:tc>
          <w:tcPr>
            <w:tcW w:type="dxa" w:w="4176"/>
          </w:tcPr>
          <w:p>
            <w:pPr>
              <w:spacing w:after="0"/>
            </w:pPr>
            <w:r/>
            <w:r>
              <w:rPr>
                <w:b w:val="0"/>
                <w:sz w:val="16"/>
              </w:rPr>
              <w:t>Equipment gain ($18.9 − $9.8; prior depreciation exceeds gain)</w:t>
            </w:r>
          </w:p>
        </w:tc>
        <w:tc>
          <w:tcPr>
            <w:tcW w:type="dxa" w:w="1008"/>
          </w:tcPr>
          <w:p>
            <w:pPr>
              <w:spacing w:after="0"/>
            </w:pPr>
            <w:r/>
            <w:r>
              <w:rPr>
                <w:b w:val="0"/>
                <w:sz w:val="16"/>
              </w:rPr>
              <w:t>$9.1</w:t>
            </w:r>
          </w:p>
        </w:tc>
        <w:tc>
          <w:tcPr>
            <w:tcW w:type="dxa" w:w="2448"/>
          </w:tcPr>
          <w:p>
            <w:pPr>
              <w:spacing w:after="0"/>
            </w:pPr>
            <w:r/>
            <w:r>
              <w:rPr>
                <w:b w:val="0"/>
                <w:sz w:val="16"/>
              </w:rPr>
              <w:t>§1245 ordinary (37%)</w:t>
            </w:r>
          </w:p>
        </w:tc>
        <w:tc>
          <w:tcPr>
            <w:tcW w:type="dxa" w:w="1728"/>
          </w:tcPr>
          <w:p>
            <w:pPr>
              <w:spacing w:after="0"/>
            </w:pPr>
            <w:r/>
            <w:r>
              <w:rPr>
                <w:b w:val="0"/>
                <w:sz w:val="16"/>
              </w:rPr>
              <w:t>$1.55</w:t>
            </w:r>
          </w:p>
        </w:tc>
      </w:tr>
      <w:tr>
        <w:tc>
          <w:tcPr>
            <w:tcW w:type="dxa" w:w="4176"/>
          </w:tcPr>
          <w:p>
            <w:pPr>
              <w:spacing w:after="0"/>
            </w:pPr>
            <w:r/>
            <w:r>
              <w:rPr>
                <w:b w:val="0"/>
                <w:sz w:val="16"/>
              </w:rPr>
              <w:t>Building: depreciation taken (cost ≈ $9.0 − basis $3.0)</w:t>
            </w:r>
          </w:p>
        </w:tc>
        <w:tc>
          <w:tcPr>
            <w:tcW w:type="dxa" w:w="1008"/>
          </w:tcPr>
          <w:p>
            <w:pPr>
              <w:spacing w:after="0"/>
            </w:pPr>
            <w:r/>
            <w:r>
              <w:rPr>
                <w:b w:val="0"/>
                <w:sz w:val="16"/>
              </w:rPr>
              <w:t>$6.0</w:t>
            </w:r>
          </w:p>
        </w:tc>
        <w:tc>
          <w:tcPr>
            <w:tcW w:type="dxa" w:w="2448"/>
          </w:tcPr>
          <w:p>
            <w:pPr>
              <w:spacing w:after="0"/>
            </w:pPr>
            <w:r/>
            <w:r>
              <w:rPr>
                <w:b w:val="0"/>
                <w:sz w:val="16"/>
              </w:rPr>
              <w:t>Unrecaptured §1250 (25%)</w:t>
            </w:r>
          </w:p>
        </w:tc>
        <w:tc>
          <w:tcPr>
            <w:tcW w:type="dxa" w:w="1728"/>
          </w:tcPr>
          <w:p>
            <w:pPr>
              <w:spacing w:after="0"/>
            </w:pPr>
            <w:r/>
            <w:r>
              <w:rPr>
                <w:b w:val="0"/>
                <w:sz w:val="16"/>
              </w:rPr>
              <w:t>$0.30</w:t>
            </w:r>
          </w:p>
        </w:tc>
      </w:tr>
      <w:tr>
        <w:tc>
          <w:tcPr>
            <w:tcW w:type="dxa" w:w="4176"/>
          </w:tcPr>
          <w:p>
            <w:pPr>
              <w:spacing w:after="0"/>
            </w:pPr>
            <w:r/>
            <w:r>
              <w:rPr>
                <w:b w:val="0"/>
                <w:sz w:val="16"/>
              </w:rPr>
              <w:t>Leasehold improvements (assumes straight-line depreciation; any excess over SL is §1250 ordinary)</w:t>
            </w:r>
          </w:p>
        </w:tc>
        <w:tc>
          <w:tcPr>
            <w:tcW w:type="dxa" w:w="1008"/>
          </w:tcPr>
          <w:p>
            <w:pPr>
              <w:spacing w:after="0"/>
            </w:pPr>
            <w:r/>
            <w:r>
              <w:rPr>
                <w:b w:val="0"/>
                <w:sz w:val="16"/>
              </w:rPr>
              <w:t>$1.2</w:t>
            </w:r>
          </w:p>
        </w:tc>
        <w:tc>
          <w:tcPr>
            <w:tcW w:type="dxa" w:w="2448"/>
          </w:tcPr>
          <w:p>
            <w:pPr>
              <w:spacing w:after="0"/>
            </w:pPr>
            <w:r/>
            <w:r>
              <w:rPr>
                <w:b w:val="0"/>
                <w:sz w:val="16"/>
              </w:rPr>
              <w:t>Unrecaptured §1250 (25%)</w:t>
            </w:r>
          </w:p>
        </w:tc>
        <w:tc>
          <w:tcPr>
            <w:tcW w:type="dxa" w:w="1728"/>
          </w:tcPr>
          <w:p>
            <w:pPr>
              <w:spacing w:after="0"/>
            </w:pPr>
            <w:r/>
            <w:r>
              <w:rPr>
                <w:b w:val="0"/>
                <w:sz w:val="16"/>
              </w:rPr>
              <w:t>$0.06</w:t>
            </w:r>
          </w:p>
        </w:tc>
      </w:tr>
      <w:tr>
        <w:tc>
          <w:tcPr>
            <w:tcW w:type="dxa" w:w="4176"/>
          </w:tcPr>
          <w:p>
            <w:pPr>
              <w:spacing w:after="0"/>
            </w:pPr>
            <w:r/>
            <w:r>
              <w:rPr>
                <w:b w:val="0"/>
                <w:sz w:val="16"/>
              </w:rPr>
              <w:t>Building appreciation above cost ($3.0) and land ($3.3)</w:t>
            </w:r>
          </w:p>
        </w:tc>
        <w:tc>
          <w:tcPr>
            <w:tcW w:type="dxa" w:w="1008"/>
          </w:tcPr>
          <w:p>
            <w:pPr>
              <w:spacing w:after="0"/>
            </w:pPr>
            <w:r/>
            <w:r>
              <w:rPr>
                <w:b w:val="0"/>
                <w:sz w:val="16"/>
              </w:rPr>
              <w:t>$6.3</w:t>
            </w:r>
          </w:p>
        </w:tc>
        <w:tc>
          <w:tcPr>
            <w:tcW w:type="dxa" w:w="2448"/>
          </w:tcPr>
          <w:p>
            <w:pPr>
              <w:spacing w:after="0"/>
            </w:pPr>
            <w:r/>
            <w:r>
              <w:rPr>
                <w:b w:val="0"/>
                <w:sz w:val="16"/>
              </w:rPr>
              <w:t>§1231 (20%)</w:t>
            </w:r>
          </w:p>
        </w:tc>
        <w:tc>
          <w:tcPr>
            <w:tcW w:type="dxa" w:w="1728"/>
          </w:tcPr>
          <w:p>
            <w:pPr>
              <w:spacing w:after="0"/>
            </w:pPr>
            <w:r/>
            <w:r>
              <w:rPr>
                <w:b w:val="0"/>
                <w:sz w:val="16"/>
              </w:rPr>
              <w:t>—</w:t>
            </w:r>
          </w:p>
        </w:tc>
      </w:tr>
      <w:tr>
        <w:tc>
          <w:tcPr>
            <w:tcW w:type="dxa" w:w="4176"/>
          </w:tcPr>
          <w:p>
            <w:pPr>
              <w:spacing w:after="0"/>
            </w:pPr>
            <w:r/>
            <w:r>
              <w:rPr>
                <w:b w:val="0"/>
                <w:sz w:val="16"/>
              </w:rPr>
              <w:t>Customer relationships, trade name, favorable lease, goodwill</w:t>
            </w:r>
          </w:p>
        </w:tc>
        <w:tc>
          <w:tcPr>
            <w:tcW w:type="dxa" w:w="1008"/>
          </w:tcPr>
          <w:p>
            <w:pPr>
              <w:spacing w:after="0"/>
            </w:pPr>
            <w:r/>
            <w:r>
              <w:rPr>
                <w:b w:val="0"/>
                <w:sz w:val="16"/>
              </w:rPr>
              <w:t>$280.4</w:t>
            </w:r>
          </w:p>
        </w:tc>
        <w:tc>
          <w:tcPr>
            <w:tcW w:type="dxa" w:w="2448"/>
          </w:tcPr>
          <w:p>
            <w:pPr>
              <w:spacing w:after="0"/>
            </w:pPr>
            <w:r/>
            <w:r>
              <w:rPr>
                <w:b w:val="0"/>
                <w:sz w:val="16"/>
              </w:rPr>
              <w:t>§1231 (20%) — confirm no §1231(c) net losses in the prior 5 years</w:t>
            </w:r>
          </w:p>
        </w:tc>
        <w:tc>
          <w:tcPr>
            <w:tcW w:type="dxa" w:w="1728"/>
          </w:tcPr>
          <w:p>
            <w:pPr>
              <w:spacing w:after="0"/>
            </w:pPr>
            <w:r/>
            <w:r>
              <w:rPr>
                <w:b w:val="0"/>
                <w:sz w:val="16"/>
              </w:rPr>
              <w:t>—</w:t>
            </w:r>
          </w:p>
        </w:tc>
      </w:tr>
      <w:tr>
        <w:tc>
          <w:tcPr>
            <w:tcW w:type="dxa" w:w="4176"/>
          </w:tcPr>
          <w:p>
            <w:pPr>
              <w:spacing w:after="0"/>
            </w:pPr>
            <w:r/>
            <w:r>
              <w:rPr>
                <w:b/>
                <w:sz w:val="16"/>
              </w:rPr>
              <w:t>Inside gain (asset sale)</w:t>
            </w:r>
          </w:p>
        </w:tc>
        <w:tc>
          <w:tcPr>
            <w:tcW w:type="dxa" w:w="1008"/>
          </w:tcPr>
          <w:p>
            <w:pPr>
              <w:spacing w:after="0"/>
            </w:pPr>
            <w:r/>
            <w:r>
              <w:rPr>
                <w:b/>
                <w:sz w:val="16"/>
              </w:rPr>
              <w:t>$314.8</w:t>
            </w:r>
          </w:p>
        </w:tc>
        <w:tc>
          <w:tcPr>
            <w:tcW w:type="dxa" w:w="2448"/>
          </w:tcPr>
          <w:p>
            <w:pPr>
              <w:spacing w:after="0"/>
            </w:pPr>
            <w:r/>
            <w:r>
              <w:rPr>
                <w:b w:val="0"/>
                <w:sz w:val="16"/>
              </w:rPr>
            </w:r>
          </w:p>
        </w:tc>
        <w:tc>
          <w:tcPr>
            <w:tcW w:type="dxa" w:w="1728"/>
          </w:tcPr>
          <w:p>
            <w:pPr>
              <w:spacing w:after="0"/>
            </w:pPr>
            <w:r/>
            <w:r>
              <w:rPr>
                <w:b/>
                <w:sz w:val="16"/>
              </w:rPr>
              <w:t>$3.91</w:t>
            </w:r>
          </w:p>
        </w:tc>
      </w:tr>
      <w:tr>
        <w:tc>
          <w:tcPr>
            <w:tcW w:type="dxa" w:w="4176"/>
          </w:tcPr>
          <w:p>
            <w:pPr>
              <w:spacing w:after="0"/>
            </w:pPr>
            <w:r/>
            <w:r>
              <w:rPr>
                <w:b w:val="0"/>
                <w:sz w:val="16"/>
              </w:rPr>
              <w:t>Liquidation / distribution gain (§331)</w:t>
            </w:r>
          </w:p>
        </w:tc>
        <w:tc>
          <w:tcPr>
            <w:tcW w:type="dxa" w:w="1008"/>
          </w:tcPr>
          <w:p>
            <w:pPr>
              <w:spacing w:after="0"/>
            </w:pPr>
            <w:r/>
            <w:r>
              <w:rPr>
                <w:b w:val="0"/>
                <w:sz w:val="16"/>
              </w:rPr>
              <w:t>$13.3</w:t>
            </w:r>
          </w:p>
        </w:tc>
        <w:tc>
          <w:tcPr>
            <w:tcW w:type="dxa" w:w="2448"/>
          </w:tcPr>
          <w:p>
            <w:pPr>
              <w:spacing w:after="0"/>
            </w:pPr>
            <w:r/>
            <w:r>
              <w:rPr>
                <w:b w:val="0"/>
                <w:sz w:val="16"/>
              </w:rPr>
              <w:t>Capital (20%)</w:t>
            </w:r>
          </w:p>
        </w:tc>
        <w:tc>
          <w:tcPr>
            <w:tcW w:type="dxa" w:w="1728"/>
          </w:tcPr>
          <w:p>
            <w:pPr>
              <w:spacing w:after="0"/>
            </w:pPr>
            <w:r/>
            <w:r>
              <w:rPr>
                <w:b w:val="0"/>
                <w:sz w:val="16"/>
              </w:rPr>
              <w:t>—</w:t>
            </w:r>
          </w:p>
        </w:tc>
      </w:tr>
      <w:tr>
        <w:tc>
          <w:tcPr>
            <w:tcW w:type="dxa" w:w="4176"/>
          </w:tcPr>
          <w:p>
            <w:pPr>
              <w:spacing w:after="0"/>
            </w:pPr>
            <w:r/>
            <w:r>
              <w:rPr>
                <w:b/>
                <w:sz w:val="16"/>
              </w:rPr>
              <w:t>Total = stock-sale gain</w:t>
            </w:r>
          </w:p>
        </w:tc>
        <w:tc>
          <w:tcPr>
            <w:tcW w:type="dxa" w:w="1008"/>
          </w:tcPr>
          <w:p>
            <w:pPr>
              <w:spacing w:after="0"/>
            </w:pPr>
            <w:r/>
            <w:r>
              <w:rPr>
                <w:b/>
                <w:sz w:val="16"/>
              </w:rPr>
              <w:t>$328.1</w:t>
            </w:r>
          </w:p>
        </w:tc>
        <w:tc>
          <w:tcPr>
            <w:tcW w:type="dxa" w:w="2448"/>
          </w:tcPr>
          <w:p>
            <w:pPr>
              <w:spacing w:after="0"/>
            </w:pPr>
            <w:r/>
            <w:r>
              <w:rPr>
                <w:b w:val="0"/>
                <w:sz w:val="16"/>
              </w:rPr>
            </w:r>
          </w:p>
        </w:tc>
        <w:tc>
          <w:tcPr>
            <w:tcW w:type="dxa" w:w="1728"/>
          </w:tcPr>
          <w:p>
            <w:pPr>
              <w:spacing w:after="0"/>
            </w:pPr>
            <w:r/>
            <w:r>
              <w:rPr>
                <w:b w:val="0"/>
                <w:sz w:val="16"/>
              </w:rPr>
            </w:r>
          </w:p>
        </w:tc>
      </w:tr>
    </w:tbl>
    <w:p>
      <w:pPr>
        <w:spacing w:after="40"/>
      </w:pPr>
    </w:p>
    <w:p>
      <w:pPr>
        <w:jc w:val="both"/>
      </w:pPr>
      <w:r>
        <w:rPr>
          <w:b/>
        </w:rPr>
        <w:t>NIIT.</w:t>
      </w:r>
      <w:r>
        <w:t xml:space="preserve"> Gerald, Patricia and David materially participate. Their pass-through gain on business assets is not net investment income, and under §1411(c)(4) neither is their stock gain to the extent attributable to business assets. Sarah is passive and owes 3.8% NIIT under </w:t>
      </w:r>
      <w:r>
        <w:rPr>
          <w:b/>
        </w:rPr>
        <w:t>both</w:t>
      </w:r>
      <w:r>
        <w:t xml:space="preserve"> structures. The NIIT therefore does not change the comparison except through the character differential on her share.</w:t>
      </w:r>
    </w:p>
    <w:p>
      <w:pPr>
        <w:jc w:val="both"/>
      </w:pPr>
      <w:r>
        <w:rPr>
          <w:b/>
        </w:rPr>
        <w:t>State sourcing.</w:t>
      </w:r>
      <w:r>
        <w:t xml:space="preserve"> Gain on stock is generally taxed only by Michigan (4.25%). Gain on an actual or deemed asset sale is business income apportioned among the 14 states. Michigan gives its residents a credit for income tax paid to other states, but only up to the Michigan tax on that income. The incremental state cost is therefore (i) the excess of a higher-rate state’s rate over 4.25% (WI 7.65%, MN 9.85%, GA 5.39%, IL 4.95%, VA 5.75%, AL 5.0%, MO 4.8%) and (ii) entity-level taxes that do not apply to a stock sale (Tennessee 6.5% excise; Illinois 1.5% replacement tax). On DD/QoE apportionment factors, this is about 1.22% of the inside gain, or </w:t>
      </w:r>
      <w:r>
        <w:rPr>
          <w:b/>
        </w:rPr>
        <w:t>$3.86</w:t>
      </w:r>
      <w:r>
        <w:t>: TN $1.64; MN $0.71; IL $0.62; WI $0.54; GA $0.25; AL, VA, MO $0.10. On the Ridgeline matrix factors (TN 1.5%), it is about $3.20.</w:t>
      </w:r>
    </w:p>
    <w:p>
      <w:pPr>
        <w:pStyle w:val="Heading2"/>
      </w:pPr>
      <w:r>
        <w:t>B. Shareholder-by-shareholder comparison (base case; no non-compete allocation)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val="true"/>
        </w:trPr>
        <w:tc>
          <w:tcPr>
            <w:tcW w:type="dxa" w:w="2880"/>
            <w:shd w:val="clear" w:color="auto" w:fill="D9E1F2"/>
          </w:tcPr>
          <w:p>
            <w:r/>
            <w:r>
              <w:rPr>
                <w:b/>
                <w:sz w:val="16"/>
              </w:rPr>
            </w:r>
          </w:p>
        </w:tc>
        <w:tc>
          <w:tcPr>
            <w:tcW w:type="dxa" w:w="1296"/>
            <w:shd w:val="clear" w:color="auto" w:fill="D9E1F2"/>
          </w:tcPr>
          <w:p>
            <w:r/>
            <w:r>
              <w:rPr>
                <w:b/>
                <w:sz w:val="16"/>
              </w:rPr>
              <w:t>Gerald (62%)</w:t>
            </w:r>
          </w:p>
        </w:tc>
        <w:tc>
          <w:tcPr>
            <w:tcW w:type="dxa" w:w="1296"/>
            <w:shd w:val="clear" w:color="auto" w:fill="D9E1F2"/>
          </w:tcPr>
          <w:p>
            <w:r/>
            <w:r>
              <w:rPr>
                <w:b/>
                <w:sz w:val="16"/>
              </w:rPr>
              <w:t>Patricia (18%)</w:t>
            </w:r>
          </w:p>
        </w:tc>
        <w:tc>
          <w:tcPr>
            <w:tcW w:type="dxa" w:w="1224"/>
            <w:shd w:val="clear" w:color="auto" w:fill="D9E1F2"/>
          </w:tcPr>
          <w:p>
            <w:r/>
            <w:r>
              <w:rPr>
                <w:b/>
                <w:sz w:val="16"/>
              </w:rPr>
              <w:t>David (10%)</w:t>
            </w:r>
          </w:p>
        </w:tc>
        <w:tc>
          <w:tcPr>
            <w:tcW w:type="dxa" w:w="1224"/>
            <w:shd w:val="clear" w:color="auto" w:fill="D9E1F2"/>
          </w:tcPr>
          <w:p>
            <w:r/>
            <w:r>
              <w:rPr>
                <w:b/>
                <w:sz w:val="16"/>
              </w:rPr>
              <w:t>Sarah (10%)</w:t>
            </w:r>
          </w:p>
        </w:tc>
        <w:tc>
          <w:tcPr>
            <w:tcW w:type="dxa" w:w="1296"/>
            <w:shd w:val="clear" w:color="auto" w:fill="D9E1F2"/>
          </w:tcPr>
          <w:p>
            <w:r/>
            <w:r>
              <w:rPr>
                <w:b/>
                <w:sz w:val="16"/>
              </w:rPr>
              <w:t>Total</w:t>
            </w:r>
          </w:p>
        </w:tc>
      </w:tr>
      <w:tr>
        <w:tc>
          <w:tcPr>
            <w:tcW w:type="dxa" w:w="2880"/>
          </w:tcPr>
          <w:p>
            <w:pPr>
              <w:spacing w:after="0"/>
            </w:pPr>
            <w:r/>
            <w:r>
              <w:rPr>
                <w:b w:val="0"/>
                <w:sz w:val="16"/>
              </w:rPr>
              <w:t>Equity value</w:t>
            </w:r>
          </w:p>
        </w:tc>
        <w:tc>
          <w:tcPr>
            <w:tcW w:type="dxa" w:w="1296"/>
          </w:tcPr>
          <w:p>
            <w:pPr>
              <w:spacing w:after="0"/>
            </w:pPr>
            <w:r/>
            <w:r>
              <w:rPr>
                <w:b w:val="0"/>
                <w:sz w:val="16"/>
              </w:rPr>
              <w:t>$213.59</w:t>
            </w:r>
          </w:p>
        </w:tc>
        <w:tc>
          <w:tcPr>
            <w:tcW w:type="dxa" w:w="1296"/>
          </w:tcPr>
          <w:p>
            <w:pPr>
              <w:spacing w:after="0"/>
            </w:pPr>
            <w:r/>
            <w:r>
              <w:rPr>
                <w:b w:val="0"/>
                <w:sz w:val="16"/>
              </w:rPr>
              <w:t>$62.01</w:t>
            </w:r>
          </w:p>
        </w:tc>
        <w:tc>
          <w:tcPr>
            <w:tcW w:type="dxa" w:w="1224"/>
          </w:tcPr>
          <w:p>
            <w:pPr>
              <w:spacing w:after="0"/>
            </w:pPr>
            <w:r/>
            <w:r>
              <w:rPr>
                <w:b w:val="0"/>
                <w:sz w:val="16"/>
              </w:rPr>
              <w:t>$34.45</w:t>
            </w:r>
          </w:p>
        </w:tc>
        <w:tc>
          <w:tcPr>
            <w:tcW w:type="dxa" w:w="1224"/>
          </w:tcPr>
          <w:p>
            <w:pPr>
              <w:spacing w:after="0"/>
            </w:pPr>
            <w:r/>
            <w:r>
              <w:rPr>
                <w:b w:val="0"/>
                <w:sz w:val="16"/>
              </w:rPr>
              <w:t>$34.45</w:t>
            </w:r>
          </w:p>
        </w:tc>
        <w:tc>
          <w:tcPr>
            <w:tcW w:type="dxa" w:w="1296"/>
          </w:tcPr>
          <w:p>
            <w:pPr>
              <w:spacing w:after="0"/>
            </w:pPr>
            <w:r/>
            <w:r>
              <w:rPr>
                <w:b w:val="0"/>
                <w:sz w:val="16"/>
              </w:rPr>
              <w:t>$344.50</w:t>
            </w:r>
          </w:p>
        </w:tc>
      </w:tr>
      <w:tr>
        <w:tc>
          <w:tcPr>
            <w:tcW w:type="dxa" w:w="2880"/>
          </w:tcPr>
          <w:p>
            <w:pPr>
              <w:spacing w:after="0"/>
            </w:pPr>
            <w:r/>
            <w:r>
              <w:rPr>
                <w:b w:val="0"/>
                <w:sz w:val="16"/>
              </w:rPr>
              <w:t>Stock basis</w:t>
            </w:r>
          </w:p>
        </w:tc>
        <w:tc>
          <w:tcPr>
            <w:tcW w:type="dxa" w:w="1296"/>
          </w:tcPr>
          <w:p>
            <w:pPr>
              <w:spacing w:after="0"/>
            </w:pPr>
            <w:r/>
            <w:r>
              <w:rPr>
                <w:b w:val="0"/>
                <w:sz w:val="16"/>
              </w:rPr>
              <w:t>$8.40</w:t>
            </w:r>
          </w:p>
        </w:tc>
        <w:tc>
          <w:tcPr>
            <w:tcW w:type="dxa" w:w="1296"/>
          </w:tcPr>
          <w:p>
            <w:pPr>
              <w:spacing w:after="0"/>
            </w:pPr>
            <w:r/>
            <w:r>
              <w:rPr>
                <w:b w:val="0"/>
                <w:sz w:val="16"/>
              </w:rPr>
              <w:t>$3.80</w:t>
            </w:r>
          </w:p>
        </w:tc>
        <w:tc>
          <w:tcPr>
            <w:tcW w:type="dxa" w:w="1224"/>
          </w:tcPr>
          <w:p>
            <w:pPr>
              <w:spacing w:after="0"/>
            </w:pPr>
            <w:r/>
            <w:r>
              <w:rPr>
                <w:b w:val="0"/>
                <w:sz w:val="16"/>
              </w:rPr>
              <w:t>$2.10</w:t>
            </w:r>
          </w:p>
        </w:tc>
        <w:tc>
          <w:tcPr>
            <w:tcW w:type="dxa" w:w="1224"/>
          </w:tcPr>
          <w:p>
            <w:pPr>
              <w:spacing w:after="0"/>
            </w:pPr>
            <w:r/>
            <w:r>
              <w:rPr>
                <w:b w:val="0"/>
                <w:sz w:val="16"/>
              </w:rPr>
              <w:t>$2.10</w:t>
            </w:r>
          </w:p>
        </w:tc>
        <w:tc>
          <w:tcPr>
            <w:tcW w:type="dxa" w:w="1296"/>
          </w:tcPr>
          <w:p>
            <w:pPr>
              <w:spacing w:after="0"/>
            </w:pPr>
            <w:r/>
            <w:r>
              <w:rPr>
                <w:b w:val="0"/>
                <w:sz w:val="16"/>
              </w:rPr>
              <w:t>$16.40</w:t>
            </w:r>
          </w:p>
        </w:tc>
      </w:tr>
      <w:tr>
        <w:tc>
          <w:tcPr>
            <w:tcW w:type="dxa" w:w="2880"/>
          </w:tcPr>
          <w:p>
            <w:pPr>
              <w:spacing w:after="0"/>
            </w:pPr>
            <w:r/>
            <w:r>
              <w:rPr>
                <w:b w:val="0"/>
                <w:sz w:val="16"/>
              </w:rPr>
              <w:t>Total gain (both structures)</w:t>
            </w:r>
          </w:p>
        </w:tc>
        <w:tc>
          <w:tcPr>
            <w:tcW w:type="dxa" w:w="1296"/>
          </w:tcPr>
          <w:p>
            <w:pPr>
              <w:spacing w:after="0"/>
            </w:pPr>
            <w:r/>
            <w:r>
              <w:rPr>
                <w:b w:val="0"/>
                <w:sz w:val="16"/>
              </w:rPr>
              <w:t>$205.19</w:t>
            </w:r>
          </w:p>
        </w:tc>
        <w:tc>
          <w:tcPr>
            <w:tcW w:type="dxa" w:w="1296"/>
          </w:tcPr>
          <w:p>
            <w:pPr>
              <w:spacing w:after="0"/>
            </w:pPr>
            <w:r/>
            <w:r>
              <w:rPr>
                <w:b w:val="0"/>
                <w:sz w:val="16"/>
              </w:rPr>
              <w:t>$58.21</w:t>
            </w:r>
          </w:p>
        </w:tc>
        <w:tc>
          <w:tcPr>
            <w:tcW w:type="dxa" w:w="1224"/>
          </w:tcPr>
          <w:p>
            <w:pPr>
              <w:spacing w:after="0"/>
            </w:pPr>
            <w:r/>
            <w:r>
              <w:rPr>
                <w:b w:val="0"/>
                <w:sz w:val="16"/>
              </w:rPr>
              <w:t>$32.35</w:t>
            </w:r>
          </w:p>
        </w:tc>
        <w:tc>
          <w:tcPr>
            <w:tcW w:type="dxa" w:w="1224"/>
          </w:tcPr>
          <w:p>
            <w:pPr>
              <w:spacing w:after="0"/>
            </w:pPr>
            <w:r/>
            <w:r>
              <w:rPr>
                <w:b w:val="0"/>
                <w:sz w:val="16"/>
              </w:rPr>
              <w:t>$32.35</w:t>
            </w:r>
          </w:p>
        </w:tc>
        <w:tc>
          <w:tcPr>
            <w:tcW w:type="dxa" w:w="1296"/>
          </w:tcPr>
          <w:p>
            <w:pPr>
              <w:spacing w:after="0"/>
            </w:pPr>
            <w:r/>
            <w:r>
              <w:rPr>
                <w:b w:val="0"/>
                <w:sz w:val="16"/>
              </w:rPr>
              <w:t>$328.10</w:t>
            </w:r>
          </w:p>
        </w:tc>
      </w:tr>
      <w:tr>
        <w:tc>
          <w:tcPr>
            <w:tcW w:type="dxa" w:w="2880"/>
          </w:tcPr>
          <w:p>
            <w:pPr>
              <w:spacing w:after="0"/>
            </w:pPr>
            <w:r/>
            <w:r>
              <w:rPr>
                <w:b w:val="0"/>
                <w:sz w:val="16"/>
              </w:rPr>
              <w:t xml:space="preserve">  of which ordinary (asset structure)</w:t>
            </w:r>
          </w:p>
        </w:tc>
        <w:tc>
          <w:tcPr>
            <w:tcW w:type="dxa" w:w="1296"/>
          </w:tcPr>
          <w:p>
            <w:pPr>
              <w:spacing w:after="0"/>
            </w:pPr>
            <w:r/>
            <w:r>
              <w:rPr>
                <w:b w:val="0"/>
                <w:sz w:val="16"/>
              </w:rPr>
              <w:t>$12.96</w:t>
            </w:r>
          </w:p>
        </w:tc>
        <w:tc>
          <w:tcPr>
            <w:tcW w:type="dxa" w:w="1296"/>
          </w:tcPr>
          <w:p>
            <w:pPr>
              <w:spacing w:after="0"/>
            </w:pPr>
            <w:r/>
            <w:r>
              <w:rPr>
                <w:b w:val="0"/>
                <w:sz w:val="16"/>
              </w:rPr>
              <w:t>$3.76</w:t>
            </w:r>
          </w:p>
        </w:tc>
        <w:tc>
          <w:tcPr>
            <w:tcW w:type="dxa" w:w="1224"/>
          </w:tcPr>
          <w:p>
            <w:pPr>
              <w:spacing w:after="0"/>
            </w:pPr>
            <w:r/>
            <w:r>
              <w:rPr>
                <w:b w:val="0"/>
                <w:sz w:val="16"/>
              </w:rPr>
              <w:t>$2.09</w:t>
            </w:r>
          </w:p>
        </w:tc>
        <w:tc>
          <w:tcPr>
            <w:tcW w:type="dxa" w:w="1224"/>
          </w:tcPr>
          <w:p>
            <w:pPr>
              <w:spacing w:after="0"/>
            </w:pPr>
            <w:r/>
            <w:r>
              <w:rPr>
                <w:b w:val="0"/>
                <w:sz w:val="16"/>
              </w:rPr>
              <w:t>$2.09</w:t>
            </w:r>
          </w:p>
        </w:tc>
        <w:tc>
          <w:tcPr>
            <w:tcW w:type="dxa" w:w="1296"/>
          </w:tcPr>
          <w:p>
            <w:pPr>
              <w:spacing w:after="0"/>
            </w:pPr>
            <w:r/>
            <w:r>
              <w:rPr>
                <w:b w:val="0"/>
                <w:sz w:val="16"/>
              </w:rPr>
              <w:t>$20.90</w:t>
            </w:r>
          </w:p>
        </w:tc>
      </w:tr>
      <w:tr>
        <w:tc>
          <w:tcPr>
            <w:tcW w:type="dxa" w:w="2880"/>
          </w:tcPr>
          <w:p>
            <w:pPr>
              <w:spacing w:after="0"/>
            </w:pPr>
            <w:r/>
            <w:r>
              <w:rPr>
                <w:b w:val="0"/>
                <w:sz w:val="16"/>
              </w:rPr>
              <w:t xml:space="preserve">  of which unrecaptured §1250</w:t>
            </w:r>
          </w:p>
        </w:tc>
        <w:tc>
          <w:tcPr>
            <w:tcW w:type="dxa" w:w="1296"/>
          </w:tcPr>
          <w:p>
            <w:pPr>
              <w:spacing w:after="0"/>
            </w:pPr>
            <w:r/>
            <w:r>
              <w:rPr>
                <w:b w:val="0"/>
                <w:sz w:val="16"/>
              </w:rPr>
              <w:t>$4.46</w:t>
            </w:r>
          </w:p>
        </w:tc>
        <w:tc>
          <w:tcPr>
            <w:tcW w:type="dxa" w:w="1296"/>
          </w:tcPr>
          <w:p>
            <w:pPr>
              <w:spacing w:after="0"/>
            </w:pPr>
            <w:r/>
            <w:r>
              <w:rPr>
                <w:b w:val="0"/>
                <w:sz w:val="16"/>
              </w:rPr>
              <w:t>$1.30</w:t>
            </w:r>
          </w:p>
        </w:tc>
        <w:tc>
          <w:tcPr>
            <w:tcW w:type="dxa" w:w="1224"/>
          </w:tcPr>
          <w:p>
            <w:pPr>
              <w:spacing w:after="0"/>
            </w:pPr>
            <w:r/>
            <w:r>
              <w:rPr>
                <w:b w:val="0"/>
                <w:sz w:val="16"/>
              </w:rPr>
              <w:t>$0.72</w:t>
            </w:r>
          </w:p>
        </w:tc>
        <w:tc>
          <w:tcPr>
            <w:tcW w:type="dxa" w:w="1224"/>
          </w:tcPr>
          <w:p>
            <w:pPr>
              <w:spacing w:after="0"/>
            </w:pPr>
            <w:r/>
            <w:r>
              <w:rPr>
                <w:b w:val="0"/>
                <w:sz w:val="16"/>
              </w:rPr>
              <w:t>$0.72</w:t>
            </w:r>
          </w:p>
        </w:tc>
        <w:tc>
          <w:tcPr>
            <w:tcW w:type="dxa" w:w="1296"/>
          </w:tcPr>
          <w:p>
            <w:pPr>
              <w:spacing w:after="0"/>
            </w:pPr>
            <w:r/>
            <w:r>
              <w:rPr>
                <w:b w:val="0"/>
                <w:sz w:val="16"/>
              </w:rPr>
              <w:t>$7.20</w:t>
            </w:r>
          </w:p>
        </w:tc>
      </w:tr>
      <w:tr>
        <w:tc>
          <w:tcPr>
            <w:tcW w:type="dxa" w:w="2880"/>
          </w:tcPr>
          <w:p>
            <w:pPr>
              <w:spacing w:after="0"/>
            </w:pPr>
            <w:r/>
            <w:r>
              <w:rPr>
                <w:b w:val="0"/>
                <w:sz w:val="16"/>
              </w:rPr>
              <w:t>Tax — straight stock sale</w:t>
            </w:r>
          </w:p>
        </w:tc>
        <w:tc>
          <w:tcPr>
            <w:tcW w:type="dxa" w:w="1296"/>
          </w:tcPr>
          <w:p>
            <w:pPr>
              <w:spacing w:after="0"/>
            </w:pPr>
            <w:r/>
            <w:r>
              <w:rPr>
                <w:b w:val="0"/>
                <w:sz w:val="16"/>
              </w:rPr>
              <w:t>$49.76</w:t>
            </w:r>
          </w:p>
        </w:tc>
        <w:tc>
          <w:tcPr>
            <w:tcW w:type="dxa" w:w="1296"/>
          </w:tcPr>
          <w:p>
            <w:pPr>
              <w:spacing w:after="0"/>
            </w:pPr>
            <w:r/>
            <w:r>
              <w:rPr>
                <w:b w:val="0"/>
                <w:sz w:val="16"/>
              </w:rPr>
              <w:t>$14.12</w:t>
            </w:r>
          </w:p>
        </w:tc>
        <w:tc>
          <w:tcPr>
            <w:tcW w:type="dxa" w:w="1224"/>
          </w:tcPr>
          <w:p>
            <w:pPr>
              <w:spacing w:after="0"/>
            </w:pPr>
            <w:r/>
            <w:r>
              <w:rPr>
                <w:b w:val="0"/>
                <w:sz w:val="16"/>
              </w:rPr>
              <w:t>$7.85</w:t>
            </w:r>
          </w:p>
        </w:tc>
        <w:tc>
          <w:tcPr>
            <w:tcW w:type="dxa" w:w="1224"/>
          </w:tcPr>
          <w:p>
            <w:pPr>
              <w:spacing w:after="0"/>
            </w:pPr>
            <w:r/>
            <w:r>
              <w:rPr>
                <w:b w:val="0"/>
                <w:sz w:val="16"/>
              </w:rPr>
              <w:t>$9.07</w:t>
            </w:r>
          </w:p>
        </w:tc>
        <w:tc>
          <w:tcPr>
            <w:tcW w:type="dxa" w:w="1296"/>
          </w:tcPr>
          <w:p>
            <w:pPr>
              <w:spacing w:after="0"/>
            </w:pPr>
            <w:r/>
            <w:r>
              <w:rPr>
                <w:b w:val="0"/>
                <w:sz w:val="16"/>
              </w:rPr>
              <w:t>$80.79</w:t>
            </w:r>
          </w:p>
        </w:tc>
      </w:tr>
      <w:tr>
        <w:tc>
          <w:tcPr>
            <w:tcW w:type="dxa" w:w="2880"/>
          </w:tcPr>
          <w:p>
            <w:pPr>
              <w:spacing w:after="0"/>
            </w:pPr>
            <w:r/>
            <w:r>
              <w:rPr>
                <w:b w:val="0"/>
                <w:sz w:val="16"/>
              </w:rPr>
              <w:t>After-tax proceeds — stock sale</w:t>
            </w:r>
          </w:p>
        </w:tc>
        <w:tc>
          <w:tcPr>
            <w:tcW w:type="dxa" w:w="1296"/>
          </w:tcPr>
          <w:p>
            <w:pPr>
              <w:spacing w:after="0"/>
            </w:pPr>
            <w:r/>
            <w:r>
              <w:rPr>
                <w:b w:val="0"/>
                <w:sz w:val="16"/>
              </w:rPr>
              <w:t>$163.83</w:t>
            </w:r>
          </w:p>
        </w:tc>
        <w:tc>
          <w:tcPr>
            <w:tcW w:type="dxa" w:w="1296"/>
          </w:tcPr>
          <w:p>
            <w:pPr>
              <w:spacing w:after="0"/>
            </w:pPr>
            <w:r/>
            <w:r>
              <w:rPr>
                <w:b w:val="0"/>
                <w:sz w:val="16"/>
              </w:rPr>
              <w:t>$47.89</w:t>
            </w:r>
          </w:p>
        </w:tc>
        <w:tc>
          <w:tcPr>
            <w:tcW w:type="dxa" w:w="1224"/>
          </w:tcPr>
          <w:p>
            <w:pPr>
              <w:spacing w:after="0"/>
            </w:pPr>
            <w:r/>
            <w:r>
              <w:rPr>
                <w:b w:val="0"/>
                <w:sz w:val="16"/>
              </w:rPr>
              <w:t>$26.61</w:t>
            </w:r>
          </w:p>
        </w:tc>
        <w:tc>
          <w:tcPr>
            <w:tcW w:type="dxa" w:w="1224"/>
          </w:tcPr>
          <w:p>
            <w:pPr>
              <w:spacing w:after="0"/>
            </w:pPr>
            <w:r/>
            <w:r>
              <w:rPr>
                <w:b w:val="0"/>
                <w:sz w:val="16"/>
              </w:rPr>
              <w:t>$25.38</w:t>
            </w:r>
          </w:p>
        </w:tc>
        <w:tc>
          <w:tcPr>
            <w:tcW w:type="dxa" w:w="1296"/>
          </w:tcPr>
          <w:p>
            <w:pPr>
              <w:spacing w:after="0"/>
            </w:pPr>
            <w:r/>
            <w:r>
              <w:rPr>
                <w:b w:val="0"/>
                <w:sz w:val="16"/>
              </w:rPr>
              <w:t>$263.71</w:t>
            </w:r>
          </w:p>
        </w:tc>
      </w:tr>
      <w:tr>
        <w:tc>
          <w:tcPr>
            <w:tcW w:type="dxa" w:w="2880"/>
          </w:tcPr>
          <w:p>
            <w:pPr>
              <w:spacing w:after="0"/>
            </w:pPr>
            <w:r/>
            <w:r>
              <w:rPr>
                <w:b w:val="0"/>
                <w:sz w:val="16"/>
              </w:rPr>
              <w:t>Federal tax — asset structure</w:t>
            </w:r>
          </w:p>
        </w:tc>
        <w:tc>
          <w:tcPr>
            <w:tcW w:type="dxa" w:w="1296"/>
          </w:tcPr>
          <w:p>
            <w:pPr>
              <w:spacing w:after="0"/>
            </w:pPr>
            <w:r/>
            <w:r>
              <w:rPr>
                <w:b w:val="0"/>
                <w:sz w:val="16"/>
              </w:rPr>
              <w:t>$43.46</w:t>
            </w:r>
          </w:p>
        </w:tc>
        <w:tc>
          <w:tcPr>
            <w:tcW w:type="dxa" w:w="1296"/>
          </w:tcPr>
          <w:p>
            <w:pPr>
              <w:spacing w:after="0"/>
            </w:pPr>
            <w:r/>
            <w:r>
              <w:rPr>
                <w:b w:val="0"/>
                <w:sz w:val="16"/>
              </w:rPr>
              <w:t>$12.35</w:t>
            </w:r>
          </w:p>
        </w:tc>
        <w:tc>
          <w:tcPr>
            <w:tcW w:type="dxa" w:w="1224"/>
          </w:tcPr>
          <w:p>
            <w:pPr>
              <w:spacing w:after="0"/>
            </w:pPr>
            <w:r/>
            <w:r>
              <w:rPr>
                <w:b w:val="0"/>
                <w:sz w:val="16"/>
              </w:rPr>
              <w:t>$6.86</w:t>
            </w:r>
          </w:p>
        </w:tc>
        <w:tc>
          <w:tcPr>
            <w:tcW w:type="dxa" w:w="1224"/>
          </w:tcPr>
          <w:p>
            <w:pPr>
              <w:spacing w:after="0"/>
            </w:pPr>
            <w:r/>
            <w:r>
              <w:rPr>
                <w:b w:val="0"/>
                <w:sz w:val="16"/>
              </w:rPr>
              <w:t>$8.09</w:t>
            </w:r>
          </w:p>
        </w:tc>
        <w:tc>
          <w:tcPr>
            <w:tcW w:type="dxa" w:w="1296"/>
          </w:tcPr>
          <w:p>
            <w:pPr>
              <w:spacing w:after="0"/>
            </w:pPr>
            <w:r/>
            <w:r>
              <w:rPr>
                <w:b w:val="0"/>
                <w:sz w:val="16"/>
              </w:rPr>
              <w:t>$70.76</w:t>
            </w:r>
          </w:p>
        </w:tc>
      </w:tr>
      <w:tr>
        <w:tc>
          <w:tcPr>
            <w:tcW w:type="dxa" w:w="2880"/>
          </w:tcPr>
          <w:p>
            <w:pPr>
              <w:spacing w:after="0"/>
            </w:pPr>
            <w:r/>
            <w:r>
              <w:rPr>
                <w:b w:val="0"/>
                <w:sz w:val="16"/>
              </w:rPr>
              <w:t>State tax — asset structure</w:t>
            </w:r>
          </w:p>
        </w:tc>
        <w:tc>
          <w:tcPr>
            <w:tcW w:type="dxa" w:w="1296"/>
          </w:tcPr>
          <w:p>
            <w:pPr>
              <w:spacing w:after="0"/>
            </w:pPr>
            <w:r/>
            <w:r>
              <w:rPr>
                <w:b w:val="0"/>
                <w:sz w:val="16"/>
              </w:rPr>
              <w:t>$11.11</w:t>
            </w:r>
          </w:p>
        </w:tc>
        <w:tc>
          <w:tcPr>
            <w:tcW w:type="dxa" w:w="1296"/>
          </w:tcPr>
          <w:p>
            <w:pPr>
              <w:spacing w:after="0"/>
            </w:pPr>
            <w:r/>
            <w:r>
              <w:rPr>
                <w:b w:val="0"/>
                <w:sz w:val="16"/>
              </w:rPr>
              <w:t>$3.17</w:t>
            </w:r>
          </w:p>
        </w:tc>
        <w:tc>
          <w:tcPr>
            <w:tcW w:type="dxa" w:w="1224"/>
          </w:tcPr>
          <w:p>
            <w:pPr>
              <w:spacing w:after="0"/>
            </w:pPr>
            <w:r/>
            <w:r>
              <w:rPr>
                <w:b w:val="0"/>
                <w:sz w:val="16"/>
              </w:rPr>
              <w:t>$1.76</w:t>
            </w:r>
          </w:p>
        </w:tc>
        <w:tc>
          <w:tcPr>
            <w:tcW w:type="dxa" w:w="1224"/>
          </w:tcPr>
          <w:p>
            <w:pPr>
              <w:spacing w:after="0"/>
            </w:pPr>
            <w:r/>
            <w:r>
              <w:rPr>
                <w:b w:val="0"/>
                <w:sz w:val="16"/>
              </w:rPr>
              <w:t>$1.76</w:t>
            </w:r>
          </w:p>
        </w:tc>
        <w:tc>
          <w:tcPr>
            <w:tcW w:type="dxa" w:w="1296"/>
          </w:tcPr>
          <w:p>
            <w:pPr>
              <w:spacing w:after="0"/>
            </w:pPr>
            <w:r/>
            <w:r>
              <w:rPr>
                <w:b w:val="0"/>
                <w:sz w:val="16"/>
              </w:rPr>
              <w:t>$17.80</w:t>
            </w:r>
          </w:p>
        </w:tc>
      </w:tr>
      <w:tr>
        <w:tc>
          <w:tcPr>
            <w:tcW w:type="dxa" w:w="2880"/>
          </w:tcPr>
          <w:p>
            <w:pPr>
              <w:spacing w:after="0"/>
            </w:pPr>
            <w:r/>
            <w:r>
              <w:rPr>
                <w:b w:val="0"/>
                <w:sz w:val="16"/>
              </w:rPr>
              <w:t>Tax — asset structure</w:t>
            </w:r>
          </w:p>
        </w:tc>
        <w:tc>
          <w:tcPr>
            <w:tcW w:type="dxa" w:w="1296"/>
          </w:tcPr>
          <w:p>
            <w:pPr>
              <w:spacing w:after="0"/>
            </w:pPr>
            <w:r/>
            <w:r>
              <w:rPr>
                <w:b w:val="0"/>
                <w:sz w:val="16"/>
              </w:rPr>
              <w:t>$54.58</w:t>
            </w:r>
          </w:p>
        </w:tc>
        <w:tc>
          <w:tcPr>
            <w:tcW w:type="dxa" w:w="1296"/>
          </w:tcPr>
          <w:p>
            <w:pPr>
              <w:spacing w:after="0"/>
            </w:pPr>
            <w:r/>
            <w:r>
              <w:rPr>
                <w:b w:val="0"/>
                <w:sz w:val="16"/>
              </w:rPr>
              <w:t>$15.51</w:t>
            </w:r>
          </w:p>
        </w:tc>
        <w:tc>
          <w:tcPr>
            <w:tcW w:type="dxa" w:w="1224"/>
          </w:tcPr>
          <w:p>
            <w:pPr>
              <w:spacing w:after="0"/>
            </w:pPr>
            <w:r/>
            <w:r>
              <w:rPr>
                <w:b w:val="0"/>
                <w:sz w:val="16"/>
              </w:rPr>
              <w:t>$8.62</w:t>
            </w:r>
          </w:p>
        </w:tc>
        <w:tc>
          <w:tcPr>
            <w:tcW w:type="dxa" w:w="1224"/>
          </w:tcPr>
          <w:p>
            <w:pPr>
              <w:spacing w:after="0"/>
            </w:pPr>
            <w:r/>
            <w:r>
              <w:rPr>
                <w:b w:val="0"/>
                <w:sz w:val="16"/>
              </w:rPr>
              <w:t>$9.85</w:t>
            </w:r>
          </w:p>
        </w:tc>
        <w:tc>
          <w:tcPr>
            <w:tcW w:type="dxa" w:w="1296"/>
          </w:tcPr>
          <w:p>
            <w:pPr>
              <w:spacing w:after="0"/>
            </w:pPr>
            <w:r/>
            <w:r>
              <w:rPr>
                <w:b w:val="0"/>
                <w:sz w:val="16"/>
              </w:rPr>
              <w:t>$88.56</w:t>
            </w:r>
          </w:p>
        </w:tc>
      </w:tr>
      <w:tr>
        <w:tc>
          <w:tcPr>
            <w:tcW w:type="dxa" w:w="2880"/>
          </w:tcPr>
          <w:p>
            <w:pPr>
              <w:spacing w:after="0"/>
            </w:pPr>
            <w:r/>
            <w:r>
              <w:rPr>
                <w:b w:val="0"/>
                <w:sz w:val="16"/>
              </w:rPr>
              <w:t>After-tax proceeds — asset structure</w:t>
            </w:r>
          </w:p>
        </w:tc>
        <w:tc>
          <w:tcPr>
            <w:tcW w:type="dxa" w:w="1296"/>
          </w:tcPr>
          <w:p>
            <w:pPr>
              <w:spacing w:after="0"/>
            </w:pPr>
            <w:r/>
            <w:r>
              <w:rPr>
                <w:b w:val="0"/>
                <w:sz w:val="16"/>
              </w:rPr>
              <w:t>$159.02</w:t>
            </w:r>
          </w:p>
        </w:tc>
        <w:tc>
          <w:tcPr>
            <w:tcW w:type="dxa" w:w="1296"/>
          </w:tcPr>
          <w:p>
            <w:pPr>
              <w:spacing w:after="0"/>
            </w:pPr>
            <w:r/>
            <w:r>
              <w:rPr>
                <w:b w:val="0"/>
                <w:sz w:val="16"/>
              </w:rPr>
              <w:t>$46.50</w:t>
            </w:r>
          </w:p>
        </w:tc>
        <w:tc>
          <w:tcPr>
            <w:tcW w:type="dxa" w:w="1224"/>
          </w:tcPr>
          <w:p>
            <w:pPr>
              <w:spacing w:after="0"/>
            </w:pPr>
            <w:r/>
            <w:r>
              <w:rPr>
                <w:b w:val="0"/>
                <w:sz w:val="16"/>
              </w:rPr>
              <w:t>$25.83</w:t>
            </w:r>
          </w:p>
        </w:tc>
        <w:tc>
          <w:tcPr>
            <w:tcW w:type="dxa" w:w="1224"/>
          </w:tcPr>
          <w:p>
            <w:pPr>
              <w:spacing w:after="0"/>
            </w:pPr>
            <w:r/>
            <w:r>
              <w:rPr>
                <w:b w:val="0"/>
                <w:sz w:val="16"/>
              </w:rPr>
              <w:t>$24.60</w:t>
            </w:r>
          </w:p>
        </w:tc>
        <w:tc>
          <w:tcPr>
            <w:tcW w:type="dxa" w:w="1296"/>
          </w:tcPr>
          <w:p>
            <w:pPr>
              <w:spacing w:after="0"/>
            </w:pPr>
            <w:r/>
            <w:r>
              <w:rPr>
                <w:b w:val="0"/>
                <w:sz w:val="16"/>
              </w:rPr>
              <w:t>$255.94</w:t>
            </w:r>
          </w:p>
        </w:tc>
      </w:tr>
      <w:tr>
        <w:tc>
          <w:tcPr>
            <w:tcW w:type="dxa" w:w="2880"/>
          </w:tcPr>
          <w:p>
            <w:pPr>
              <w:spacing w:after="0"/>
            </w:pPr>
            <w:r/>
            <w:r>
              <w:rPr>
                <w:b/>
                <w:sz w:val="16"/>
              </w:rPr>
              <w:t>Incremental tax cost</w:t>
            </w:r>
          </w:p>
        </w:tc>
        <w:tc>
          <w:tcPr>
            <w:tcW w:type="dxa" w:w="1296"/>
          </w:tcPr>
          <w:p>
            <w:pPr>
              <w:spacing w:after="0"/>
            </w:pPr>
            <w:r/>
            <w:r>
              <w:rPr>
                <w:b/>
                <w:sz w:val="16"/>
              </w:rPr>
              <w:t>$4.82</w:t>
            </w:r>
          </w:p>
        </w:tc>
        <w:tc>
          <w:tcPr>
            <w:tcW w:type="dxa" w:w="1296"/>
          </w:tcPr>
          <w:p>
            <w:pPr>
              <w:spacing w:after="0"/>
            </w:pPr>
            <w:r/>
            <w:r>
              <w:rPr>
                <w:b/>
                <w:sz w:val="16"/>
              </w:rPr>
              <w:t>$1.40</w:t>
            </w:r>
          </w:p>
        </w:tc>
        <w:tc>
          <w:tcPr>
            <w:tcW w:type="dxa" w:w="1224"/>
          </w:tcPr>
          <w:p>
            <w:pPr>
              <w:spacing w:after="0"/>
            </w:pPr>
            <w:r/>
            <w:r>
              <w:rPr>
                <w:b/>
                <w:sz w:val="16"/>
              </w:rPr>
              <w:t>$0.78</w:t>
            </w:r>
          </w:p>
        </w:tc>
        <w:tc>
          <w:tcPr>
            <w:tcW w:type="dxa" w:w="1224"/>
          </w:tcPr>
          <w:p>
            <w:pPr>
              <w:spacing w:after="0"/>
            </w:pPr>
            <w:r/>
            <w:r>
              <w:rPr>
                <w:b/>
                <w:sz w:val="16"/>
              </w:rPr>
              <w:t>$0.78</w:t>
            </w:r>
          </w:p>
        </w:tc>
        <w:tc>
          <w:tcPr>
            <w:tcW w:type="dxa" w:w="1296"/>
          </w:tcPr>
          <w:p>
            <w:pPr>
              <w:spacing w:after="0"/>
            </w:pPr>
            <w:r/>
            <w:r>
              <w:rPr>
                <w:b/>
                <w:sz w:val="16"/>
              </w:rPr>
              <w:t>$7.77</w:t>
            </w:r>
          </w:p>
        </w:tc>
      </w:tr>
      <w:tr>
        <w:tc>
          <w:tcPr>
            <w:tcW w:type="dxa" w:w="2880"/>
          </w:tcPr>
          <w:p>
            <w:pPr>
              <w:spacing w:after="0"/>
            </w:pPr>
            <w:r/>
            <w:r>
              <w:rPr>
                <w:b w:val="0"/>
                <w:sz w:val="16"/>
              </w:rPr>
              <w:t>Incremental cost if $8.5 non-compete allocated pro rata</w:t>
            </w:r>
          </w:p>
        </w:tc>
        <w:tc>
          <w:tcPr>
            <w:tcW w:type="dxa" w:w="1296"/>
          </w:tcPr>
          <w:p>
            <w:pPr>
              <w:spacing w:after="0"/>
            </w:pPr>
            <w:r/>
            <w:r>
              <w:rPr>
                <w:b w:val="0"/>
                <w:sz w:val="16"/>
              </w:rPr>
              <w:t>$5.65</w:t>
            </w:r>
          </w:p>
        </w:tc>
        <w:tc>
          <w:tcPr>
            <w:tcW w:type="dxa" w:w="1296"/>
          </w:tcPr>
          <w:p>
            <w:pPr>
              <w:spacing w:after="0"/>
            </w:pPr>
            <w:r/>
            <w:r>
              <w:rPr>
                <w:b w:val="0"/>
                <w:sz w:val="16"/>
              </w:rPr>
              <w:t>$1.64</w:t>
            </w:r>
          </w:p>
        </w:tc>
        <w:tc>
          <w:tcPr>
            <w:tcW w:type="dxa" w:w="1224"/>
          </w:tcPr>
          <w:p>
            <w:pPr>
              <w:spacing w:after="0"/>
            </w:pPr>
            <w:r/>
            <w:r>
              <w:rPr>
                <w:b w:val="0"/>
                <w:sz w:val="16"/>
              </w:rPr>
              <w:t>$0.91</w:t>
            </w:r>
          </w:p>
        </w:tc>
        <w:tc>
          <w:tcPr>
            <w:tcW w:type="dxa" w:w="1224"/>
          </w:tcPr>
          <w:p>
            <w:pPr>
              <w:spacing w:after="0"/>
            </w:pPr>
            <w:r/>
            <w:r>
              <w:rPr>
                <w:b w:val="0"/>
                <w:sz w:val="16"/>
              </w:rPr>
              <w:t>$0.88</w:t>
            </w:r>
          </w:p>
        </w:tc>
        <w:tc>
          <w:tcPr>
            <w:tcW w:type="dxa" w:w="1296"/>
          </w:tcPr>
          <w:p>
            <w:pPr>
              <w:spacing w:after="0"/>
            </w:pPr>
            <w:r/>
            <w:r>
              <w:rPr>
                <w:b w:val="0"/>
                <w:sz w:val="16"/>
              </w:rPr>
              <w:t>$9.08</w:t>
            </w:r>
          </w:p>
        </w:tc>
      </w:tr>
    </w:tbl>
    <w:p>
      <w:pPr>
        <w:spacing w:after="40"/>
      </w:pPr>
    </w:p>
    <w:p>
      <w:pPr>
        <w:jc w:val="both"/>
      </w:pPr>
      <w:r>
        <w:t xml:space="preserve">Not reflected above: (i) </w:t>
      </w:r>
      <w:r>
        <w:rPr>
          <w:b/>
        </w:rPr>
        <w:t>PTE elections.</w:t>
      </w:r>
      <w:r>
        <w:t xml:space="preserve"> NewCo (or HIS, in a §338(h)(10) structure) can elect into the Michigan flow-through entity tax (2021 PA 135) and the elective PTE regimes of most other footprint states (Pennsylvania and Tennessee excepted). The state tax on the sale gain then becomes an entity-level deduction against the year’s ordinary income (Notice 2020-75), which is outside the $10,000 SALT cap. The Tennessee excise and Illinois replacement taxes (≈ $2.1) are already entity-level and deductible. Depending on each state’s PTE base and Michigan credit mechanics, we estimate a federal benefit of roughly </w:t>
      </w:r>
      <w:r>
        <w:rPr>
          <w:b/>
        </w:rPr>
        <w:t>$3–6</w:t>
      </w:r>
      <w:r>
        <w:t xml:space="preserve"> to the sellers. That benefit is </w:t>
      </w:r>
      <w:r>
        <w:rPr>
          <w:b/>
        </w:rPr>
        <w:t>not available in a straight stock sale</w:t>
      </w:r>
      <w:r>
        <w:t>, and it materially narrows the gap. Michigan’s election is due by the 15th day of the third month of the electing entity’s tax year, so Ridgeline should start now. (ii) Closing in January 2025 locks in 2025 rates (before the scheduled post-2025 rise in the top ordinary rate). (iii) Composite returns or nonresident withholding on the entity’s apportioned gain will reduce cash at or after closing in several states. This is a timing item only.</w:t>
      </w:r>
    </w:p>
    <w:p>
      <w:pPr>
        <w:pStyle w:val="Heading1"/>
      </w:pPr>
      <w:r>
        <w:t>VII. LIFO Recapture and the Cost-Sharing Proposal</w:t>
      </w:r>
    </w:p>
    <w:p>
      <w:pPr>
        <w:pStyle w:val="Heading2"/>
      </w:pPr>
      <w:r>
        <w:t>A. What the LIFO cost actually is</w:t>
      </w:r>
    </w:p>
    <w:p>
      <w:pPr>
        <w:jc w:val="both"/>
      </w:pPr>
      <w:r>
        <w:t>The family’s “threshold issue” (Bridgman email, Oct. 24) is a dollar-for-dollar gross-up of a $2.5–3.1 corporate LIFO recapture tax. That tax does not exist. §1363(d) requires a C corporation using LIFO that elects S status to include its LIFO reserve in income in its last C-corporation year. The provision has no application when an S election terminates or when an S corporation sells (or is deemed to sell) inventory. HIS’s election was effective January 1, 2001. Any §1363(d) inclusion therefore belonged on HIS’s 2000 return (see the diligence flag in Part III). In the recommended structure, or in a §338(h)(10), §336(e) or asset sale, the $11.8 LIFO reserve (re-measured at closing) is ordinary income from the sale of inventory. It passes through to the shareholders under §1366 and costs them about $2.0 more in federal tax than LTCG would. It also increases their stock basis dollar for dollar, which reduces the §331 liquidation gain, so it is not double-counted. In a straight stock sale with no election, the reserve is never triggered. Michigan’s 6% CIT does not apply to an S corporation. The QoE’s $0.708 figure also ignored apportionment.</w:t>
      </w:r>
    </w:p>
    <w:p>
      <w:pPr>
        <w:jc w:val="both"/>
      </w:pPr>
      <w:r>
        <w:t xml:space="preserve">The sellers’ legitimate concern, which we should acknowledge, is the </w:t>
      </w:r>
      <w:r>
        <w:rPr>
          <w:b/>
        </w:rPr>
        <w:t>total</w:t>
      </w:r>
      <w:r>
        <w:t xml:space="preserve"> character and state cost: ≈ $7.8 before PTE elections (Part VI). The LIFO reserve is about a quarter of it. Correcting the premise does not reduce what the buyer should be prepared to pay. It changes </w:t>
      </w:r>
      <w:r>
        <w:rPr>
          <w:b/>
        </w:rPr>
        <w:t>how</w:t>
      </w:r>
      <w:r>
        <w:t xml:space="preserve"> that amount is computed and justified, and it avoids double-counting the LIFO reserve (once as a phantom corporate tax and again as ordinary income), which is the direction the sellers’ current framing is heading.</w:t>
      </w:r>
    </w:p>
    <w:p>
      <w:pPr>
        <w:pStyle w:val="Heading2"/>
      </w:pPr>
      <w:r>
        <w:t>B. Recommended mechanism — formula-based Tax Structure Payment</w:t>
      </w:r>
    </w:p>
    <w:p>
      <w:pPr>
        <w:pStyle w:val="ListBullet"/>
        <w:spacing w:after="60"/>
      </w:pPr>
      <w:r>
        <w:rPr>
          <w:b/>
        </w:rPr>
        <w:t>Definition.</w:t>
      </w:r>
      <w:r>
        <w:t xml:space="preserve"> The excess of (x) the aggregate federal, state and local income taxes of the shareholders (and entity-level taxes of NewCo/HIS) on the transaction under the agreed structure over (y) the taxes they would have owed on a straight stock sale at the same price. Computed on an agreed model with the final agreed allocation, highest marginal rates (with NIIT only where applicable), and PTE elections </w:t>
      </w:r>
      <w:r>
        <w:rPr>
          <w:b/>
        </w:rPr>
        <w:t>assumed made</w:t>
      </w:r>
      <w:r>
        <w:t xml:space="preserve"> whether or not they are made, so that the sellers have an incentive to make them.</w:t>
      </w:r>
    </w:p>
    <w:p>
      <w:pPr>
        <w:pStyle w:val="ListBullet"/>
        <w:spacing w:after="60"/>
      </w:pPr>
      <w:r>
        <w:rPr>
          <w:b/>
        </w:rPr>
        <w:t>Gross-up.</w:t>
      </w:r>
      <w:r>
        <w:t xml:space="preserve"> The payment is itself additional consideration taxed at roughly 25.5% (20% + 4.25% + ≈ 1.2% state sourcing; plus 3.8% for Sarah’s share). Payment = cost ÷ (1 − 0.255). Before PTE elections: $7.77 → </w:t>
      </w:r>
      <w:r>
        <w:rPr>
          <w:b/>
        </w:rPr>
        <w:t>≈ $10.4</w:t>
      </w:r>
      <w:r>
        <w:t>. With PTE elections: ≈ $4–6.</w:t>
      </w:r>
    </w:p>
    <w:p>
      <w:pPr>
        <w:pStyle w:val="ListBullet"/>
        <w:spacing w:after="60"/>
      </w:pPr>
      <w:r>
        <w:rPr>
          <w:b/>
        </w:rPr>
        <w:t>Cap.</w:t>
      </w:r>
      <w:r>
        <w:t xml:space="preserve"> $10.5 (the full pre-PTE gross-up, with no non-compete allocation). The payment is treated as additional purchase price, allocated to Class VII goodwill, and amortized by the buyer. At a 25.4% rate and 10% discount, the buyer recovers about 13.5% of the payment, so the net cost of a full $10.4 payment is about </w:t>
      </w:r>
      <w:r>
        <w:rPr>
          <w:b/>
        </w:rPr>
        <w:t>$9.0</w:t>
      </w:r>
      <w:r>
        <w:t xml:space="preserve"> against a step-up worth </w:t>
      </w:r>
      <w:r>
        <w:rPr>
          <w:b/>
        </w:rPr>
        <w:t>$31–43</w:t>
      </w:r>
      <w:r>
        <w:t>.</w:t>
      </w:r>
    </w:p>
    <w:p>
      <w:pPr>
        <w:pStyle w:val="ListBullet"/>
        <w:spacing w:after="60"/>
      </w:pPr>
      <w:r>
        <w:rPr>
          <w:b/>
        </w:rPr>
        <w:t>True-up.</w:t>
      </w:r>
      <w:r>
        <w:t xml:space="preserve"> Once only, when the closing statement and PPA are final, and within the cap. No adjustment for the shareholders’ actual returns, later audits or changes in law.</w:t>
      </w:r>
    </w:p>
    <w:p>
      <w:pPr>
        <w:pStyle w:val="ListBullet"/>
        <w:spacing w:after="60"/>
      </w:pPr>
      <w:r>
        <w:rPr>
          <w:b/>
        </w:rPr>
        <w:t>Conditions.</w:t>
      </w:r>
      <w:r>
        <w:t xml:space="preserve"> The sellers complete the F-reorganization steps, make the PTE elections and file consistently with the allocation. The LOI language referring to “corporate-level taxes arising from LIFO inventory recapture under Section 1363(d)” and the related installment-payment provisions should not appear in the SPA.</w:t>
      </w:r>
    </w:p>
    <w:p>
      <w:pPr>
        <w:jc w:val="both"/>
      </w:pPr>
      <w:r>
        <w:rPr>
          <w:b/>
        </w:rPr>
        <w:t>Negotiating posture.</w:t>
      </w:r>
      <w:r>
        <w:t xml:space="preserve"> Lead with the corrected analysis. Offer the formula, with the PTE assumption, plus a reduced non-compete allocation, which costs the buyer nothing. Hold the cap at about $10.5. Fallback: a fixed price increase in the $8–9 range in exchange for dropping the formula. Our walk-away from the step-up structure is far above any plausible seller demand. A refusal by the sellers to cooperate is the only realistic route to the straight-stock outcome, which costs Fund IV more than three times the cap.</w:t>
      </w:r>
    </w:p>
    <w:p>
      <w:pPr>
        <w:pStyle w:val="Heading1"/>
      </w:pPr>
      <w:r>
        <w:t>VIII. David Kressler Rollover — Mechanics and Worked Example</w:t>
      </w:r>
    </w:p>
    <w:p>
      <w:pPr>
        <w:pStyle w:val="Heading2"/>
      </w:pPr>
      <w:r>
        <w:t>A. Why a David-only tax deferral is not available in a step-up structure</w:t>
      </w:r>
    </w:p>
    <w:p>
      <w:pPr>
        <w:pStyle w:val="ListBullet"/>
        <w:spacing w:after="60"/>
      </w:pPr>
      <w:r>
        <w:t>In a §338(h)(10) or §336(e) election, every S shareholder takes its pro rata share of the deemed-sale gain into account, whether or not it sells (Treas. Reg. §1.338(h)(10)-1(d)(3), (5)). Contributing part of David’s HIS stock to the buyer under §721 or §351 does not keep his share of the inside gain out of his income. At most it defers the small §331 liquidation component.</w:t>
      </w:r>
    </w:p>
    <w:p>
      <w:pPr>
        <w:pStyle w:val="ListBullet"/>
        <w:spacing w:after="60"/>
      </w:pPr>
      <w:r>
        <w:t>A pre-closing contribution of HIS stock to a partnership (the alternative suggested in the November 5 email) would make a partnership an HIS shareholder. That terminates the S election before the deemed sale and defeats both the election and the step-up. It should not be pursued.</w:t>
      </w:r>
    </w:p>
    <w:p>
      <w:pPr>
        <w:pStyle w:val="ListBullet"/>
        <w:spacing w:after="60"/>
      </w:pPr>
      <w:r>
        <w:t>In the F-reorganization structure, NewCo could keep a 3.48% interest in HIS, LLC and contribute it to HIS Holdings under §721, deferring the gain on that slice. But NewCo must have pro rata economics (§1361(b)(1)(D); Treas. Reg. §1.1361-1(l)), so the deferral and the rolled equity would belong to all four shareholders in proportion (62/18/10/10). That is not the LOI deal. It would also breach the credit agreement if the retained interest stayed at the HIS level, because the term sheet requires the Borrower to own 100% of HIS. A family-level rollover through NewCo is technically available if the family wants it, but not a David-only one.</w:t>
      </w:r>
    </w:p>
    <w:p>
      <w:pPr>
        <w:pStyle w:val="ListBullet"/>
        <w:spacing w:after="60"/>
      </w:pPr>
      <w:r>
        <w:t>Only in a straight stock sale could David defer gain on rolled stock (§721 to HIS Holdings, or §351 to a corporate vehicle with Fund IV’s simultaneous contribution counted toward control). That would give up a step-up worth $31–43 to protect a deferral worth about $1 in present value to David.</w:t>
      </w:r>
    </w:p>
    <w:p>
      <w:pPr>
        <w:pStyle w:val="Heading2"/>
      </w:pPr>
      <w:r>
        <w:t>B. Recommended mechanics</w:t>
      </w:r>
    </w:p>
    <w:p>
      <w:pPr>
        <w:jc w:val="both"/>
      </w:pPr>
      <w:r>
        <w:t>David receives his full $34.45 share in cash through NewCo’s distribution, net of escrow. At closing, he contributes $12.0 in cash to HIS Holdings, LLC for common units (§721, no gain or loss). His outside basis and capital account are both $12.0, so §704(c) and the disguised-sale rules are not implicated, and his future gain is limited to post-closing appreciation. The HIS Holdings LLC agreement should provide for tax distributions; the Ironclad restricted-payment covenant must include a tax-distribution exception. Any incentive equity tied to his employment agreement should be issued separately as profits interests (Rev. Procs. 93-27 and 2001-43, with a protective §83(b) election). The rollover units should be fully vested, purchased equity, so they cannot be recharacterized as compensation. If HIS Acquisition Corp is used instead, David buys stock for cash with a $12.0 basis.</w:t>
      </w:r>
    </w:p>
    <w:p>
      <w:pPr>
        <w:pStyle w:val="Heading2"/>
      </w:pPr>
      <w:r>
        <w:t>C. Worked example (requested by Prescott &amp; Lowell, Nov. 8)</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016"/>
            <w:shd w:val="clear" w:color="auto" w:fill="D9E1F2"/>
          </w:tcPr>
          <w:p>
            <w:r/>
            <w:r>
              <w:rPr>
                <w:b/>
                <w:sz w:val="16"/>
              </w:rPr>
              <w:t>Line</w:t>
            </w:r>
          </w:p>
        </w:tc>
        <w:tc>
          <w:tcPr>
            <w:tcW w:type="dxa" w:w="3888"/>
            <w:shd w:val="clear" w:color="auto" w:fill="D9E1F2"/>
          </w:tcPr>
          <w:p>
            <w:r/>
            <w:r>
              <w:rPr>
                <w:b/>
                <w:sz w:val="16"/>
              </w:rPr>
              <w:t>Recommended structure (taxable cash rollover)</w:t>
            </w:r>
          </w:p>
        </w:tc>
        <w:tc>
          <w:tcPr>
            <w:tcW w:type="dxa" w:w="3456"/>
            <w:shd w:val="clear" w:color="auto" w:fill="D9E1F2"/>
          </w:tcPr>
          <w:p>
            <w:r/>
            <w:r>
              <w:rPr>
                <w:b/>
                <w:sz w:val="16"/>
              </w:rPr>
              <w:t>Comparison: straight stock sale with tax-deferred stock rollover</w:t>
            </w:r>
          </w:p>
        </w:tc>
      </w:tr>
      <w:tr>
        <w:tc>
          <w:tcPr>
            <w:tcW w:type="dxa" w:w="2016"/>
          </w:tcPr>
          <w:p>
            <w:pPr>
              <w:spacing w:after="0"/>
            </w:pPr>
            <w:r/>
            <w:r>
              <w:rPr>
                <w:b w:val="0"/>
                <w:sz w:val="16"/>
              </w:rPr>
              <w:t>(a) Total gain — 10% share</w:t>
            </w:r>
          </w:p>
        </w:tc>
        <w:tc>
          <w:tcPr>
            <w:tcW w:type="dxa" w:w="3888"/>
          </w:tcPr>
          <w:p>
            <w:pPr>
              <w:spacing w:after="0"/>
            </w:pPr>
            <w:r/>
            <w:r>
              <w:rPr>
                <w:b w:val="0"/>
                <w:sz w:val="16"/>
              </w:rPr>
              <w:t>$32.35 = $31.48 inside gain (ordinary $2.09 [LIFO $1.18 + §1245 $0.91]; unrecaptured §1250 $0.72; §1231 $28.67) + $0.87 §331 liquidation gain</w:t>
            </w:r>
          </w:p>
        </w:tc>
        <w:tc>
          <w:tcPr>
            <w:tcW w:type="dxa" w:w="3456"/>
          </w:tcPr>
          <w:p>
            <w:pPr>
              <w:spacing w:after="0"/>
            </w:pPr>
            <w:r/>
            <w:r>
              <w:rPr>
                <w:b w:val="0"/>
                <w:sz w:val="16"/>
              </w:rPr>
              <w:t>$32.35 economic gain; $21.08 recognized now on the $22.45 cash (basis $1.37 allocated); $11.27 deferred on the $12.0 rolled stock (basis $0.73)</w:t>
            </w:r>
          </w:p>
        </w:tc>
      </w:tr>
      <w:tr>
        <w:tc>
          <w:tcPr>
            <w:tcW w:type="dxa" w:w="2016"/>
          </w:tcPr>
          <w:p>
            <w:pPr>
              <w:spacing w:after="0"/>
            </w:pPr>
            <w:r/>
            <w:r>
              <w:rPr>
                <w:b w:val="0"/>
                <w:sz w:val="16"/>
              </w:rPr>
              <w:t>(b) Federal tax</w:t>
            </w:r>
          </w:p>
        </w:tc>
        <w:tc>
          <w:tcPr>
            <w:tcW w:type="dxa" w:w="3888"/>
          </w:tcPr>
          <w:p>
            <w:pPr>
              <w:spacing w:after="0"/>
            </w:pPr>
            <w:r/>
            <w:r>
              <w:rPr>
                <w:b w:val="0"/>
                <w:sz w:val="16"/>
              </w:rPr>
              <w:t>$6.86 (ordinary $0.77 + §1250 $0.18 + capital $5.91); NIIT $0 (material participant)</w:t>
            </w:r>
          </w:p>
        </w:tc>
        <w:tc>
          <w:tcPr>
            <w:tcW w:type="dxa" w:w="3456"/>
          </w:tcPr>
          <w:p>
            <w:pPr>
              <w:spacing w:after="0"/>
            </w:pPr>
            <w:r/>
            <w:r>
              <w:rPr>
                <w:b w:val="0"/>
                <w:sz w:val="16"/>
              </w:rPr>
              <w:t>$4.22 now (20%); $2.25 deferred</w:t>
            </w:r>
          </w:p>
        </w:tc>
      </w:tr>
      <w:tr>
        <w:tc>
          <w:tcPr>
            <w:tcW w:type="dxa" w:w="2016"/>
          </w:tcPr>
          <w:p>
            <w:pPr>
              <w:spacing w:after="0"/>
            </w:pPr>
            <w:r/>
            <w:r>
              <w:rPr>
                <w:b w:val="0"/>
                <w:sz w:val="16"/>
              </w:rPr>
              <w:t xml:space="preserve">    State tax</w:t>
            </w:r>
          </w:p>
        </w:tc>
        <w:tc>
          <w:tcPr>
            <w:tcW w:type="dxa" w:w="3888"/>
          </w:tcPr>
          <w:p>
            <w:pPr>
              <w:spacing w:after="0"/>
            </w:pPr>
            <w:r/>
            <w:r>
              <w:rPr>
                <w:b w:val="0"/>
                <w:sz w:val="16"/>
              </w:rPr>
              <w:t>$1.76 (Michigan 4.25% on $32.35 = $1.38; other-state excess $0.39)</w:t>
            </w:r>
          </w:p>
        </w:tc>
        <w:tc>
          <w:tcPr>
            <w:tcW w:type="dxa" w:w="3456"/>
          </w:tcPr>
          <w:p>
            <w:pPr>
              <w:spacing w:after="0"/>
            </w:pPr>
            <w:r/>
            <w:r>
              <w:rPr>
                <w:b w:val="0"/>
                <w:sz w:val="16"/>
              </w:rPr>
              <w:t>$0.90 now (MI); $0.48 deferred</w:t>
            </w:r>
          </w:p>
        </w:tc>
      </w:tr>
      <w:tr>
        <w:tc>
          <w:tcPr>
            <w:tcW w:type="dxa" w:w="2016"/>
          </w:tcPr>
          <w:p>
            <w:pPr>
              <w:spacing w:after="0"/>
            </w:pPr>
            <w:r/>
            <w:r>
              <w:rPr>
                <w:b w:val="0"/>
                <w:sz w:val="16"/>
              </w:rPr>
              <w:t xml:space="preserve">    Total tax</w:t>
            </w:r>
          </w:p>
        </w:tc>
        <w:tc>
          <w:tcPr>
            <w:tcW w:type="dxa" w:w="3888"/>
          </w:tcPr>
          <w:p>
            <w:pPr>
              <w:spacing w:after="0"/>
            </w:pPr>
            <w:r/>
            <w:r>
              <w:rPr>
                <w:b/>
                <w:sz w:val="16"/>
              </w:rPr>
              <w:t>$8.62</w:t>
            </w:r>
          </w:p>
        </w:tc>
        <w:tc>
          <w:tcPr>
            <w:tcW w:type="dxa" w:w="3456"/>
          </w:tcPr>
          <w:p>
            <w:pPr>
              <w:spacing w:after="0"/>
            </w:pPr>
            <w:r/>
            <w:r>
              <w:rPr>
                <w:b/>
                <w:sz w:val="16"/>
              </w:rPr>
              <w:t>$5.11 now</w:t>
            </w:r>
            <w:r>
              <w:rPr>
                <w:b w:val="0"/>
                <w:sz w:val="16"/>
              </w:rPr>
              <w:t xml:space="preserve"> + $2.73 deferred</w:t>
            </w:r>
          </w:p>
        </w:tc>
      </w:tr>
      <w:tr>
        <w:tc>
          <w:tcPr>
            <w:tcW w:type="dxa" w:w="2016"/>
          </w:tcPr>
          <w:p>
            <w:pPr>
              <w:spacing w:after="0"/>
            </w:pPr>
            <w:r/>
            <w:r>
              <w:rPr>
                <w:b w:val="0"/>
                <w:sz w:val="16"/>
              </w:rPr>
              <w:t>(c) Net after-tax proceeds</w:t>
            </w:r>
          </w:p>
        </w:tc>
        <w:tc>
          <w:tcPr>
            <w:tcW w:type="dxa" w:w="3888"/>
          </w:tcPr>
          <w:p>
            <w:pPr>
              <w:spacing w:after="0"/>
            </w:pPr>
            <w:r/>
            <w:r>
              <w:rPr>
                <w:b w:val="0"/>
                <w:sz w:val="16"/>
              </w:rPr>
              <w:t xml:space="preserve">$34.45 − $8.62 = </w:t>
            </w:r>
            <w:r>
              <w:rPr>
                <w:b/>
                <w:sz w:val="16"/>
              </w:rPr>
              <w:t>$25.83</w:t>
            </w:r>
          </w:p>
        </w:tc>
        <w:tc>
          <w:tcPr>
            <w:tcW w:type="dxa" w:w="3456"/>
          </w:tcPr>
          <w:p>
            <w:pPr>
              <w:spacing w:after="0"/>
            </w:pPr>
            <w:r/>
            <w:r>
              <w:rPr>
                <w:b w:val="0"/>
                <w:sz w:val="16"/>
              </w:rPr>
              <w:t>Cash $22.45 − $5.11 = $17.34, plus $12.0 rolled equity</w:t>
            </w:r>
          </w:p>
        </w:tc>
      </w:tr>
      <w:tr>
        <w:tc>
          <w:tcPr>
            <w:tcW w:type="dxa" w:w="2016"/>
          </w:tcPr>
          <w:p>
            <w:pPr>
              <w:spacing w:after="0"/>
            </w:pPr>
            <w:r/>
            <w:r>
              <w:rPr>
                <w:b w:val="0"/>
                <w:sz w:val="16"/>
              </w:rPr>
              <w:t>(d) $12.0 rollover funded?</w:t>
            </w:r>
          </w:p>
        </w:tc>
        <w:tc>
          <w:tcPr>
            <w:tcW w:type="dxa" w:w="3888"/>
          </w:tcPr>
          <w:p>
            <w:pPr>
              <w:spacing w:after="0"/>
            </w:pPr>
            <w:r/>
            <w:r>
              <w:rPr>
                <w:b/>
                <w:sz w:val="16"/>
              </w:rPr>
              <w:t>Yes.</w:t>
            </w:r>
            <w:r>
              <w:rPr>
                <w:b w:val="0"/>
                <w:sz w:val="16"/>
              </w:rPr>
              <w:t xml:space="preserve"> $25.83 covers it 2.15x; </w:t>
            </w:r>
            <w:r>
              <w:rPr>
                <w:b/>
                <w:sz w:val="16"/>
              </w:rPr>
              <w:t>$13.83</w:t>
            </w:r>
            <w:r>
              <w:rPr>
                <w:b w:val="0"/>
                <w:sz w:val="16"/>
              </w:rPr>
              <w:t xml:space="preserve"> of cash remains after the rollover</w:t>
            </w:r>
          </w:p>
        </w:tc>
        <w:tc>
          <w:tcPr>
            <w:tcW w:type="dxa" w:w="3456"/>
          </w:tcPr>
          <w:p>
            <w:pPr>
              <w:spacing w:after="0"/>
            </w:pPr>
            <w:r/>
            <w:r>
              <w:rPr>
                <w:b w:val="0"/>
                <w:sz w:val="16"/>
              </w:rPr>
              <w:t>N/A (rolled in kind); $17.34 cash</w:t>
            </w:r>
          </w:p>
        </w:tc>
      </w:tr>
      <w:tr>
        <w:tc>
          <w:tcPr>
            <w:tcW w:type="dxa" w:w="2016"/>
          </w:tcPr>
          <w:p>
            <w:pPr>
              <w:spacing w:after="0"/>
            </w:pPr>
            <w:r/>
            <w:r>
              <w:rPr>
                <w:b w:val="0"/>
                <w:sz w:val="16"/>
              </w:rPr>
              <w:t>Basis in rollover equity</w:t>
            </w:r>
          </w:p>
        </w:tc>
        <w:tc>
          <w:tcPr>
            <w:tcW w:type="dxa" w:w="3888"/>
          </w:tcPr>
          <w:p>
            <w:pPr>
              <w:spacing w:after="0"/>
            </w:pPr>
            <w:r/>
            <w:r>
              <w:rPr>
                <w:b w:val="0"/>
                <w:sz w:val="16"/>
              </w:rPr>
              <w:t>$12.0</w:t>
            </w:r>
          </w:p>
        </w:tc>
        <w:tc>
          <w:tcPr>
            <w:tcW w:type="dxa" w:w="3456"/>
          </w:tcPr>
          <w:p>
            <w:pPr>
              <w:spacing w:after="0"/>
            </w:pPr>
            <w:r/>
            <w:r>
              <w:rPr>
                <w:b w:val="0"/>
                <w:sz w:val="16"/>
              </w:rPr>
              <w:t>$0.73</w:t>
            </w:r>
          </w:p>
        </w:tc>
      </w:tr>
      <w:tr>
        <w:tc>
          <w:tcPr>
            <w:tcW w:type="dxa" w:w="2016"/>
          </w:tcPr>
          <w:p>
            <w:pPr>
              <w:spacing w:after="0"/>
            </w:pPr>
            <w:r/>
            <w:r>
              <w:rPr>
                <w:b w:val="0"/>
                <w:sz w:val="16"/>
              </w:rPr>
              <w:t>If $0.85 of non-compete (10% of $8.5) is allocated to David</w:t>
            </w:r>
          </w:p>
        </w:tc>
        <w:tc>
          <w:tcPr>
            <w:tcW w:type="dxa" w:w="3888"/>
          </w:tcPr>
          <w:p>
            <w:pPr>
              <w:spacing w:after="0"/>
            </w:pPr>
            <w:r/>
            <w:r>
              <w:rPr>
                <w:b w:val="0"/>
                <w:sz w:val="16"/>
              </w:rPr>
              <w:t>Tax $8.76; cash after rollover $13.69</w:t>
            </w:r>
          </w:p>
        </w:tc>
        <w:tc>
          <w:tcPr>
            <w:tcW w:type="dxa" w:w="3456"/>
          </w:tcPr>
          <w:p>
            <w:pPr>
              <w:spacing w:after="0"/>
            </w:pPr>
            <w:r/>
            <w:r>
              <w:rPr>
                <w:b w:val="0"/>
                <w:sz w:val="16"/>
              </w:rPr>
              <w:t>—</w:t>
            </w:r>
          </w:p>
        </w:tc>
      </w:tr>
    </w:tbl>
    <w:p>
      <w:pPr>
        <w:spacing w:after="40"/>
      </w:pPr>
    </w:p>
    <w:p>
      <w:pPr>
        <w:jc w:val="both"/>
      </w:pPr>
      <w:r>
        <w:t>David is not short. Compared with the stock-sale alternative, his cost is about $0.78 of permanent tax (character and state) plus the loss of deferral on about $2.73, which is pure timing because his rollover basis is $11.27 higher. Assuming a five-year hold at 10%, the deferral is worth about $1.0. The formula payment in Part VII already covers the $0.78. If a David-specific sweetener is needed to close, a modest make-whole of about $1.0 (or a reduced $10–11 rollover) is cheaper than any structural alternative. His 2025 federal tax is due with his 2025 return, subject to estimated-tax safe harbors, so he faces no liquidity strain at closing. Any nonresident composite withholding at the entity level reduces cash at closing and should be built into the funds flow.</w:t>
      </w:r>
    </w:p>
    <w:p>
      <w:pPr>
        <w:pStyle w:val="Heading1"/>
      </w:pPr>
      <w:r>
        <w:t>IX. State Tax Analysis — 14-State Footprint</w:t>
      </w:r>
    </w:p>
    <w:p>
      <w:pPr>
        <w:jc w:val="both"/>
      </w:pPr>
      <w:r>
        <w:t xml:space="preserve">The table uses the filing footprint and apportionment factors in the DD report, QoE and CIM (Michigan, Ohio, Indiana, Illinois, Tennessee, Georgia, Pennsylvania, Wisconsin, Minnesota, Kentucky, Alabama, North Carolina, Virginia, Missouri). Where Ridgeline’s matrix differs, its figure is shown in brackets. Conformity designations are Ridgeline’s and have not been independently confirmed. </w:t>
      </w:r>
      <w:r>
        <w:rPr>
          <w:b/>
        </w:rPr>
        <w:t>Under the recommended structure, §338(h)(10) conformity does not matter</w:t>
      </w:r>
      <w:r>
        <w:t>, because the buyer’s basis is an actual cost basis in every state that follows federal entity classification.</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1080"/>
            <w:shd w:val="clear" w:color="auto" w:fill="D9E1F2"/>
          </w:tcPr>
          <w:p>
            <w:r/>
            <w:r>
              <w:rPr>
                <w:b/>
                <w:sz w:val="14"/>
              </w:rPr>
              <w:t>State</w:t>
            </w:r>
          </w:p>
        </w:tc>
        <w:tc>
          <w:tcPr>
            <w:tcW w:type="dxa" w:w="1008"/>
            <w:shd w:val="clear" w:color="auto" w:fill="D9E1F2"/>
          </w:tcPr>
          <w:p>
            <w:r/>
            <w:r>
              <w:rPr>
                <w:b/>
                <w:sz w:val="14"/>
              </w:rPr>
              <w:t>Factor DD/QoE [matrix]</w:t>
            </w:r>
          </w:p>
        </w:tc>
        <w:tc>
          <w:tcPr>
            <w:tcW w:type="dxa" w:w="1296"/>
            <w:shd w:val="clear" w:color="auto" w:fill="D9E1F2"/>
          </w:tcPr>
          <w:p>
            <w:r/>
            <w:r>
              <w:rPr>
                <w:b/>
                <w:sz w:val="14"/>
              </w:rPr>
              <w:t>Physical presence (CIM)</w:t>
            </w:r>
          </w:p>
        </w:tc>
        <w:tc>
          <w:tcPr>
            <w:tcW w:type="dxa" w:w="1584"/>
            <w:shd w:val="clear" w:color="auto" w:fill="D9E1F2"/>
          </w:tcPr>
          <w:p>
            <w:r/>
            <w:r>
              <w:rPr>
                <w:b/>
                <w:sz w:val="14"/>
              </w:rPr>
              <w:t>Entity-level tax on S corp / LLC</w:t>
            </w:r>
          </w:p>
        </w:tc>
        <w:tc>
          <w:tcPr>
            <w:tcW w:type="dxa" w:w="1080"/>
            <w:shd w:val="clear" w:color="auto" w:fill="D9E1F2"/>
          </w:tcPr>
          <w:p>
            <w:r/>
            <w:r>
              <w:rPr>
                <w:b/>
                <w:sz w:val="14"/>
              </w:rPr>
              <w:t>§338(h)(10) per Ridgeline</w:t>
            </w:r>
          </w:p>
        </w:tc>
        <w:tc>
          <w:tcPr>
            <w:tcW w:type="dxa" w:w="1296"/>
            <w:shd w:val="clear" w:color="auto" w:fill="D9E1F2"/>
          </w:tcPr>
          <w:p>
            <w:r/>
            <w:r>
              <w:rPr>
                <w:b/>
                <w:sz w:val="14"/>
              </w:rPr>
              <w:t>Seller sale-year cost over MI 4.25%</w:t>
            </w:r>
          </w:p>
        </w:tc>
        <w:tc>
          <w:tcPr>
            <w:tcW w:type="dxa" w:w="2016"/>
            <w:shd w:val="clear" w:color="auto" w:fill="D9E1F2"/>
          </w:tcPr>
          <w:p>
            <w:r/>
            <w:r>
              <w:rPr>
                <w:b/>
                <w:sz w:val="14"/>
              </w:rPr>
              <w:t>Notes / action</w:t>
            </w:r>
          </w:p>
        </w:tc>
      </w:tr>
      <w:tr>
        <w:tc>
          <w:tcPr>
            <w:tcW w:type="dxa" w:w="1080"/>
          </w:tcPr>
          <w:p>
            <w:pPr>
              <w:spacing w:after="0"/>
            </w:pPr>
            <w:r/>
            <w:r>
              <w:rPr>
                <w:b w:val="0"/>
                <w:sz w:val="14"/>
              </w:rPr>
              <w:t>Michigan</w:t>
            </w:r>
          </w:p>
        </w:tc>
        <w:tc>
          <w:tcPr>
            <w:tcW w:type="dxa" w:w="1008"/>
          </w:tcPr>
          <w:p>
            <w:pPr>
              <w:spacing w:after="0"/>
            </w:pPr>
            <w:r/>
            <w:r>
              <w:rPr>
                <w:b w:val="0"/>
                <w:sz w:val="14"/>
              </w:rPr>
              <w:t>28% [28%]</w:t>
            </w:r>
          </w:p>
        </w:tc>
        <w:tc>
          <w:tcPr>
            <w:tcW w:type="dxa" w:w="1296"/>
          </w:tcPr>
          <w:p>
            <w:pPr>
              <w:spacing w:after="0"/>
            </w:pPr>
            <w:r/>
            <w:r>
              <w:rPr>
                <w:b w:val="0"/>
                <w:sz w:val="14"/>
              </w:rPr>
              <w:t>HQ (owned) + DC</w:t>
            </w:r>
          </w:p>
        </w:tc>
        <w:tc>
          <w:tcPr>
            <w:tcW w:type="dxa" w:w="1584"/>
          </w:tcPr>
          <w:p>
            <w:pPr>
              <w:spacing w:after="0"/>
            </w:pPr>
            <w:r/>
            <w:r>
              <w:rPr>
                <w:b w:val="0"/>
                <w:sz w:val="14"/>
              </w:rPr>
              <w:t>None (CIT does not apply to S corps or flow-throughs); elective FTE tax 4.25%</w:t>
            </w:r>
          </w:p>
        </w:tc>
        <w:tc>
          <w:tcPr>
            <w:tcW w:type="dxa" w:w="1080"/>
          </w:tcPr>
          <w:p>
            <w:pPr>
              <w:spacing w:after="0"/>
            </w:pPr>
            <w:r/>
            <w:r>
              <w:rPr>
                <w:b w:val="0"/>
                <w:sz w:val="14"/>
              </w:rPr>
              <w:t>Conforms</w:t>
            </w:r>
          </w:p>
        </w:tc>
        <w:tc>
          <w:tcPr>
            <w:tcW w:type="dxa" w:w="1296"/>
          </w:tcPr>
          <w:p>
            <w:pPr>
              <w:spacing w:after="0"/>
            </w:pPr>
            <w:r/>
            <w:r>
              <w:rPr>
                <w:b w:val="0"/>
                <w:sz w:val="14"/>
              </w:rPr>
              <w:t>Baseline</w:t>
            </w:r>
          </w:p>
        </w:tc>
        <w:tc>
          <w:tcPr>
            <w:tcW w:type="dxa" w:w="2016"/>
          </w:tcPr>
          <w:p>
            <w:pPr>
              <w:spacing w:after="0"/>
            </w:pPr>
            <w:r/>
            <w:r>
              <w:rPr>
                <w:b w:val="0"/>
                <w:sz w:val="14"/>
              </w:rPr>
              <w:t>Resident state; credit for other-state taxes. A C-corporation vehicle would pay 6% CIT</w:t>
            </w:r>
          </w:p>
        </w:tc>
      </w:tr>
      <w:tr>
        <w:tc>
          <w:tcPr>
            <w:tcW w:type="dxa" w:w="1080"/>
          </w:tcPr>
          <w:p>
            <w:pPr>
              <w:spacing w:after="0"/>
            </w:pPr>
            <w:r/>
            <w:r>
              <w:rPr>
                <w:b w:val="0"/>
                <w:sz w:val="14"/>
              </w:rPr>
              <w:t>Ohio</w:t>
            </w:r>
          </w:p>
        </w:tc>
        <w:tc>
          <w:tcPr>
            <w:tcW w:type="dxa" w:w="1008"/>
          </w:tcPr>
          <w:p>
            <w:pPr>
              <w:spacing w:after="0"/>
            </w:pPr>
            <w:r/>
            <w:r>
              <w:rPr>
                <w:b w:val="0"/>
                <w:sz w:val="14"/>
              </w:rPr>
              <w:t>14% [14%]</w:t>
            </w:r>
          </w:p>
        </w:tc>
        <w:tc>
          <w:tcPr>
            <w:tcW w:type="dxa" w:w="1296"/>
          </w:tcPr>
          <w:p>
            <w:pPr>
              <w:spacing w:after="0"/>
            </w:pPr>
            <w:r/>
            <w:r>
              <w:rPr>
                <w:b w:val="0"/>
                <w:sz w:val="14"/>
              </w:rPr>
              <w:t>Columbus DC</w:t>
            </w:r>
          </w:p>
        </w:tc>
        <w:tc>
          <w:tcPr>
            <w:tcW w:type="dxa" w:w="1584"/>
          </w:tcPr>
          <w:p>
            <w:pPr>
              <w:spacing w:after="0"/>
            </w:pPr>
            <w:r/>
            <w:r>
              <w:rPr>
                <w:b w:val="0"/>
                <w:sz w:val="14"/>
              </w:rPr>
              <w:t>CAT 0.26% of gross receipts</w:t>
            </w:r>
          </w:p>
        </w:tc>
        <w:tc>
          <w:tcPr>
            <w:tcW w:type="dxa" w:w="1080"/>
          </w:tcPr>
          <w:p>
            <w:pPr>
              <w:spacing w:after="0"/>
            </w:pPr>
            <w:r/>
            <w:r>
              <w:rPr>
                <w:b w:val="0"/>
                <w:sz w:val="14"/>
              </w:rPr>
              <w:t>Conforms (CAT N/A)</w:t>
            </w:r>
          </w:p>
        </w:tc>
        <w:tc>
          <w:tcPr>
            <w:tcW w:type="dxa" w:w="1296"/>
          </w:tcPr>
          <w:p>
            <w:pPr>
              <w:spacing w:after="0"/>
            </w:pPr>
            <w:r/>
            <w:r>
              <w:rPr>
                <w:b w:val="0"/>
                <w:sz w:val="14"/>
              </w:rPr>
              <w:t>$0 (rate below MI)</w:t>
            </w:r>
          </w:p>
        </w:tc>
        <w:tc>
          <w:tcPr>
            <w:tcW w:type="dxa" w:w="2016"/>
          </w:tcPr>
          <w:p>
            <w:pPr>
              <w:spacing w:after="0"/>
            </w:pPr>
            <w:r/>
            <w:r>
              <w:rPr>
                <w:b w:val="0"/>
                <w:sz w:val="14"/>
              </w:rPr>
              <w:t>Confirm CAT treatment of sale receipts (capital/§1231 asset exclusion; inventory)</w:t>
            </w:r>
          </w:p>
        </w:tc>
      </w:tr>
      <w:tr>
        <w:tc>
          <w:tcPr>
            <w:tcW w:type="dxa" w:w="1080"/>
          </w:tcPr>
          <w:p>
            <w:pPr>
              <w:spacing w:after="0"/>
            </w:pPr>
            <w:r/>
            <w:r>
              <w:rPr>
                <w:b w:val="0"/>
                <w:sz w:val="14"/>
              </w:rPr>
              <w:t>Indiana</w:t>
            </w:r>
          </w:p>
        </w:tc>
        <w:tc>
          <w:tcPr>
            <w:tcW w:type="dxa" w:w="1008"/>
          </w:tcPr>
          <w:p>
            <w:pPr>
              <w:spacing w:after="0"/>
            </w:pPr>
            <w:r/>
            <w:r>
              <w:rPr>
                <w:b w:val="0"/>
                <w:sz w:val="14"/>
              </w:rPr>
              <w:t>11% [11%]</w:t>
            </w:r>
          </w:p>
        </w:tc>
        <w:tc>
          <w:tcPr>
            <w:tcW w:type="dxa" w:w="1296"/>
          </w:tcPr>
          <w:p>
            <w:pPr>
              <w:spacing w:after="0"/>
            </w:pPr>
            <w:r/>
            <w:r>
              <w:rPr>
                <w:b w:val="0"/>
                <w:sz w:val="14"/>
              </w:rPr>
              <w:t>Indianapolis DC</w:t>
            </w:r>
          </w:p>
        </w:tc>
        <w:tc>
          <w:tcPr>
            <w:tcW w:type="dxa" w:w="1584"/>
          </w:tcPr>
          <w:p>
            <w:pPr>
              <w:spacing w:after="0"/>
            </w:pPr>
            <w:r/>
            <w:r>
              <w:rPr>
                <w:b w:val="0"/>
                <w:sz w:val="14"/>
              </w:rPr>
              <w:t>None</w:t>
            </w:r>
          </w:p>
        </w:tc>
        <w:tc>
          <w:tcPr>
            <w:tcW w:type="dxa" w:w="1080"/>
          </w:tcPr>
          <w:p>
            <w:pPr>
              <w:spacing w:after="0"/>
            </w:pPr>
            <w:r/>
            <w:r>
              <w:rPr>
                <w:b w:val="0"/>
                <w:sz w:val="14"/>
              </w:rPr>
              <w:t>Conforms</w:t>
            </w:r>
          </w:p>
        </w:tc>
        <w:tc>
          <w:tcPr>
            <w:tcW w:type="dxa" w:w="1296"/>
          </w:tcPr>
          <w:p>
            <w:pPr>
              <w:spacing w:after="0"/>
            </w:pPr>
            <w:r/>
            <w:r>
              <w:rPr>
                <w:b w:val="0"/>
                <w:sz w:val="14"/>
              </w:rPr>
              <w:t>$0</w:t>
            </w:r>
          </w:p>
        </w:tc>
        <w:tc>
          <w:tcPr>
            <w:tcW w:type="dxa" w:w="2016"/>
          </w:tcPr>
          <w:p>
            <w:pPr>
              <w:spacing w:after="0"/>
            </w:pPr>
            <w:r/>
            <w:r>
              <w:rPr>
                <w:b w:val="0"/>
                <w:sz w:val="14"/>
              </w:rPr>
              <w:t>Composite/withholding for nonresidents</w:t>
            </w:r>
          </w:p>
        </w:tc>
      </w:tr>
      <w:tr>
        <w:tc>
          <w:tcPr>
            <w:tcW w:type="dxa" w:w="1080"/>
          </w:tcPr>
          <w:p>
            <w:pPr>
              <w:spacing w:after="0"/>
            </w:pPr>
            <w:r/>
            <w:r>
              <w:rPr>
                <w:b w:val="0"/>
                <w:sz w:val="14"/>
              </w:rPr>
              <w:t>Illinois</w:t>
            </w:r>
          </w:p>
        </w:tc>
        <w:tc>
          <w:tcPr>
            <w:tcW w:type="dxa" w:w="1008"/>
          </w:tcPr>
          <w:p>
            <w:pPr>
              <w:spacing w:after="0"/>
            </w:pPr>
            <w:r/>
            <w:r>
              <w:rPr>
                <w:b w:val="0"/>
                <w:sz w:val="14"/>
              </w:rPr>
              <w:t>9% [9%]</w:t>
            </w:r>
          </w:p>
        </w:tc>
        <w:tc>
          <w:tcPr>
            <w:tcW w:type="dxa" w:w="1296"/>
          </w:tcPr>
          <w:p>
            <w:pPr>
              <w:spacing w:after="0"/>
            </w:pPr>
            <w:r/>
            <w:r>
              <w:rPr>
                <w:b w:val="0"/>
                <w:sz w:val="14"/>
              </w:rPr>
              <w:t>Chicago DC</w:t>
            </w:r>
          </w:p>
        </w:tc>
        <w:tc>
          <w:tcPr>
            <w:tcW w:type="dxa" w:w="1584"/>
          </w:tcPr>
          <w:p>
            <w:pPr>
              <w:spacing w:after="0"/>
            </w:pPr>
            <w:r/>
            <w:r>
              <w:rPr>
                <w:b w:val="0"/>
                <w:sz w:val="14"/>
              </w:rPr>
              <w:t>1.5% replacement tax (S corps and partnerships)</w:t>
            </w:r>
          </w:p>
        </w:tc>
        <w:tc>
          <w:tcPr>
            <w:tcW w:type="dxa" w:w="1080"/>
          </w:tcPr>
          <w:p>
            <w:pPr>
              <w:spacing w:after="0"/>
            </w:pPr>
            <w:r/>
            <w:r>
              <w:rPr>
                <w:b w:val="0"/>
                <w:sz w:val="14"/>
              </w:rPr>
              <w:t>Conforms</w:t>
            </w:r>
          </w:p>
        </w:tc>
        <w:tc>
          <w:tcPr>
            <w:tcW w:type="dxa" w:w="1296"/>
          </w:tcPr>
          <w:p>
            <w:pPr>
              <w:spacing w:after="0"/>
            </w:pPr>
            <w:r/>
            <w:r>
              <w:rPr>
                <w:b w:val="0"/>
                <w:sz w:val="14"/>
              </w:rPr>
              <w:t>≈ $0.62 (4.95% + 1.5% PPRT)</w:t>
            </w:r>
          </w:p>
        </w:tc>
        <w:tc>
          <w:tcPr>
            <w:tcW w:type="dxa" w:w="2016"/>
          </w:tcPr>
          <w:p>
            <w:pPr>
              <w:spacing w:after="0"/>
            </w:pPr>
            <w:r/>
            <w:r>
              <w:rPr>
                <w:b w:val="0"/>
                <w:sz w:val="14"/>
              </w:rPr>
              <w:t>PPRT continues post-closing for a partnership</w:t>
            </w:r>
          </w:p>
        </w:tc>
      </w:tr>
      <w:tr>
        <w:tc>
          <w:tcPr>
            <w:tcW w:type="dxa" w:w="1080"/>
          </w:tcPr>
          <w:p>
            <w:pPr>
              <w:spacing w:after="0"/>
            </w:pPr>
            <w:r/>
            <w:r>
              <w:rPr>
                <w:b w:val="0"/>
                <w:sz w:val="14"/>
              </w:rPr>
              <w:t>Tennessee</w:t>
            </w:r>
          </w:p>
        </w:tc>
        <w:tc>
          <w:tcPr>
            <w:tcW w:type="dxa" w:w="1008"/>
          </w:tcPr>
          <w:p>
            <w:pPr>
              <w:spacing w:after="0"/>
            </w:pPr>
            <w:r/>
            <w:r>
              <w:rPr>
                <w:b w:val="0"/>
                <w:sz w:val="14"/>
              </w:rPr>
              <w:t>8% [1.5%]</w:t>
            </w:r>
          </w:p>
        </w:tc>
        <w:tc>
          <w:tcPr>
            <w:tcW w:type="dxa" w:w="1296"/>
          </w:tcPr>
          <w:p>
            <w:pPr>
              <w:spacing w:after="0"/>
            </w:pPr>
            <w:r/>
            <w:r>
              <w:rPr>
                <w:b w:val="0"/>
                <w:sz w:val="14"/>
              </w:rPr>
              <w:t>Memphis DC (matrix says none)</w:t>
            </w:r>
          </w:p>
        </w:tc>
        <w:tc>
          <w:tcPr>
            <w:tcW w:type="dxa" w:w="1584"/>
          </w:tcPr>
          <w:p>
            <w:pPr>
              <w:spacing w:after="0"/>
            </w:pPr>
            <w:r/>
            <w:r>
              <w:rPr>
                <w:b w:val="0"/>
                <w:sz w:val="14"/>
              </w:rPr>
              <w:t>6.5% excise + 0.25% franchise (S corps and LLCs)</w:t>
            </w:r>
          </w:p>
        </w:tc>
        <w:tc>
          <w:tcPr>
            <w:tcW w:type="dxa" w:w="1080"/>
          </w:tcPr>
          <w:p>
            <w:pPr>
              <w:spacing w:after="0"/>
            </w:pPr>
            <w:r/>
            <w:r>
              <w:rPr>
                <w:b w:val="0"/>
                <w:sz w:val="14"/>
              </w:rPr>
              <w:t>Conforms</w:t>
            </w:r>
          </w:p>
        </w:tc>
        <w:tc>
          <w:tcPr>
            <w:tcW w:type="dxa" w:w="1296"/>
          </w:tcPr>
          <w:p>
            <w:pPr>
              <w:spacing w:after="0"/>
            </w:pPr>
            <w:r/>
            <w:r>
              <w:rPr>
                <w:b w:val="0"/>
                <w:sz w:val="14"/>
              </w:rPr>
              <w:t>≈ $1.64 (≈ $0.31 at 1.5%)</w:t>
            </w:r>
          </w:p>
        </w:tc>
        <w:tc>
          <w:tcPr>
            <w:tcW w:type="dxa" w:w="2016"/>
          </w:tcPr>
          <w:p>
            <w:pPr>
              <w:spacing w:after="0"/>
            </w:pPr>
            <w:r/>
            <w:r>
              <w:rPr>
                <w:b w:val="0"/>
                <w:sz w:val="14"/>
              </w:rPr>
              <w:t>Largest state item. Reconcile the factor. F&amp;E continue for HIS, LLC</w:t>
            </w:r>
          </w:p>
        </w:tc>
      </w:tr>
      <w:tr>
        <w:tc>
          <w:tcPr>
            <w:tcW w:type="dxa" w:w="1080"/>
          </w:tcPr>
          <w:p>
            <w:pPr>
              <w:spacing w:after="0"/>
            </w:pPr>
            <w:r/>
            <w:r>
              <w:rPr>
                <w:b w:val="0"/>
                <w:sz w:val="14"/>
              </w:rPr>
              <w:t>Georgia</w:t>
            </w:r>
          </w:p>
        </w:tc>
        <w:tc>
          <w:tcPr>
            <w:tcW w:type="dxa" w:w="1008"/>
          </w:tcPr>
          <w:p>
            <w:pPr>
              <w:spacing w:after="0"/>
            </w:pPr>
            <w:r/>
            <w:r>
              <w:rPr>
                <w:b w:val="0"/>
                <w:sz w:val="14"/>
              </w:rPr>
              <w:t>7% [7%]</w:t>
            </w:r>
          </w:p>
        </w:tc>
        <w:tc>
          <w:tcPr>
            <w:tcW w:type="dxa" w:w="1296"/>
          </w:tcPr>
          <w:p>
            <w:pPr>
              <w:spacing w:after="0"/>
            </w:pPr>
            <w:r/>
            <w:r>
              <w:rPr>
                <w:b w:val="0"/>
                <w:sz w:val="14"/>
              </w:rPr>
              <w:t>Atlanta DC (matrix says none)</w:t>
            </w:r>
          </w:p>
        </w:tc>
        <w:tc>
          <w:tcPr>
            <w:tcW w:type="dxa" w:w="1584"/>
          </w:tcPr>
          <w:p>
            <w:pPr>
              <w:spacing w:after="0"/>
            </w:pPr>
            <w:r/>
            <w:r>
              <w:rPr>
                <w:b w:val="0"/>
                <w:sz w:val="14"/>
              </w:rPr>
              <w:t>None</w:t>
            </w:r>
          </w:p>
        </w:tc>
        <w:tc>
          <w:tcPr>
            <w:tcW w:type="dxa" w:w="1080"/>
          </w:tcPr>
          <w:p>
            <w:pPr>
              <w:spacing w:after="0"/>
            </w:pPr>
            <w:r/>
            <w:r>
              <w:rPr>
                <w:b w:val="0"/>
                <w:sz w:val="14"/>
              </w:rPr>
              <w:t>Uncertain</w:t>
            </w:r>
          </w:p>
        </w:tc>
        <w:tc>
          <w:tcPr>
            <w:tcW w:type="dxa" w:w="1296"/>
          </w:tcPr>
          <w:p>
            <w:pPr>
              <w:spacing w:after="0"/>
            </w:pPr>
            <w:r/>
            <w:r>
              <w:rPr>
                <w:b w:val="0"/>
                <w:sz w:val="14"/>
              </w:rPr>
              <w:t>≈ $0.25</w:t>
            </w:r>
          </w:p>
        </w:tc>
        <w:tc>
          <w:tcPr>
            <w:tcW w:type="dxa" w:w="2016"/>
          </w:tcPr>
          <w:p>
            <w:pPr>
              <w:spacing w:after="0"/>
            </w:pPr>
            <w:r/>
            <w:r>
              <w:rPr>
                <w:b w:val="0"/>
                <w:sz w:val="14"/>
              </w:rPr>
              <w:t>Moot under the recommended structure</w:t>
            </w:r>
          </w:p>
        </w:tc>
      </w:tr>
      <w:tr>
        <w:tc>
          <w:tcPr>
            <w:tcW w:type="dxa" w:w="1080"/>
          </w:tcPr>
          <w:p>
            <w:pPr>
              <w:spacing w:after="0"/>
            </w:pPr>
            <w:r/>
            <w:r>
              <w:rPr>
                <w:b w:val="0"/>
                <w:sz w:val="14"/>
              </w:rPr>
              <w:t>Pennsylvania</w:t>
            </w:r>
          </w:p>
        </w:tc>
        <w:tc>
          <w:tcPr>
            <w:tcW w:type="dxa" w:w="1008"/>
          </w:tcPr>
          <w:p>
            <w:pPr>
              <w:spacing w:after="0"/>
            </w:pPr>
            <w:r/>
            <w:r>
              <w:rPr>
                <w:b w:val="0"/>
                <w:sz w:val="14"/>
              </w:rPr>
              <w:t>6% [6%]</w:t>
            </w:r>
          </w:p>
        </w:tc>
        <w:tc>
          <w:tcPr>
            <w:tcW w:type="dxa" w:w="1296"/>
          </w:tcPr>
          <w:p>
            <w:pPr>
              <w:spacing w:after="0"/>
            </w:pPr>
            <w:r/>
            <w:r>
              <w:rPr>
                <w:b w:val="0"/>
                <w:sz w:val="14"/>
              </w:rPr>
              <w:t>Pittsburgh DC (matrix: none; 0% payroll/property)</w:t>
            </w:r>
          </w:p>
        </w:tc>
        <w:tc>
          <w:tcPr>
            <w:tcW w:type="dxa" w:w="1584"/>
          </w:tcPr>
          <w:p>
            <w:pPr>
              <w:spacing w:after="0"/>
            </w:pPr>
            <w:r/>
            <w:r>
              <w:rPr>
                <w:b w:val="0"/>
                <w:sz w:val="14"/>
              </w:rPr>
              <w:t>None for PA S corps; CNIT for C corps (7.99% in 2025, not 9.99%)</w:t>
            </w:r>
          </w:p>
        </w:tc>
        <w:tc>
          <w:tcPr>
            <w:tcW w:type="dxa" w:w="1080"/>
          </w:tcPr>
          <w:p>
            <w:pPr>
              <w:spacing w:after="0"/>
            </w:pPr>
            <w:r/>
            <w:r>
              <w:rPr>
                <w:b w:val="0"/>
                <w:sz w:val="14"/>
              </w:rPr>
              <w:t>Non-conforming (unverified)</w:t>
            </w:r>
          </w:p>
        </w:tc>
        <w:tc>
          <w:tcPr>
            <w:tcW w:type="dxa" w:w="1296"/>
          </w:tcPr>
          <w:p>
            <w:pPr>
              <w:spacing w:after="0"/>
            </w:pPr>
            <w:r/>
            <w:r>
              <w:rPr>
                <w:b w:val="0"/>
                <w:sz w:val="14"/>
              </w:rPr>
              <w:t>$0 (PIT 3.07%)</w:t>
            </w:r>
          </w:p>
        </w:tc>
        <w:tc>
          <w:tcPr>
            <w:tcW w:type="dxa" w:w="2016"/>
          </w:tcPr>
          <w:p>
            <w:pPr>
              <w:spacing w:after="0"/>
            </w:pPr>
            <w:r/>
            <w:r>
              <w:rPr>
                <w:b w:val="0"/>
                <w:sz w:val="14"/>
              </w:rPr>
              <w:t>Moot under the recommended structure. Ridgeline’s $0.088/yr lost-benefit figure uses a superseded rate. Correct the physical-presence data</w:t>
            </w:r>
          </w:p>
        </w:tc>
      </w:tr>
      <w:tr>
        <w:tc>
          <w:tcPr>
            <w:tcW w:type="dxa" w:w="1080"/>
          </w:tcPr>
          <w:p>
            <w:pPr>
              <w:spacing w:after="0"/>
            </w:pPr>
            <w:r/>
            <w:r>
              <w:rPr>
                <w:b w:val="0"/>
                <w:sz w:val="14"/>
              </w:rPr>
              <w:t>Wisconsin</w:t>
            </w:r>
          </w:p>
        </w:tc>
        <w:tc>
          <w:tcPr>
            <w:tcW w:type="dxa" w:w="1008"/>
          </w:tcPr>
          <w:p>
            <w:pPr>
              <w:spacing w:after="0"/>
            </w:pPr>
            <w:r/>
            <w:r>
              <w:rPr>
                <w:b w:val="0"/>
                <w:sz w:val="14"/>
              </w:rPr>
              <w:t>5% [8%]</w:t>
            </w:r>
          </w:p>
        </w:tc>
        <w:tc>
          <w:tcPr>
            <w:tcW w:type="dxa" w:w="1296"/>
          </w:tcPr>
          <w:p>
            <w:pPr>
              <w:spacing w:after="0"/>
            </w:pPr>
            <w:r/>
            <w:r>
              <w:rPr>
                <w:b w:val="0"/>
                <w:sz w:val="14"/>
              </w:rPr>
              <w:t>Milwaukee DC (matrix: none)</w:t>
            </w:r>
          </w:p>
        </w:tc>
        <w:tc>
          <w:tcPr>
            <w:tcW w:type="dxa" w:w="1584"/>
          </w:tcPr>
          <w:p>
            <w:pPr>
              <w:spacing w:after="0"/>
            </w:pPr>
            <w:r/>
            <w:r>
              <w:rPr>
                <w:b w:val="0"/>
                <w:sz w:val="14"/>
              </w:rPr>
              <w:t>None</w:t>
            </w:r>
          </w:p>
        </w:tc>
        <w:tc>
          <w:tcPr>
            <w:tcW w:type="dxa" w:w="1080"/>
          </w:tcPr>
          <w:p>
            <w:pPr>
              <w:spacing w:after="0"/>
            </w:pPr>
            <w:r/>
            <w:r>
              <w:rPr>
                <w:b w:val="0"/>
                <w:sz w:val="14"/>
              </w:rPr>
              <w:t>Conforms</w:t>
            </w:r>
          </w:p>
        </w:tc>
        <w:tc>
          <w:tcPr>
            <w:tcW w:type="dxa" w:w="1296"/>
          </w:tcPr>
          <w:p>
            <w:pPr>
              <w:spacing w:after="0"/>
            </w:pPr>
            <w:r/>
            <w:r>
              <w:rPr>
                <w:b w:val="0"/>
                <w:sz w:val="14"/>
              </w:rPr>
              <w:t>≈ $0.54 (≈ $0.86 at 8%)</w:t>
            </w:r>
          </w:p>
        </w:tc>
        <w:tc>
          <w:tcPr>
            <w:tcW w:type="dxa" w:w="2016"/>
          </w:tcPr>
          <w:p>
            <w:pPr>
              <w:spacing w:after="0"/>
            </w:pPr>
            <w:r/>
            <w:r>
              <w:rPr>
                <w:b w:val="0"/>
                <w:sz w:val="14"/>
              </w:rPr>
              <w:t>Reconcile the factor</w:t>
            </w:r>
          </w:p>
        </w:tc>
      </w:tr>
      <w:tr>
        <w:tc>
          <w:tcPr>
            <w:tcW w:type="dxa" w:w="1080"/>
          </w:tcPr>
          <w:p>
            <w:pPr>
              <w:spacing w:after="0"/>
            </w:pPr>
            <w:r/>
            <w:r>
              <w:rPr>
                <w:b w:val="0"/>
                <w:sz w:val="14"/>
              </w:rPr>
              <w:t>Minnesota</w:t>
            </w:r>
          </w:p>
        </w:tc>
        <w:tc>
          <w:tcPr>
            <w:tcW w:type="dxa" w:w="1008"/>
          </w:tcPr>
          <w:p>
            <w:pPr>
              <w:spacing w:after="0"/>
            </w:pPr>
            <w:r/>
            <w:r>
              <w:rPr>
                <w:b w:val="0"/>
                <w:sz w:val="14"/>
              </w:rPr>
              <w:t>4% [5%]</w:t>
            </w:r>
          </w:p>
        </w:tc>
        <w:tc>
          <w:tcPr>
            <w:tcW w:type="dxa" w:w="1296"/>
          </w:tcPr>
          <w:p>
            <w:pPr>
              <w:spacing w:after="0"/>
            </w:pPr>
            <w:r/>
            <w:r>
              <w:rPr>
                <w:b w:val="0"/>
                <w:sz w:val="14"/>
              </w:rPr>
              <w:t>Minneapolis DC (matrix: none)</w:t>
            </w:r>
          </w:p>
        </w:tc>
        <w:tc>
          <w:tcPr>
            <w:tcW w:type="dxa" w:w="1584"/>
          </w:tcPr>
          <w:p>
            <w:pPr>
              <w:spacing w:after="0"/>
            </w:pPr>
            <w:r/>
            <w:r>
              <w:rPr>
                <w:b w:val="0"/>
                <w:sz w:val="14"/>
              </w:rPr>
              <w:t>Minimum fee</w:t>
            </w:r>
          </w:p>
        </w:tc>
        <w:tc>
          <w:tcPr>
            <w:tcW w:type="dxa" w:w="1080"/>
          </w:tcPr>
          <w:p>
            <w:pPr>
              <w:spacing w:after="0"/>
            </w:pPr>
            <w:r/>
            <w:r>
              <w:rPr>
                <w:b w:val="0"/>
                <w:sz w:val="14"/>
              </w:rPr>
              <w:t>Conforms</w:t>
            </w:r>
          </w:p>
        </w:tc>
        <w:tc>
          <w:tcPr>
            <w:tcW w:type="dxa" w:w="1296"/>
          </w:tcPr>
          <w:p>
            <w:pPr>
              <w:spacing w:after="0"/>
            </w:pPr>
            <w:r/>
            <w:r>
              <w:rPr>
                <w:b w:val="0"/>
                <w:sz w:val="14"/>
              </w:rPr>
              <w:t>≈ $0.71</w:t>
            </w:r>
          </w:p>
        </w:tc>
        <w:tc>
          <w:tcPr>
            <w:tcW w:type="dxa" w:w="2016"/>
          </w:tcPr>
          <w:p>
            <w:pPr>
              <w:spacing w:after="0"/>
            </w:pPr>
            <w:r/>
            <w:r>
              <w:rPr>
                <w:b w:val="0"/>
                <w:sz w:val="14"/>
              </w:rPr>
              <w:t>Possible MN sourcing of nonresident gain even on a stock sale; confirm</w:t>
            </w:r>
          </w:p>
        </w:tc>
      </w:tr>
      <w:tr>
        <w:tc>
          <w:tcPr>
            <w:tcW w:type="dxa" w:w="1080"/>
          </w:tcPr>
          <w:p>
            <w:pPr>
              <w:spacing w:after="0"/>
            </w:pPr>
            <w:r/>
            <w:r>
              <w:rPr>
                <w:b w:val="0"/>
                <w:sz w:val="14"/>
              </w:rPr>
              <w:t>Kentucky</w:t>
            </w:r>
          </w:p>
        </w:tc>
        <w:tc>
          <w:tcPr>
            <w:tcW w:type="dxa" w:w="1008"/>
          </w:tcPr>
          <w:p>
            <w:pPr>
              <w:spacing w:after="0"/>
            </w:pPr>
            <w:r/>
            <w:r>
              <w:rPr>
                <w:b w:val="0"/>
                <w:sz w:val="14"/>
              </w:rPr>
              <w:t>3% [3%]</w:t>
            </w:r>
          </w:p>
        </w:tc>
        <w:tc>
          <w:tcPr>
            <w:tcW w:type="dxa" w:w="1296"/>
          </w:tcPr>
          <w:p>
            <w:pPr>
              <w:spacing w:after="0"/>
            </w:pPr>
            <w:r/>
            <w:r>
              <w:rPr>
                <w:b w:val="0"/>
                <w:sz w:val="14"/>
              </w:rPr>
              <w:t>None</w:t>
            </w:r>
          </w:p>
        </w:tc>
        <w:tc>
          <w:tcPr>
            <w:tcW w:type="dxa" w:w="1584"/>
          </w:tcPr>
          <w:p>
            <w:pPr>
              <w:spacing w:after="0"/>
            </w:pPr>
            <w:r/>
            <w:r>
              <w:rPr>
                <w:b w:val="0"/>
                <w:sz w:val="14"/>
              </w:rPr>
              <w:t>LLET (gross receipts/profits)</w:t>
            </w:r>
          </w:p>
        </w:tc>
        <w:tc>
          <w:tcPr>
            <w:tcW w:type="dxa" w:w="1080"/>
          </w:tcPr>
          <w:p>
            <w:pPr>
              <w:spacing w:after="0"/>
            </w:pPr>
            <w:r/>
            <w:r>
              <w:rPr>
                <w:b w:val="0"/>
                <w:sz w:val="14"/>
              </w:rPr>
              <w:t>Conforms</w:t>
            </w:r>
          </w:p>
        </w:tc>
        <w:tc>
          <w:tcPr>
            <w:tcW w:type="dxa" w:w="1296"/>
          </w:tcPr>
          <w:p>
            <w:pPr>
              <w:spacing w:after="0"/>
            </w:pPr>
            <w:r/>
            <w:r>
              <w:rPr>
                <w:b w:val="0"/>
                <w:sz w:val="14"/>
              </w:rPr>
              <w:t>$0 income tax; LLET on sale receipts TBD</w:t>
            </w:r>
          </w:p>
        </w:tc>
        <w:tc>
          <w:tcPr>
            <w:tcW w:type="dxa" w:w="2016"/>
          </w:tcPr>
          <w:p>
            <w:pPr>
              <w:spacing w:after="0"/>
            </w:pPr>
            <w:r/>
            <w:r>
              <w:rPr>
                <w:b w:val="0"/>
                <w:sz w:val="14"/>
              </w:rPr>
              <w:t>Confirm LLET effect of the sale</w:t>
            </w:r>
          </w:p>
        </w:tc>
      </w:tr>
      <w:tr>
        <w:tc>
          <w:tcPr>
            <w:tcW w:type="dxa" w:w="1080"/>
          </w:tcPr>
          <w:p>
            <w:pPr>
              <w:spacing w:after="0"/>
            </w:pPr>
            <w:r/>
            <w:r>
              <w:rPr>
                <w:b w:val="0"/>
                <w:sz w:val="14"/>
              </w:rPr>
              <w:t>Alabama</w:t>
            </w:r>
          </w:p>
        </w:tc>
        <w:tc>
          <w:tcPr>
            <w:tcW w:type="dxa" w:w="1008"/>
          </w:tcPr>
          <w:p>
            <w:pPr>
              <w:spacing w:after="0"/>
            </w:pPr>
            <w:r/>
            <w:r>
              <w:rPr>
                <w:b w:val="0"/>
                <w:sz w:val="14"/>
              </w:rPr>
              <w:t>2% [2%]</w:t>
            </w:r>
          </w:p>
        </w:tc>
        <w:tc>
          <w:tcPr>
            <w:tcW w:type="dxa" w:w="1296"/>
          </w:tcPr>
          <w:p>
            <w:pPr>
              <w:spacing w:after="0"/>
            </w:pPr>
            <w:r/>
            <w:r>
              <w:rPr>
                <w:b w:val="0"/>
                <w:sz w:val="14"/>
              </w:rPr>
              <w:t>None</w:t>
            </w:r>
          </w:p>
        </w:tc>
        <w:tc>
          <w:tcPr>
            <w:tcW w:type="dxa" w:w="1584"/>
          </w:tcPr>
          <w:p>
            <w:pPr>
              <w:spacing w:after="0"/>
            </w:pPr>
            <w:r/>
            <w:r>
              <w:rPr>
                <w:b w:val="0"/>
                <w:sz w:val="14"/>
              </w:rPr>
              <w:t>None</w:t>
            </w:r>
          </w:p>
        </w:tc>
        <w:tc>
          <w:tcPr>
            <w:tcW w:type="dxa" w:w="1080"/>
          </w:tcPr>
          <w:p>
            <w:pPr>
              <w:spacing w:after="0"/>
            </w:pPr>
            <w:r/>
            <w:r>
              <w:rPr>
                <w:b w:val="0"/>
                <w:sz w:val="14"/>
              </w:rPr>
              <w:t>Uncertain</w:t>
            </w:r>
          </w:p>
        </w:tc>
        <w:tc>
          <w:tcPr>
            <w:tcW w:type="dxa" w:w="1296"/>
          </w:tcPr>
          <w:p>
            <w:pPr>
              <w:spacing w:after="0"/>
            </w:pPr>
            <w:r/>
            <w:r>
              <w:rPr>
                <w:b w:val="0"/>
                <w:sz w:val="14"/>
              </w:rPr>
              <w:t>≈ $0.05</w:t>
            </w:r>
          </w:p>
        </w:tc>
        <w:tc>
          <w:tcPr>
            <w:tcW w:type="dxa" w:w="2016"/>
          </w:tcPr>
          <w:p>
            <w:pPr>
              <w:spacing w:after="0"/>
            </w:pPr>
            <w:r/>
            <w:r>
              <w:rPr>
                <w:b w:val="0"/>
                <w:sz w:val="14"/>
              </w:rPr>
              <w:t>Confirm Form 20S (separate AL S election) for all open years</w:t>
            </w:r>
          </w:p>
        </w:tc>
      </w:tr>
      <w:tr>
        <w:tc>
          <w:tcPr>
            <w:tcW w:type="dxa" w:w="1080"/>
          </w:tcPr>
          <w:p>
            <w:pPr>
              <w:spacing w:after="0"/>
            </w:pPr>
            <w:r/>
            <w:r>
              <w:rPr>
                <w:b w:val="0"/>
                <w:sz w:val="14"/>
              </w:rPr>
              <w:t>North Carolina</w:t>
            </w:r>
          </w:p>
        </w:tc>
        <w:tc>
          <w:tcPr>
            <w:tcW w:type="dxa" w:w="1008"/>
          </w:tcPr>
          <w:p>
            <w:pPr>
              <w:spacing w:after="0"/>
            </w:pPr>
            <w:r/>
            <w:r>
              <w:rPr>
                <w:b w:val="0"/>
                <w:sz w:val="14"/>
              </w:rPr>
              <w:t>1.5% [1%]</w:t>
            </w:r>
          </w:p>
        </w:tc>
        <w:tc>
          <w:tcPr>
            <w:tcW w:type="dxa" w:w="1296"/>
          </w:tcPr>
          <w:p>
            <w:pPr>
              <w:spacing w:after="0"/>
            </w:pPr>
            <w:r/>
            <w:r>
              <w:rPr>
                <w:b w:val="0"/>
                <w:sz w:val="14"/>
              </w:rPr>
              <w:t>None</w:t>
            </w:r>
          </w:p>
        </w:tc>
        <w:tc>
          <w:tcPr>
            <w:tcW w:type="dxa" w:w="1584"/>
          </w:tcPr>
          <w:p>
            <w:pPr>
              <w:spacing w:after="0"/>
            </w:pPr>
            <w:r/>
            <w:r>
              <w:rPr>
                <w:b w:val="0"/>
                <w:sz w:val="14"/>
              </w:rPr>
              <w:t>None</w:t>
            </w:r>
          </w:p>
        </w:tc>
        <w:tc>
          <w:tcPr>
            <w:tcW w:type="dxa" w:w="1080"/>
          </w:tcPr>
          <w:p>
            <w:pPr>
              <w:spacing w:after="0"/>
            </w:pPr>
            <w:r/>
            <w:r>
              <w:rPr>
                <w:b w:val="0"/>
                <w:sz w:val="14"/>
              </w:rPr>
              <w:t>Conforms</w:t>
            </w:r>
          </w:p>
        </w:tc>
        <w:tc>
          <w:tcPr>
            <w:tcW w:type="dxa" w:w="1296"/>
          </w:tcPr>
          <w:p>
            <w:pPr>
              <w:spacing w:after="0"/>
            </w:pPr>
            <w:r/>
            <w:r>
              <w:rPr>
                <w:b w:val="0"/>
                <w:sz w:val="14"/>
              </w:rPr>
              <w:t>≈ $0</w:t>
            </w:r>
          </w:p>
        </w:tc>
        <w:tc>
          <w:tcPr>
            <w:tcW w:type="dxa" w:w="2016"/>
          </w:tcPr>
          <w:p>
            <w:pPr>
              <w:spacing w:after="0"/>
            </w:pPr>
            <w:r/>
            <w:r>
              <w:rPr>
                <w:b w:val="0"/>
                <w:sz w:val="14"/>
              </w:rPr>
            </w:r>
          </w:p>
        </w:tc>
      </w:tr>
      <w:tr>
        <w:tc>
          <w:tcPr>
            <w:tcW w:type="dxa" w:w="1080"/>
          </w:tcPr>
          <w:p>
            <w:pPr>
              <w:spacing w:after="0"/>
            </w:pPr>
            <w:r/>
            <w:r>
              <w:rPr>
                <w:b w:val="0"/>
                <w:sz w:val="14"/>
              </w:rPr>
              <w:t>Virginia</w:t>
            </w:r>
          </w:p>
        </w:tc>
        <w:tc>
          <w:tcPr>
            <w:tcW w:type="dxa" w:w="1008"/>
          </w:tcPr>
          <w:p>
            <w:pPr>
              <w:spacing w:after="0"/>
            </w:pPr>
            <w:r/>
            <w:r>
              <w:rPr>
                <w:b w:val="0"/>
                <w:sz w:val="14"/>
              </w:rPr>
              <w:t>1% [not listed]</w:t>
            </w:r>
          </w:p>
        </w:tc>
        <w:tc>
          <w:tcPr>
            <w:tcW w:type="dxa" w:w="1296"/>
          </w:tcPr>
          <w:p>
            <w:pPr>
              <w:spacing w:after="0"/>
            </w:pPr>
            <w:r/>
            <w:r>
              <w:rPr>
                <w:b w:val="0"/>
                <w:sz w:val="14"/>
              </w:rPr>
              <w:t>None</w:t>
            </w:r>
          </w:p>
        </w:tc>
        <w:tc>
          <w:tcPr>
            <w:tcW w:type="dxa" w:w="1584"/>
          </w:tcPr>
          <w:p>
            <w:pPr>
              <w:spacing w:after="0"/>
            </w:pPr>
            <w:r/>
            <w:r>
              <w:rPr>
                <w:b w:val="0"/>
                <w:sz w:val="14"/>
              </w:rPr>
              <w:t>None</w:t>
            </w:r>
          </w:p>
        </w:tc>
        <w:tc>
          <w:tcPr>
            <w:tcW w:type="dxa" w:w="1080"/>
          </w:tcPr>
          <w:p>
            <w:pPr>
              <w:spacing w:after="0"/>
            </w:pPr>
            <w:r/>
            <w:r>
              <w:rPr>
                <w:b w:val="0"/>
                <w:sz w:val="14"/>
              </w:rPr>
              <w:t>Not analyzed</w:t>
            </w:r>
          </w:p>
        </w:tc>
        <w:tc>
          <w:tcPr>
            <w:tcW w:type="dxa" w:w="1296"/>
          </w:tcPr>
          <w:p>
            <w:pPr>
              <w:spacing w:after="0"/>
            </w:pPr>
            <w:r/>
            <w:r>
              <w:rPr>
                <w:b w:val="0"/>
                <w:sz w:val="14"/>
              </w:rPr>
              <w:t>≈ $0.05</w:t>
            </w:r>
          </w:p>
        </w:tc>
        <w:tc>
          <w:tcPr>
            <w:tcW w:type="dxa" w:w="2016"/>
          </w:tcPr>
          <w:p>
            <w:pPr>
              <w:spacing w:after="0"/>
            </w:pPr>
            <w:r/>
            <w:r>
              <w:rPr>
                <w:b w:val="0"/>
                <w:sz w:val="14"/>
              </w:rPr>
              <w:t>Matrix omits VA and lists Iowa (4%) instead. Confirm filing history; possible nonfiler exposure in one of the two</w:t>
            </w:r>
          </w:p>
        </w:tc>
      </w:tr>
      <w:tr>
        <w:tc>
          <w:tcPr>
            <w:tcW w:type="dxa" w:w="1080"/>
          </w:tcPr>
          <w:p>
            <w:pPr>
              <w:spacing w:after="0"/>
            </w:pPr>
            <w:r/>
            <w:r>
              <w:rPr>
                <w:b w:val="0"/>
                <w:sz w:val="14"/>
              </w:rPr>
              <w:t>Missouri</w:t>
            </w:r>
          </w:p>
        </w:tc>
        <w:tc>
          <w:tcPr>
            <w:tcW w:type="dxa" w:w="1008"/>
          </w:tcPr>
          <w:p>
            <w:pPr>
              <w:spacing w:after="0"/>
            </w:pPr>
            <w:r/>
            <w:r>
              <w:rPr>
                <w:b w:val="0"/>
                <w:sz w:val="14"/>
              </w:rPr>
              <w:t>0.5% [0.5%]</w:t>
            </w:r>
          </w:p>
        </w:tc>
        <w:tc>
          <w:tcPr>
            <w:tcW w:type="dxa" w:w="1296"/>
          </w:tcPr>
          <w:p>
            <w:pPr>
              <w:spacing w:after="0"/>
            </w:pPr>
            <w:r/>
            <w:r>
              <w:rPr>
                <w:b w:val="0"/>
                <w:sz w:val="14"/>
              </w:rPr>
              <w:t>None</w:t>
            </w:r>
          </w:p>
        </w:tc>
        <w:tc>
          <w:tcPr>
            <w:tcW w:type="dxa" w:w="1584"/>
          </w:tcPr>
          <w:p>
            <w:pPr>
              <w:spacing w:after="0"/>
            </w:pPr>
            <w:r/>
            <w:r>
              <w:rPr>
                <w:b w:val="0"/>
                <w:sz w:val="14"/>
              </w:rPr>
              <w:t>None</w:t>
            </w:r>
          </w:p>
        </w:tc>
        <w:tc>
          <w:tcPr>
            <w:tcW w:type="dxa" w:w="1080"/>
          </w:tcPr>
          <w:p>
            <w:pPr>
              <w:spacing w:after="0"/>
            </w:pPr>
            <w:r/>
            <w:r>
              <w:rPr>
                <w:b w:val="0"/>
                <w:sz w:val="14"/>
              </w:rPr>
              <w:t>Uncertain</w:t>
            </w:r>
          </w:p>
        </w:tc>
        <w:tc>
          <w:tcPr>
            <w:tcW w:type="dxa" w:w="1296"/>
          </w:tcPr>
          <w:p>
            <w:pPr>
              <w:spacing w:after="0"/>
            </w:pPr>
            <w:r/>
            <w:r>
              <w:rPr>
                <w:b w:val="0"/>
                <w:sz w:val="14"/>
              </w:rPr>
              <w:t>≈ $0.01</w:t>
            </w:r>
          </w:p>
        </w:tc>
        <w:tc>
          <w:tcPr>
            <w:tcW w:type="dxa" w:w="2016"/>
          </w:tcPr>
          <w:p>
            <w:pPr>
              <w:spacing w:after="0"/>
            </w:pPr>
            <w:r/>
            <w:r>
              <w:rPr>
                <w:b w:val="0"/>
                <w:sz w:val="14"/>
              </w:rPr>
              <w:t>Immaterial</w:t>
            </w:r>
          </w:p>
        </w:tc>
      </w:tr>
      <w:tr>
        <w:tc>
          <w:tcPr>
            <w:tcW w:type="dxa" w:w="1080"/>
          </w:tcPr>
          <w:p>
            <w:pPr>
              <w:spacing w:after="0"/>
            </w:pPr>
            <w:r/>
            <w:r>
              <w:rPr>
                <w:b/>
                <w:sz w:val="14"/>
              </w:rPr>
              <w:t>Total</w:t>
            </w:r>
          </w:p>
        </w:tc>
        <w:tc>
          <w:tcPr>
            <w:tcW w:type="dxa" w:w="1008"/>
          </w:tcPr>
          <w:p>
            <w:pPr>
              <w:spacing w:after="0"/>
            </w:pPr>
            <w:r/>
            <w:r>
              <w:rPr>
                <w:b w:val="0"/>
                <w:sz w:val="14"/>
              </w:rPr>
              <w:t>100%</w:t>
            </w:r>
          </w:p>
        </w:tc>
        <w:tc>
          <w:tcPr>
            <w:tcW w:type="dxa" w:w="1296"/>
          </w:tcPr>
          <w:p>
            <w:pPr>
              <w:spacing w:after="0"/>
            </w:pPr>
            <w:r/>
            <w:r>
              <w:rPr>
                <w:b w:val="0"/>
                <w:sz w:val="14"/>
              </w:rPr>
            </w:r>
          </w:p>
        </w:tc>
        <w:tc>
          <w:tcPr>
            <w:tcW w:type="dxa" w:w="1584"/>
          </w:tcPr>
          <w:p>
            <w:pPr>
              <w:spacing w:after="0"/>
            </w:pPr>
            <w:r/>
            <w:r>
              <w:rPr>
                <w:b w:val="0"/>
                <w:sz w:val="14"/>
              </w:rPr>
            </w:r>
          </w:p>
        </w:tc>
        <w:tc>
          <w:tcPr>
            <w:tcW w:type="dxa" w:w="1080"/>
          </w:tcPr>
          <w:p>
            <w:pPr>
              <w:spacing w:after="0"/>
            </w:pPr>
            <w:r/>
            <w:r>
              <w:rPr>
                <w:b w:val="0"/>
                <w:sz w:val="14"/>
              </w:rPr>
            </w:r>
          </w:p>
        </w:tc>
        <w:tc>
          <w:tcPr>
            <w:tcW w:type="dxa" w:w="1296"/>
          </w:tcPr>
          <w:p>
            <w:pPr>
              <w:spacing w:after="0"/>
            </w:pPr>
            <w:r/>
            <w:r>
              <w:rPr>
                <w:b/>
                <w:sz w:val="14"/>
              </w:rPr>
              <w:t>≈ $3.86 (≈ $3.20 on matrix factors)</w:t>
            </w:r>
          </w:p>
        </w:tc>
        <w:tc>
          <w:tcPr>
            <w:tcW w:type="dxa" w:w="2016"/>
          </w:tcPr>
          <w:p>
            <w:pPr>
              <w:spacing w:after="0"/>
            </w:pPr>
            <w:r/>
            <w:r>
              <w:rPr>
                <w:b w:val="0"/>
                <w:sz w:val="14"/>
              </w:rPr>
            </w:r>
          </w:p>
        </w:tc>
      </w:tr>
    </w:tbl>
    <w:p>
      <w:pPr>
        <w:spacing w:after="40"/>
      </w:pPr>
    </w:p>
    <w:p>
      <w:pPr>
        <w:jc w:val="both"/>
      </w:pPr>
      <w:r>
        <w:rPr>
          <w:b/>
        </w:rPr>
        <w:t>After closing.</w:t>
      </w:r>
      <w:r>
        <w:t xml:space="preserve"> With a partnership vehicle, HIS, LLC’s income flows to HIS Holdings’ partners. The only entity-level income-type taxes are Tennessee F&amp;E, the Illinois replacement tax, Ohio CAT and the Kentucky LLET, plus partner composite returns or withholding. Under a corporate vehicle, the full state corporate tax applies (Michigan CIT 6%; Pennsylvania CNIT 7.99% for 2025, falling under Act 53 of 2022; etc.). Ridgeline’s estimates of lost state amortization benefit are overstated in any case, because they use the superseded 9.99% Pennsylvania rate and the PPA’s understated amortization base. Separately, the inconsistent nexus data (physical DCs in five states that the matrix shows as having none, and Iowa versus Virginia) must be resolved in diligence, with appropriate representations and indemnity.</w:t>
      </w:r>
    </w:p>
    <w:p>
      <w:pPr>
        <w:pStyle w:val="Heading1"/>
      </w:pPr>
      <w:r>
        <w:t>X. Purchase Price Allocation (§1060 / Treas. Reg. §1.338-6)</w:t>
      </w:r>
    </w:p>
    <w:p>
      <w:pPr>
        <w:pStyle w:val="Heading2"/>
      </w:pPr>
      <w:r>
        <w:t>A. Corrected illustrative allocation (base case)</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720"/>
            <w:shd w:val="clear" w:color="auto" w:fill="D9E1F2"/>
          </w:tcPr>
          <w:p>
            <w:r/>
            <w:r>
              <w:rPr>
                <w:b/>
                <w:sz w:val="16"/>
              </w:rPr>
              <w:t>Class</w:t>
            </w:r>
          </w:p>
        </w:tc>
        <w:tc>
          <w:tcPr>
            <w:tcW w:type="dxa" w:w="3744"/>
            <w:shd w:val="clear" w:color="auto" w:fill="D9E1F2"/>
          </w:tcPr>
          <w:p>
            <w:r/>
            <w:r>
              <w:rPr>
                <w:b/>
                <w:sz w:val="16"/>
              </w:rPr>
              <w:t>Assets</w:t>
            </w:r>
          </w:p>
        </w:tc>
        <w:tc>
          <w:tcPr>
            <w:tcW w:type="dxa" w:w="1296"/>
            <w:shd w:val="clear" w:color="auto" w:fill="D9E1F2"/>
          </w:tcPr>
          <w:p>
            <w:r/>
            <w:r>
              <w:rPr>
                <w:b/>
                <w:sz w:val="16"/>
              </w:rPr>
              <w:t>Allocation</w:t>
            </w:r>
          </w:p>
        </w:tc>
        <w:tc>
          <w:tcPr>
            <w:tcW w:type="dxa" w:w="3600"/>
            <w:shd w:val="clear" w:color="auto" w:fill="D9E1F2"/>
          </w:tcPr>
          <w:p>
            <w:r/>
            <w:r>
              <w:rPr>
                <w:b/>
                <w:sz w:val="16"/>
              </w:rPr>
              <w:t>Comment</w:t>
            </w:r>
          </w:p>
        </w:tc>
      </w:tr>
      <w:tr>
        <w:tc>
          <w:tcPr>
            <w:tcW w:type="dxa" w:w="720"/>
          </w:tcPr>
          <w:p>
            <w:pPr>
              <w:spacing w:after="0"/>
            </w:pPr>
            <w:r/>
            <w:r>
              <w:rPr>
                <w:b w:val="0"/>
                <w:sz w:val="16"/>
              </w:rPr>
              <w:t>I</w:t>
            </w:r>
          </w:p>
        </w:tc>
        <w:tc>
          <w:tcPr>
            <w:tcW w:type="dxa" w:w="3744"/>
          </w:tcPr>
          <w:p>
            <w:pPr>
              <w:spacing w:after="0"/>
            </w:pPr>
            <w:r/>
            <w:r>
              <w:rPr>
                <w:b w:val="0"/>
                <w:sz w:val="16"/>
              </w:rPr>
              <w:t>Cash</w:t>
            </w:r>
          </w:p>
        </w:tc>
        <w:tc>
          <w:tcPr>
            <w:tcW w:type="dxa" w:w="1296"/>
          </w:tcPr>
          <w:p>
            <w:pPr>
              <w:spacing w:after="0"/>
            </w:pPr>
            <w:r/>
            <w:r>
              <w:rPr>
                <w:b w:val="0"/>
                <w:sz w:val="16"/>
              </w:rPr>
              <w:t>$6.8</w:t>
            </w:r>
          </w:p>
        </w:tc>
        <w:tc>
          <w:tcPr>
            <w:tcW w:type="dxa" w:w="3600"/>
          </w:tcPr>
          <w:p>
            <w:pPr>
              <w:spacing w:after="0"/>
            </w:pPr>
            <w:r/>
            <w:r>
              <w:rPr>
                <w:b w:val="0"/>
                <w:sz w:val="16"/>
              </w:rPr>
            </w:r>
          </w:p>
        </w:tc>
      </w:tr>
      <w:tr>
        <w:tc>
          <w:tcPr>
            <w:tcW w:type="dxa" w:w="720"/>
          </w:tcPr>
          <w:p>
            <w:pPr>
              <w:spacing w:after="0"/>
            </w:pPr>
            <w:r/>
            <w:r>
              <w:rPr>
                <w:b w:val="0"/>
                <w:sz w:val="16"/>
              </w:rPr>
              <w:t>II</w:t>
            </w:r>
          </w:p>
        </w:tc>
        <w:tc>
          <w:tcPr>
            <w:tcW w:type="dxa" w:w="3744"/>
          </w:tcPr>
          <w:p>
            <w:pPr>
              <w:spacing w:after="0"/>
            </w:pPr>
            <w:r/>
            <w:r>
              <w:rPr>
                <w:b w:val="0"/>
                <w:sz w:val="16"/>
              </w:rPr>
              <w:t>Actively traded personal property</w:t>
            </w:r>
          </w:p>
        </w:tc>
        <w:tc>
          <w:tcPr>
            <w:tcW w:type="dxa" w:w="1296"/>
          </w:tcPr>
          <w:p>
            <w:pPr>
              <w:spacing w:after="0"/>
            </w:pPr>
            <w:r/>
            <w:r>
              <w:rPr>
                <w:b w:val="0"/>
                <w:sz w:val="16"/>
              </w:rPr>
              <w:t>—</w:t>
            </w:r>
          </w:p>
        </w:tc>
        <w:tc>
          <w:tcPr>
            <w:tcW w:type="dxa" w:w="3600"/>
          </w:tcPr>
          <w:p>
            <w:pPr>
              <w:spacing w:after="0"/>
            </w:pPr>
            <w:r/>
            <w:r>
              <w:rPr>
                <w:b w:val="0"/>
                <w:sz w:val="16"/>
              </w:rPr>
              <w:t>The PPA wrongly places A/R here</w:t>
            </w:r>
          </w:p>
        </w:tc>
      </w:tr>
      <w:tr>
        <w:tc>
          <w:tcPr>
            <w:tcW w:type="dxa" w:w="720"/>
          </w:tcPr>
          <w:p>
            <w:pPr>
              <w:spacing w:after="0"/>
            </w:pPr>
            <w:r/>
            <w:r>
              <w:rPr>
                <w:b w:val="0"/>
                <w:sz w:val="16"/>
              </w:rPr>
              <w:t>III</w:t>
            </w:r>
          </w:p>
        </w:tc>
        <w:tc>
          <w:tcPr>
            <w:tcW w:type="dxa" w:w="3744"/>
          </w:tcPr>
          <w:p>
            <w:pPr>
              <w:spacing w:after="0"/>
            </w:pPr>
            <w:r/>
            <w:r>
              <w:rPr>
                <w:b w:val="0"/>
                <w:sz w:val="16"/>
              </w:rPr>
              <w:t>Accounts receivable</w:t>
            </w:r>
          </w:p>
        </w:tc>
        <w:tc>
          <w:tcPr>
            <w:tcW w:type="dxa" w:w="1296"/>
          </w:tcPr>
          <w:p>
            <w:pPr>
              <w:spacing w:after="0"/>
            </w:pPr>
            <w:r/>
            <w:r>
              <w:rPr>
                <w:b w:val="0"/>
                <w:sz w:val="16"/>
              </w:rPr>
              <w:t>$48.7</w:t>
            </w:r>
          </w:p>
        </w:tc>
        <w:tc>
          <w:tcPr>
            <w:tcW w:type="dxa" w:w="3600"/>
          </w:tcPr>
          <w:p>
            <w:pPr>
              <w:spacing w:after="0"/>
            </w:pPr>
            <w:r/>
            <w:r>
              <w:rPr>
                <w:b w:val="0"/>
                <w:sz w:val="16"/>
              </w:rPr>
              <w:t>Reclassified from Class II</w:t>
            </w:r>
          </w:p>
        </w:tc>
      </w:tr>
      <w:tr>
        <w:tc>
          <w:tcPr>
            <w:tcW w:type="dxa" w:w="720"/>
          </w:tcPr>
          <w:p>
            <w:pPr>
              <w:spacing w:after="0"/>
            </w:pPr>
            <w:r/>
            <w:r>
              <w:rPr>
                <w:b w:val="0"/>
                <w:sz w:val="16"/>
              </w:rPr>
              <w:t>IV</w:t>
            </w:r>
          </w:p>
        </w:tc>
        <w:tc>
          <w:tcPr>
            <w:tcW w:type="dxa" w:w="3744"/>
          </w:tcPr>
          <w:p>
            <w:pPr>
              <w:spacing w:after="0"/>
            </w:pPr>
            <w:r/>
            <w:r>
              <w:rPr>
                <w:b w:val="0"/>
                <w:sz w:val="16"/>
              </w:rPr>
              <w:t>Inventory</w:t>
            </w:r>
          </w:p>
        </w:tc>
        <w:tc>
          <w:tcPr>
            <w:tcW w:type="dxa" w:w="1296"/>
          </w:tcPr>
          <w:p>
            <w:pPr>
              <w:spacing w:after="0"/>
            </w:pPr>
            <w:r/>
            <w:r>
              <w:rPr>
                <w:b w:val="0"/>
                <w:sz w:val="16"/>
              </w:rPr>
              <w:t>$76.0</w:t>
            </w:r>
          </w:p>
        </w:tc>
        <w:tc>
          <w:tcPr>
            <w:tcW w:type="dxa" w:w="3600"/>
          </w:tcPr>
          <w:p>
            <w:pPr>
              <w:spacing w:after="0"/>
            </w:pPr>
            <w:r/>
            <w:r>
              <w:rPr>
                <w:b w:val="0"/>
                <w:sz w:val="16"/>
              </w:rPr>
              <w:t>FIFO/FMV; LIFO reserve $11.8 ordinary to sellers</w:t>
            </w:r>
          </w:p>
        </w:tc>
      </w:tr>
      <w:tr>
        <w:tc>
          <w:tcPr>
            <w:tcW w:type="dxa" w:w="720"/>
          </w:tcPr>
          <w:p>
            <w:pPr>
              <w:spacing w:after="0"/>
            </w:pPr>
            <w:r/>
            <w:r>
              <w:rPr>
                <w:b w:val="0"/>
                <w:sz w:val="16"/>
              </w:rPr>
              <w:t>V</w:t>
            </w:r>
          </w:p>
        </w:tc>
        <w:tc>
          <w:tcPr>
            <w:tcW w:type="dxa" w:w="3744"/>
          </w:tcPr>
          <w:p>
            <w:pPr>
              <w:spacing w:after="0"/>
            </w:pPr>
            <w:r/>
            <w:r>
              <w:rPr>
                <w:b w:val="0"/>
                <w:sz w:val="16"/>
              </w:rPr>
              <w:t>Equipment $18.9; other tangible $5.4; leasehold improvements $3.1; land $4.5; building $12.0; favorable Memphis lease $1.2</w:t>
            </w:r>
          </w:p>
        </w:tc>
        <w:tc>
          <w:tcPr>
            <w:tcW w:type="dxa" w:w="1296"/>
          </w:tcPr>
          <w:p>
            <w:pPr>
              <w:spacing w:after="0"/>
            </w:pPr>
            <w:r/>
            <w:r>
              <w:rPr>
                <w:b w:val="0"/>
                <w:sz w:val="16"/>
              </w:rPr>
              <w:t>$45.1</w:t>
            </w:r>
          </w:p>
        </w:tc>
        <w:tc>
          <w:tcPr>
            <w:tcW w:type="dxa" w:w="3600"/>
          </w:tcPr>
          <w:p>
            <w:pPr>
              <w:spacing w:after="0"/>
            </w:pPr>
            <w:r/>
            <w:r>
              <w:rPr>
                <w:b w:val="0"/>
                <w:sz w:val="16"/>
              </w:rPr>
              <w:t>PPA summary omitted the $5.4 of other tangibles. The favorable lease is not a §197 asset (§197(e)(5))</w:t>
            </w:r>
          </w:p>
        </w:tc>
      </w:tr>
      <w:tr>
        <w:tc>
          <w:tcPr>
            <w:tcW w:type="dxa" w:w="720"/>
          </w:tcPr>
          <w:p>
            <w:pPr>
              <w:spacing w:after="0"/>
            </w:pPr>
            <w:r/>
            <w:r>
              <w:rPr>
                <w:b w:val="0"/>
                <w:sz w:val="16"/>
              </w:rPr>
              <w:t>VI</w:t>
            </w:r>
          </w:p>
        </w:tc>
        <w:tc>
          <w:tcPr>
            <w:tcW w:type="dxa" w:w="3744"/>
          </w:tcPr>
          <w:p>
            <w:pPr>
              <w:spacing w:after="0"/>
            </w:pPr>
            <w:r/>
            <w:r>
              <w:rPr>
                <w:b w:val="0"/>
                <w:sz w:val="16"/>
              </w:rPr>
              <w:t>Customer relationships $87.0; trade name $22.0</w:t>
            </w:r>
          </w:p>
        </w:tc>
        <w:tc>
          <w:tcPr>
            <w:tcW w:type="dxa" w:w="1296"/>
          </w:tcPr>
          <w:p>
            <w:pPr>
              <w:spacing w:after="0"/>
            </w:pPr>
            <w:r/>
            <w:r>
              <w:rPr>
                <w:b w:val="0"/>
                <w:sz w:val="16"/>
              </w:rPr>
              <w:t>$109.0</w:t>
            </w:r>
          </w:p>
        </w:tc>
        <w:tc>
          <w:tcPr>
            <w:tcW w:type="dxa" w:w="3600"/>
          </w:tcPr>
          <w:p>
            <w:pPr>
              <w:spacing w:after="0"/>
            </w:pPr>
            <w:r/>
            <w:r>
              <w:rPr>
                <w:b w:val="0"/>
                <w:sz w:val="16"/>
              </w:rPr>
              <w:t>Assembled workforce ($4.5) is not separately recognized for tax and falls into Class VII. Covenants are shown separately below</w:t>
            </w:r>
          </w:p>
        </w:tc>
      </w:tr>
      <w:tr>
        <w:tc>
          <w:tcPr>
            <w:tcW w:type="dxa" w:w="720"/>
          </w:tcPr>
          <w:p>
            <w:pPr>
              <w:spacing w:after="0"/>
            </w:pPr>
            <w:r/>
            <w:r>
              <w:rPr>
                <w:b w:val="0"/>
                <w:sz w:val="16"/>
              </w:rPr>
              <w:t>VII</w:t>
            </w:r>
          </w:p>
        </w:tc>
        <w:tc>
          <w:tcPr>
            <w:tcW w:type="dxa" w:w="3744"/>
          </w:tcPr>
          <w:p>
            <w:pPr>
              <w:spacing w:after="0"/>
            </w:pPr>
            <w:r/>
            <w:r>
              <w:rPr>
                <w:b w:val="0"/>
                <w:sz w:val="16"/>
              </w:rPr>
              <w:t>Goodwill and going concern (incl. assembled workforce)</w:t>
            </w:r>
          </w:p>
        </w:tc>
        <w:tc>
          <w:tcPr>
            <w:tcW w:type="dxa" w:w="1296"/>
          </w:tcPr>
          <w:p>
            <w:pPr>
              <w:spacing w:after="0"/>
            </w:pPr>
            <w:r/>
            <w:r>
              <w:rPr>
                <w:b w:val="0"/>
                <w:sz w:val="16"/>
              </w:rPr>
              <w:t>$161.7</w:t>
            </w:r>
          </w:p>
        </w:tc>
        <w:tc>
          <w:tcPr>
            <w:tcW w:type="dxa" w:w="3600"/>
          </w:tcPr>
          <w:p>
            <w:pPr>
              <w:spacing w:after="0"/>
            </w:pPr>
            <w:r/>
            <w:r>
              <w:rPr>
                <w:b w:val="0"/>
                <w:sz w:val="16"/>
              </w:rPr>
              <w:t>Residual; the PPA shows $103.1</w:t>
            </w:r>
          </w:p>
        </w:tc>
      </w:tr>
      <w:tr>
        <w:tc>
          <w:tcPr>
            <w:tcW w:type="dxa" w:w="720"/>
          </w:tcPr>
          <w:p>
            <w:pPr>
              <w:spacing w:after="0"/>
            </w:pPr>
            <w:r/>
            <w:r>
              <w:rPr>
                <w:b w:val="0"/>
                <w:sz w:val="16"/>
              </w:rPr>
              <w:t>—</w:t>
            </w:r>
          </w:p>
        </w:tc>
        <w:tc>
          <w:tcPr>
            <w:tcW w:type="dxa" w:w="3744"/>
          </w:tcPr>
          <w:p>
            <w:pPr>
              <w:spacing w:after="0"/>
            </w:pPr>
            <w:r/>
            <w:r>
              <w:rPr>
                <w:b w:val="0"/>
                <w:sz w:val="16"/>
              </w:rPr>
              <w:t>Shareholder non-compete covenants (separate agreements)</w:t>
            </w:r>
          </w:p>
        </w:tc>
        <w:tc>
          <w:tcPr>
            <w:tcW w:type="dxa" w:w="1296"/>
          </w:tcPr>
          <w:p>
            <w:pPr>
              <w:spacing w:after="0"/>
            </w:pPr>
            <w:r/>
            <w:r>
              <w:rPr>
                <w:b w:val="0"/>
                <w:sz w:val="16"/>
              </w:rPr>
              <w:t>$8.5 as drafted</w:t>
            </w:r>
          </w:p>
        </w:tc>
        <w:tc>
          <w:tcPr>
            <w:tcW w:type="dxa" w:w="3600"/>
          </w:tcPr>
          <w:p>
            <w:pPr>
              <w:spacing w:after="0"/>
            </w:pPr>
            <w:r/>
            <w:r>
              <w:rPr>
                <w:b w:val="0"/>
                <w:sz w:val="16"/>
              </w:rPr>
              <w:t>§197(d)(1)(E) intangible of the buyer; 15-year amortization; ordinary income to the covenantors</w:t>
            </w:r>
          </w:p>
        </w:tc>
      </w:tr>
      <w:tr>
        <w:tc>
          <w:tcPr>
            <w:tcW w:type="dxa" w:w="720"/>
          </w:tcPr>
          <w:p>
            <w:pPr>
              <w:spacing w:after="0"/>
            </w:pPr>
            <w:r/>
            <w:r>
              <w:rPr>
                <w:b/>
                <w:sz w:val="16"/>
              </w:rPr>
              <w:t>Total</w:t>
            </w:r>
          </w:p>
        </w:tc>
        <w:tc>
          <w:tcPr>
            <w:tcW w:type="dxa" w:w="3744"/>
          </w:tcPr>
          <w:p>
            <w:pPr>
              <w:spacing w:after="0"/>
            </w:pPr>
            <w:r/>
            <w:r>
              <w:rPr>
                <w:b w:val="0"/>
                <w:sz w:val="16"/>
              </w:rPr>
            </w:r>
          </w:p>
        </w:tc>
        <w:tc>
          <w:tcPr>
            <w:tcW w:type="dxa" w:w="1296"/>
          </w:tcPr>
          <w:p>
            <w:pPr>
              <w:spacing w:after="0"/>
            </w:pPr>
            <w:r/>
            <w:r>
              <w:rPr>
                <w:b/>
                <w:sz w:val="16"/>
              </w:rPr>
              <w:t>$455.8</w:t>
            </w:r>
          </w:p>
        </w:tc>
        <w:tc>
          <w:tcPr>
            <w:tcW w:type="dxa" w:w="3600"/>
          </w:tcPr>
          <w:p>
            <w:pPr>
              <w:spacing w:after="0"/>
            </w:pPr>
            <w:r/>
            <w:r>
              <w:rPr>
                <w:b w:val="0"/>
                <w:sz w:val="16"/>
              </w:rPr>
              <w:t>Equals AGUB/ADSP</w:t>
            </w:r>
          </w:p>
        </w:tc>
      </w:tr>
    </w:tbl>
    <w:p>
      <w:pPr>
        <w:spacing w:after="40"/>
      </w:pPr>
    </w:p>
    <w:p>
      <w:pPr>
        <w:pStyle w:val="Heading2"/>
      </w:pPr>
      <w:r>
        <w:t>B. Allocation points for the SPA</w:t>
      </w:r>
    </w:p>
    <w:p>
      <w:pPr>
        <w:pStyle w:val="ListBullet"/>
        <w:spacing w:after="60"/>
      </w:pPr>
      <w:r>
        <w:rPr>
          <w:b/>
        </w:rPr>
        <w:t>Non-compete.</w:t>
      </w:r>
      <w:r>
        <w:t xml:space="preserve"> The buyer amortizes covenant consideration over 15 years regardless of the 5-year term (§197(d)(1)(E)). It gets no faster recovery if a covenant expires or is breached (§197(f)(1)(B)), and is economically indifferent to whether a dollar is allocated to covenants or to goodwill. The sellers pay 17 or more extra points on each covenant dollar, and every covenant dollar increases the formula payment. Recommendation: Pinnacle should revisit the $8.5 with-and-without valuation and allocate a reduced, supportable amount principally to Gerald and Patricia (consistent with LOI §6). There is little basis for value in Sarah’s covenant, as she is a passive shareholder. Avoid allocating covenant consideration to David, whose covenant accompanies an employment agreement and invites a compensation characterization. A zero allocation where covenants were bargained for invites IRS reallocation, so the number must be supportable.</w:t>
      </w:r>
    </w:p>
    <w:p>
      <w:pPr>
        <w:pStyle w:val="ListBullet"/>
        <w:spacing w:after="60"/>
      </w:pPr>
      <w:r>
        <w:rPr>
          <w:b/>
        </w:rPr>
        <w:t>Personal goodwill (seller-side option).</w:t>
      </w:r>
      <w:r>
        <w:t xml:space="preserve"> If the facts support it (relationships personal to Gerald, and no existing employment or non-compete agreement assigning them to HIS), Gerald could sell personal goodwill directly to the buyer at capital-gain rates sourced to Michigan (Martin Ice Cream Co. v. Comm’r, 110 T.C. 189 (1998); cf. Muskat v. United States, 554 F.3d 183 (1st Cir. 2009); H&amp;M, Inc. v. Comm’r, T.C. Memo. 2012-290). The buyer would still amortize over 15 years. This is the sellers’ position to substantiate; the buyer should require an indemnity if it is used.</w:t>
      </w:r>
    </w:p>
    <w:p>
      <w:pPr>
        <w:pStyle w:val="ListBullet"/>
        <w:spacing w:after="60"/>
      </w:pPr>
      <w:r>
        <w:rPr>
          <w:b/>
        </w:rPr>
        <w:t>Binding schedule.</w:t>
      </w:r>
      <w:r>
        <w:t xml:space="preserve"> The allocation should be agreed in writing and binding on all parties for all tax purposes (§1060(a); Treas. Reg. §1.1060-1(c)), with disputes resolved by an independent accountant. Both sides file Form 8594 (or Form 8883 if a §338(h)(10)/§336(e) fallback is used). Purchase price adjustments, escrow releases, indemnity payments and the Tax Structure Payment are re-allocated under the residual method (Treas. Reg. §§1.1060-1(c)(2), 1.338-7). The tax allocation will differ from the ASC 805 allocation (assembled workforce; indefinite-lived trade name).</w:t>
      </w:r>
    </w:p>
    <w:p>
      <w:pPr>
        <w:pStyle w:val="ListBullet"/>
        <w:spacing w:after="60"/>
      </w:pPr>
      <w:r>
        <w:rPr>
          <w:b/>
        </w:rPr>
        <w:t>Seller-favorable items with no buyer cost.</w:t>
      </w:r>
      <w:r>
        <w:t xml:space="preserve"> Allocating more to land or building appreciation and goodwill rather than equipment (§1245) reduces seller tax but slows buyer recovery (39-year/non-depreciable versus bonus-eligible). Any such trade should be priced. The equipment FMV of $18.9 should be supported by appraisal.</w:t>
      </w:r>
    </w:p>
    <w:p>
      <w:pPr>
        <w:pStyle w:val="Heading1"/>
      </w:pPr>
      <w:r>
        <w:t>XI. Section 163(j) Business Interest Limitation</w:t>
      </w:r>
    </w:p>
    <w:p>
      <w:pPr>
        <w:jc w:val="both"/>
      </w:pPr>
      <w:r>
        <w:rPr>
          <w:b/>
        </w:rPr>
        <w:t>Interest subject to §163(j).</w:t>
      </w:r>
      <w:r>
        <w:t xml:space="preserve"> Year-1 business interest is about $19.3: $18.5 of cash interest at 9.25% on $200.0, plus about $0.57 of OID ($4.0, constant-yield method under §§1272 and 163(e)), plus about $0.2 of amortized debt issuance costs (arrangement $1.0, placement $0.5, lender counsel $0.35–0.5, amortized over 7 years under Treas. Reg. §1.446-5). OID and debt issuance costs are interest for §163(j) (Treas. Reg. §1.163(j)-1(b)(22)). The small-business exemption does not apply (gross receipts of about $413).</w:t>
      </w:r>
    </w:p>
    <w:p>
      <w:pPr>
        <w:jc w:val="both"/>
      </w:pPr>
      <w:r>
        <w:rPr>
          <w:b/>
        </w:rPr>
        <w:t>Limit.</w:t>
      </w:r>
      <w:r>
        <w:t xml:space="preserve"> Deductible business interest is capped at 30% of ATI, which has been computed without adding back depreciation, amortization or depletion for taxable years beginning after 2021. The DD report’s statement that 2025 ATI is EBITDA-based is incorrect under current law. Year 1 under the recommended structure: EBITDA ≈ $41.85 less tax D&amp;A ≈ $46.8 (inventory step-up $11.8, bonus ≈ $11.0, §197 $18.6, other depreciation) gives ATI ≈ $0. Essentially all $19.3 of interest is carried forward, with a small loss. Without a step-up: ATI ≈ $34.7, the limit is ≈ $10.4, and ≈ $8.9 is disallowed. Disallowed interest carries forward indefinitely (§163(j)(2)). Under a partnership vehicle, the excess business interest expense is allocated to the partners and freed up only by future excess taxable income from HIS Holdings (§163(j)(4)). Under a corporate vehicle, the carryforward would be subject to §382 on a future ownership change.</w:t>
      </w:r>
    </w:p>
    <w:p>
      <w:pPr>
        <w:jc w:val="both"/>
      </w:pPr>
      <w:r>
        <w:rPr>
          <w:b/>
        </w:rPr>
        <w:t>Implications.</w:t>
      </w:r>
      <w:r>
        <w:t xml:space="preserve"> (i) The limitation defers, but does not eliminate, the value of the step-up. Even on EBIT-based ATI with carryforwards valued at zero, the step-up is worth ≈ $31 (Part V). (ii) Cash taxes in the first years are minimal under either rule, which helps the FCCR covenant. (iii) Legislative watch: H.R. 7024 (Tax Relief for American Families and Workers Act of 2024) passed the House in January 2024 and would restore EBITDA-based ATI and 100% bonus depreciation for 2024–2025. It has not been enacted. Under that relief, the step-up would be worth ≈ $42.5. (iv) Interest allocable to sponsor-level or blocker-level debt (if any) should be modeled separately.</w:t>
      </w:r>
    </w:p>
    <w:p>
      <w:pPr>
        <w:pStyle w:val="Heading1"/>
      </w:pPr>
      <w:r>
        <w:t>XII. Transaction Cost Treatment</w:t>
      </w:r>
    </w:p>
    <w:p>
      <w:pPr>
        <w:pStyle w:val="ListBullet"/>
        <w:spacing w:after="60"/>
      </w:pPr>
      <w:r>
        <w:rPr>
          <w:b/>
        </w:rPr>
        <w:t>Buyer acquisition costs.</w:t>
      </w:r>
      <w:r>
        <w:t xml:space="preserve"> Facilitative costs (legal, diligence after the bright-line date, valuation, investment banking) are capitalized under §263(a) and Treas. Reg. §1.263(a)-5. The bright-line date for investigatory costs is the earlier of the LOI (September 15, 2024) or board/authorizing approval (§1.263(a)-5(e)(1)). Earlier investigatory costs of a newly formed vehicle may be §195 start-up/investigatory costs. Inherently facilitative costs (appraisals, drafting, title) are capitalized regardless of timing. In the recommended structure, capitalized costs </w:t>
      </w:r>
      <w:r>
        <w:rPr>
          <w:b/>
        </w:rPr>
        <w:t>add to the basis of the acquired assets</w:t>
      </w:r>
      <w:r>
        <w:t xml:space="preserve"> and are largely recovered over 15 years. In a straight stock purchase, they would sit in stock basis until exit.</w:t>
      </w:r>
    </w:p>
    <w:p>
      <w:pPr>
        <w:pStyle w:val="ListBullet"/>
        <w:spacing w:after="60"/>
      </w:pPr>
      <w:r>
        <w:rPr>
          <w:b/>
        </w:rPr>
        <w:t>Success-based fees.</w:t>
      </w:r>
      <w:r>
        <w:t xml:space="preserve"> Elect the Rev. Proc. 2011-29 safe harbor (70% deductible / 30% capitalized) by statement on the return for the year paid, for success-based fees of the buyer (and, on the sellers’ side, of HIS/NewCo).</w:t>
      </w:r>
    </w:p>
    <w:p>
      <w:pPr>
        <w:pStyle w:val="ListBullet"/>
        <w:spacing w:after="60"/>
      </w:pPr>
      <w:r>
        <w:rPr>
          <w:b/>
        </w:rPr>
        <w:t>Financing costs.</w:t>
      </w:r>
      <w:r>
        <w:t xml:space="preserve"> OID of $4.0 accrues under the constant-yield method. The arrangement fee ($1.0), placement fee ($0.5) and Ironclad counsel fees ($0.35–0.5) are debt issuance costs amortized over the 7-year term (Treas. Reg. §1.446-5), with any unamortized balance deductible on refinancing or prepayment (the ECF sweep accelerates this). All are interest for §163(j). Invoices should be split between financing and acquisition work.</w:t>
      </w:r>
    </w:p>
    <w:p>
      <w:pPr>
        <w:pStyle w:val="ListBullet"/>
        <w:spacing w:after="60"/>
      </w:pPr>
      <w:r>
        <w:rPr>
          <w:b/>
        </w:rPr>
        <w:t>Sources and uses gap.</w:t>
      </w:r>
      <w:r>
        <w:t xml:space="preserve"> The term sheet shows $200.0 of debt and $5.2 of total costs. But OID nets funded proceeds to $196.0, and upfront financing fees ($5.5) plus lender counsel already exceed $5.2 before Fund IV’s own acquisition costs. There is a funding shortfall of roughly $4–6. The funds flow must also net David’s $12.0 contribution against his proceeds.</w:t>
      </w:r>
    </w:p>
    <w:p>
      <w:pPr>
        <w:pStyle w:val="ListBullet"/>
        <w:spacing w:after="60"/>
      </w:pPr>
      <w:r>
        <w:rPr>
          <w:b/>
        </w:rPr>
        <w:t>Seller and HIS costs.</w:t>
      </w:r>
      <w:r>
        <w:t xml:space="preserve"> Selling costs borne by NewCo/HIS (Summit Ridge, Prescott &amp; Lowell, Ridgeline) reduce the amount realized on the asset sale. Costs borne individually reduce each shareholder’s amount realized. Company-paid seller expenses must be deducted from the price as LOI §2.3(d) contemplates. Any deductions they generate belong to the sellers’ pre-closing period at no cost to the buyer.</w:t>
      </w:r>
    </w:p>
    <w:p>
      <w:pPr>
        <w:pStyle w:val="ListBullet"/>
        <w:spacing w:after="60"/>
      </w:pPr>
      <w:r>
        <w:rPr>
          <w:b/>
        </w:rPr>
        <w:t>§280G.</w:t>
      </w:r>
      <w:r>
        <w:t xml:space="preserve"> Not applicable. HIS is S-eligible immediately before the change in control (§280G(b)(5)(A)(i)), and the CIM confirms no non-shareholder equity or change-in-control plans.</w:t>
      </w:r>
    </w:p>
    <w:p>
      <w:pPr>
        <w:pStyle w:val="Heading1"/>
      </w:pPr>
      <w:r>
        <w:t>XIII. Definitive Agreement — Tax Provisions to Propose</w:t>
      </w:r>
    </w:p>
    <w:p>
      <w:pPr>
        <w:pStyle w:val="ListNumber"/>
        <w:numPr>
          <w:ilvl w:val="0"/>
          <w:numId w:val="12"/>
        </w:numPr>
        <w:spacing w:after="60"/>
      </w:pPr>
      <w:r>
        <w:rPr>
          <w:b/>
        </w:rPr>
        <w:t>Structure.</w:t>
      </w:r>
      <w:r>
        <w:t xml:space="preserve"> Completion of the NewCo formation, QSub election (Form 8869) and Michigan conversion as a closing condition; buyer review of all filings; representations that NewCo has one class of stock and that the F reorganization qualifies.</w:t>
      </w:r>
    </w:p>
    <w:p>
      <w:pPr>
        <w:pStyle w:val="ListNumber"/>
        <w:numPr>
          <w:ilvl w:val="0"/>
          <w:numId w:val="12"/>
        </w:numPr>
        <w:spacing w:after="60"/>
      </w:pPr>
      <w:r>
        <w:rPr>
          <w:b/>
        </w:rPr>
        <w:t>Tax representations.</w:t>
      </w:r>
      <w:r>
        <w:t xml:space="preserve"> Valid S election since January 1, 2001 (federal and Alabama Form 20S); no C-corporation E&amp;P; §1363(d) compliance on the 2000 return; no §1374 exposure; filings in all nexus states (resolving VA/IA and the DC-state discrepancies); LIFO computations; sales/use and payroll compliance.</w:t>
      </w:r>
    </w:p>
    <w:p>
      <w:pPr>
        <w:pStyle w:val="ListNumber"/>
        <w:numPr>
          <w:ilvl w:val="0"/>
          <w:numId w:val="12"/>
        </w:numPr>
        <w:spacing w:after="60"/>
      </w:pPr>
      <w:r>
        <w:rPr>
          <w:b/>
        </w:rPr>
        <w:t>Indemnity.</w:t>
      </w:r>
      <w:r>
        <w:t xml:space="preserve"> Sellers (NewCo, with shareholder guarantees) bear all pre-closing taxes, all taxes on the reorganization and sale (including TN excise, IL replacement tax, KY LLET and OH CAT on sale receipts, and PTE taxes), and any tax resulting from an invalid S election. Closing-of-the-books straddle allocation; escrow and R&amp;W insurance; survival to the statute of limitations plus 60 days.</w:t>
      </w:r>
    </w:p>
    <w:p>
      <w:pPr>
        <w:pStyle w:val="ListNumber"/>
        <w:numPr>
          <w:ilvl w:val="0"/>
          <w:numId w:val="12"/>
        </w:numPr>
        <w:spacing w:after="60"/>
      </w:pPr>
      <w:r>
        <w:rPr>
          <w:b/>
        </w:rPr>
        <w:t>Tax Structure Payment.</w:t>
      </w:r>
      <w:r>
        <w:t xml:space="preserve"> Formula, PTE assumption, cap of about $10.5, one-time true-up, treatment as purchase price (Part VII). Delete the LOI’s §1363(d) corporate-tax language.</w:t>
      </w:r>
    </w:p>
    <w:p>
      <w:pPr>
        <w:pStyle w:val="ListNumber"/>
        <w:numPr>
          <w:ilvl w:val="0"/>
          <w:numId w:val="12"/>
        </w:numPr>
        <w:spacing w:after="60"/>
      </w:pPr>
      <w:r>
        <w:rPr>
          <w:b/>
        </w:rPr>
        <w:t>Allocation.</w:t>
      </w:r>
      <w:r>
        <w:t xml:space="preserve"> Binding §1060 schedule (Part X); Form 8594 consistency; reduced covenant allocation; dispute mechanism.</w:t>
      </w:r>
    </w:p>
    <w:p>
      <w:pPr>
        <w:pStyle w:val="ListNumber"/>
        <w:numPr>
          <w:ilvl w:val="0"/>
          <w:numId w:val="12"/>
        </w:numPr>
        <w:spacing w:after="60"/>
      </w:pPr>
      <w:r>
        <w:rPr>
          <w:b/>
        </w:rPr>
        <w:t>PTE and returns.</w:t>
      </w:r>
      <w:r>
        <w:t xml:space="preserve"> Sellers make PTE elections and prepare NewCo and HIS pre-closing returns (buyer review where buyer-period taxes are affected); buyer prepares straddle returns; mutual cooperation.</w:t>
      </w:r>
    </w:p>
    <w:p>
      <w:pPr>
        <w:pStyle w:val="ListNumber"/>
        <w:numPr>
          <w:ilvl w:val="0"/>
          <w:numId w:val="12"/>
        </w:numPr>
        <w:spacing w:after="60"/>
      </w:pPr>
      <w:r>
        <w:rPr>
          <w:b/>
        </w:rPr>
        <w:t>Rollover documents.</w:t>
      </w:r>
      <w:r>
        <w:t xml:space="preserve"> HIS Holdings LLC agreement: tax distributions; §754 election; allocations of excess business interest expense; partnership representative; profits interests issued separately from David’s purchased units.</w:t>
      </w:r>
    </w:p>
    <w:p>
      <w:pPr>
        <w:pStyle w:val="ListNumber"/>
        <w:numPr>
          <w:ilvl w:val="0"/>
          <w:numId w:val="12"/>
        </w:numPr>
        <w:spacing w:after="60"/>
      </w:pPr>
      <w:r>
        <w:rPr>
          <w:b/>
        </w:rPr>
        <w:t>Financing conforming changes.</w:t>
      </w:r>
      <w:r>
        <w:t xml:space="preserve"> Guarantor named as HIS, LLC; LIFO covenant carve-out for the new taxpayer’s initial method choice; tax-distribution basket; correct the collateral and DC-location description.</w:t>
      </w:r>
    </w:p>
    <w:p>
      <w:pPr>
        <w:pStyle w:val="Heading1"/>
      </w:pPr>
      <w:r>
        <w:t>XIV. Open Items and Next Steps (before the December 6 signing)</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432"/>
            <w:shd w:val="clear" w:color="auto" w:fill="D9E1F2"/>
          </w:tcPr>
          <w:p>
            <w:r/>
            <w:r>
              <w:rPr>
                <w:b/>
                <w:sz w:val="16"/>
              </w:rPr>
              <w:t>#</w:t>
            </w:r>
          </w:p>
        </w:tc>
        <w:tc>
          <w:tcPr>
            <w:tcW w:type="dxa" w:w="5328"/>
            <w:shd w:val="clear" w:color="auto" w:fill="D9E1F2"/>
          </w:tcPr>
          <w:p>
            <w:r/>
            <w:r>
              <w:rPr>
                <w:b/>
                <w:sz w:val="16"/>
              </w:rPr>
              <w:t>Action</w:t>
            </w:r>
          </w:p>
        </w:tc>
        <w:tc>
          <w:tcPr>
            <w:tcW w:type="dxa" w:w="2304"/>
            <w:shd w:val="clear" w:color="auto" w:fill="D9E1F2"/>
          </w:tcPr>
          <w:p>
            <w:r/>
            <w:r>
              <w:rPr>
                <w:b/>
                <w:sz w:val="16"/>
              </w:rPr>
              <w:t>Owner</w:t>
            </w:r>
          </w:p>
        </w:tc>
        <w:tc>
          <w:tcPr>
            <w:tcW w:type="dxa" w:w="1296"/>
            <w:shd w:val="clear" w:color="auto" w:fill="D9E1F2"/>
          </w:tcPr>
          <w:p>
            <w:r/>
            <w:r>
              <w:rPr>
                <w:b/>
                <w:sz w:val="16"/>
              </w:rPr>
              <w:t>Target</w:t>
            </w:r>
          </w:p>
        </w:tc>
      </w:tr>
      <w:tr>
        <w:tc>
          <w:tcPr>
            <w:tcW w:type="dxa" w:w="432"/>
          </w:tcPr>
          <w:p>
            <w:pPr>
              <w:spacing w:after="0"/>
            </w:pPr>
            <w:r/>
            <w:r>
              <w:rPr>
                <w:b w:val="0"/>
                <w:sz w:val="16"/>
              </w:rPr>
              <w:t>1</w:t>
            </w:r>
          </w:p>
        </w:tc>
        <w:tc>
          <w:tcPr>
            <w:tcW w:type="dxa" w:w="5328"/>
          </w:tcPr>
          <w:p>
            <w:pPr>
              <w:spacing w:after="0"/>
            </w:pPr>
            <w:r/>
            <w:r>
              <w:rPr>
                <w:b w:val="0"/>
                <w:sz w:val="16"/>
              </w:rPr>
              <w:t>Partner review and approval of the recommended structure; Redstone deal-team sign-off; confirm Fund IV investor profile and blocker approach</w:t>
            </w:r>
          </w:p>
        </w:tc>
        <w:tc>
          <w:tcPr>
            <w:tcW w:type="dxa" w:w="2304"/>
          </w:tcPr>
          <w:p>
            <w:pPr>
              <w:spacing w:after="0"/>
            </w:pPr>
            <w:r/>
            <w:r>
              <w:rPr>
                <w:b w:val="0"/>
                <w:sz w:val="16"/>
              </w:rPr>
              <w:t>V. Chen / M. Halpern / Redstone</w:t>
            </w:r>
          </w:p>
        </w:tc>
        <w:tc>
          <w:tcPr>
            <w:tcW w:type="dxa" w:w="1296"/>
          </w:tcPr>
          <w:p>
            <w:pPr>
              <w:spacing w:after="0"/>
            </w:pPr>
            <w:r/>
            <w:r>
              <w:rPr>
                <w:b w:val="0"/>
                <w:sz w:val="16"/>
              </w:rPr>
              <w:t>Nov. 27</w:t>
            </w:r>
          </w:p>
        </w:tc>
      </w:tr>
      <w:tr>
        <w:tc>
          <w:tcPr>
            <w:tcW w:type="dxa" w:w="432"/>
          </w:tcPr>
          <w:p>
            <w:pPr>
              <w:spacing w:after="0"/>
            </w:pPr>
            <w:r/>
            <w:r>
              <w:rPr>
                <w:b w:val="0"/>
                <w:sz w:val="16"/>
              </w:rPr>
              <w:t>2</w:t>
            </w:r>
          </w:p>
        </w:tc>
        <w:tc>
          <w:tcPr>
            <w:tcW w:type="dxa" w:w="5328"/>
          </w:tcPr>
          <w:p>
            <w:pPr>
              <w:spacing w:after="0"/>
            </w:pPr>
            <w:r/>
            <w:r>
              <w:rPr>
                <w:b w:val="0"/>
                <w:sz w:val="16"/>
              </w:rPr>
              <w:t>Walk Prescott &amp; Lowell and Ridgeline through the §1363(d) correction and the F-reorganization proposal; share a seller-facing version of Part VI</w:t>
            </w:r>
          </w:p>
        </w:tc>
        <w:tc>
          <w:tcPr>
            <w:tcW w:type="dxa" w:w="2304"/>
          </w:tcPr>
          <w:p>
            <w:pPr>
              <w:spacing w:after="0"/>
            </w:pPr>
            <w:r/>
            <w:r>
              <w:rPr>
                <w:b w:val="0"/>
                <w:sz w:val="16"/>
              </w:rPr>
              <w:t>V. Chen</w:t>
            </w:r>
          </w:p>
        </w:tc>
        <w:tc>
          <w:tcPr>
            <w:tcW w:type="dxa" w:w="1296"/>
          </w:tcPr>
          <w:p>
            <w:pPr>
              <w:spacing w:after="0"/>
            </w:pPr>
            <w:r/>
            <w:r>
              <w:rPr>
                <w:b w:val="0"/>
                <w:sz w:val="16"/>
              </w:rPr>
              <w:t>Week of Dec. 2</w:t>
            </w:r>
          </w:p>
        </w:tc>
      </w:tr>
      <w:tr>
        <w:tc>
          <w:tcPr>
            <w:tcW w:type="dxa" w:w="432"/>
          </w:tcPr>
          <w:p>
            <w:pPr>
              <w:spacing w:after="0"/>
            </w:pPr>
            <w:r/>
            <w:r>
              <w:rPr>
                <w:b w:val="0"/>
                <w:sz w:val="16"/>
              </w:rPr>
              <w:t>3</w:t>
            </w:r>
          </w:p>
        </w:tc>
        <w:tc>
          <w:tcPr>
            <w:tcW w:type="dxa" w:w="5328"/>
          </w:tcPr>
          <w:p>
            <w:pPr>
              <w:spacing w:after="0"/>
            </w:pPr>
            <w:r/>
            <w:r>
              <w:rPr>
                <w:b w:val="0"/>
                <w:sz w:val="16"/>
              </w:rPr>
              <w:t>Reconcile operating liabilities (QoE $64.0 vs CIM $43.7), the $3.5 of other current assets, and the inside-basis schedule; update the AGUB model</w:t>
            </w:r>
          </w:p>
        </w:tc>
        <w:tc>
          <w:tcPr>
            <w:tcW w:type="dxa" w:w="2304"/>
          </w:tcPr>
          <w:p>
            <w:pPr>
              <w:spacing w:after="0"/>
            </w:pPr>
            <w:r/>
            <w:r>
              <w:rPr>
                <w:b w:val="0"/>
                <w:sz w:val="16"/>
              </w:rPr>
              <w:t>R. Kowalski / Ridgeline QoE team</w:t>
            </w:r>
          </w:p>
        </w:tc>
        <w:tc>
          <w:tcPr>
            <w:tcW w:type="dxa" w:w="1296"/>
          </w:tcPr>
          <w:p>
            <w:pPr>
              <w:spacing w:after="0"/>
            </w:pPr>
            <w:r/>
            <w:r>
              <w:rPr>
                <w:b w:val="0"/>
                <w:sz w:val="16"/>
              </w:rPr>
              <w:t>Dec. 2</w:t>
            </w:r>
          </w:p>
        </w:tc>
      </w:tr>
      <w:tr>
        <w:tc>
          <w:tcPr>
            <w:tcW w:type="dxa" w:w="432"/>
          </w:tcPr>
          <w:p>
            <w:pPr>
              <w:spacing w:after="0"/>
            </w:pPr>
            <w:r/>
            <w:r>
              <w:rPr>
                <w:b w:val="0"/>
                <w:sz w:val="16"/>
              </w:rPr>
              <w:t>4</w:t>
            </w:r>
          </w:p>
        </w:tc>
        <w:tc>
          <w:tcPr>
            <w:tcW w:type="dxa" w:w="5328"/>
          </w:tcPr>
          <w:p>
            <w:pPr>
              <w:spacing w:after="0"/>
            </w:pPr>
            <w:r/>
            <w:r>
              <w:rPr>
                <w:b w:val="0"/>
                <w:sz w:val="16"/>
              </w:rPr>
              <w:t>Revise the PPA: liabilities, Class III A/R, Class V lease and other tangibles, separate covenants, §1250 computation, reduced non-compete</w:t>
            </w:r>
          </w:p>
        </w:tc>
        <w:tc>
          <w:tcPr>
            <w:tcW w:type="dxa" w:w="2304"/>
          </w:tcPr>
          <w:p>
            <w:pPr>
              <w:spacing w:after="0"/>
            </w:pPr>
            <w:r/>
            <w:r>
              <w:rPr>
                <w:b w:val="0"/>
                <w:sz w:val="16"/>
              </w:rPr>
              <w:t>Pinnacle (A. Reeves)</w:t>
            </w:r>
          </w:p>
        </w:tc>
        <w:tc>
          <w:tcPr>
            <w:tcW w:type="dxa" w:w="1296"/>
          </w:tcPr>
          <w:p>
            <w:pPr>
              <w:spacing w:after="0"/>
            </w:pPr>
            <w:r/>
            <w:r>
              <w:rPr>
                <w:b w:val="0"/>
                <w:sz w:val="16"/>
              </w:rPr>
              <w:t>Dec. 3</w:t>
            </w:r>
          </w:p>
        </w:tc>
      </w:tr>
      <w:tr>
        <w:tc>
          <w:tcPr>
            <w:tcW w:type="dxa" w:w="432"/>
          </w:tcPr>
          <w:p>
            <w:pPr>
              <w:spacing w:after="0"/>
            </w:pPr>
            <w:r/>
            <w:r>
              <w:rPr>
                <w:b w:val="0"/>
                <w:sz w:val="16"/>
              </w:rPr>
              <w:t>5</w:t>
            </w:r>
          </w:p>
        </w:tc>
        <w:tc>
          <w:tcPr>
            <w:tcW w:type="dxa" w:w="5328"/>
          </w:tcPr>
          <w:p>
            <w:pPr>
              <w:spacing w:after="0"/>
            </w:pPr>
            <w:r/>
            <w:r>
              <w:rPr>
                <w:b w:val="0"/>
                <w:sz w:val="16"/>
              </w:rPr>
              <w:t>Reconcile the 14-state footprint (VA vs IA; TN/WI/MN/NC factors; physical presence of DCs); assess filing gaps</w:t>
            </w:r>
          </w:p>
        </w:tc>
        <w:tc>
          <w:tcPr>
            <w:tcW w:type="dxa" w:w="2304"/>
          </w:tcPr>
          <w:p>
            <w:pPr>
              <w:spacing w:after="0"/>
            </w:pPr>
            <w:r/>
            <w:r>
              <w:rPr>
                <w:b w:val="0"/>
                <w:sz w:val="16"/>
              </w:rPr>
              <w:t>Ridgeline / ABC SALT</w:t>
            </w:r>
          </w:p>
        </w:tc>
        <w:tc>
          <w:tcPr>
            <w:tcW w:type="dxa" w:w="1296"/>
          </w:tcPr>
          <w:p>
            <w:pPr>
              <w:spacing w:after="0"/>
            </w:pPr>
            <w:r/>
            <w:r>
              <w:rPr>
                <w:b w:val="0"/>
                <w:sz w:val="16"/>
              </w:rPr>
              <w:t>Dec. 3</w:t>
            </w:r>
          </w:p>
        </w:tc>
      </w:tr>
      <w:tr>
        <w:tc>
          <w:tcPr>
            <w:tcW w:type="dxa" w:w="432"/>
          </w:tcPr>
          <w:p>
            <w:pPr>
              <w:spacing w:after="0"/>
            </w:pPr>
            <w:r/>
            <w:r>
              <w:rPr>
                <w:b w:val="0"/>
                <w:sz w:val="16"/>
              </w:rPr>
              <w:t>6</w:t>
            </w:r>
          </w:p>
        </w:tc>
        <w:tc>
          <w:tcPr>
            <w:tcW w:type="dxa" w:w="5328"/>
          </w:tcPr>
          <w:p>
            <w:pPr>
              <w:spacing w:after="0"/>
            </w:pPr>
            <w:r/>
            <w:r>
              <w:rPr>
                <w:b w:val="0"/>
                <w:sz w:val="16"/>
              </w:rPr>
              <w:t>Review contracts, leases and permits for conversion/change-of-form clauses; Michigan conversion and property-tax uncapping analysis</w:t>
            </w:r>
          </w:p>
        </w:tc>
        <w:tc>
          <w:tcPr>
            <w:tcW w:type="dxa" w:w="2304"/>
          </w:tcPr>
          <w:p>
            <w:pPr>
              <w:spacing w:after="0"/>
            </w:pPr>
            <w:r/>
            <w:r>
              <w:rPr>
                <w:b w:val="0"/>
                <w:sz w:val="16"/>
              </w:rPr>
              <w:t>ABC Corporate / Real Estate</w:t>
            </w:r>
          </w:p>
        </w:tc>
        <w:tc>
          <w:tcPr>
            <w:tcW w:type="dxa" w:w="1296"/>
          </w:tcPr>
          <w:p>
            <w:pPr>
              <w:spacing w:after="0"/>
            </w:pPr>
            <w:r/>
            <w:r>
              <w:rPr>
                <w:b w:val="0"/>
                <w:sz w:val="16"/>
              </w:rPr>
              <w:t>Dec. 4</w:t>
            </w:r>
          </w:p>
        </w:tc>
      </w:tr>
      <w:tr>
        <w:tc>
          <w:tcPr>
            <w:tcW w:type="dxa" w:w="432"/>
          </w:tcPr>
          <w:p>
            <w:pPr>
              <w:spacing w:after="0"/>
            </w:pPr>
            <w:r/>
            <w:r>
              <w:rPr>
                <w:b w:val="0"/>
                <w:sz w:val="16"/>
              </w:rPr>
              <w:t>7</w:t>
            </w:r>
          </w:p>
        </w:tc>
        <w:tc>
          <w:tcPr>
            <w:tcW w:type="dxa" w:w="5328"/>
          </w:tcPr>
          <w:p>
            <w:pPr>
              <w:spacing w:after="0"/>
            </w:pPr>
            <w:r/>
            <w:r>
              <w:rPr>
                <w:b w:val="0"/>
                <w:sz w:val="16"/>
              </w:rPr>
              <w:t>Ironclad term sheet conforming changes (guarantor, LIFO covenant, tax distributions, collateral description); fix the sources and uses gap</w:t>
            </w:r>
          </w:p>
        </w:tc>
        <w:tc>
          <w:tcPr>
            <w:tcW w:type="dxa" w:w="2304"/>
          </w:tcPr>
          <w:p>
            <w:pPr>
              <w:spacing w:after="0"/>
            </w:pPr>
            <w:r/>
            <w:r>
              <w:rPr>
                <w:b w:val="0"/>
                <w:sz w:val="16"/>
              </w:rPr>
              <w:t>ABC Finance / Redstone</w:t>
            </w:r>
          </w:p>
        </w:tc>
        <w:tc>
          <w:tcPr>
            <w:tcW w:type="dxa" w:w="1296"/>
          </w:tcPr>
          <w:p>
            <w:pPr>
              <w:spacing w:after="0"/>
            </w:pPr>
            <w:r/>
            <w:r>
              <w:rPr>
                <w:b w:val="0"/>
                <w:sz w:val="16"/>
              </w:rPr>
              <w:t>Commitment letter (Nov. 29)</w:t>
            </w:r>
          </w:p>
        </w:tc>
      </w:tr>
      <w:tr>
        <w:tc>
          <w:tcPr>
            <w:tcW w:type="dxa" w:w="432"/>
          </w:tcPr>
          <w:p>
            <w:pPr>
              <w:spacing w:after="0"/>
            </w:pPr>
            <w:r/>
            <w:r>
              <w:rPr>
                <w:b w:val="0"/>
                <w:sz w:val="16"/>
              </w:rPr>
              <w:t>8</w:t>
            </w:r>
          </w:p>
        </w:tc>
        <w:tc>
          <w:tcPr>
            <w:tcW w:type="dxa" w:w="5328"/>
          </w:tcPr>
          <w:p>
            <w:pPr>
              <w:spacing w:after="0"/>
            </w:pPr>
            <w:r/>
            <w:r>
              <w:rPr>
                <w:b w:val="0"/>
                <w:sz w:val="16"/>
              </w:rPr>
              <w:t>Pull the 2000 Form 1120 (§1363(d)); confirm Alabama Form 20S; confirm no §1231 net losses in 2020–2024</w:t>
            </w:r>
          </w:p>
        </w:tc>
        <w:tc>
          <w:tcPr>
            <w:tcW w:type="dxa" w:w="2304"/>
          </w:tcPr>
          <w:p>
            <w:pPr>
              <w:spacing w:after="0"/>
            </w:pPr>
            <w:r/>
            <w:r>
              <w:rPr>
                <w:b w:val="0"/>
                <w:sz w:val="16"/>
              </w:rPr>
              <w:t>R. Kowalski / Ridgeline</w:t>
            </w:r>
          </w:p>
        </w:tc>
        <w:tc>
          <w:tcPr>
            <w:tcW w:type="dxa" w:w="1296"/>
          </w:tcPr>
          <w:p>
            <w:pPr>
              <w:spacing w:after="0"/>
            </w:pPr>
            <w:r/>
            <w:r>
              <w:rPr>
                <w:b w:val="0"/>
                <w:sz w:val="16"/>
              </w:rPr>
              <w:t>Dec. 4</w:t>
            </w:r>
          </w:p>
        </w:tc>
      </w:tr>
      <w:tr>
        <w:tc>
          <w:tcPr>
            <w:tcW w:type="dxa" w:w="432"/>
          </w:tcPr>
          <w:p>
            <w:pPr>
              <w:spacing w:after="0"/>
            </w:pPr>
            <w:r/>
            <w:r>
              <w:rPr>
                <w:b w:val="0"/>
                <w:sz w:val="16"/>
              </w:rPr>
              <w:t>9</w:t>
            </w:r>
          </w:p>
        </w:tc>
        <w:tc>
          <w:tcPr>
            <w:tcW w:type="dxa" w:w="5328"/>
          </w:tcPr>
          <w:p>
            <w:pPr>
              <w:spacing w:after="0"/>
            </w:pPr>
            <w:r/>
            <w:r>
              <w:rPr>
                <w:b w:val="0"/>
                <w:sz w:val="16"/>
              </w:rPr>
              <w:t>Draft SPA tax provisions (Part XIII) and the Tax Structure Payment model exhibit</w:t>
            </w:r>
          </w:p>
        </w:tc>
        <w:tc>
          <w:tcPr>
            <w:tcW w:type="dxa" w:w="2304"/>
          </w:tcPr>
          <w:p>
            <w:pPr>
              <w:spacing w:after="0"/>
            </w:pPr>
            <w:r/>
            <w:r>
              <w:rPr>
                <w:b w:val="0"/>
                <w:sz w:val="16"/>
              </w:rPr>
              <w:t>ABC Tax</w:t>
            </w:r>
          </w:p>
        </w:tc>
        <w:tc>
          <w:tcPr>
            <w:tcW w:type="dxa" w:w="1296"/>
          </w:tcPr>
          <w:p>
            <w:pPr>
              <w:spacing w:after="0"/>
            </w:pPr>
            <w:r/>
            <w:r>
              <w:rPr>
                <w:b w:val="0"/>
                <w:sz w:val="16"/>
              </w:rPr>
              <w:t>Dec. 4</w:t>
            </w:r>
          </w:p>
        </w:tc>
      </w:tr>
      <w:tr>
        <w:tc>
          <w:tcPr>
            <w:tcW w:type="dxa" w:w="432"/>
          </w:tcPr>
          <w:p>
            <w:pPr>
              <w:spacing w:after="0"/>
            </w:pPr>
            <w:r/>
            <w:r>
              <w:rPr>
                <w:b w:val="0"/>
                <w:sz w:val="16"/>
              </w:rPr>
              <w:t>10</w:t>
            </w:r>
          </w:p>
        </w:tc>
        <w:tc>
          <w:tcPr>
            <w:tcW w:type="dxa" w:w="5328"/>
          </w:tcPr>
          <w:p>
            <w:pPr>
              <w:spacing w:after="0"/>
            </w:pPr>
            <w:r/>
            <w:r>
              <w:rPr>
                <w:b w:val="0"/>
                <w:sz w:val="16"/>
              </w:rPr>
              <w:t>Monitor federal legislation (bonus depreciation, §163(j)); update the PV analysis before signing</w:t>
            </w:r>
          </w:p>
        </w:tc>
        <w:tc>
          <w:tcPr>
            <w:tcW w:type="dxa" w:w="2304"/>
          </w:tcPr>
          <w:p>
            <w:pPr>
              <w:spacing w:after="0"/>
            </w:pPr>
            <w:r/>
            <w:r>
              <w:rPr>
                <w:b w:val="0"/>
                <w:sz w:val="16"/>
              </w:rPr>
              <w:t>ABC Tax</w:t>
            </w:r>
          </w:p>
        </w:tc>
        <w:tc>
          <w:tcPr>
            <w:tcW w:type="dxa" w:w="1296"/>
          </w:tcPr>
          <w:p>
            <w:pPr>
              <w:spacing w:after="0"/>
            </w:pPr>
            <w:r/>
            <w:r>
              <w:rPr>
                <w:b w:val="0"/>
                <w:sz w:val="16"/>
              </w:rPr>
              <w:t>Ongoing</w:t>
            </w:r>
          </w:p>
        </w:tc>
      </w:tr>
    </w:tbl>
    <w:p>
      <w:pPr>
        <w:spacing w:after="40"/>
      </w:pPr>
    </w:p>
    <w:p>
      <w:pPr>
        <w:pStyle w:val="Heading1"/>
      </w:pPr>
      <w:r>
        <w:t>Appendix A — Model Assumptions</w:t>
      </w:r>
    </w:p>
    <w:p>
      <w:pPr>
        <w:pStyle w:val="ListBullet"/>
        <w:spacing w:after="60"/>
      </w:pPr>
      <w:r>
        <w:t>Seller model: equity value $344.5 allocated pro rata; ADSP $455.8 (QoE liabilities); inside basis $134.2 plus cash $6.8; character as in Part VI.A; federal 37%/25%/20%, NIIT 3.8% for Sarah only; Michigan 4.25% on all gain; incremental other-state cost = Σ factor × max(0, state top rate − 4.25%) + Illinois 1.5% PPRT + Tennessee 6.5% excise, applied to inside gain; no PTE benefit or deduction for entity-level taxes in the base case.</w:t>
      </w:r>
    </w:p>
    <w:p>
      <w:pPr>
        <w:pStyle w:val="ListBullet"/>
        <w:spacing w:after="60"/>
      </w:pPr>
      <w:r>
        <w:t>Buyer model: 15-year horizon; EBITDA $41.85, +4% a year; capex $5.1 a year (7-year MACRS; bonus 40% in 2025, 20% in 2026, 0% thereafter); step-up assets as in Part V.B (5/7-year MACRS tables; QIP 15-year SL; building 39-year SL; favorable lease over 6 years; §197 over 15 years; inventory step-up in year 1); carryover-basis case recovers the existing $9.8 equipment, $5.4 other, $1.9 leasehold and $3.0 building basis over their remaining lives; Term Loan $200.0 at 9.25% with 1% amortization, plus OID and debt issuance cost amortization through year 7; §163(j) at 30% of ATI with indefinite carryforward; 80% NOL limitation; 25.4% blended rate; mid-year discounting. Ending interest carryforwards are not valued.</w:t>
      </w:r>
    </w:p>
    <w:p>
      <w:pPr>
        <w:pStyle w:val="ListBullet"/>
        <w:spacing w:after="60"/>
      </w:pPr>
      <w:r>
        <w:t>All figures are estimates for structuring and negotiation and will be updated for the closing balance sheet, the final LIFO reserve, the final PPA, and any change in law before closing. This memorandum reflects federal and state law as of its date.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Privileged &amp; Confidential | Attorney-Client Communication | Attorney Work Product | DRAFT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b/>
      <w:bCs/>
      <w:color w:val="1F2A44"/>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1F2A44"/>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1F2A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Tax Structure Memorandum - Project Heartland</dc:title>
  <dc:subject/>
  <dc:creator>Ashworth, Bledsoe &amp; Cahill LLP</dc:creator>
  <cp:keywords/>
  <dc:description>generated by python-docx</dc:description>
  <cp:lastModifiedBy/>
  <cp:revision>1</cp:revision>
  <dcterms:created xsi:type="dcterms:W3CDTF">2013-12-23T23:15:00Z</dcterms:created>
  <dcterms:modified xsi:type="dcterms:W3CDTF">2013-12-23T23:15:00Z</dcterms:modified>
  <cp:category/>
</cp:coreProperties>
</file>