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ATTORNEY-CLIENT COMMUNICATION / ATTORNEY WORK PRODUCT</w:t>
      </w:r>
    </w:p>
    <w:p>
      <w:pPr>
        <w:spacing w:after="40"/>
        <w:jc w:val="center"/>
      </w:pPr>
      <w:r>
        <w:rPr>
          <w:b/>
          <w:i w:val="0"/>
          <w:sz w:val="26"/>
        </w:rPr>
        <w:t>PEMBERTON HALE &amp; GRIGGS LLP</w:t>
      </w:r>
    </w:p>
    <w:p>
      <w:pPr>
        <w:spacing w:after="160"/>
        <w:jc w:val="center"/>
      </w:pPr>
      <w:r>
        <w:rPr>
          <w:b/>
          <w:i w:val="0"/>
          <w:sz w:val="32"/>
        </w:rPr>
        <w:t>MEMORANDUM</w:t>
      </w:r>
    </w:p>
    <w:p>
      <w:pPr>
        <w:spacing w:after="80"/>
      </w:pPr>
      <w:r>
        <w:rPr>
          <w:b/>
        </w:rPr>
        <w:t xml:space="preserve">TO: </w:t>
      </w:r>
      <w:r>
        <w:t>Eleanor Marsh, Partner</w:t>
      </w:r>
    </w:p>
    <w:p>
      <w:pPr>
        <w:spacing w:after="80"/>
      </w:pPr>
      <w:r>
        <w:rPr>
          <w:b/>
        </w:rPr>
        <w:t xml:space="preserve">CC: </w:t>
      </w:r>
      <w:r>
        <w:t>David Yun, Senior Associate</w:t>
      </w:r>
    </w:p>
    <w:p>
      <w:pPr>
        <w:spacing w:after="80"/>
      </w:pPr>
      <w:r>
        <w:rPr>
          <w:b/>
        </w:rPr>
        <w:t xml:space="preserve">FROM: </w:t>
      </w:r>
      <w:r>
        <w:t>Tax Controversy Team</w:t>
      </w:r>
    </w:p>
    <w:p>
      <w:pPr>
        <w:spacing w:after="80"/>
      </w:pPr>
      <w:r>
        <w:rPr>
          <w:b/>
        </w:rPr>
        <w:t xml:space="preserve">DATE: </w:t>
      </w:r>
      <w:r>
        <w:t>January 2025 (prepared on review of the January 10, 2025 draft; response due February 7, 2025)</w:t>
      </w:r>
    </w:p>
    <w:p>
      <w:pPr>
        <w:spacing w:after="80"/>
      </w:pPr>
      <w:r>
        <w:rPr>
          <w:b/>
        </w:rPr>
        <w:t xml:space="preserve">CLIENT/MATTER: </w:t>
      </w:r>
      <w:r>
        <w:t>Ridgeline Therapeutics, Inc. (EIN 47-3918205) — IRS Case No. LBI-2023-0471-SD, Tax Years 2019–2022</w:t>
      </w:r>
    </w:p>
    <w:p>
      <w:pPr>
        <w:spacing w:after="80"/>
      </w:pPr>
      <w:r>
        <w:rPr>
          <w:b/>
        </w:rPr>
        <w:t xml:space="preserve">RE: </w:t>
      </w:r>
      <w:r>
        <w:t>Issues Identified in Draft IRS Closing Agreement (Form 906) Transmitted Under Letter 907 — Severity Ratings and Recommended Fixes</w:t>
      </w:r>
    </w:p>
    <w:p>
      <w:pPr>
        <w:spacing w:after="120"/>
        <w:pBdr>
          <w:bottom w:val="single" w:sz="8" w:color="1F3A5F"/>
        </w:pBdr>
      </w:pPr>
    </w:p>
    <w:p>
      <w:pPr>
        <w:pStyle w:val="Heading1"/>
      </w:pPr>
      <w:r>
        <w:t>I. Executive Summary and Bottom Line</w:t>
      </w:r>
    </w:p>
    <w:p>
      <w:pPr>
        <w:spacing w:after="80"/>
      </w:pPr>
      <w:r>
        <w:rPr>
          <w:b w:val="0"/>
          <w:i w:val="0"/>
        </w:rPr>
        <w:t>Recommendation: Ridgeline should not execute the draft Form 906 in its current form. Before the February 7, 2025 deadline we should send Appeals a written list of corrections and request a written extension. The draft records the negotiated terms correctly in its operative sections (16% royalty rate; 40% concession of disallowed Phase IV credits; $2,310,000 FTC reduction; penalty abatement). But the payment computation that converts those terms into dollars is materially wrong, and several provisions Ridgeline needs are missing or drafted against its interests.</w:t>
      </w:r>
    </w:p>
    <w:p>
      <w:pPr>
        <w:spacing w:after="40"/>
      </w:pPr>
      <w:r>
        <w:rPr>
          <w:b/>
          <w:i w:val="0"/>
        </w:rPr>
        <w:t>Key points:</w:t>
      </w:r>
    </w:p>
    <w:p>
      <w:pPr>
        <w:pStyle w:val="ListBullet"/>
        <w:spacing w:after="40"/>
      </w:pPr>
      <w:r>
        <w:rPr>
          <w:b/>
        </w:rPr>
        <w:t>Payment figure is understated by $23.3 million.</w:t>
      </w:r>
      <w:r>
        <w:t xml:space="preserve"> Exhibit C subtracts the restored R&amp;D credits ($7,480,000) instead of adding the credits that remain disallowed ($11,220,000), and subtracts the FTC reduction ($2,310,000) instead of adding it. On the agreed terms, the amount due is $39,311,600 using the IRS’s interest figure, not $15,991,600. The understatement is $23,320,000 (Issues 1–3).</w:t>
      </w:r>
    </w:p>
    <w:p>
      <w:pPr>
        <w:pStyle w:val="ListBullet"/>
        <w:spacing w:after="40"/>
      </w:pPr>
      <w:r>
        <w:rPr>
          <w:b/>
        </w:rPr>
        <w:t>Two binding exhibits contradict the body.</w:t>
      </w:r>
      <w:r>
        <w:t xml:space="preserve"> Exhibit A transposes RTIL’s 2020 net sales ($578M instead of the RAR-verified $587M). Exhibit B misstates the 2021 restored credit ($1.6M instead of $1.8M). Both exhibits are incorporated by reference, and nothing says whether the body or the exhibits control (Issues 4, 5, 15).</w:t>
      </w:r>
    </w:p>
    <w:p>
      <w:pPr>
        <w:pStyle w:val="ListBullet"/>
        <w:spacing w:after="40"/>
      </w:pPr>
      <w:r>
        <w:rPr>
          <w:b/>
        </w:rPr>
        <w:t>Interest of $3,740,000 is unverifiable and appears materially understated.</w:t>
      </w:r>
      <w:r>
        <w:t xml:space="preserve"> Appeals has refused a year-by-year interest schedule. Ms. Voss’s explanation that interest ran from “extended due date[s]” is legally incorrect (§6601(b)). Our estimate of statutory interest through March 1, 2025 is about $7.9 million ($8.5 million with §6621(c) hot interest), roughly double the stated figure. The draft nevertheless calls the $3,740,000 a “final determination” (Issues 6–7).</w:t>
      </w:r>
    </w:p>
    <w:p>
      <w:pPr>
        <w:pStyle w:val="ListBullet"/>
        <w:spacing w:after="40"/>
      </w:pPr>
      <w:r>
        <w:rPr>
          <w:b/>
        </w:rPr>
        <w:t>Missing protective provisions with eight-figure consequences.</w:t>
      </w:r>
      <w:r>
        <w:t xml:space="preserve"> There is no Rev. Proc. 99-32 relief for the $104.96 million of royalty RTIL never paid, no preservation of competent-authority correlative relief (Irish tax on the reallocated income is about $13.1 million), and no reflection of correlative computational items (FDII, GILTI, §280C(c)/§174). The FTC figure has no supporting computation, and its rationale conflicts with §862(a)(4) (Issues 9–12).</w:t>
      </w:r>
    </w:p>
    <w:p>
      <w:pPr>
        <w:pStyle w:val="ListBullet"/>
        <w:spacing w:after="40"/>
      </w:pPr>
      <w:r>
        <w:rPr>
          <w:b/>
        </w:rPr>
        <w:t>Finality is overbroad and the penalty release is too narrow.</w:t>
      </w:r>
      <w:r>
        <w:t xml:space="preserve"> Section III.C purports to resolve “all federal income tax issues” for 2019–2022. The penalty release conflicts with Letter 907 (“transfer pricing adjustment only”) and does not expressly cover 40% gross-valuation exposure, which applies at the settled 2020–2022 adjustment levels (Issues 8, 13).</w:t>
      </w:r>
    </w:p>
    <w:p>
      <w:pPr>
        <w:pStyle w:val="ListBullet"/>
        <w:spacing w:after="40"/>
      </w:pPr>
      <w:r>
        <w:rPr>
          <w:b/>
        </w:rPr>
        <w:t>Financial reporting.</w:t>
      </w:r>
      <w:r>
        <w:t xml:space="preserve"> On corrected figures, the booked ASC 740 reserves ($34.4 million including interest) fall short by about $4.9 million using the IRS’s interest figure, and by about $9.1 million or more on our interest estimate. The draft’s $15.99 million figure, if accepted, would wrongly suggest a reserve release of about $18.4 million (Part VI).</w:t>
      </w:r>
    </w:p>
    <w:p>
      <w:pPr>
        <w:spacing w:after="80"/>
      </w:pPr>
      <w:r>
        <w:rPr>
          <w:b w:val="0"/>
          <w:i/>
        </w:rPr>
        <w:t>Issue count by severity: Critical: 3, High: 9, Medium: 9, Low: 3 (total 24).</w:t>
      </w:r>
    </w:p>
    <w:p>
      <w:pPr>
        <w:pStyle w:val="Heading1"/>
      </w:pPr>
      <w:r>
        <w:t>II. Documents Reviewed and Approach</w:t>
      </w:r>
    </w:p>
    <w:p>
      <w:pPr>
        <w:pStyle w:val="ListBullet"/>
        <w:spacing w:after="40"/>
      </w:pPr>
      <w:r>
        <w:t xml:space="preserve"> Draft Form 906 Closing Agreement on Final Determination Covering Specific Matters, dated January 10, 2025, including Exhibits A–C (the “Draft”).</w:t>
      </w:r>
    </w:p>
    <w:p>
      <w:pPr>
        <w:pStyle w:val="ListBullet"/>
        <w:spacing w:after="40"/>
      </w:pPr>
      <w:r>
        <w:t xml:space="preserve"> IRS Letter 907 transmittal from Appeals Team Case Leader Patricia Voss (referenced in the Draft as dated January 8, 2025; the email copy is undated).</w:t>
      </w:r>
    </w:p>
    <w:p>
      <w:pPr>
        <w:pStyle w:val="ListBullet"/>
        <w:spacing w:after="40"/>
      </w:pPr>
      <w:r>
        <w:t xml:space="preserve"> Revenue Agent Report issued June 28, 2024 by Revenue Agent Michael Salgado, including Schedules 1–5 (the “RAR”).</w:t>
      </w:r>
    </w:p>
    <w:p>
      <w:pPr>
        <w:pStyle w:val="ListBullet"/>
        <w:spacing w:after="40"/>
      </w:pPr>
      <w:r>
        <w:t xml:space="preserve"> Settlement correspondence between Eleanor Marsh and Patricia Voss dated November 14, November 22, December 5 and December 18, 2024.</w:t>
      </w:r>
    </w:p>
    <w:p>
      <w:pPr>
        <w:pStyle w:val="ListBullet"/>
        <w:spacing w:after="40"/>
      </w:pPr>
      <w:r>
        <w:t xml:space="preserve"> Ridgeline ASC 740-10 Uncertain Tax Position Reserve Schedule (Summary, Transfer Pricing, R&amp;D Credit and FTC tabs).</w:t>
      </w:r>
    </w:p>
    <w:p>
      <w:pPr>
        <w:pStyle w:val="ListBullet"/>
        <w:spacing w:after="40"/>
      </w:pPr>
      <w:r>
        <w:t xml:space="preserve"> Hartwell &amp; Stein LLP Transfer Pricing Benchmarking Study — Executive Summary (original report November 15, 2018; addendum March 2022).</w:t>
      </w:r>
    </w:p>
    <w:p>
      <w:pPr>
        <w:spacing w:after="80"/>
      </w:pPr>
      <w:r>
        <w:rPr>
          <w:b w:val="0"/>
          <w:i w:val="0"/>
        </w:rPr>
        <w:t>We tied every figure in the Draft to the RAR, the settlement correspondence, Letter 907 and the reserve schedule. We recomputed each exhibit arithmetically. We reviewed each provision for consistency with the negotiated terms, §7121 and Form 906 practice, and the collateral U.S. federal, international and state tax consequences of the settlement. Interest estimates in this memo are our own approximations, using published quarterly underpayment rates and daily compounding. They are for verification only and should be confirmed against an IRS INTST computation.</w:t>
      </w:r>
    </w:p>
    <w:p>
      <w:pPr>
        <w:spacing w:after="40"/>
      </w:pPr>
      <w:r>
        <w:rPr>
          <w:b/>
          <w:i w:val="0"/>
        </w:rPr>
        <w:t>Severity scale:</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1F3A5F"/>
          </w:tcPr>
          <w:p>
            <w:r/>
            <w:r>
              <w:rPr>
                <w:b/>
                <w:color w:val="FFFFFF"/>
                <w:sz w:val="18"/>
              </w:rPr>
              <w:t>Rating</w:t>
            </w:r>
          </w:p>
        </w:tc>
        <w:tc>
          <w:tcPr>
            <w:tcW w:type="dxa" w:w="7920"/>
            <w:shd w:val="clear" w:color="auto" w:fill="1F3A5F"/>
          </w:tcPr>
          <w:p>
            <w:r/>
            <w:r>
              <w:rPr>
                <w:b/>
                <w:color w:val="FFFFFF"/>
                <w:sz w:val="18"/>
              </w:rPr>
              <w:t>Meaning</w:t>
            </w:r>
          </w:p>
        </w:tc>
      </w:tr>
      <w:tr>
        <w:tc>
          <w:tcPr>
            <w:tcW w:type="dxa" w:w="1440"/>
            <w:shd w:val="clear" w:color="auto" w:fill="C00000"/>
          </w:tcPr>
          <w:p>
            <w:r/>
            <w:r>
              <w:rPr>
                <w:b/>
                <w:color w:val="FFFFFF"/>
                <w:sz w:val="18"/>
              </w:rPr>
              <w:t>Critical</w:t>
            </w:r>
          </w:p>
        </w:tc>
        <w:tc>
          <w:tcPr>
            <w:tcW w:type="dxa" w:w="7920"/>
          </w:tcPr>
          <w:p>
            <w:r/>
            <w:r>
              <w:rPr>
                <w:sz w:val="18"/>
              </w:rPr>
              <w:t>Changes the amount Ridgeline pays or receives by a material amount, or makes the agreement internally unworkable. Must be fixed before signing.</w:t>
            </w:r>
          </w:p>
        </w:tc>
      </w:tr>
      <w:tr>
        <w:tc>
          <w:tcPr>
            <w:tcW w:type="dxa" w:w="1440"/>
            <w:shd w:val="clear" w:color="auto" w:fill="E26B0A"/>
          </w:tcPr>
          <w:p>
            <w:r/>
            <w:r>
              <w:rPr>
                <w:b/>
                <w:color w:val="FFFFFF"/>
                <w:sz w:val="18"/>
              </w:rPr>
              <w:t>High</w:t>
            </w:r>
          </w:p>
        </w:tc>
        <w:tc>
          <w:tcPr>
            <w:tcW w:type="dxa" w:w="7920"/>
          </w:tcPr>
          <w:p>
            <w:r/>
            <w:r>
              <w:rPr>
                <w:sz w:val="18"/>
              </w:rPr>
              <w:t>Material tax, finality or penalty exposure, or a missing protective provision with significant economic consequences. Should be fixed before signing.</w:t>
            </w:r>
          </w:p>
        </w:tc>
      </w:tr>
      <w:tr>
        <w:tc>
          <w:tcPr>
            <w:tcW w:type="dxa" w:w="1440"/>
            <w:shd w:val="clear" w:color="auto" w:fill="BF9000"/>
          </w:tcPr>
          <w:p>
            <w:r/>
            <w:r>
              <w:rPr>
                <w:b/>
                <w:color w:val="FFFFFF"/>
                <w:sz w:val="18"/>
              </w:rPr>
              <w:t>Medium</w:t>
            </w:r>
          </w:p>
        </w:tc>
        <w:tc>
          <w:tcPr>
            <w:tcW w:type="dxa" w:w="7920"/>
          </w:tcPr>
          <w:p>
            <w:r/>
            <w:r>
              <w:rPr>
                <w:sz w:val="18"/>
              </w:rPr>
              <w:t>Ambiguity, execution or compliance risk that should be corrected in the same turn of the draft.</w:t>
            </w:r>
          </w:p>
        </w:tc>
      </w:tr>
      <w:tr>
        <w:tc>
          <w:tcPr>
            <w:tcW w:type="dxa" w:w="1440"/>
            <w:shd w:val="clear" w:color="auto" w:fill="548235"/>
          </w:tcPr>
          <w:p>
            <w:r/>
            <w:r>
              <w:rPr>
                <w:b/>
                <w:color w:val="FFFFFF"/>
                <w:sz w:val="18"/>
              </w:rPr>
              <w:t>Low</w:t>
            </w:r>
          </w:p>
        </w:tc>
        <w:tc>
          <w:tcPr>
            <w:tcW w:type="dxa" w:w="7920"/>
          </w:tcPr>
          <w:p>
            <w:r/>
            <w:r>
              <w:rPr>
                <w:sz w:val="18"/>
              </w:rPr>
              <w:t>Accuracy or housekeeping corrections that carry limited risk.</w:t>
            </w:r>
          </w:p>
        </w:tc>
      </w:tr>
    </w:tbl>
    <w:p>
      <w:pPr>
        <w:spacing w:after="40"/>
      </w:pPr>
    </w:p>
    <w:p>
      <w:pPr>
        <w:pStyle w:val="Heading1"/>
      </w:pPr>
      <w:r>
        <w:t>III. Summary Issue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color="auto" w:fill="1F3A5F"/>
          </w:tcPr>
          <w:p>
            <w:r/>
            <w:r>
              <w:rPr>
                <w:b/>
                <w:color w:val="FFFFFF"/>
                <w:sz w:val="17"/>
              </w:rPr>
              <w:t>#</w:t>
            </w:r>
          </w:p>
        </w:tc>
        <w:tc>
          <w:tcPr>
            <w:tcW w:type="dxa" w:w="1152"/>
            <w:shd w:val="clear" w:color="auto" w:fill="1F3A5F"/>
          </w:tcPr>
          <w:p>
            <w:r/>
            <w:r>
              <w:rPr>
                <w:b/>
                <w:color w:val="FFFFFF"/>
                <w:sz w:val="17"/>
              </w:rPr>
              <w:t>Severity</w:t>
            </w:r>
          </w:p>
        </w:tc>
        <w:tc>
          <w:tcPr>
            <w:tcW w:type="dxa" w:w="2448"/>
            <w:shd w:val="clear" w:color="auto" w:fill="1F3A5F"/>
          </w:tcPr>
          <w:p>
            <w:r/>
            <w:r>
              <w:rPr>
                <w:b/>
                <w:color w:val="FFFFFF"/>
                <w:sz w:val="17"/>
              </w:rPr>
              <w:t>Provision</w:t>
            </w:r>
          </w:p>
        </w:tc>
        <w:tc>
          <w:tcPr>
            <w:tcW w:type="dxa" w:w="5256"/>
            <w:shd w:val="clear" w:color="auto" w:fill="1F3A5F"/>
          </w:tcPr>
          <w:p>
            <w:r/>
            <w:r>
              <w:rPr>
                <w:b/>
                <w:color w:val="FFFFFF"/>
                <w:sz w:val="17"/>
              </w:rPr>
              <w:t>Issue</w:t>
            </w:r>
          </w:p>
        </w:tc>
      </w:tr>
      <w:tr>
        <w:tc>
          <w:tcPr>
            <w:tcW w:type="dxa" w:w="504"/>
          </w:tcPr>
          <w:p>
            <w:r/>
            <w:r>
              <w:rPr>
                <w:sz w:val="17"/>
              </w:rPr>
              <w:t>1</w:t>
            </w:r>
          </w:p>
        </w:tc>
        <w:tc>
          <w:tcPr>
            <w:tcW w:type="dxa" w:w="1152"/>
            <w:shd w:val="clear" w:color="auto" w:fill="C00000"/>
          </w:tcPr>
          <w:p>
            <w:r/>
            <w:r>
              <w:rPr>
                <w:b/>
                <w:color w:val="FFFFFF"/>
                <w:sz w:val="17"/>
              </w:rPr>
              <w:t>Critical</w:t>
            </w:r>
          </w:p>
        </w:tc>
        <w:tc>
          <w:tcPr>
            <w:tcW w:type="dxa" w:w="2448"/>
          </w:tcPr>
          <w:p>
            <w:r/>
            <w:r>
              <w:rPr>
                <w:sz w:val="17"/>
              </w:rPr>
              <w:t>Exhibit C, Line 2; Section VIII.B; Exhibit C Computation Note (Line 2)</w:t>
            </w:r>
          </w:p>
        </w:tc>
        <w:tc>
          <w:tcPr>
            <w:tcW w:type="dxa" w:w="5256"/>
          </w:tcPr>
          <w:p>
            <w:r/>
            <w:r>
              <w:rPr>
                <w:sz w:val="17"/>
              </w:rPr>
              <w:t>Exhibit C subtracts the $7,480,000 of restored R&amp;D credits instead of adding the $11,220,000 of credits that remain disallowed</w:t>
            </w:r>
          </w:p>
        </w:tc>
      </w:tr>
      <w:tr>
        <w:tc>
          <w:tcPr>
            <w:tcW w:type="dxa" w:w="504"/>
          </w:tcPr>
          <w:p>
            <w:r/>
            <w:r>
              <w:rPr>
                <w:sz w:val="17"/>
              </w:rPr>
              <w:t>2</w:t>
            </w:r>
          </w:p>
        </w:tc>
        <w:tc>
          <w:tcPr>
            <w:tcW w:type="dxa" w:w="1152"/>
            <w:shd w:val="clear" w:color="auto" w:fill="C00000"/>
          </w:tcPr>
          <w:p>
            <w:r/>
            <w:r>
              <w:rPr>
                <w:b/>
                <w:color w:val="FFFFFF"/>
                <w:sz w:val="17"/>
              </w:rPr>
              <w:t>Critical</w:t>
            </w:r>
          </w:p>
        </w:tc>
        <w:tc>
          <w:tcPr>
            <w:tcW w:type="dxa" w:w="2448"/>
          </w:tcPr>
          <w:p>
            <w:r/>
            <w:r>
              <w:rPr>
                <w:sz w:val="17"/>
              </w:rPr>
              <w:t>Exhibit C, Line 3; Section VI.C; Computation Note (Line 3)</w:t>
            </w:r>
          </w:p>
        </w:tc>
        <w:tc>
          <w:tcPr>
            <w:tcW w:type="dxa" w:w="5256"/>
          </w:tcPr>
          <w:p>
            <w:r/>
            <w:r>
              <w:rPr>
                <w:sz w:val="17"/>
              </w:rPr>
              <w:t>Sign error: the $2,310,000 reduction in allowable foreign tax credits is subtracted rather than added</w:t>
            </w:r>
          </w:p>
        </w:tc>
      </w:tr>
      <w:tr>
        <w:tc>
          <w:tcPr>
            <w:tcW w:type="dxa" w:w="504"/>
          </w:tcPr>
          <w:p>
            <w:r/>
            <w:r>
              <w:rPr>
                <w:sz w:val="17"/>
              </w:rPr>
              <w:t>3</w:t>
            </w:r>
          </w:p>
        </w:tc>
        <w:tc>
          <w:tcPr>
            <w:tcW w:type="dxa" w:w="1152"/>
            <w:shd w:val="clear" w:color="auto" w:fill="C00000"/>
          </w:tcPr>
          <w:p>
            <w:r/>
            <w:r>
              <w:rPr>
                <w:b/>
                <w:color w:val="FFFFFF"/>
                <w:sz w:val="17"/>
              </w:rPr>
              <w:t>Critical</w:t>
            </w:r>
          </w:p>
        </w:tc>
        <w:tc>
          <w:tcPr>
            <w:tcW w:type="dxa" w:w="2448"/>
          </w:tcPr>
          <w:p>
            <w:r/>
            <w:r>
              <w:rPr>
                <w:sz w:val="17"/>
              </w:rPr>
              <w:t>Section VIII.B; Exhibit C Line 5; Exhibit C Payment Instructions</w:t>
            </w:r>
          </w:p>
        </w:tc>
        <w:tc>
          <w:tcPr>
            <w:tcW w:type="dxa" w:w="5256"/>
          </w:tcPr>
          <w:p>
            <w:r/>
            <w:r>
              <w:rPr>
                <w:sz w:val="17"/>
              </w:rPr>
              <w:t>Total settlement payment of $15,991,600 is understated by $23,320,000; the correctly computed figure on the agreed terms is $39,311,600</w:t>
            </w:r>
          </w:p>
        </w:tc>
      </w:tr>
      <w:tr>
        <w:tc>
          <w:tcPr>
            <w:tcW w:type="dxa" w:w="504"/>
          </w:tcPr>
          <w:p>
            <w:r/>
            <w:r>
              <w:rPr>
                <w:sz w:val="17"/>
              </w:rPr>
              <w:t>4</w:t>
            </w:r>
          </w:p>
        </w:tc>
        <w:tc>
          <w:tcPr>
            <w:tcW w:type="dxa" w:w="1152"/>
            <w:shd w:val="clear" w:color="auto" w:fill="E26B0A"/>
          </w:tcPr>
          <w:p>
            <w:r/>
            <w:r>
              <w:rPr>
                <w:b/>
                <w:color w:val="FFFFFF"/>
                <w:sz w:val="17"/>
              </w:rPr>
              <w:t>High</w:t>
            </w:r>
          </w:p>
        </w:tc>
        <w:tc>
          <w:tcPr>
            <w:tcW w:type="dxa" w:w="2448"/>
          </w:tcPr>
          <w:p>
            <w:r/>
            <w:r>
              <w:rPr>
                <w:sz w:val="17"/>
              </w:rPr>
              <w:t>Exhibit A (2020 row and Total row); Section IV.C</w:t>
            </w:r>
          </w:p>
        </w:tc>
        <w:tc>
          <w:tcPr>
            <w:tcW w:type="dxa" w:w="5256"/>
          </w:tcPr>
          <w:p>
            <w:r/>
            <w:r>
              <w:rPr>
                <w:sz w:val="17"/>
              </w:rPr>
              <w:t>Exhibit A transposes RTIL’s 2020 net sales ($578,000,000 instead of $587,000,000), so the exhibit conflicts with Section IV.C</w:t>
            </w:r>
          </w:p>
        </w:tc>
      </w:tr>
      <w:tr>
        <w:tc>
          <w:tcPr>
            <w:tcW w:type="dxa" w:w="504"/>
          </w:tcPr>
          <w:p>
            <w:r/>
            <w:r>
              <w:rPr>
                <w:sz w:val="17"/>
              </w:rPr>
              <w:t>5</w:t>
            </w:r>
          </w:p>
        </w:tc>
        <w:tc>
          <w:tcPr>
            <w:tcW w:type="dxa" w:w="1152"/>
            <w:shd w:val="clear" w:color="auto" w:fill="E26B0A"/>
          </w:tcPr>
          <w:p>
            <w:r/>
            <w:r>
              <w:rPr>
                <w:b/>
                <w:color w:val="FFFFFF"/>
                <w:sz w:val="17"/>
              </w:rPr>
              <w:t>High</w:t>
            </w:r>
          </w:p>
        </w:tc>
        <w:tc>
          <w:tcPr>
            <w:tcW w:type="dxa" w:w="2448"/>
          </w:tcPr>
          <w:p>
            <w:r/>
            <w:r>
              <w:rPr>
                <w:sz w:val="17"/>
              </w:rPr>
              <w:t>Exhibit B (2021 row and Total row); Section V.C</w:t>
            </w:r>
          </w:p>
        </w:tc>
        <w:tc>
          <w:tcPr>
            <w:tcW w:type="dxa" w:w="5256"/>
          </w:tcPr>
          <w:p>
            <w:r/>
            <w:r>
              <w:rPr>
                <w:sz w:val="17"/>
              </w:rPr>
              <w:t>Exhibit B misstates the 2021 restored credit as $1,600,000 (it should be $1,800,000), so its totals conflict with Section V and the agreed terms</w:t>
            </w:r>
          </w:p>
        </w:tc>
      </w:tr>
      <w:tr>
        <w:tc>
          <w:tcPr>
            <w:tcW w:type="dxa" w:w="504"/>
          </w:tcPr>
          <w:p>
            <w:r/>
            <w:r>
              <w:rPr>
                <w:sz w:val="17"/>
              </w:rPr>
              <w:t>6</w:t>
            </w:r>
          </w:p>
        </w:tc>
        <w:tc>
          <w:tcPr>
            <w:tcW w:type="dxa" w:w="1152"/>
            <w:shd w:val="clear" w:color="auto" w:fill="E26B0A"/>
          </w:tcPr>
          <w:p>
            <w:r/>
            <w:r>
              <w:rPr>
                <w:b/>
                <w:color w:val="FFFFFF"/>
                <w:sz w:val="17"/>
              </w:rPr>
              <w:t>High</w:t>
            </w:r>
          </w:p>
        </w:tc>
        <w:tc>
          <w:tcPr>
            <w:tcW w:type="dxa" w:w="2448"/>
          </w:tcPr>
          <w:p>
            <w:r/>
            <w:r>
              <w:rPr>
                <w:sz w:val="17"/>
              </w:rPr>
              <w:t>Sections VII.A–VII.C; Exhibit C Line 4 and Footnote 2</w:t>
            </w:r>
          </w:p>
        </w:tc>
        <w:tc>
          <w:tcPr>
            <w:tcW w:type="dxa" w:w="5256"/>
          </w:tcPr>
          <w:p>
            <w:r/>
            <w:r>
              <w:rPr>
                <w:sz w:val="17"/>
              </w:rPr>
              <w:t>Interest of $3,740,000 is unsupported and appears materially understated, yet the draft fixes it as a “final determination”</w:t>
            </w:r>
          </w:p>
        </w:tc>
      </w:tr>
      <w:tr>
        <w:tc>
          <w:tcPr>
            <w:tcW w:type="dxa" w:w="504"/>
          </w:tcPr>
          <w:p>
            <w:r/>
            <w:r>
              <w:rPr>
                <w:sz w:val="17"/>
              </w:rPr>
              <w:t>7</w:t>
            </w:r>
          </w:p>
        </w:tc>
        <w:tc>
          <w:tcPr>
            <w:tcW w:type="dxa" w:w="1152"/>
            <w:shd w:val="clear" w:color="auto" w:fill="BF9000"/>
          </w:tcPr>
          <w:p>
            <w:r/>
            <w:r>
              <w:rPr>
                <w:b/>
                <w:color w:val="FFFFFF"/>
                <w:sz w:val="17"/>
              </w:rPr>
              <w:t>Medium</w:t>
            </w:r>
          </w:p>
        </w:tc>
        <w:tc>
          <w:tcPr>
            <w:tcW w:type="dxa" w:w="2448"/>
          </w:tcPr>
          <w:p>
            <w:r/>
            <w:r>
              <w:rPr>
                <w:sz w:val="17"/>
              </w:rPr>
              <w:t>Section VII.A; Exhibit C Footnote 2</w:t>
            </w:r>
          </w:p>
        </w:tc>
        <w:tc>
          <w:tcPr>
            <w:tcW w:type="dxa" w:w="5256"/>
          </w:tcPr>
          <w:p>
            <w:r/>
            <w:r>
              <w:rPr>
                <w:sz w:val="17"/>
              </w:rPr>
              <w:t>Draft is silent on §6621(c) large-corporate-underpayment (“hot”) interest</w:t>
            </w:r>
          </w:p>
        </w:tc>
      </w:tr>
      <w:tr>
        <w:tc>
          <w:tcPr>
            <w:tcW w:type="dxa" w:w="504"/>
          </w:tcPr>
          <w:p>
            <w:r/>
            <w:r>
              <w:rPr>
                <w:sz w:val="17"/>
              </w:rPr>
              <w:t>8</w:t>
            </w:r>
          </w:p>
        </w:tc>
        <w:tc>
          <w:tcPr>
            <w:tcW w:type="dxa" w:w="1152"/>
            <w:shd w:val="clear" w:color="auto" w:fill="E26B0A"/>
          </w:tcPr>
          <w:p>
            <w:r/>
            <w:r>
              <w:rPr>
                <w:b/>
                <w:color w:val="FFFFFF"/>
                <w:sz w:val="17"/>
              </w:rPr>
              <w:t>High</w:t>
            </w:r>
          </w:p>
        </w:tc>
        <w:tc>
          <w:tcPr>
            <w:tcW w:type="dxa" w:w="2448"/>
          </w:tcPr>
          <w:p>
            <w:r/>
            <w:r>
              <w:rPr>
                <w:sz w:val="17"/>
              </w:rPr>
              <w:t>Section IV.E; Exhibit C Footnote 3</w:t>
            </w:r>
          </w:p>
        </w:tc>
        <w:tc>
          <w:tcPr>
            <w:tcW w:type="dxa" w:w="5256"/>
          </w:tcPr>
          <w:p>
            <w:r/>
            <w:r>
              <w:rPr>
                <w:sz w:val="17"/>
              </w:rPr>
              <w:t>Penalty abatement: the scope conflicts with Letter 907, the legal basis is mis-cited, and 40% gross-valuation exposure is not expressly released</w:t>
            </w:r>
          </w:p>
        </w:tc>
      </w:tr>
      <w:tr>
        <w:tc>
          <w:tcPr>
            <w:tcW w:type="dxa" w:w="504"/>
          </w:tcPr>
          <w:p>
            <w:r/>
            <w:r>
              <w:rPr>
                <w:sz w:val="17"/>
              </w:rPr>
              <w:t>9</w:t>
            </w:r>
          </w:p>
        </w:tc>
        <w:tc>
          <w:tcPr>
            <w:tcW w:type="dxa" w:w="1152"/>
            <w:shd w:val="clear" w:color="auto" w:fill="E26B0A"/>
          </w:tcPr>
          <w:p>
            <w:r/>
            <w:r>
              <w:rPr>
                <w:b/>
                <w:color w:val="FFFFFF"/>
                <w:sz w:val="17"/>
              </w:rPr>
              <w:t>High</w:t>
            </w:r>
          </w:p>
        </w:tc>
        <w:tc>
          <w:tcPr>
            <w:tcW w:type="dxa" w:w="2448"/>
          </w:tcPr>
          <w:p>
            <w:r/>
            <w:r>
              <w:rPr>
                <w:sz w:val="17"/>
              </w:rPr>
              <w:t>Sections VI.A–VI.D; Exhibit C Line 3</w:t>
            </w:r>
          </w:p>
        </w:tc>
        <w:tc>
          <w:tcPr>
            <w:tcW w:type="dxa" w:w="5256"/>
          </w:tcPr>
          <w:p>
            <w:r/>
            <w:r>
              <w:rPr>
                <w:sz w:val="17"/>
              </w:rPr>
              <w:t>FTC adjustment: no computation; the stated rationale conflicts with the sourcing rules; obsolete §902 reference; carryover treatment not addressed</w:t>
            </w:r>
          </w:p>
        </w:tc>
      </w:tr>
      <w:tr>
        <w:tc>
          <w:tcPr>
            <w:tcW w:type="dxa" w:w="504"/>
          </w:tcPr>
          <w:p>
            <w:r/>
            <w:r>
              <w:rPr>
                <w:sz w:val="17"/>
              </w:rPr>
              <w:t>10</w:t>
            </w:r>
          </w:p>
        </w:tc>
        <w:tc>
          <w:tcPr>
            <w:tcW w:type="dxa" w:w="1152"/>
            <w:shd w:val="clear" w:color="auto" w:fill="E26B0A"/>
          </w:tcPr>
          <w:p>
            <w:r/>
            <w:r>
              <w:rPr>
                <w:b/>
                <w:color w:val="FFFFFF"/>
                <w:sz w:val="17"/>
              </w:rPr>
              <w:t>High</w:t>
            </w:r>
          </w:p>
        </w:tc>
        <w:tc>
          <w:tcPr>
            <w:tcW w:type="dxa" w:w="2448"/>
          </w:tcPr>
          <w:p>
            <w:r/>
            <w:r>
              <w:rPr>
                <w:sz w:val="17"/>
              </w:rPr>
              <w:t>Section IV (generally); new Section required</w:t>
            </w:r>
          </w:p>
        </w:tc>
        <w:tc>
          <w:tcPr>
            <w:tcW w:type="dxa" w:w="5256"/>
          </w:tcPr>
          <w:p>
            <w:r/>
            <w:r>
              <w:rPr>
                <w:sz w:val="17"/>
              </w:rPr>
              <w:t>No secondary (conforming) adjustment or Rev. Proc. 99-32 relief for the $104.96 million of royalty RTIL never paid</w:t>
            </w:r>
          </w:p>
        </w:tc>
      </w:tr>
      <w:tr>
        <w:tc>
          <w:tcPr>
            <w:tcW w:type="dxa" w:w="504"/>
          </w:tcPr>
          <w:p>
            <w:r/>
            <w:r>
              <w:rPr>
                <w:sz w:val="17"/>
              </w:rPr>
              <w:t>11</w:t>
            </w:r>
          </w:p>
        </w:tc>
        <w:tc>
          <w:tcPr>
            <w:tcW w:type="dxa" w:w="1152"/>
            <w:shd w:val="clear" w:color="auto" w:fill="E26B0A"/>
          </w:tcPr>
          <w:p>
            <w:r/>
            <w:r>
              <w:rPr>
                <w:b/>
                <w:color w:val="FFFFFF"/>
                <w:sz w:val="17"/>
              </w:rPr>
              <w:t>High</w:t>
            </w:r>
          </w:p>
        </w:tc>
        <w:tc>
          <w:tcPr>
            <w:tcW w:type="dxa" w:w="2448"/>
          </w:tcPr>
          <w:p>
            <w:r/>
            <w:r>
              <w:rPr>
                <w:sz w:val="17"/>
              </w:rPr>
              <w:t>Section III.C; Section IX.C; new Section required</w:t>
            </w:r>
          </w:p>
        </w:tc>
        <w:tc>
          <w:tcPr>
            <w:tcW w:type="dxa" w:w="5256"/>
          </w:tcPr>
          <w:p>
            <w:r/>
            <w:r>
              <w:rPr>
                <w:sz w:val="17"/>
              </w:rPr>
              <w:t>Double taxation: no preservation of competent-authority (U.S.–Ireland Treaty, Article 25) correlative relief</w:t>
            </w:r>
          </w:p>
        </w:tc>
      </w:tr>
      <w:tr>
        <w:tc>
          <w:tcPr>
            <w:tcW w:type="dxa" w:w="504"/>
          </w:tcPr>
          <w:p>
            <w:r/>
            <w:r>
              <w:rPr>
                <w:sz w:val="17"/>
              </w:rPr>
              <w:t>12</w:t>
            </w:r>
          </w:p>
        </w:tc>
        <w:tc>
          <w:tcPr>
            <w:tcW w:type="dxa" w:w="1152"/>
            <w:shd w:val="clear" w:color="auto" w:fill="E26B0A"/>
          </w:tcPr>
          <w:p>
            <w:r/>
            <w:r>
              <w:rPr>
                <w:b/>
                <w:color w:val="FFFFFF"/>
                <w:sz w:val="17"/>
              </w:rPr>
              <w:t>High</w:t>
            </w:r>
          </w:p>
        </w:tc>
        <w:tc>
          <w:tcPr>
            <w:tcW w:type="dxa" w:w="2448"/>
          </w:tcPr>
          <w:p>
            <w:r/>
            <w:r>
              <w:rPr>
                <w:sz w:val="17"/>
              </w:rPr>
              <w:t>Section IV.D; Section V.D; Exhibit C Line 1</w:t>
            </w:r>
          </w:p>
        </w:tc>
        <w:tc>
          <w:tcPr>
            <w:tcW w:type="dxa" w:w="5256"/>
          </w:tcPr>
          <w:p>
            <w:r/>
            <w:r>
              <w:rPr>
                <w:sz w:val="17"/>
              </w:rPr>
              <w:t>Tax on the adjustments is computed at a flat 21% with no collateral or correlative adjustments (FDII, GILTI, §280C(c)/§174, credit limitations)</w:t>
            </w:r>
          </w:p>
        </w:tc>
      </w:tr>
      <w:tr>
        <w:tc>
          <w:tcPr>
            <w:tcW w:type="dxa" w:w="504"/>
          </w:tcPr>
          <w:p>
            <w:r/>
            <w:r>
              <w:rPr>
                <w:sz w:val="17"/>
              </w:rPr>
              <w:t>13</w:t>
            </w:r>
          </w:p>
        </w:tc>
        <w:tc>
          <w:tcPr>
            <w:tcW w:type="dxa" w:w="1152"/>
            <w:shd w:val="clear" w:color="auto" w:fill="E26B0A"/>
          </w:tcPr>
          <w:p>
            <w:r/>
            <w:r>
              <w:rPr>
                <w:b/>
                <w:color w:val="FFFFFF"/>
                <w:sz w:val="17"/>
              </w:rPr>
              <w:t>High</w:t>
            </w:r>
          </w:p>
        </w:tc>
        <w:tc>
          <w:tcPr>
            <w:tcW w:type="dxa" w:w="2448"/>
          </w:tcPr>
          <w:p>
            <w:r/>
            <w:r>
              <w:rPr>
                <w:sz w:val="17"/>
              </w:rPr>
              <w:t>Section III.C (Finality)</w:t>
            </w:r>
          </w:p>
        </w:tc>
        <w:tc>
          <w:tcPr>
            <w:tcW w:type="dxa" w:w="5256"/>
          </w:tcPr>
          <w:p>
            <w:r/>
            <w:r>
              <w:rPr>
                <w:sz w:val="17"/>
              </w:rPr>
              <w:t>Finality clause is overbroad: it resolves “all federal income tax issues for tax years 2019 through 2022”</w:t>
            </w:r>
          </w:p>
        </w:tc>
      </w:tr>
      <w:tr>
        <w:tc>
          <w:tcPr>
            <w:tcW w:type="dxa" w:w="504"/>
          </w:tcPr>
          <w:p>
            <w:r/>
            <w:r>
              <w:rPr>
                <w:sz w:val="17"/>
              </w:rPr>
              <w:t>14</w:t>
            </w:r>
          </w:p>
        </w:tc>
        <w:tc>
          <w:tcPr>
            <w:tcW w:type="dxa" w:w="1152"/>
            <w:shd w:val="clear" w:color="auto" w:fill="BF9000"/>
          </w:tcPr>
          <w:p>
            <w:r/>
            <w:r>
              <w:rPr>
                <w:b/>
                <w:color w:val="FFFFFF"/>
                <w:sz w:val="17"/>
              </w:rPr>
              <w:t>Medium</w:t>
            </w:r>
          </w:p>
        </w:tc>
        <w:tc>
          <w:tcPr>
            <w:tcW w:type="dxa" w:w="2448"/>
          </w:tcPr>
          <w:p>
            <w:r/>
            <w:r>
              <w:rPr>
                <w:sz w:val="17"/>
              </w:rPr>
              <w:t>Section IX.A (Taxpayer Representations)</w:t>
            </w:r>
          </w:p>
        </w:tc>
        <w:tc>
          <w:tcPr>
            <w:tcW w:type="dxa" w:w="5256"/>
          </w:tcPr>
          <w:p>
            <w:r/>
            <w:r>
              <w:rPr>
                <w:sz w:val="17"/>
              </w:rPr>
              <w:t>Taxpayer representation is broad and, given conflicting facts in the record, creates reopening risk under §7121(b)</w:t>
            </w:r>
          </w:p>
        </w:tc>
      </w:tr>
      <w:tr>
        <w:tc>
          <w:tcPr>
            <w:tcW w:type="dxa" w:w="504"/>
          </w:tcPr>
          <w:p>
            <w:r/>
            <w:r>
              <w:rPr>
                <w:sz w:val="17"/>
              </w:rPr>
              <w:t>15</w:t>
            </w:r>
          </w:p>
        </w:tc>
        <w:tc>
          <w:tcPr>
            <w:tcW w:type="dxa" w:w="1152"/>
            <w:shd w:val="clear" w:color="auto" w:fill="BF9000"/>
          </w:tcPr>
          <w:p>
            <w:r/>
            <w:r>
              <w:rPr>
                <w:b/>
                <w:color w:val="FFFFFF"/>
                <w:sz w:val="17"/>
              </w:rPr>
              <w:t>Medium</w:t>
            </w:r>
          </w:p>
        </w:tc>
        <w:tc>
          <w:tcPr>
            <w:tcW w:type="dxa" w:w="2448"/>
          </w:tcPr>
          <w:p>
            <w:r/>
            <w:r>
              <w:rPr>
                <w:sz w:val="17"/>
              </w:rPr>
              <w:t>Section X.B (Entire Agreement); Exhibits generally</w:t>
            </w:r>
          </w:p>
        </w:tc>
        <w:tc>
          <w:tcPr>
            <w:tcW w:type="dxa" w:w="5256"/>
          </w:tcPr>
          <w:p>
            <w:r/>
            <w:r>
              <w:rPr>
                <w:sz w:val="17"/>
              </w:rPr>
              <w:t>No order of precedence between the body and the Exhibits, and the entire-agreement clause extinguishes negotiated commitments not yet in the draft</w:t>
            </w:r>
          </w:p>
        </w:tc>
      </w:tr>
      <w:tr>
        <w:tc>
          <w:tcPr>
            <w:tcW w:type="dxa" w:w="504"/>
          </w:tcPr>
          <w:p>
            <w:r/>
            <w:r>
              <w:rPr>
                <w:sz w:val="17"/>
              </w:rPr>
              <w:t>16</w:t>
            </w:r>
          </w:p>
        </w:tc>
        <w:tc>
          <w:tcPr>
            <w:tcW w:type="dxa" w:w="1152"/>
            <w:shd w:val="clear" w:color="auto" w:fill="BF9000"/>
          </w:tcPr>
          <w:p>
            <w:r/>
            <w:r>
              <w:rPr>
                <w:b/>
                <w:color w:val="FFFFFF"/>
                <w:sz w:val="17"/>
              </w:rPr>
              <w:t>Medium</w:t>
            </w:r>
          </w:p>
        </w:tc>
        <w:tc>
          <w:tcPr>
            <w:tcW w:type="dxa" w:w="2448"/>
          </w:tcPr>
          <w:p>
            <w:r/>
            <w:r>
              <w:rPr>
                <w:sz w:val="17"/>
              </w:rPr>
              <w:t>Recital B; Section IV.E</w:t>
            </w:r>
          </w:p>
        </w:tc>
        <w:tc>
          <w:tcPr>
            <w:tcW w:type="dxa" w:w="5256"/>
          </w:tcPr>
          <w:p>
            <w:r/>
            <w:r>
              <w:rPr>
                <w:sz w:val="17"/>
              </w:rPr>
              <w:t>Recitals misdescribe the license and the benchmarking study</w:t>
            </w:r>
          </w:p>
        </w:tc>
      </w:tr>
      <w:tr>
        <w:tc>
          <w:tcPr>
            <w:tcW w:type="dxa" w:w="504"/>
          </w:tcPr>
          <w:p>
            <w:r/>
            <w:r>
              <w:rPr>
                <w:sz w:val="17"/>
              </w:rPr>
              <w:t>17</w:t>
            </w:r>
          </w:p>
        </w:tc>
        <w:tc>
          <w:tcPr>
            <w:tcW w:type="dxa" w:w="1152"/>
            <w:shd w:val="clear" w:color="auto" w:fill="BF9000"/>
          </w:tcPr>
          <w:p>
            <w:r/>
            <w:r>
              <w:rPr>
                <w:b/>
                <w:color w:val="FFFFFF"/>
                <w:sz w:val="17"/>
              </w:rPr>
              <w:t>Medium</w:t>
            </w:r>
          </w:p>
        </w:tc>
        <w:tc>
          <w:tcPr>
            <w:tcW w:type="dxa" w:w="2448"/>
          </w:tcPr>
          <w:p>
            <w:r/>
            <w:r>
              <w:rPr>
                <w:sz w:val="17"/>
              </w:rPr>
              <w:t>Sections III.D and IX.B (Amended Returns)</w:t>
            </w:r>
          </w:p>
        </w:tc>
        <w:tc>
          <w:tcPr>
            <w:tcW w:type="dxa" w:w="5256"/>
          </w:tcPr>
          <w:p>
            <w:r/>
            <w:r>
              <w:rPr>
                <w:sz w:val="17"/>
              </w:rPr>
              <w:t>Amended-return covenant has no deadline, duplicates the assessment mechanism, and risks double counting</w:t>
            </w:r>
          </w:p>
        </w:tc>
      </w:tr>
      <w:tr>
        <w:tc>
          <w:tcPr>
            <w:tcW w:type="dxa" w:w="504"/>
          </w:tcPr>
          <w:p>
            <w:r/>
            <w:r>
              <w:rPr>
                <w:sz w:val="17"/>
              </w:rPr>
              <w:t>18</w:t>
            </w:r>
          </w:p>
        </w:tc>
        <w:tc>
          <w:tcPr>
            <w:tcW w:type="dxa" w:w="1152"/>
            <w:shd w:val="clear" w:color="auto" w:fill="BF9000"/>
          </w:tcPr>
          <w:p>
            <w:r/>
            <w:r>
              <w:rPr>
                <w:b/>
                <w:color w:val="FFFFFF"/>
                <w:sz w:val="17"/>
              </w:rPr>
              <w:t>Medium</w:t>
            </w:r>
          </w:p>
        </w:tc>
        <w:tc>
          <w:tcPr>
            <w:tcW w:type="dxa" w:w="2448"/>
          </w:tcPr>
          <w:p>
            <w:r/>
            <w:r>
              <w:rPr>
                <w:sz w:val="17"/>
              </w:rPr>
              <w:t>Section VIII.C; Exhibit C Payment Instructions</w:t>
            </w:r>
          </w:p>
        </w:tc>
        <w:tc>
          <w:tcPr>
            <w:tcW w:type="dxa" w:w="5256"/>
          </w:tcPr>
          <w:p>
            <w:r/>
            <w:r>
              <w:rPr>
                <w:sz w:val="17"/>
              </w:rPr>
              <w:t>Payment mechanics conflict with Letter 907, and the trigger date and allocation are undefined</w:t>
            </w:r>
          </w:p>
        </w:tc>
      </w:tr>
      <w:tr>
        <w:tc>
          <w:tcPr>
            <w:tcW w:type="dxa" w:w="504"/>
          </w:tcPr>
          <w:p>
            <w:r/>
            <w:r>
              <w:rPr>
                <w:sz w:val="17"/>
              </w:rPr>
              <w:t>19</w:t>
            </w:r>
          </w:p>
        </w:tc>
        <w:tc>
          <w:tcPr>
            <w:tcW w:type="dxa" w:w="1152"/>
            <w:shd w:val="clear" w:color="auto" w:fill="BF9000"/>
          </w:tcPr>
          <w:p>
            <w:r/>
            <w:r>
              <w:rPr>
                <w:b/>
                <w:color w:val="FFFFFF"/>
                <w:sz w:val="17"/>
              </w:rPr>
              <w:t>Medium</w:t>
            </w:r>
          </w:p>
        </w:tc>
        <w:tc>
          <w:tcPr>
            <w:tcW w:type="dxa" w:w="2448"/>
          </w:tcPr>
          <w:p>
            <w:r/>
            <w:r>
              <w:rPr>
                <w:sz w:val="17"/>
              </w:rPr>
              <w:t>Section XI (Signatures); Attestation block</w:t>
            </w:r>
          </w:p>
        </w:tc>
        <w:tc>
          <w:tcPr>
            <w:tcW w:type="dxa" w:w="5256"/>
          </w:tcPr>
          <w:p>
            <w:r/>
            <w:r>
              <w:rPr>
                <w:sz w:val="17"/>
              </w:rPr>
              <w:t>Corporate signatory and IRS signatory authority need to be confirmed</w:t>
            </w:r>
          </w:p>
        </w:tc>
      </w:tr>
      <w:tr>
        <w:tc>
          <w:tcPr>
            <w:tcW w:type="dxa" w:w="504"/>
          </w:tcPr>
          <w:p>
            <w:r/>
            <w:r>
              <w:rPr>
                <w:sz w:val="17"/>
              </w:rPr>
              <w:t>20</w:t>
            </w:r>
          </w:p>
        </w:tc>
        <w:tc>
          <w:tcPr>
            <w:tcW w:type="dxa" w:w="1152"/>
            <w:shd w:val="clear" w:color="auto" w:fill="BF9000"/>
          </w:tcPr>
          <w:p>
            <w:r/>
            <w:r>
              <w:rPr>
                <w:b/>
                <w:color w:val="FFFFFF"/>
                <w:sz w:val="17"/>
              </w:rPr>
              <w:t>Medium</w:t>
            </w:r>
          </w:p>
        </w:tc>
        <w:tc>
          <w:tcPr>
            <w:tcW w:type="dxa" w:w="2448"/>
          </w:tcPr>
          <w:p>
            <w:r/>
            <w:r>
              <w:rPr>
                <w:sz w:val="17"/>
              </w:rPr>
              <w:t>Header (Date of Draft; Signing Deadline); Preamble; Letter 907</w:t>
            </w:r>
          </w:p>
        </w:tc>
        <w:tc>
          <w:tcPr>
            <w:tcW w:type="dxa" w:w="5256"/>
          </w:tcPr>
          <w:p>
            <w:r/>
            <w:r>
              <w:rPr>
                <w:sz w:val="17"/>
              </w:rPr>
              <w:t>Timeline: 30-day period runs from a Jan. 8 letter, but the draft is dated Jan. 10; the Letter 907 email was sent to a non-standard domain</w:t>
            </w:r>
          </w:p>
        </w:tc>
      </w:tr>
      <w:tr>
        <w:tc>
          <w:tcPr>
            <w:tcW w:type="dxa" w:w="504"/>
          </w:tcPr>
          <w:p>
            <w:r/>
            <w:r>
              <w:rPr>
                <w:sz w:val="17"/>
              </w:rPr>
              <w:t>21</w:t>
            </w:r>
          </w:p>
        </w:tc>
        <w:tc>
          <w:tcPr>
            <w:tcW w:type="dxa" w:w="1152"/>
            <w:shd w:val="clear" w:color="auto" w:fill="BF9000"/>
          </w:tcPr>
          <w:p>
            <w:r/>
            <w:r>
              <w:rPr>
                <w:b/>
                <w:color w:val="FFFFFF"/>
                <w:sz w:val="17"/>
              </w:rPr>
              <w:t>Medium</w:t>
            </w:r>
          </w:p>
        </w:tc>
        <w:tc>
          <w:tcPr>
            <w:tcW w:type="dxa" w:w="2448"/>
          </w:tcPr>
          <w:p>
            <w:r/>
            <w:r>
              <w:rPr>
                <w:sz w:val="17"/>
              </w:rPr>
              <w:t>Not addressed in draft</w:t>
            </w:r>
          </w:p>
        </w:tc>
        <w:tc>
          <w:tcPr>
            <w:tcW w:type="dxa" w:w="5256"/>
          </w:tcPr>
          <w:p>
            <w:r/>
            <w:r>
              <w:rPr>
                <w:sz w:val="17"/>
              </w:rPr>
              <w:t>Years after 2022 and state tax consequences are not addressed</w:t>
            </w:r>
          </w:p>
        </w:tc>
      </w:tr>
      <w:tr>
        <w:tc>
          <w:tcPr>
            <w:tcW w:type="dxa" w:w="504"/>
          </w:tcPr>
          <w:p>
            <w:r/>
            <w:r>
              <w:rPr>
                <w:sz w:val="17"/>
              </w:rPr>
              <w:t>22</w:t>
            </w:r>
          </w:p>
        </w:tc>
        <w:tc>
          <w:tcPr>
            <w:tcW w:type="dxa" w:w="1152"/>
            <w:shd w:val="clear" w:color="auto" w:fill="548235"/>
          </w:tcPr>
          <w:p>
            <w:r/>
            <w:r>
              <w:rPr>
                <w:b/>
                <w:color w:val="FFFFFF"/>
                <w:sz w:val="17"/>
              </w:rPr>
              <w:t>Low</w:t>
            </w:r>
          </w:p>
        </w:tc>
        <w:tc>
          <w:tcPr>
            <w:tcW w:type="dxa" w:w="2448"/>
          </w:tcPr>
          <w:p>
            <w:r/>
            <w:r>
              <w:rPr>
                <w:sz w:val="17"/>
              </w:rPr>
              <w:t>Caption/Preamble; Recital G; Section X.D (Notices)</w:t>
            </w:r>
          </w:p>
        </w:tc>
        <w:tc>
          <w:tcPr>
            <w:tcW w:type="dxa" w:w="5256"/>
          </w:tcPr>
          <w:p>
            <w:r/>
            <w:r>
              <w:rPr>
                <w:sz w:val="17"/>
              </w:rPr>
              <w:t>Party descriptions and notice details are inaccurate</w:t>
            </w:r>
          </w:p>
        </w:tc>
      </w:tr>
      <w:tr>
        <w:tc>
          <w:tcPr>
            <w:tcW w:type="dxa" w:w="504"/>
          </w:tcPr>
          <w:p>
            <w:r/>
            <w:r>
              <w:rPr>
                <w:sz w:val="17"/>
              </w:rPr>
              <w:t>23</w:t>
            </w:r>
          </w:p>
        </w:tc>
        <w:tc>
          <w:tcPr>
            <w:tcW w:type="dxa" w:w="1152"/>
            <w:shd w:val="clear" w:color="auto" w:fill="548235"/>
          </w:tcPr>
          <w:p>
            <w:r/>
            <w:r>
              <w:rPr>
                <w:b/>
                <w:color w:val="FFFFFF"/>
                <w:sz w:val="17"/>
              </w:rPr>
              <w:t>Low</w:t>
            </w:r>
          </w:p>
        </w:tc>
        <w:tc>
          <w:tcPr>
            <w:tcW w:type="dxa" w:w="2448"/>
          </w:tcPr>
          <w:p>
            <w:r/>
            <w:r>
              <w:rPr>
                <w:sz w:val="17"/>
              </w:rPr>
              <w:t>Recital E</w:t>
            </w:r>
          </w:p>
        </w:tc>
        <w:tc>
          <w:tcPr>
            <w:tcW w:type="dxa" w:w="5256"/>
          </w:tcPr>
          <w:p>
            <w:r/>
            <w:r>
              <w:rPr>
                <w:sz w:val="17"/>
              </w:rPr>
              <w:t>Recital E says the protest was “timely filed” on Aug. 12, 2024, but the RAR deadline was July 28, 2024</w:t>
            </w:r>
          </w:p>
        </w:tc>
      </w:tr>
      <w:tr>
        <w:tc>
          <w:tcPr>
            <w:tcW w:type="dxa" w:w="504"/>
          </w:tcPr>
          <w:p>
            <w:r/>
            <w:r>
              <w:rPr>
                <w:sz w:val="17"/>
              </w:rPr>
              <w:t>24</w:t>
            </w:r>
          </w:p>
        </w:tc>
        <w:tc>
          <w:tcPr>
            <w:tcW w:type="dxa" w:w="1152"/>
            <w:shd w:val="clear" w:color="auto" w:fill="548235"/>
          </w:tcPr>
          <w:p>
            <w:r/>
            <w:r>
              <w:rPr>
                <w:b/>
                <w:color w:val="FFFFFF"/>
                <w:sz w:val="17"/>
              </w:rPr>
              <w:t>Low</w:t>
            </w:r>
          </w:p>
        </w:tc>
        <w:tc>
          <w:tcPr>
            <w:tcW w:type="dxa" w:w="2448"/>
          </w:tcPr>
          <w:p>
            <w:r/>
            <w:r>
              <w:rPr>
                <w:sz w:val="17"/>
              </w:rPr>
              <w:t>Sections X.A, X.C, X.F (Governing Law, Counterparts, Severability); Form structure</w:t>
            </w:r>
          </w:p>
        </w:tc>
        <w:tc>
          <w:tcPr>
            <w:tcW w:type="dxa" w:w="5256"/>
          </w:tcPr>
          <w:p>
            <w:r/>
            <w:r>
              <w:rPr>
                <w:sz w:val="17"/>
              </w:rPr>
              <w:t>Commercial boilerplate is not tailored to a §7121 agreement</w:t>
            </w:r>
          </w:p>
        </w:tc>
      </w:tr>
    </w:tbl>
    <w:p>
      <w:pPr>
        <w:spacing w:after="40"/>
      </w:pPr>
    </w:p>
    <w:p>
      <w:pPr>
        <w:pStyle w:val="Heading1"/>
      </w:pPr>
      <w:r>
        <w:t>IV. Detailed Issue Analysis and Recommended Fixes</w:t>
      </w:r>
    </w:p>
    <w:p>
      <w:pPr>
        <w:pStyle w:val="Heading2"/>
      </w:pPr>
      <w:r>
        <w:t>A. Computational Errors in the Settlement Payment</w:t>
      </w:r>
    </w:p>
    <w:p>
      <w:pPr>
        <w:pStyle w:val="Heading3"/>
      </w:pPr>
      <w:r>
        <w:t>Issue 1: Exhibit C subtracts the $7,480,000 of restored R&amp;D credits instead of adding the $11,220,000 of credits that remain disallowed</w:t>
      </w:r>
    </w:p>
    <w:tbl>
      <w:tblPr>
        <w:tblStyle w:val="TableGrid"/>
        <w:tblW w:type="auto" w:w="0"/>
        <w:tblLook w:firstColumn="1" w:firstRow="1" w:lastColumn="0" w:lastRow="0" w:noHBand="0" w:noVBand="1" w:val="04A0"/>
      </w:tblPr>
      <w:tblGrid>
        <w:gridCol w:w="4680"/>
        <w:gridCol w:w="4680"/>
      </w:tblGrid>
      <w:tr>
        <w:tc>
          <w:tcPr>
            <w:tcW w:type="dxa" w:w="2016"/>
            <w:shd w:val="clear" w:color="auto" w:fill="C00000"/>
          </w:tcPr>
          <w:p>
            <w:r/>
            <w:r>
              <w:rPr>
                <w:b/>
                <w:color w:val="FFFFFF"/>
                <w:sz w:val="18"/>
              </w:rPr>
              <w:t>Severity: Critical</w:t>
            </w:r>
          </w:p>
        </w:tc>
        <w:tc>
          <w:tcPr>
            <w:tcW w:type="dxa" w:w="7344"/>
          </w:tcPr>
          <w:p>
            <w:r/>
            <w:r>
              <w:rPr>
                <w:b/>
                <w:sz w:val="18"/>
              </w:rPr>
              <w:t>Provision: Exhibit C, Line 2; Section VIII.B; Exhibit C Computation Note (Line 2)</w:t>
            </w:r>
          </w:p>
        </w:tc>
      </w:tr>
    </w:tbl>
    <w:p>
      <w:pPr>
        <w:spacing w:after="0"/>
      </w:pPr>
    </w:p>
    <w:p>
      <w:pPr>
        <w:spacing w:after="80"/>
      </w:pPr>
      <w:r>
        <w:rPr>
          <w:b/>
        </w:rPr>
        <w:t xml:space="preserve">Issue. </w:t>
      </w:r>
      <w:r>
        <w:t>Exhibit C starts from the as-filed returns (Line 1 is the additional tax on the §482 adjustment against the as-filed 12% position) but then deducts the $7,480,000 of credits restored in Appeals. Restored credits are not a reduction from the as-filed liability; they merely reduce the amount of the IRS’s disallowance. Measured against the as-filed returns, the R&amp;D component of the deficiency is the $11,220,000 of credits that remain disallowed, and it increases the amount due. The draft is internally inconsistent: Section V.D states that the net disallowed credits “increase the Taxpayer’s federal income tax liability for the Covered Tax Years by an aggregate amount of $11,220,000,” while Exhibit C treats the R&amp;D issue as a $7,480,000 reduction.</w:t>
      </w:r>
    </w:p>
    <w:p>
      <w:pPr>
        <w:spacing w:after="80"/>
      </w:pPr>
      <w:r>
        <w:rPr>
          <w:b/>
        </w:rPr>
        <w:t xml:space="preserve">Source support. </w:t>
      </w:r>
      <w:r>
        <w:t>Draft §V.D ($11,220,000 increases liability); Exhibit C Line 2 ($7,480,000 subtracted); RAR §VII (disallowed credits are added to the proposed deficiency: $41,328,000 + $18,700,000 + $8,265,600 = $68,293,600); Reserve schedule, R&amp;D Credit UTP tab (net expected disallowance $11,220,000; reserve booked $9,400,000).</w:t>
      </w:r>
    </w:p>
    <w:p>
      <w:pPr>
        <w:spacing w:after="80"/>
      </w:pPr>
      <w:r>
        <w:rPr>
          <w:b/>
        </w:rPr>
        <w:t xml:space="preserve">Risk to Ridgeline. </w:t>
      </w:r>
      <w:r>
        <w:t>Understates the amount due by $18,700,000 ($7,480,000 wrongly subtracted plus $11,220,000 omitted). A Form 906 executed on this basis would contain a payment figure contradicted by its own Section V and by Exhibit B, inviting a later IRS assessment of the difference, a dispute over which provision controls, and an inaccurate ASC 740 settlement entry.</w:t>
      </w:r>
    </w:p>
    <w:p>
      <w:pPr>
        <w:spacing w:after="80"/>
      </w:pPr>
      <w:r>
        <w:rPr>
          <w:b/>
        </w:rPr>
        <w:t xml:space="preserve">Recommended fix. </w:t>
      </w:r>
      <w:r>
        <w:t>Restate Exhibit C Line 2 as “Plus: R&amp;D credits remaining disallowed (net of 40% concession), Section V.D — $11,220,000,” with a year-by-year column ($2,520,000 / $2,880,000 / $2,700,000 / $3,120,000). Conform Section VIII.B and the Computation Notes.</w:t>
      </w:r>
    </w:p>
    <w:p>
      <w:pPr>
        <w:pStyle w:val="Heading3"/>
      </w:pPr>
      <w:r>
        <w:t>Issue 2: Sign error: the $2,310,000 reduction in allowable foreign tax credits is subtracted rather than added</w:t>
      </w:r>
    </w:p>
    <w:tbl>
      <w:tblPr>
        <w:tblStyle w:val="TableGrid"/>
        <w:tblW w:type="auto" w:w="0"/>
        <w:tblLook w:firstColumn="1" w:firstRow="1" w:lastColumn="0" w:lastRow="0" w:noHBand="0" w:noVBand="1" w:val="04A0"/>
      </w:tblPr>
      <w:tblGrid>
        <w:gridCol w:w="4680"/>
        <w:gridCol w:w="4680"/>
      </w:tblGrid>
      <w:tr>
        <w:tc>
          <w:tcPr>
            <w:tcW w:type="dxa" w:w="2016"/>
            <w:shd w:val="clear" w:color="auto" w:fill="C00000"/>
          </w:tcPr>
          <w:p>
            <w:r/>
            <w:r>
              <w:rPr>
                <w:b/>
                <w:color w:val="FFFFFF"/>
                <w:sz w:val="18"/>
              </w:rPr>
              <w:t>Severity: Critical</w:t>
            </w:r>
          </w:p>
        </w:tc>
        <w:tc>
          <w:tcPr>
            <w:tcW w:type="dxa" w:w="7344"/>
          </w:tcPr>
          <w:p>
            <w:r/>
            <w:r>
              <w:rPr>
                <w:b/>
                <w:sz w:val="18"/>
              </w:rPr>
              <w:t>Provision: Exhibit C, Line 3; Section VI.C; Computation Note (Line 3)</w:t>
            </w:r>
          </w:p>
        </w:tc>
      </w:tr>
    </w:tbl>
    <w:p>
      <w:pPr>
        <w:spacing w:after="0"/>
      </w:pPr>
    </w:p>
    <w:p>
      <w:pPr>
        <w:spacing w:after="80"/>
      </w:pPr>
      <w:r>
        <w:rPr>
          <w:b/>
        </w:rPr>
        <w:t xml:space="preserve">Issue. </w:t>
      </w:r>
      <w:r>
        <w:t>A reduction in allowable foreign tax credits increases U.S. tax. Section VI.C correctly describes the $2,310,000 as the amount by which previously claimed credits exceed the revised §904 limitation, yet Exhibit C labels it “Less:” and deducts it from the amount due.</w:t>
      </w:r>
    </w:p>
    <w:p>
      <w:pPr>
        <w:spacing w:after="80"/>
      </w:pPr>
      <w:r>
        <w:rPr>
          <w:b/>
        </w:rPr>
        <w:t xml:space="preserve">Source support. </w:t>
      </w:r>
      <w:r>
        <w:t>Draft §VI.C; Exhibit C Line 3; RAR §IV.B and §VII (“The FTC limitation impact will increase the deficiency above this figure”); Reserve schedule, FTC UTP tab (16% scenario: FTC reduction $2,310,000, reserve shortfall $610,000); Voss email of Nov. 22, 2024 (FTC adjustment is “the reduction in allowable foreign tax credits”).</w:t>
      </w:r>
    </w:p>
    <w:p>
      <w:pPr>
        <w:spacing w:after="80"/>
      </w:pPr>
      <w:r>
        <w:rPr>
          <w:b/>
        </w:rPr>
        <w:t xml:space="preserve">Risk to Ridgeline. </w:t>
      </w:r>
      <w:r>
        <w:t>Understates the amount due by $4,620,000 (twice the adjustment).</w:t>
      </w:r>
    </w:p>
    <w:p>
      <w:pPr>
        <w:spacing w:after="80"/>
      </w:pPr>
      <w:r>
        <w:rPr>
          <w:b/>
        </w:rPr>
        <w:t xml:space="preserve">Recommended fix. </w:t>
      </w:r>
      <w:r>
        <w:t>Restate Exhibit C Line 3 as “Plus: Reduction in allowable foreign tax credits (§904), Section VI.C — $2,310,000,” with a year-by-year breakdown supplied by Revenue Agent Salgado (see Issue 9).</w:t>
      </w:r>
    </w:p>
    <w:p>
      <w:pPr>
        <w:pStyle w:val="Heading3"/>
      </w:pPr>
      <w:r>
        <w:t>Issue 3: Total settlement payment of $15,991,600 is understated by $23,320,000; the correctly computed figure on the agreed terms is $39,311,600</w:t>
      </w:r>
    </w:p>
    <w:tbl>
      <w:tblPr>
        <w:tblStyle w:val="TableGrid"/>
        <w:tblW w:type="auto" w:w="0"/>
        <w:tblLook w:firstColumn="1" w:firstRow="1" w:lastColumn="0" w:lastRow="0" w:noHBand="0" w:noVBand="1" w:val="04A0"/>
      </w:tblPr>
      <w:tblGrid>
        <w:gridCol w:w="4680"/>
        <w:gridCol w:w="4680"/>
      </w:tblGrid>
      <w:tr>
        <w:tc>
          <w:tcPr>
            <w:tcW w:type="dxa" w:w="2016"/>
            <w:shd w:val="clear" w:color="auto" w:fill="C00000"/>
          </w:tcPr>
          <w:p>
            <w:r/>
            <w:r>
              <w:rPr>
                <w:b/>
                <w:color w:val="FFFFFF"/>
                <w:sz w:val="18"/>
              </w:rPr>
              <w:t>Severity: Critical</w:t>
            </w:r>
          </w:p>
        </w:tc>
        <w:tc>
          <w:tcPr>
            <w:tcW w:type="dxa" w:w="7344"/>
          </w:tcPr>
          <w:p>
            <w:r/>
            <w:r>
              <w:rPr>
                <w:b/>
                <w:sz w:val="18"/>
              </w:rPr>
              <w:t>Provision: Section VIII.B; Exhibit C Line 5; Exhibit C Payment Instructions</w:t>
            </w:r>
          </w:p>
        </w:tc>
      </w:tr>
    </w:tbl>
    <w:p>
      <w:pPr>
        <w:spacing w:after="0"/>
      </w:pPr>
    </w:p>
    <w:p>
      <w:pPr>
        <w:spacing w:after="80"/>
      </w:pPr>
      <w:r>
        <w:rPr>
          <w:b/>
        </w:rPr>
        <w:t xml:space="preserve">Issue. </w:t>
      </w:r>
      <w:r>
        <w:t>Correcting Issues 1 and 2 (and using the IRS’s interest figure for now) gives a total of $22,041,600 + $11,220,000 + $2,310,000 + $3,740,000 = $39,311,600, not $15,991,600. The $15,991,600 figure appears three times (Section VIII.B, Exhibit C Line 5, and the Payment Instructions) and is the only payment amount in the agreement. Letter 907 itself does not state a total.</w:t>
      </w:r>
    </w:p>
    <w:p>
      <w:pPr>
        <w:spacing w:after="80"/>
      </w:pPr>
      <w:r>
        <w:rPr>
          <w:b/>
        </w:rPr>
        <w:t xml:space="preserve">Source support. </w:t>
      </w:r>
      <w:r>
        <w:t>Draft §§IV.D, V.D, VI.C, VII.B; Exhibit C; RAR §VII; Reserve schedule, Summary tab (total tax reserves $30,900,000 plus interest reserve $3,500,000 = $34,400,000).</w:t>
      </w:r>
    </w:p>
    <w:p>
      <w:pPr>
        <w:spacing w:after="80"/>
      </w:pPr>
      <w:r>
        <w:rPr>
          <w:b/>
        </w:rPr>
        <w:t xml:space="preserve">Risk to Ridgeline. </w:t>
      </w:r>
      <w:r>
        <w:t>Highest-impact error in the draft. Ridgeline cannot sign a closing agreement stating a payment figure that it knows is wrong. IX.A (accuracy representation) and §7121(b) (reopening for misrepresentation of a material fact) make knowingly signing an incorrect figure dangerous. The draft figure would also suggest an ASC 740 reserve release of about $18.4 million against a booked $34.4 million when the true position is a shortfall (see Part VI). Ridgeline is a NASDAQ registrant with a Q4 2024 close in progress.</w:t>
      </w:r>
    </w:p>
    <w:p>
      <w:pPr>
        <w:spacing w:after="80"/>
      </w:pPr>
      <w:r>
        <w:rPr>
          <w:b/>
        </w:rPr>
        <w:t xml:space="preserve">Recommended fix. </w:t>
      </w:r>
      <w:r>
        <w:t>Replace with $39,311,600, subject to the interest correction in Issue 6, and present Exhibit C by year and by component (tax, credits, FTC, interest). Add a reconciliation line to the RAR proposed deficiency. Better still, follow the usual Form 906 practice: state the agreed adjustments and the deficiency for each year, and say that interest will be assessed “as provided by law” (see Issue 6).</w:t>
      </w:r>
    </w:p>
    <w:p>
      <w:pPr>
        <w:pStyle w:val="Heading3"/>
      </w:pPr>
      <w:r>
        <w:t>Issue 4: Exhibit A transposes RTIL’s 2020 net sales ($578,000,000 instead of $587,000,000), so the exhibit conflicts with Section IV.C</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Exhibit A (2020 row and Total row); Section IV.C</w:t>
            </w:r>
          </w:p>
        </w:tc>
      </w:tr>
    </w:tbl>
    <w:p>
      <w:pPr>
        <w:spacing w:after="0"/>
      </w:pPr>
    </w:p>
    <w:p>
      <w:pPr>
        <w:spacing w:after="80"/>
      </w:pPr>
      <w:r>
        <w:rPr>
          <w:b/>
        </w:rPr>
        <w:t xml:space="preserve">Issue. </w:t>
      </w:r>
      <w:r>
        <w:t>Exhibit A shows 2020 net sales of $578,000,000 and incremental royalty income of $23,120,000, with totals of $2,615,000,000 in net sales and $104,600,000 in incremental income. Section IV.C, Section IV.D, Section VI.A, Letter 907 and the settlement correspondence all use $23,480,000 for 2020 and $104,960,000 in total. Those figures are correct: the RAR verified 2020 net sales of $587,000,000 against RTIL’s audited statutory accounts, intercompany invoices, the Form 10-K and the Hartwell &amp; Stein documentation. The Hartwell &amp; Stein study also reports $587.0 million and a 2020 royalty paid of $70.44 million.</w:t>
      </w:r>
    </w:p>
    <w:p>
      <w:pPr>
        <w:spacing w:after="80"/>
      </w:pPr>
      <w:r>
        <w:rPr>
          <w:b/>
        </w:rPr>
        <w:t xml:space="preserve">Source support. </w:t>
      </w:r>
      <w:r>
        <w:t>RAR Table 1, Table 2, Schedule 1 and §II.A (“the Agent confirms that RTIL’s net sales for fiscal year 2020 were $587,000,000”); TP Benchmarking Study §2 table; Reserve schedule, Transfer Pricing UTP tab (B3 = $587.0M; G3 = $23,480.0K). Exhibit A downstream errors: 16% royalty $92,480,000 (should be $93,920,000); 12% royalty $69,360,000 (should be $70,440,000, the amount actually reported); totals $418,400,000 / $313,800,000 / $104,600,000 (should be $419,840,000 / $314,880,000 / $104,960,000).</w:t>
      </w:r>
    </w:p>
    <w:p>
      <w:pPr>
        <w:spacing w:after="80"/>
      </w:pPr>
      <w:r>
        <w:rPr>
          <w:b/>
        </w:rPr>
        <w:t xml:space="preserve">Risk to Ridgeline. </w:t>
      </w:r>
      <w:r>
        <w:t>Exhibit A is “incorporated by reference” and the agreement has no order-of-precedence clause. That leaves a $360,000 income ambiguity ($75,600 of tax plus interest) on a final, non-reopenable determination, and Exhibit A misstates the royalty Ridgeline actually reported for 2020. The exhibit footnote also cites RTIL’s Irish statements converted from euros. That conflicts with the RAR, which says the royalty is denominated in U.S. dollars, and may explain the transposition.</w:t>
      </w:r>
    </w:p>
    <w:p>
      <w:pPr>
        <w:spacing w:after="80"/>
      </w:pPr>
      <w:r>
        <w:rPr>
          <w:b/>
        </w:rPr>
        <w:t xml:space="preserve">Recommended fix. </w:t>
      </w:r>
      <w:r>
        <w:t>Correct the 2020 row to $587,000,000 / $93,920,000 / $70,440,000 / 4% / $23,480,000 and the totals to $2,624,000,000 / $419,840,000 / $314,880,000 / $104,960,000. Revise the footnote to cite RAR Schedule 1 (USD figures verified to audited statements and Form 10-K). Add an order-of-precedence clause (see Issue 15).</w:t>
      </w:r>
    </w:p>
    <w:p>
      <w:pPr>
        <w:pStyle w:val="Heading3"/>
      </w:pPr>
      <w:r>
        <w:t>Issue 5: Exhibit B misstates the 2021 restored credit as $1,600,000 (it should be $1,800,000), so its totals conflict with Section V and the agreed terms</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Exhibit B (2021 row and Total row); Section V.C</w:t>
            </w:r>
          </w:p>
        </w:tc>
      </w:tr>
    </w:tbl>
    <w:p>
      <w:pPr>
        <w:spacing w:after="0"/>
      </w:pPr>
    </w:p>
    <w:p>
      <w:pPr>
        <w:spacing w:after="80"/>
      </w:pPr>
      <w:r>
        <w:rPr>
          <w:b/>
        </w:rPr>
        <w:t xml:space="preserve">Issue. </w:t>
      </w:r>
      <w:r>
        <w:t>40% × $4,500,000 = $1,800,000. Exhibit B shows $1,600,000 restored and $2,900,000 net disallowed for 2021, with totals of $7,280,000 restored and $11,420,000 net disallowed. Section V.C, Section V.D, Letter 907, the Nov. 14 and Nov. 22, 2024 emails, and the reserve schedule all use $1,800,000 / $7,480,000 / $11,220,000.</w:t>
      </w:r>
    </w:p>
    <w:p>
      <w:pPr>
        <w:spacing w:after="80"/>
      </w:pPr>
      <w:r>
        <w:rPr>
          <w:b/>
        </w:rPr>
        <w:t xml:space="preserve">Source support. </w:t>
      </w:r>
      <w:r>
        <w:t>Draft §V.C(iii); Exhibit B; Marsh email of Nov. 14, 2024 and Voss email of Nov. 22, 2024 ($1.80M for 2021; $7.48M total); Letter 907 item 2; RAR Table 3 (2021 disallowed $4,500,000); Reserve schedule, R&amp;D Credit UTP tab (G4 = $1,800.0K; H4 = $2,700.0K).</w:t>
      </w:r>
    </w:p>
    <w:p>
      <w:pPr>
        <w:spacing w:after="80"/>
      </w:pPr>
      <w:r>
        <w:rPr>
          <w:b/>
        </w:rPr>
        <w:t xml:space="preserve">Risk to Ridgeline. </w:t>
      </w:r>
      <w:r>
        <w:t>$200,000 of credit for 2021 is left ambiguous in a binding exhibit. It affects the 2021 deficiency, interest, and the 1120-X Ridgeline must file for 2021.</w:t>
      </w:r>
    </w:p>
    <w:p>
      <w:pPr>
        <w:spacing w:after="80"/>
      </w:pPr>
      <w:r>
        <w:rPr>
          <w:b/>
        </w:rPr>
        <w:t xml:space="preserve">Recommended fix. </w:t>
      </w:r>
      <w:r>
        <w:t>Correct the 2021 row to $1,800,000 restored and $2,700,000 net disallowed, and the totals to $7,480,000 and $11,220,000. Add the expenditure-category detail that Appeals promised in its Nov. 22 email (“by year and expenditure category”), which is missing from Exhibit B.</w:t>
      </w:r>
    </w:p>
    <w:p>
      <w:pPr>
        <w:pStyle w:val="Heading2"/>
      </w:pPr>
      <w:r>
        <w:t>B. Interest</w:t>
      </w:r>
    </w:p>
    <w:p>
      <w:pPr>
        <w:pStyle w:val="Heading3"/>
      </w:pPr>
      <w:r>
        <w:t>Issue 6: Interest of $3,740,000 is unsupported and appears materially understated, yet the draft fixes it as a “final determination”</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Sections VII.A–VII.C; Exhibit C Line 4 and Footnote 2</w:t>
            </w:r>
          </w:p>
        </w:tc>
      </w:tr>
    </w:tbl>
    <w:p>
      <w:pPr>
        <w:spacing w:after="0"/>
      </w:pPr>
    </w:p>
    <w:p>
      <w:pPr>
        <w:spacing w:after="80"/>
      </w:pPr>
      <w:r>
        <w:rPr>
          <w:b/>
        </w:rPr>
        <w:t xml:space="preserve">Issue. </w:t>
      </w:r>
      <w:r>
        <w:t>(a) Appeals has twice declined to give a year-by-year computation (Nov. 22 and Dec. 18, 2024 emails), even though Ridgeline asked for one in writing on Nov. 14 and Dec. 5. (b) Our independent estimate is shown in Part V. It applies the published quarterly §6621(a)(2) underpayment rates, daily compounding under §6622, the per-year deficiencies implied by the agreed terms, the original April 15 due dates, and the Mar. 1, 2025 assumed payment date. It comes to about $7.9 million, and about $8.5 million if §6621(c) large-corporate-underpayment interest applies (Issue 7). That is roughly double the stated $3,740,000. Even the netted base used in the erroneous Exhibit C (about $12.25 million of tax) would produce only about $2.6 million, so the $3.74 million figure does not reconcile to any visible base. (c) Ms. Voss’s Dec. 18 email says interest ran from the original due date “or extended due date where applicable.” That is legally wrong: §6601(b)(1) runs interest from the last date prescribed for payment, determined without regard to extensions, and the RAR (§VI) says so expressly. Using the Oct. 15 extended dates would by itself understate interest by about $1 million. (d) Interest is computed only through an “assumed” Mar. 1, 2025, but payment is due within 30 days after an execution date that cannot occur before IRS countersignature. Interest will keep accruing at 7% after that date. (e) Section VII.C has the Taxpayer acknowledge the $3,740,000 as a “final determination,” which is unusual for a Form 906. Statutory interest is normally assessed and computed by the IRS under §§6601 and 6621 at assessment.</w:t>
      </w:r>
    </w:p>
    <w:p>
      <w:pPr>
        <w:spacing w:after="80"/>
      </w:pPr>
      <w:r>
        <w:rPr>
          <w:b/>
        </w:rPr>
        <w:t xml:space="preserve">Source support. </w:t>
      </w:r>
      <w:r>
        <w:t>Voss emails of Nov. 22 and Dec. 18, 2024; Marsh emails of Nov. 14 and Dec. 5, 2024; Letter 907 (“Total interest across all tax years is $3,740,000”); RAR §VI (interest runs from the original due dates of Apr. 15, 2020/2021/2022/2023, and the extension does not extend the payment date); Reserve schedule (interest reserve $3,500,000 on Summary tab, versus $1,900,000 in Transfer Pricing UTP tab column M).</w:t>
      </w:r>
    </w:p>
    <w:p>
      <w:pPr>
        <w:spacing w:after="80"/>
      </w:pPr>
      <w:r>
        <w:rPr>
          <w:b/>
        </w:rPr>
        <w:t xml:space="preserve">Risk to Ridgeline. </w:t>
      </w:r>
      <w:r>
        <w:t>If the stated figure is too low, the IRS campus will assess statutory interest regardless, and Ridgeline will have represented and “acknowledged” a figure it could not verify. The ASC 740 interest accrual and per-year tie-out that Pinnacle requires cannot be done. If the figure is too high, Ridgeline will have bound itself to an overpayment.</w:t>
      </w:r>
    </w:p>
    <w:p>
      <w:pPr>
        <w:spacing w:after="80"/>
      </w:pPr>
      <w:r>
        <w:rPr>
          <w:b/>
        </w:rPr>
        <w:t xml:space="preserve">Recommended fix. </w:t>
      </w:r>
      <w:r>
        <w:t>Preferred: delete the fixed interest amount from Sections VII.B–C and Exhibit C. Replace it with: “Interest on the deficiencies determined herein shall be assessed and collected as provided by law (IRC §§6601, 6621 and 6622), computed from the last date prescribed for payment of the tax for each Covered Tax Year, without regard to any extension of time for filing.” In the alternative, require an Exhibit D (IRS Form 4549/INTST-style computation) by year, by rate period and by component, with a per-diem for payment after Mar. 1, 2025, before execution. Consider a §6603 deposit now to stop interest accruing (see Issue 18).</w:t>
      </w:r>
    </w:p>
    <w:p>
      <w:pPr>
        <w:pStyle w:val="Heading3"/>
      </w:pPr>
      <w:r>
        <w:t>Issue 7: Draft is silent on §6621(c) large-corporate-underpayment (“hot”) interest</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 VII.A; Exhibit C Footnote 2</w:t>
            </w:r>
          </w:p>
        </w:tc>
      </w:tr>
    </w:tbl>
    <w:p>
      <w:pPr>
        <w:spacing w:after="0"/>
      </w:pPr>
    </w:p>
    <w:p>
      <w:pPr>
        <w:spacing w:after="80"/>
      </w:pPr>
      <w:r>
        <w:rPr>
          <w:b/>
        </w:rPr>
        <w:t xml:space="preserve">Issue. </w:t>
      </w:r>
      <w:r>
        <w:t>Each year’s underpayment exceeds $100,000, so the C-corporation rate of the short-term rate plus 5 points applies from the 30th day after the first letter of proposed deficiency that allows Appeals review. On the record that letter is the 30-day letter accompanying the June 28, 2024 RAR, which puts the applicable date at about July 28, 2024. The draft cites only §6621(a)(2). The stated $3,740,000 therefore either omits hot interest or does not show that it is included. On our model the hot interest component is about $0.5 million through Mar. 1, 2025, and it accrues at about 9% thereafter.</w:t>
      </w:r>
    </w:p>
    <w:p>
      <w:pPr>
        <w:spacing w:after="80"/>
      </w:pPr>
      <w:r>
        <w:rPr>
          <w:b/>
        </w:rPr>
        <w:t xml:space="preserve">Source support. </w:t>
      </w:r>
      <w:r>
        <w:t>RAR §VIII (30-day letter; protest deadline July 28, 2024); Draft §VII.A; Voss emails (rates “ranged from 3% … to 8%”, i.e., regular rates only).</w:t>
      </w:r>
    </w:p>
    <w:p>
      <w:pPr>
        <w:spacing w:after="80"/>
      </w:pPr>
      <w:r>
        <w:rPr>
          <w:b/>
        </w:rPr>
        <w:t xml:space="preserve">Risk to Ridgeline. </w:t>
      </w:r>
      <w:r>
        <w:t>Further understatement of the interest cost, and a surprise assessment after execution.</w:t>
      </w:r>
    </w:p>
    <w:p>
      <w:pPr>
        <w:spacing w:after="80"/>
      </w:pPr>
      <w:r>
        <w:rPr>
          <w:b/>
        </w:rPr>
        <w:t xml:space="preserve">Recommended fix. </w:t>
      </w:r>
      <w:r>
        <w:t>Have Appeals confirm in writing whether §6621(c) applies and from what date, and either reflect it in Exhibit D or rely on the “as provided by law” formulation. Use a §6603 deposit to stop accrual at the elevated rate.</w:t>
      </w:r>
    </w:p>
    <w:p>
      <w:pPr>
        <w:pStyle w:val="Heading2"/>
      </w:pPr>
      <w:r>
        <w:t>C. Penalties</w:t>
      </w:r>
    </w:p>
    <w:p>
      <w:pPr>
        <w:pStyle w:val="Heading3"/>
      </w:pPr>
      <w:r>
        <w:t>Issue 8: Penalty abatement: the scope conflicts with Letter 907, the legal basis is mis-cited, and 40% gross-valuation exposure is not expressly released</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 IV.E; Exhibit C Footnote 3</w:t>
            </w:r>
          </w:p>
        </w:tc>
      </w:tr>
    </w:tbl>
    <w:p>
      <w:pPr>
        <w:spacing w:after="0"/>
      </w:pPr>
    </w:p>
    <w:p>
      <w:pPr>
        <w:spacing w:after="80"/>
      </w:pPr>
      <w:r>
        <w:rPr>
          <w:b/>
        </w:rPr>
        <w:t xml:space="preserve">Issue. </w:t>
      </w:r>
      <w:r>
        <w:t>(a) Section IV.E abates “All accuracy-related penalties under IRC §6662,” but Letter 907 says the penalties are abated “with respect to the transfer pricing adjustment only.” Ms. Marsh’s Nov. 14 email recorded “full abatement,” and Ms. Voss’s Nov. 22 reply confirmed abatement only “in light of” the transfer pricing documentation. The two IRS documents should match before execution. (b) The abatement sits inside Section IV (transfer pricing), so the word “All” can be read as limited to that section. (c) The reasonable-cause basis cites only §6664(c)(1). For the §6662(e)(1)(B)(ii) net-adjustment penalty, §6662(e)(3)(D) and Treas. Reg. §1.6662-6(d) exclude the general §6664(c) defense unless the §6662(e)(3)(B) contemporaneous-documentation requirements are met. The release should rest on §6662(e)(3)(B) and Reg. §1.6662-6(d). (d) At the settled numbers, the net §482 adjustments for 2020 ($23.48M), 2021 ($29.36M) and 2022 ($35.64M) exceed the $20 million threshold in §6662(h)(2)(A)(iii). That exposes those years to the 40% gross-valuation rate, not just the 20% computed in the RAR (the RAR also misstates the 200%/400% thresholds). Unabated exposure at the settled figures is about $8.1 million (20% × $3,460,800 for 2019, plus 40% × $18,580,800 for 2020–2022). (e) The RAR did not assert penalties on the §41 issue, but nothing in the draft prevents later assertion of a §6662 or §6676 penalty on the R&amp;D or FTC items.</w:t>
      </w:r>
    </w:p>
    <w:p>
      <w:pPr>
        <w:spacing w:after="80"/>
      </w:pPr>
      <w:r>
        <w:rPr>
          <w:b/>
        </w:rPr>
        <w:t xml:space="preserve">Source support. </w:t>
      </w:r>
      <w:r>
        <w:t>Draft §IV.E; Letter 907 “Penalty Abatement” section; Marsh email of Nov. 14, 2024 (item 4); Voss email of Nov. 22, 2024; RAR §V.A ($8,265,600 proposed at 20%; no penalty on §41); TP Benchmarking Study §7; Reserve schedule (penalty reserve $0).</w:t>
      </w:r>
    </w:p>
    <w:p>
      <w:pPr>
        <w:spacing w:after="80"/>
      </w:pPr>
      <w:r>
        <w:rPr>
          <w:b/>
        </w:rPr>
        <w:t xml:space="preserve">Risk to Ridgeline. </w:t>
      </w:r>
      <w:r>
        <w:t>Ridgeline has reserved $0 for penalties. Any residual penalty exposure flows straight to the income statement.</w:t>
      </w:r>
    </w:p>
    <w:p>
      <w:pPr>
        <w:spacing w:after="80"/>
      </w:pPr>
      <w:r>
        <w:rPr>
          <w:b/>
        </w:rPr>
        <w:t xml:space="preserve">Recommended fix. </w:t>
      </w:r>
      <w:r>
        <w:t>Move penalties to a stand-alone Section (e.g., new Section VII-A, “Penalties”) and state: “No penalty or addition to tax under IRC §6662 (including §6662(a), (b)(1), (b)(2), (e) and (h)) or §6676 shall be asserted or assessed with respect to any underpayment for any Covered Tax Year attributable to any Covered Issue. The Commissioner has determined that the Taxpayer satisfied the requirements of IRC §6662(e)(3)(B) and Treas. Reg. §1.6662-6(d) for each Covered Tax Year and, to the extent applicable, the requirements of IRC §6664(c).” Ask Appeals to correct Letter 907 or confirm in writing that the agreement controls.</w:t>
      </w:r>
    </w:p>
    <w:p>
      <w:pPr>
        <w:pStyle w:val="Heading2"/>
      </w:pPr>
      <w:r>
        <w:t>D. Substantive Tax Provisions and Omissions</w:t>
      </w:r>
    </w:p>
    <w:p>
      <w:pPr>
        <w:pStyle w:val="Heading3"/>
      </w:pPr>
      <w:r>
        <w:t>Issue 9: FTC adjustment: no computation; the stated rationale conflicts with the sourcing rules; obsolete §902 reference; carryover treatment not addressed</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Sections VI.A–VI.D; Exhibit C Line 3</w:t>
            </w:r>
          </w:p>
        </w:tc>
      </w:tr>
    </w:tbl>
    <w:p>
      <w:pPr>
        <w:spacing w:after="0"/>
      </w:pPr>
    </w:p>
    <w:p>
      <w:pPr>
        <w:spacing w:after="80"/>
      </w:pPr>
      <w:r>
        <w:rPr>
          <w:b/>
        </w:rPr>
        <w:t xml:space="preserve">Issue. </w:t>
      </w:r>
      <w:r>
        <w:t>(a) No computation supports the $2,310,000. The RAR left the FTC impact “TBD,” Ridgeline’s Nov. 14 email asked to “review and verify,” and Mr. Patel’s review was still open on Dec. 5. The only corroboration is Ridgeline’s own reserve sensitivity (16% scenario = $2,310,000), which rests on estimated limitations. (b) Sections VI.A and VI.C describe the incremental royalty as U.S.-source income. Royalties paid for the right to use intangibles outside the United States are foreign-source under §862(a)(4) (cf. §861(a)(4)), and RTIL uses the Licensed IP only outside the United States. Look-through under §904(d)(3) would generally place the royalty in the general category. On that analysis the adjustment increases foreign-source income in the general basket. Any reduction in allowable credits would arise elsewhere, for example through reduced RTIL tested income and §960(d) deemed-paid credits in the §951A basket, or through expense apportionment. The narrative and the dollar figure therefore need to be rebuilt from an actual computation. (c) Section VI.B invokes §902 “for tax years beginning before January 1, 2018”; every Covered Tax Year is post-TCJA, so §902 is irrelevant. (d) The supporting documents cite different baskets: the RAR says “general limitation basket under §904(d)(1)(A)” (that paragraph is the §951A category), and the reserve schedule says §904(d)(1)(B) (the foreign branch category). (e) The draft does not say whether the $2,310,000 of credits exceeding the limitation is permanently lost (the §951A basket has no carryover under §904(c)) or may be carried back one year and forward ten years (general basket). It also does not fix the resulting carryovers into 2023 and later years.</w:t>
      </w:r>
    </w:p>
    <w:p>
      <w:pPr>
        <w:spacing w:after="80"/>
      </w:pPr>
      <w:r>
        <w:rPr>
          <w:b/>
        </w:rPr>
        <w:t xml:space="preserve">Source support. </w:t>
      </w:r>
      <w:r>
        <w:t>RAR §IV.A–IV.B and §VII (FTC “TBD”); Marsh emails of Nov. 14 and Dec. 5, 2024; Voss emails of Nov. 22 and Dec. 18, 2024 (Salgado available for questions); Reserve schedule, FTC UTP tab; Draft §VI.</w:t>
      </w:r>
    </w:p>
    <w:p>
      <w:pPr>
        <w:spacing w:after="80"/>
      </w:pPr>
      <w:r>
        <w:rPr>
          <w:b/>
        </w:rPr>
        <w:t xml:space="preserve">Risk to Ridgeline. </w:t>
      </w:r>
      <w:r>
        <w:t>Ridgeline would be fixing, finally and permanently, a $2.31 million figure (plus its interest) that neither side has shown to be correct. Through the Section VI recitals it would also adopt a sourcing characterization that may prejudice its §904 positions in open years.</w:t>
      </w:r>
    </w:p>
    <w:p>
      <w:pPr>
        <w:spacing w:after="80"/>
      </w:pPr>
      <w:r>
        <w:rPr>
          <w:b/>
        </w:rPr>
        <w:t xml:space="preserve">Recommended fix. </w:t>
      </w:r>
      <w:r>
        <w:t>Before signing, obtain RA Salgado’s year-by-year §904 computation: baskets, foreign-source taxable income before and after, the limitation, credits claimed, and the treatment of excess credits. Have Mr. Patel and Pinnacle verify it. Attach it as a schedule to Exhibit C. Delete the §902 reference. Replace the sourcing narrative in Sections VI.A and VI.C with a neutral statement (“the parties have recomputed the Taxpayer’s foreign tax credit limitation under §904 to reflect the adjustments in Section IV, as set forth in Schedule C-1”). Add an express provision fixing any FTC carryover arising from the recomputation.</w:t>
      </w:r>
    </w:p>
    <w:p>
      <w:pPr>
        <w:pStyle w:val="Heading3"/>
      </w:pPr>
      <w:r>
        <w:t>Issue 10: No secondary (conforming) adjustment or Rev. Proc. 99-32 relief for the $104.96 million of royalty RTIL never paid</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 IV (generally); new Section required</w:t>
            </w:r>
          </w:p>
        </w:tc>
      </w:tr>
    </w:tbl>
    <w:p>
      <w:pPr>
        <w:spacing w:after="0"/>
      </w:pPr>
    </w:p>
    <w:p>
      <w:pPr>
        <w:spacing w:after="80"/>
      </w:pPr>
      <w:r>
        <w:rPr>
          <w:b/>
        </w:rPr>
        <w:t xml:space="preserve">Issue. </w:t>
      </w:r>
      <w:r>
        <w:t>A §482 allocation requires conforming adjustments under Treas. Reg. §1.482-1(g)(3). Absent relief, the $104,960,000 of imputed royalty that RTIL never paid is treated as a deemed distribution from RTIL or a deemed capital contribution to it, with collateral consequences: E&amp;P, PTEP or §245A characterization, Irish withholding or deductibility questions, and basis. Rev. Proc. 99-32 lets the taxpayer instead establish an interest-bearing account receivable from RTIL and repatriate the cash tax-free within 90 days, but relief must be requested and its terms are ordinarily memorialized in the closing agreement. The draft is silent.</w:t>
      </w:r>
    </w:p>
    <w:p>
      <w:pPr>
        <w:spacing w:after="80"/>
      </w:pPr>
      <w:r>
        <w:rPr>
          <w:b/>
        </w:rPr>
        <w:t xml:space="preserve">Source support. </w:t>
      </w:r>
      <w:r>
        <w:t>Draft §§IV.B–IV.C (incremental royalty “not previously reported”); RAR §II.A (royalty payable quarterly in USD under the 2016 License Agreement); no Rev. Proc. 99-32 provision anywhere in the draft; X.B (entire-agreement clause supersedes prior discussions).</w:t>
      </w:r>
    </w:p>
    <w:p>
      <w:pPr>
        <w:spacing w:after="80"/>
      </w:pPr>
      <w:r>
        <w:rPr>
          <w:b/>
        </w:rPr>
        <w:t xml:space="preserve">Risk to Ridgeline. </w:t>
      </w:r>
      <w:r>
        <w:t>Once a Form 906 is executed without the Rev. Proc. 99-32 terms, obtaining relief becomes harder, and the cash cannot move to the U.S. parent cleanly. Section X.B also forecloses reliance on any side understanding.</w:t>
      </w:r>
    </w:p>
    <w:p>
      <w:pPr>
        <w:spacing w:after="80"/>
      </w:pPr>
      <w:r>
        <w:rPr>
          <w:b/>
        </w:rPr>
        <w:t xml:space="preserve">Recommended fix. </w:t>
      </w:r>
      <w:r>
        <w:t>Add a Section IV.F: “Pursuant to Rev. Proc. 99-32, the Taxpayer elects to establish an account receivable from RTIL in the amount of $104,960,000 (allocated by year per Exhibit A), deemed established as of the last day of each Covered Tax Year, bearing interest at an arm’s-length rate [determined under Treas. Reg. §1.482-2(a)], to be paid within 90 days of the date this Agreement is executed by the Commissioner, with the U.S. federal income tax consequences provided in Rev. Proc. 99-32, §4.” Coordinate the Irish deduction and withholding position with Irish advisers.</w:t>
      </w:r>
    </w:p>
    <w:p>
      <w:pPr>
        <w:pStyle w:val="Heading3"/>
      </w:pPr>
      <w:r>
        <w:t>Issue 11: Double taxation: no preservation of competent-authority (U.S.–Ireland Treaty, Article 25) correlative relief</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 III.C; Section IX.C; new Section required</w:t>
            </w:r>
          </w:p>
        </w:tc>
      </w:tr>
    </w:tbl>
    <w:p>
      <w:pPr>
        <w:spacing w:after="0"/>
      </w:pPr>
    </w:p>
    <w:p>
      <w:pPr>
        <w:spacing w:after="80"/>
      </w:pPr>
      <w:r>
        <w:rPr>
          <w:b/>
        </w:rPr>
        <w:t xml:space="preserve">Issue. </w:t>
      </w:r>
      <w:r>
        <w:t>The settled adjustment moves $104,960,000 of profit already taxed in Ireland to the United States. At RTIL’s 12.5% rate that is about $13.1 million of Irish tax on the same income. Under Rev. Proc. 2015-40, when an issue is settled with Appeals the U.S. Competent Authority will not revisit the U.S. adjustment, but it will seek correlative relief from Ireland if the taxpayer requests assistance. The draft’s finality language (Sections III.C and IX.C) and the entire-agreement clause (Section X.B) contain no carve-out confirming that MAP remains available. Irish domestic time limits make a prompt request important.</w:t>
      </w:r>
    </w:p>
    <w:p>
      <w:pPr>
        <w:spacing w:after="80"/>
      </w:pPr>
      <w:r>
        <w:rPr>
          <w:b/>
        </w:rPr>
        <w:t xml:space="preserve">Source support. </w:t>
      </w:r>
      <w:r>
        <w:t>Draft §VI.B (Irish tax $56.0M at 12.5%); RAR §II.A (RTIL Irish tax resident at 12.5%); Reserve schedule FTC tab (“No … treaty-based adjustments applicable”); TP Study §9 (study does not address foreign tax implications).</w:t>
      </w:r>
    </w:p>
    <w:p>
      <w:pPr>
        <w:spacing w:after="80"/>
      </w:pPr>
      <w:r>
        <w:rPr>
          <w:b/>
        </w:rPr>
        <w:t xml:space="preserve">Risk to Ridgeline. </w:t>
      </w:r>
      <w:r>
        <w:t>Unrelieved economic double taxation of about $13.1 million is the largest economic exposure after the computational errors. The draft creates a risk that finality language is later read against a MAP request.</w:t>
      </w:r>
    </w:p>
    <w:p>
      <w:pPr>
        <w:spacing w:after="80"/>
      </w:pPr>
      <w:r>
        <w:rPr>
          <w:b/>
        </w:rPr>
        <w:t xml:space="preserve">Recommended fix. </w:t>
      </w:r>
      <w:r>
        <w:t>Add: “Nothing in this Agreement shall preclude the Taxpayer or RTIL from requesting competent authority assistance under Article 25 of the United States–Ireland Income Tax Convention for correlative relief with respect to the adjustments in Section IV, and the Commissioner agrees that the U.S. Competent Authority will consider such request in accordance with Rev. Proc. 2015-40.” File the MAP request (or a protective notification) promptly, and coordinate with Irish Revenue on corresponding adjustment procedures.</w:t>
      </w:r>
    </w:p>
    <w:p>
      <w:pPr>
        <w:pStyle w:val="Heading3"/>
      </w:pPr>
      <w:r>
        <w:t>Issue 12: Tax on the adjustments is computed at a flat 21% with no collateral or correlative adjustments (FDII, GILTI, §280C(c)/§174, credit limitations)</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 IV.D; Section V.D; Exhibit C Line 1</w:t>
            </w:r>
          </w:p>
        </w:tc>
      </w:tr>
    </w:tbl>
    <w:p>
      <w:pPr>
        <w:spacing w:after="0"/>
      </w:pPr>
    </w:p>
    <w:p>
      <w:pPr>
        <w:spacing w:after="80"/>
      </w:pPr>
      <w:r>
        <w:rPr>
          <w:b/>
        </w:rPr>
        <w:t xml:space="preserve">Issue. </w:t>
      </w:r>
      <w:r>
        <w:t>The draft taxes the full $104,960,000 at 21% and treats every credit dollar as a tax dollar. It ignores several known effects that may reduce the deficiency. (a) §250 FDII: royalty income from licensing IP for foreign use, including to a foreign related party whose products are sold to unrelated foreign customers, is generally foreign-derived deduction-eligible income. If Ridgeline claimed FDII on its as-filed returns, the incremental royalty should increase FDDEI. The theoretical ceiling is about $8.3 million (37.5% × $104.96M × 21%), subject to the taxable-income limitation and the DTIR computation. (b) §951A: the adjustment reduces RTIL’s tested income, which reduces Ridgeline’s GILTI inclusion and §960(d) credits. That interacts with Issue 9. (c) §280C(c): if Ridgeline did not make the reduced-credit election, it reduced its research deductions (for 2022, its §174 capital account) by the credits claimed. Disallowing $11,220,000 of credits should restore a corresponding deduction or amortization (up to about $2.36 million of tax at 21%, phased for 2022). (d) For 2022, if Phase IV costs are not §174 expenditures (as the IRS’s §41(d)(1)(A) position implies), they may be currently deductible under §162 instead of capitalized under amended §174. (e) If any credits were limited under §38(c) or carried forward, disallowance changes carryforwards rather than current tax.</w:t>
      </w:r>
    </w:p>
    <w:p>
      <w:pPr>
        <w:spacing w:after="80"/>
      </w:pPr>
      <w:r>
        <w:rPr>
          <w:b/>
        </w:rPr>
        <w:t xml:space="preserve">Source support. </w:t>
      </w:r>
      <w:r>
        <w:t>Draft §§IV.D, V.D, Exhibit C Footnote 1; RAR §III.C (four-part test begins with §174 requirement); Reserve schedule (“Credits are dollar-for-dollar tax benefits”); Hartwell &amp; Stein §2 (licensed territory is all territories outside the U.S.).</w:t>
      </w:r>
    </w:p>
    <w:p>
      <w:pPr>
        <w:spacing w:after="80"/>
      </w:pPr>
      <w:r>
        <w:rPr>
          <w:b/>
        </w:rPr>
        <w:t xml:space="preserve">Risk to Ridgeline. </w:t>
      </w:r>
      <w:r>
        <w:t>Ridgeline may be agreeing to overpay by several million dollars. Section X.B bars later correction, and §7121(b) bars reopening.</w:t>
      </w:r>
    </w:p>
    <w:p>
      <w:pPr>
        <w:spacing w:after="80"/>
      </w:pPr>
      <w:r>
        <w:rPr>
          <w:b/>
        </w:rPr>
        <w:t xml:space="preserve">Recommended fix. </w:t>
      </w:r>
      <w:r>
        <w:t>Have Ridgeline’s tax department and Pinnacle run a full pro forma recomputation of each Covered Tax Year (FDII, GILTI, §78, §280C(c), §174, §38) on the settled terms before execution. Then either (i) state in Exhibit C that the deficiency reflects all correlative adjustments (and attach the Form 4549-style computation), or (ii) add: “The deficiencies set forth herein shall be adjusted to reflect all correlative and computational adjustments resulting from the Covered Issues, including under IRC §§78, 250, 280C(c), 904 and 951A.”</w:t>
      </w:r>
    </w:p>
    <w:p>
      <w:pPr>
        <w:pStyle w:val="Heading3"/>
      </w:pPr>
      <w:r>
        <w:t>Issue 21: Years after 2022 and state tax consequences are not addressed</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Not addressed in draft</w:t>
            </w:r>
          </w:p>
        </w:tc>
      </w:tr>
    </w:tbl>
    <w:p>
      <w:pPr>
        <w:spacing w:after="0"/>
      </w:pPr>
    </w:p>
    <w:p>
      <w:pPr>
        <w:spacing w:after="80"/>
      </w:pPr>
      <w:r>
        <w:rPr>
          <w:b/>
        </w:rPr>
        <w:t xml:space="preserve">Issue. </w:t>
      </w:r>
      <w:r>
        <w:t>(a) The License Agreement continues at 12% for 2023 and later years. The IRS will likely treat 16% as at least a floor in future examinations, and Ridgeline’s 2023 return (and 2024, if filed) presumably reported 12%. The agreement says nothing about precedential effect. Ridgeline should evaluate an APA, possibly with rollback, and the ASC 740 position for open years. (b) State: California generally requires a taxpayer to report a final federal determination to the FTB within six months (Cal. Rev. &amp; Tax. Code §18622), and the reserve schedule records no state reserve. The §482, §41 and FTC changes will flow into California and other state filings.</w:t>
      </w:r>
    </w:p>
    <w:p>
      <w:pPr>
        <w:spacing w:after="80"/>
      </w:pPr>
      <w:r>
        <w:rPr>
          <w:b/>
        </w:rPr>
        <w:t xml:space="preserve">Source support. </w:t>
      </w:r>
      <w:r>
        <w:t>Letter 907 and Voss Dec. 18 email (agreement does not extend to future years or state taxes); Reserve schedule Summary note 9 (no state reserve); TP Study §8 Recommendation 1.</w:t>
      </w:r>
    </w:p>
    <w:p>
      <w:pPr>
        <w:spacing w:after="80"/>
      </w:pPr>
      <w:r>
        <w:rPr>
          <w:b/>
        </w:rPr>
        <w:t xml:space="preserve">Risk to Ridgeline. </w:t>
      </w:r>
      <w:r>
        <w:t>Unreserved exposure for future years and for state tax, and missed state reporting deadlines.</w:t>
      </w:r>
    </w:p>
    <w:p>
      <w:pPr>
        <w:spacing w:after="80"/>
      </w:pPr>
      <w:r>
        <w:rPr>
          <w:b/>
        </w:rPr>
        <w:t xml:space="preserve">Recommended fix. </w:t>
      </w:r>
      <w:r>
        <w:t>No change to the federal agreement is strictly required, but consider adding: “This Agreement shall not be cited as precedent for any taxable year other than the Covered Tax Years.” Calendar the state reporting deadlines, begin APA scoping, and reserve for 2023+ and state exposure.</w:t>
      </w:r>
    </w:p>
    <w:p>
      <w:pPr>
        <w:pStyle w:val="Heading2"/>
      </w:pPr>
      <w:r>
        <w:t>E. Scope, Finality and Representations</w:t>
      </w:r>
    </w:p>
    <w:p>
      <w:pPr>
        <w:pStyle w:val="Heading3"/>
      </w:pPr>
      <w:r>
        <w:t>Issue 13: Finality clause is overbroad: it resolves “all federal income tax issues for tax years 2019 through 2022”</w:t>
      </w:r>
    </w:p>
    <w:tbl>
      <w:tblPr>
        <w:tblStyle w:val="TableGrid"/>
        <w:tblW w:type="auto" w:w="0"/>
        <w:tblLook w:firstColumn="1" w:firstRow="1" w:lastColumn="0" w:lastRow="0" w:noHBand="0" w:noVBand="1" w:val="04A0"/>
      </w:tblPr>
      <w:tblGrid>
        <w:gridCol w:w="4680"/>
        <w:gridCol w:w="4680"/>
      </w:tblGrid>
      <w:tr>
        <w:tc>
          <w:tcPr>
            <w:tcW w:type="dxa" w:w="2016"/>
            <w:shd w:val="clear" w:color="auto" w:fill="E26B0A"/>
          </w:tcPr>
          <w:p>
            <w:r/>
            <w:r>
              <w:rPr>
                <w:b/>
                <w:color w:val="FFFFFF"/>
                <w:sz w:val="18"/>
              </w:rPr>
              <w:t>Severity: High</w:t>
            </w:r>
          </w:p>
        </w:tc>
        <w:tc>
          <w:tcPr>
            <w:tcW w:type="dxa" w:w="7344"/>
          </w:tcPr>
          <w:p>
            <w:r/>
            <w:r>
              <w:rPr>
                <w:b/>
                <w:sz w:val="18"/>
              </w:rPr>
              <w:t>Provision: Section III.C (Finality)</w:t>
            </w:r>
          </w:p>
        </w:tc>
      </w:tr>
    </w:tbl>
    <w:p>
      <w:pPr>
        <w:spacing w:after="0"/>
      </w:pPr>
    </w:p>
    <w:p>
      <w:pPr>
        <w:spacing w:after="80"/>
      </w:pPr>
      <w:r>
        <w:rPr>
          <w:b/>
        </w:rPr>
        <w:t xml:space="preserve">Issue. </w:t>
      </w:r>
      <w:r>
        <w:t>Form 906 is a closing agreement covering specific matters. Section III.C goes further and states that the agreement “resolves all federal income tax issues for tax years 2019 through 2022 arising from the examination.” That is closer to a Form 866 determination of total liability, and it conflicts with Section III.B (three Covered Issues) and with Letter 907 (“The agreement does not extend to … any other federal tax issues not specifically identified in the agreement”).</w:t>
      </w:r>
    </w:p>
    <w:p>
      <w:pPr>
        <w:spacing w:after="80"/>
      </w:pPr>
      <w:r>
        <w:rPr>
          <w:b/>
        </w:rPr>
        <w:t xml:space="preserve">Source support. </w:t>
      </w:r>
      <w:r>
        <w:t>Draft §§III.B–III.C; Letter 907 “Scope and Finality”; Voss email of Dec. 18, 2024 (“will cover only federal income tax liabilities for tax years 2019–2022 …”).</w:t>
      </w:r>
    </w:p>
    <w:p>
      <w:pPr>
        <w:spacing w:after="80"/>
      </w:pPr>
      <w:r>
        <w:rPr>
          <w:b/>
        </w:rPr>
        <w:t xml:space="preserve">Risk to Ridgeline. </w:t>
      </w:r>
      <w:r>
        <w:t>Could bar Ridgeline’s own affirmative claims for 2019–2022, such as refund claims, additional R&amp;D credits, FTC or FDII positions, or carryback claims. It could also be read to fix items not actually negotiated. Ambiguity in a document that cannot be reopened is itself a material risk.</w:t>
      </w:r>
    </w:p>
    <w:p>
      <w:pPr>
        <w:spacing w:after="80"/>
      </w:pPr>
      <w:r>
        <w:rPr>
          <w:b/>
        </w:rPr>
        <w:t xml:space="preserve">Recommended fix. </w:t>
      </w:r>
      <w:r>
        <w:t>Revise Section III.C to read: “This Agreement is final and conclusive solely as to the Covered Issues for the Covered Tax Years. Nothing herein shall preclude either party from raising, or the Taxpayer from claiming a refund or credit with respect to, any item not constituting a Covered Issue, subject to the applicable period of limitations.” Keep the §7121(b) reopening standard as drafted.</w:t>
      </w:r>
    </w:p>
    <w:p>
      <w:pPr>
        <w:pStyle w:val="Heading3"/>
      </w:pPr>
      <w:r>
        <w:t>Issue 14: Taxpayer representation is broad and, given conflicting facts in the record, creates reopening risk under §7121(b)</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 IX.A (Taxpayer Representations)</w:t>
            </w:r>
          </w:p>
        </w:tc>
      </w:tr>
    </w:tbl>
    <w:p>
      <w:pPr>
        <w:spacing w:after="0"/>
      </w:pPr>
    </w:p>
    <w:p>
      <w:pPr>
        <w:spacing w:after="80"/>
      </w:pPr>
      <w:r>
        <w:rPr>
          <w:b/>
        </w:rPr>
        <w:t xml:space="preserve">Issue. </w:t>
      </w:r>
      <w:r>
        <w:t>Section IX.A represents that all information supplied in the examination and Appeals was “true, correct, and complete.” The record contains factual inconsistencies that the IRS could later characterize as misrepresentations. For RTIL headcount and functions, the RAR says about 480 employees and a biologics facility RTIL operates at Ringaskiddy, while the Hartwell &amp; Stein study says about 180 Dublin personnel performing only contract-manufacturing oversight. For U.S. R&amp;D headcount, the RAR says about 1,200 and the study says over 600. On documentation timing, the draft’s Recital B calls the study “contemporaneous” with the 2016 License Agreement, but the study is dated Nov. 15, 2018, with a March 2022 addendum (see Issue 16). §7121(b) permits reopening for “misrepresentation of a material fact.”</w:t>
      </w:r>
    </w:p>
    <w:p>
      <w:pPr>
        <w:spacing w:after="80"/>
      </w:pPr>
      <w:r>
        <w:rPr>
          <w:b/>
        </w:rPr>
        <w:t xml:space="preserve">Source support. </w:t>
      </w:r>
      <w:r>
        <w:t>Draft §IX.A and Recital B; RAR §II.A and §III.A; TP Study §§1–2.</w:t>
      </w:r>
    </w:p>
    <w:p>
      <w:pPr>
        <w:spacing w:after="80"/>
      </w:pPr>
      <w:r>
        <w:rPr>
          <w:b/>
        </w:rPr>
        <w:t xml:space="preserve">Risk to Ridgeline. </w:t>
      </w:r>
      <w:r>
        <w:t>Weakens the finality Ridgeline is paying for, particularly on the penalty release, which rests expressly on the documentation.</w:t>
      </w:r>
    </w:p>
    <w:p>
      <w:pPr>
        <w:spacing w:after="80"/>
      </w:pPr>
      <w:r>
        <w:rPr>
          <w:b/>
        </w:rPr>
        <w:t xml:space="preserve">Recommended fix. </w:t>
      </w:r>
      <w:r>
        <w:t>Limit the representation to “to the Taxpayer’s knowledge, after reasonable inquiry, … true and correct in all material respects,” and delete “complete” and the non-concealment sentence. Before signing, reconcile the headcount and function descriptions with Ridgeline management, and correct the recitals.</w:t>
      </w:r>
    </w:p>
    <w:p>
      <w:pPr>
        <w:pStyle w:val="Heading3"/>
      </w:pPr>
      <w:r>
        <w:t>Issue 15: No order of precedence between the body and the Exhibits, and the entire-agreement clause extinguishes negotiated commitments not yet in the draft</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 X.B (Entire Agreement); Exhibits generally</w:t>
            </w:r>
          </w:p>
        </w:tc>
      </w:tr>
    </w:tbl>
    <w:p>
      <w:pPr>
        <w:spacing w:after="0"/>
      </w:pPr>
    </w:p>
    <w:p>
      <w:pPr>
        <w:spacing w:after="80"/>
      </w:pPr>
      <w:r>
        <w:rPr>
          <w:b/>
        </w:rPr>
        <w:t xml:space="preserve">Issue. </w:t>
      </w:r>
      <w:r>
        <w:t>The body and Exhibits conflict on several figures (Issues 1–5), and nothing says which controls. Section X.B also supersedes “all prior negotiations, discussions, correspondence.” That would extinguish Appeals’ written commitments that the draft omits: the 90-day amended-return deadline promised on Dec. 18 (Issue 17), the expenditure-category detail promised for Exhibit B, the “full abatement” understanding (Issue 8), and any Rev. Proc. 99-32 or MAP understandings (Issues 10–11).</w:t>
      </w:r>
    </w:p>
    <w:p>
      <w:pPr>
        <w:spacing w:after="80"/>
      </w:pPr>
      <w:r>
        <w:rPr>
          <w:b/>
        </w:rPr>
        <w:t xml:space="preserve">Source support. </w:t>
      </w:r>
      <w:r>
        <w:t>Draft §X.B; Voss emails of Nov. 22 and Dec. 18, 2024.</w:t>
      </w:r>
    </w:p>
    <w:p>
      <w:pPr>
        <w:spacing w:after="80"/>
      </w:pPr>
      <w:r>
        <w:rPr>
          <w:b/>
        </w:rPr>
        <w:t xml:space="preserve">Risk to Ridgeline. </w:t>
      </w:r>
      <w:r>
        <w:t>Ridgeline loses the benefit of terms it negotiated and cannot rely on correspondence to resolve the conflicts.</w:t>
      </w:r>
    </w:p>
    <w:p>
      <w:pPr>
        <w:spacing w:after="80"/>
      </w:pPr>
      <w:r>
        <w:rPr>
          <w:b/>
        </w:rPr>
        <w:t xml:space="preserve">Recommended fix. </w:t>
      </w:r>
      <w:r>
        <w:t>Add: “In the event of any conflict between the body of this Agreement and any Exhibit, the year-by-year amounts set forth in Sections IV.C and V.C shall control, and the Exhibits shall be conformed thereto.” Make sure every negotiated term is written into the agreement before X.B is accepted.</w:t>
      </w:r>
    </w:p>
    <w:p>
      <w:pPr>
        <w:pStyle w:val="Heading3"/>
      </w:pPr>
      <w:r>
        <w:t>Issue 16: Recitals misdescribe the license and the benchmarking study</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Recital B; Section IV.E</w:t>
            </w:r>
          </w:p>
        </w:tc>
      </w:tr>
    </w:tbl>
    <w:p>
      <w:pPr>
        <w:spacing w:after="0"/>
      </w:pPr>
    </w:p>
    <w:p>
      <w:pPr>
        <w:spacing w:after="80"/>
      </w:pPr>
      <w:r>
        <w:rPr>
          <w:b/>
        </w:rPr>
        <w:t xml:space="preserve">Issue. </w:t>
      </w:r>
      <w:r>
        <w:t>(a) Recital B says the 2016 License Agreement “was accompanied by a contemporaneous transfer pricing study.” In fact the Hartwell &amp; Stein study is dated Nov. 15, 2018, more than two years after the license (effective July 1, 2016), with a March 2022 addendum. For §6662(e)(3)(B), what matters is that documentation existed when each return was filed, and the recital should say exactly that. Note that the 2019 and 2020 returns relied on the 2018 study’s projections, because the addendum post-dates those filings. (b) Recital B describes the licensed territory as “the European Economic Area, the United Kingdom, and certain additional territories.” The RAR and the study describe all territories outside the United States, including Canada, Australia, Japan and emerging markets. Recital B also omits manufacturing rights. (c) Recital C/D and the RAR call the agreement a “License and Distribution Agreement,” while the draft says “License Agreement.”</w:t>
      </w:r>
    </w:p>
    <w:p>
      <w:pPr>
        <w:spacing w:after="80"/>
      </w:pPr>
      <w:r>
        <w:rPr>
          <w:b/>
        </w:rPr>
        <w:t xml:space="preserve">Source support. </w:t>
      </w:r>
      <w:r>
        <w:t>TP Study cover and §1; RAR §II.A; Draft Recital B and §IV.E.</w:t>
      </w:r>
    </w:p>
    <w:p>
      <w:pPr>
        <w:spacing w:after="80"/>
      </w:pPr>
      <w:r>
        <w:rPr>
          <w:b/>
        </w:rPr>
        <w:t xml:space="preserve">Risk to Ridgeline. </w:t>
      </w:r>
      <w:r>
        <w:t>Inaccurate recitals in a final agreement weaken the penalty release that relies on them (Issue 8) and feed the misrepresentation risk (Issue 14).</w:t>
      </w:r>
    </w:p>
    <w:p>
      <w:pPr>
        <w:spacing w:after="80"/>
      </w:pPr>
      <w:r>
        <w:rPr>
          <w:b/>
        </w:rPr>
        <w:t xml:space="preserve">Recommended fix. </w:t>
      </w:r>
      <w:r>
        <w:t>Revise Recital B: “… Hartwell &amp; Stein LLP prepared a transfer pricing study dated November 15, 2018, updated by an addendum dated March 2022, which was in existence when the Taxpayer filed its returns for each Covered Tax Year …” Conform the territory and rights description to Section II.A of the 2016 License and Distribution Agreement.</w:t>
      </w:r>
    </w:p>
    <w:p>
      <w:pPr>
        <w:pStyle w:val="Heading2"/>
      </w:pPr>
      <w:r>
        <w:t>F. Execution, Payment and Compliance Mechanics</w:t>
      </w:r>
    </w:p>
    <w:p>
      <w:pPr>
        <w:pStyle w:val="Heading3"/>
      </w:pPr>
      <w:r>
        <w:t>Issue 17: Amended-return covenant has no deadline, duplicates the assessment mechanism, and risks double counting</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Sections III.D and IX.B (Amended Returns)</w:t>
            </w:r>
          </w:p>
        </w:tc>
      </w:tr>
    </w:tbl>
    <w:p>
      <w:pPr>
        <w:spacing w:after="0"/>
      </w:pPr>
    </w:p>
    <w:p>
      <w:pPr>
        <w:spacing w:after="80"/>
      </w:pPr>
      <w:r>
        <w:rPr>
          <w:b/>
        </w:rPr>
        <w:t xml:space="preserve">Issue. </w:t>
      </w:r>
      <w:r>
        <w:t>Ms. Voss wrote on Dec. 18, 2024 that the 90-day deadline “will be addressed in the draft.” Letter 907 imposes a 90-day deadline, but the draft has none. Separately, under a Form 906 the IRS ordinarily assesses the agreed deficiencies directly. Requiring Forms 1120-X for four years on top of that, without saying how they interact with the assessment and the Section VIII payment, risks duplicate assessments, misapplied payments, and unrelated items on the amended returns drawing scrutiny.</w:t>
      </w:r>
    </w:p>
    <w:p>
      <w:pPr>
        <w:spacing w:after="80"/>
      </w:pPr>
      <w:r>
        <w:rPr>
          <w:b/>
        </w:rPr>
        <w:t xml:space="preserve">Source support. </w:t>
      </w:r>
      <w:r>
        <w:t>Draft §§III.D, IX.B; Letter 907 “Execution Instructions”; Marsh email of Dec. 5, 2024; Voss emails of Nov. 22 and Dec. 18, 2024.</w:t>
      </w:r>
    </w:p>
    <w:p>
      <w:pPr>
        <w:spacing w:after="80"/>
      </w:pPr>
      <w:r>
        <w:rPr>
          <w:b/>
        </w:rPr>
        <w:t xml:space="preserve">Risk to Ridgeline. </w:t>
      </w:r>
      <w:r>
        <w:t>Uncertainty over the compliance obligation, and a possible breach claim if Ridgeline files late under an undefined standard.</w:t>
      </w:r>
    </w:p>
    <w:p>
      <w:pPr>
        <w:spacing w:after="80"/>
      </w:pPr>
      <w:r>
        <w:rPr>
          <w:b/>
        </w:rPr>
        <w:t xml:space="preserve">Recommended fix. </w:t>
      </w:r>
      <w:r>
        <w:t>Revise: “Within 90 days after the date this Agreement is executed on behalf of the Commissioner, the Taxpayer shall file Forms 1120-X … The amended returns shall reflect only the adjustments set forth herein and the resulting correlative adjustments; the IRS shall assess the deficiencies determined herein, and amounts paid under Section VIII shall be credited against such assessments so that no amount is assessed or collected more than once.” Better still, ask whether Appeals will accept a Form 870-AD-style assessment with no amended returns.</w:t>
      </w:r>
    </w:p>
    <w:p>
      <w:pPr>
        <w:pStyle w:val="Heading3"/>
      </w:pPr>
      <w:r>
        <w:t>Issue 18: Payment mechanics conflict with Letter 907, and the trigger date and allocation are undefined</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 VIII.C; Exhibit C Payment Instructions</w:t>
            </w:r>
          </w:p>
        </w:tc>
      </w:tr>
    </w:tbl>
    <w:p>
      <w:pPr>
        <w:spacing w:after="0"/>
      </w:pPr>
    </w:p>
    <w:p>
      <w:pPr>
        <w:spacing w:after="80"/>
      </w:pPr>
      <w:r>
        <w:rPr>
          <w:b/>
        </w:rPr>
        <w:t xml:space="preserve">Issue. </w:t>
      </w:r>
      <w:r>
        <w:t>The draft requires EFT or wire “within thirty (30) days of the date of execution” under instructions “to be provided.” Letter 907 instead directs payment by EFTPS or check payable to “United States Treasury,” mailed to Fresno. “Date of execution” is undefined: the agreement is not effective until countersigned by the Commissioner’s delegate. Nothing designates how payments are allocated by year and between tax and interest. That matters for the ASC 740 tie-out and for stopping interest.</w:t>
      </w:r>
    </w:p>
    <w:p>
      <w:pPr>
        <w:spacing w:after="80"/>
      </w:pPr>
      <w:r>
        <w:rPr>
          <w:b/>
        </w:rPr>
        <w:t xml:space="preserve">Source support. </w:t>
      </w:r>
      <w:r>
        <w:t>Draft §VIII.C; Exhibit C Payment Instructions; Letter 907.</w:t>
      </w:r>
    </w:p>
    <w:p>
      <w:pPr>
        <w:spacing w:after="80"/>
      </w:pPr>
      <w:r>
        <w:rPr>
          <w:b/>
        </w:rPr>
        <w:t xml:space="preserve">Risk to Ridgeline. </w:t>
      </w:r>
      <w:r>
        <w:t>Misapplied or late payment, extra interest, and a reconciliation burden.</w:t>
      </w:r>
    </w:p>
    <w:p>
      <w:pPr>
        <w:spacing w:after="80"/>
      </w:pPr>
      <w:r>
        <w:rPr>
          <w:b/>
        </w:rPr>
        <w:t xml:space="preserve">Recommended fix. </w:t>
      </w:r>
      <w:r>
        <w:t>Define “Effective Date” as the date of execution on behalf of the Commissioner. Conform the payment method to Letter 907 (EFTPS). Add a designation of payment by tax year and by tax versus interest. Consider an immediate §6603 deposit, designated by year, of the corrected tax ($35,571,600) plus estimated interest, to stop interest at 7% and avoid hot interest.</w:t>
      </w:r>
    </w:p>
    <w:p>
      <w:pPr>
        <w:pStyle w:val="Heading3"/>
      </w:pPr>
      <w:r>
        <w:t>Issue 19: Corporate signatory and IRS signatory authority need to be confirmed</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Section XI (Signatures); Attestation block</w:t>
            </w:r>
          </w:p>
        </w:tc>
      </w:tr>
    </w:tbl>
    <w:p>
      <w:pPr>
        <w:spacing w:after="0"/>
      </w:pPr>
    </w:p>
    <w:p>
      <w:pPr>
        <w:spacing w:after="80"/>
      </w:pPr>
      <w:r>
        <w:rPr>
          <w:b/>
        </w:rPr>
        <w:t xml:space="preserve">Issue. </w:t>
      </w:r>
      <w:r>
        <w:t>(a) Taxpayer: the signature block names Sandra Kwon, Tax Director. A corporation’s closing agreement should be signed by an officer authorized to bind it (cf. §6062 and the Form 906 instructions). It is not clear that a Tax Director is a corporate officer. Appeals asked twice that her authority be confirmed (Nov. 22 email: “Please ensure that she has proper authority”), and counsel undertook to do so on Dec. 5. (b) The “Attestation” block (reviewer name and title blank) has no defined function. (c) IRS: the Commissioner’s signature block is Patricia Voss as “Appeals Team Case Leader, Large Business &amp; International Division.” Appeals is the IRS Independent Office of Appeals under §7803(e), not part of LB&amp;I. Her delegated authority to execute Form 906 under Delegation Order 8-3 (IRM 1.2.2) should be confirmed. Section IX.D represents authority only in general terms. (d) The Dec. 18 notarization request is not a Form 906 requirement.</w:t>
      </w:r>
    </w:p>
    <w:p>
      <w:pPr>
        <w:spacing w:after="80"/>
      </w:pPr>
      <w:r>
        <w:rPr>
          <w:b/>
        </w:rPr>
        <w:t xml:space="preserve">Source support. </w:t>
      </w:r>
      <w:r>
        <w:t>Draft §XI and §IX.D; Voss emails of Nov. 22 and Dec. 18, 2024; Marsh email of Dec. 5, 2024; TP Study §1 (CFO is Jonathan Hess; GC is Meredith Colton).</w:t>
      </w:r>
    </w:p>
    <w:p>
      <w:pPr>
        <w:spacing w:after="80"/>
      </w:pPr>
      <w:r>
        <w:rPr>
          <w:b/>
        </w:rPr>
        <w:t xml:space="preserve">Risk to Ridgeline. </w:t>
      </w:r>
      <w:r>
        <w:t>A challenge to the validity of execution undermines the finality Ridgeline is paying for.</w:t>
      </w:r>
    </w:p>
    <w:p>
      <w:pPr>
        <w:spacing w:after="80"/>
      </w:pPr>
      <w:r>
        <w:rPr>
          <w:b/>
        </w:rPr>
        <w:t xml:space="preserve">Recommended fix. </w:t>
      </w:r>
      <w:r>
        <w:t>Either have CFO Jonathan Hess (or another elected officer) sign, or obtain a board resolution and secretary’s certificate authorizing Ms. Kwon by name and title, and deliver it with the executed agreement. Delete the undefined attestation block or convert it to a corporate secretary attestation. Revise the IRS block to “Commissioner of Internal Revenue, By: [name], [title], IRS Independent Office of Appeals,” and confirm the signer’s delegated authority (or add an Appeals Team Manager approval line).</w:t>
      </w:r>
    </w:p>
    <w:p>
      <w:pPr>
        <w:pStyle w:val="Heading3"/>
      </w:pPr>
      <w:r>
        <w:t>Issue 20: Timeline: 30-day period runs from a Jan. 8 letter, but the draft is dated Jan. 10; the Letter 907 email was sent to a non-standard domain</w:t>
      </w:r>
    </w:p>
    <w:tbl>
      <w:tblPr>
        <w:tblStyle w:val="TableGrid"/>
        <w:tblW w:type="auto" w:w="0"/>
        <w:tblLook w:firstColumn="1" w:firstRow="1" w:lastColumn="0" w:lastRow="0" w:noHBand="0" w:noVBand="1" w:val="04A0"/>
      </w:tblPr>
      <w:tblGrid>
        <w:gridCol w:w="4680"/>
        <w:gridCol w:w="4680"/>
      </w:tblGrid>
      <w:tr>
        <w:tc>
          <w:tcPr>
            <w:tcW w:type="dxa" w:w="2016"/>
            <w:shd w:val="clear" w:color="auto" w:fill="BF9000"/>
          </w:tcPr>
          <w:p>
            <w:r/>
            <w:r>
              <w:rPr>
                <w:b/>
                <w:color w:val="FFFFFF"/>
                <w:sz w:val="18"/>
              </w:rPr>
              <w:t>Severity: Medium</w:t>
            </w:r>
          </w:p>
        </w:tc>
        <w:tc>
          <w:tcPr>
            <w:tcW w:type="dxa" w:w="7344"/>
          </w:tcPr>
          <w:p>
            <w:r/>
            <w:r>
              <w:rPr>
                <w:b/>
                <w:sz w:val="18"/>
              </w:rPr>
              <w:t>Provision: Header (Date of Draft; Signing Deadline); Preamble; Letter 907</w:t>
            </w:r>
          </w:p>
        </w:tc>
      </w:tr>
    </w:tbl>
    <w:p>
      <w:pPr>
        <w:spacing w:after="0"/>
      </w:pPr>
    </w:p>
    <w:p>
      <w:pPr>
        <w:spacing w:after="80"/>
      </w:pPr>
      <w:r>
        <w:rPr>
          <w:b/>
        </w:rPr>
        <w:t xml:space="preserve">Issue. </w:t>
      </w:r>
      <w:r>
        <w:t>The preamble says the draft was transmitted with Letter 907 “dated January 8, 2025,” but the draft is dated Jan. 10, 2025. The reserve schedule records that the draft was received Jan. 10. The Feb. 7 deadline (30 days from Jan. 8) therefore cuts into the “30-day review and signing period from the date of transmittal” that Appeals promised on Dec. 18. The Letter 907 email has no date and was addressed to emarsh@phglaw.com and dyun@phglaw.com, while all other correspondence uses @pembertonhale.com. Given the corrections needed, Feb. 7 is unrealistic, and Letter 907 warns that Appeals may withdraw the terms and issue a notice of deficiency.</w:t>
      </w:r>
    </w:p>
    <w:p>
      <w:pPr>
        <w:spacing w:after="80"/>
      </w:pPr>
      <w:r>
        <w:rPr>
          <w:b/>
        </w:rPr>
        <w:t xml:space="preserve">Source support. </w:t>
      </w:r>
      <w:r>
        <w:t>Draft header and preamble; Letter 907; Voss email of Dec. 18, 2024; Reserve schedule Summary note 8.</w:t>
      </w:r>
    </w:p>
    <w:p>
      <w:pPr>
        <w:spacing w:after="80"/>
      </w:pPr>
      <w:r>
        <w:rPr>
          <w:b/>
        </w:rPr>
        <w:t xml:space="preserve">Risk to Ridgeline. </w:t>
      </w:r>
      <w:r>
        <w:t>Loss of the negotiated settlement if the deadline passes without a written extension.</w:t>
      </w:r>
    </w:p>
    <w:p>
      <w:pPr>
        <w:spacing w:after="80"/>
      </w:pPr>
      <w:r>
        <w:rPr>
          <w:b/>
        </w:rPr>
        <w:t xml:space="preserve">Recommended fix. </w:t>
      </w:r>
      <w:r>
        <w:t>Write to Ms. Voss now. Confirm receipt and the operative date of Letter 907, transmit this list of computational errors, and request a written extension of the response date (at least 30 days from receipt of a corrected draft and the interest and FTC computations). Ask that all future correspondence go to the @pembertonhale.com addresses.</w:t>
      </w:r>
    </w:p>
    <w:p>
      <w:pPr>
        <w:pStyle w:val="Heading2"/>
      </w:pPr>
      <w:r>
        <w:t>G. Drafting and Housekeeping</w:t>
      </w:r>
    </w:p>
    <w:p>
      <w:pPr>
        <w:pStyle w:val="Heading3"/>
      </w:pPr>
      <w:r>
        <w:t>Issue 22: Party descriptions and notice details are inaccurate</w:t>
      </w:r>
    </w:p>
    <w:tbl>
      <w:tblPr>
        <w:tblStyle w:val="TableGrid"/>
        <w:tblW w:type="auto" w:w="0"/>
        <w:tblLook w:firstColumn="1" w:firstRow="1" w:lastColumn="0" w:lastRow="0" w:noHBand="0" w:noVBand="1" w:val="04A0"/>
      </w:tblPr>
      <w:tblGrid>
        <w:gridCol w:w="4680"/>
        <w:gridCol w:w="4680"/>
      </w:tblGrid>
      <w:tr>
        <w:tc>
          <w:tcPr>
            <w:tcW w:type="dxa" w:w="2016"/>
            <w:shd w:val="clear" w:color="auto" w:fill="548235"/>
          </w:tcPr>
          <w:p>
            <w:r/>
            <w:r>
              <w:rPr>
                <w:b/>
                <w:color w:val="FFFFFF"/>
                <w:sz w:val="18"/>
              </w:rPr>
              <w:t>Severity: Low</w:t>
            </w:r>
          </w:p>
        </w:tc>
        <w:tc>
          <w:tcPr>
            <w:tcW w:type="dxa" w:w="7344"/>
          </w:tcPr>
          <w:p>
            <w:r/>
            <w:r>
              <w:rPr>
                <w:b/>
                <w:sz w:val="18"/>
              </w:rPr>
              <w:t>Provision: Caption/Preamble; Recital G; Section X.D (Notices)</w:t>
            </w:r>
          </w:p>
        </w:tc>
      </w:tr>
    </w:tbl>
    <w:p>
      <w:pPr>
        <w:spacing w:after="0"/>
      </w:pPr>
    </w:p>
    <w:p>
      <w:pPr>
        <w:spacing w:after="80"/>
      </w:pPr>
      <w:r>
        <w:rPr>
          <w:b/>
        </w:rPr>
        <w:t xml:space="preserve">Issue. </w:t>
      </w:r>
      <w:r>
        <w:t>(a) The caption describes the IRS as “the Appeals Division of the Large Business &amp; International Division.” It should be the IRS Independent Office of Appeals. (b) The caption names Revenue Agent Salgado as a representative of the United States. He is not a party or signatory, and naming him is inconsistent with Appeals independence and the ex parte rules (Rev. Proc. 2012-18). (c) Taxpayer-counsel notice is addressed to “One Market Plaza, Suite 3400, San Francisco … Attention: David R. Pemberton.” Pemberton Hale’s record address is 1900 Century Park East, Suite 3400, Los Angeles, CA 90067, attention Eleanor Marsh (with David Yun), the Form 2848 representatives. (d) The IRS notice address mixes “San Diego Campus” with the Fresno street address. Letter 907 says to return documents to “Appeals Division, Attn: Patricia Voss, 5045 East Butler Avenue, Fresno, CA 93888,” and the phone numbers differ ((559) 555-0147 versus (619) 234-7700).</w:t>
      </w:r>
    </w:p>
    <w:p>
      <w:pPr>
        <w:spacing w:after="80"/>
      </w:pPr>
      <w:r>
        <w:rPr>
          <w:b/>
        </w:rPr>
        <w:t xml:space="preserve">Source support. </w:t>
      </w:r>
      <w:r>
        <w:t>Draft caption and §X.D; RAR cover page (representatives and addresses); Letter 907; Voss emails.</w:t>
      </w:r>
    </w:p>
    <w:p>
      <w:pPr>
        <w:spacing w:after="80"/>
      </w:pPr>
      <w:r>
        <w:rPr>
          <w:b/>
        </w:rPr>
        <w:t xml:space="preserve">Risk to Ridgeline. </w:t>
      </w:r>
      <w:r>
        <w:t>Notices misdirected, and misdescription of the IRS office that is the contracting party.</w:t>
      </w:r>
    </w:p>
    <w:p>
      <w:pPr>
        <w:spacing w:after="80"/>
      </w:pPr>
      <w:r>
        <w:rPr>
          <w:b/>
        </w:rPr>
        <w:t xml:space="preserve">Recommended fix. </w:t>
      </w:r>
      <w:r>
        <w:t>Correct the party description and delete the Revenue Agent from the caption (he can be mentioned in Recital C only). Conform the notice addresses to the Form 2848 and to Letter 907.</w:t>
      </w:r>
    </w:p>
    <w:p>
      <w:pPr>
        <w:pStyle w:val="Heading3"/>
      </w:pPr>
      <w:r>
        <w:t>Issue 23: Recital E says the protest was “timely filed” on Aug. 12, 2024, but the RAR deadline was July 28, 2024</w:t>
      </w:r>
    </w:p>
    <w:tbl>
      <w:tblPr>
        <w:tblStyle w:val="TableGrid"/>
        <w:tblW w:type="auto" w:w="0"/>
        <w:tblLook w:firstColumn="1" w:firstRow="1" w:lastColumn="0" w:lastRow="0" w:noHBand="0" w:noVBand="1" w:val="04A0"/>
      </w:tblPr>
      <w:tblGrid>
        <w:gridCol w:w="4680"/>
        <w:gridCol w:w="4680"/>
      </w:tblGrid>
      <w:tr>
        <w:tc>
          <w:tcPr>
            <w:tcW w:type="dxa" w:w="2016"/>
            <w:shd w:val="clear" w:color="auto" w:fill="548235"/>
          </w:tcPr>
          <w:p>
            <w:r/>
            <w:r>
              <w:rPr>
                <w:b/>
                <w:color w:val="FFFFFF"/>
                <w:sz w:val="18"/>
              </w:rPr>
              <w:t>Severity: Low</w:t>
            </w:r>
          </w:p>
        </w:tc>
        <w:tc>
          <w:tcPr>
            <w:tcW w:type="dxa" w:w="7344"/>
          </w:tcPr>
          <w:p>
            <w:r/>
            <w:r>
              <w:rPr>
                <w:b/>
                <w:sz w:val="18"/>
              </w:rPr>
              <w:t>Provision: Recital E</w:t>
            </w:r>
          </w:p>
        </w:tc>
      </w:tr>
    </w:tbl>
    <w:p>
      <w:pPr>
        <w:spacing w:after="0"/>
      </w:pPr>
    </w:p>
    <w:p>
      <w:pPr>
        <w:spacing w:after="80"/>
      </w:pPr>
      <w:r>
        <w:rPr>
          <w:b/>
        </w:rPr>
        <w:t xml:space="preserve">Issue. </w:t>
      </w:r>
      <w:r>
        <w:t>The RAR states the protest was due 30 days after June 28, 2024, i.e., by July 28, 2024. The protest was dated Aug. 12, 2024. If Exam granted an extension, the recital should say so; if not, “timely” is inaccurate. Appeals accepted jurisdiction, so the substantive effect is limited.</w:t>
      </w:r>
    </w:p>
    <w:p>
      <w:pPr>
        <w:spacing w:after="80"/>
      </w:pPr>
      <w:r>
        <w:rPr>
          <w:b/>
        </w:rPr>
        <w:t xml:space="preserve">Source support. </w:t>
      </w:r>
      <w:r>
        <w:t>RAR §II.D and §VIII; Draft Recital E.</w:t>
      </w:r>
    </w:p>
    <w:p>
      <w:pPr>
        <w:spacing w:after="80"/>
      </w:pPr>
      <w:r>
        <w:rPr>
          <w:b/>
        </w:rPr>
        <w:t xml:space="preserve">Risk to Ridgeline. </w:t>
      </w:r>
      <w:r>
        <w:t>Minor factual inaccuracy in a final agreement.</w:t>
      </w:r>
    </w:p>
    <w:p>
      <w:pPr>
        <w:spacing w:after="80"/>
      </w:pPr>
      <w:r>
        <w:rPr>
          <w:b/>
        </w:rPr>
        <w:t xml:space="preserve">Recommended fix. </w:t>
      </w:r>
      <w:r>
        <w:t>Confirm the extension in the file, and revise to “filed a formal written protest dated August 12, 2024 [pursuant to an extension granted by Examination]” or delete “timely.”</w:t>
      </w:r>
    </w:p>
    <w:p>
      <w:pPr>
        <w:pStyle w:val="Heading3"/>
      </w:pPr>
      <w:r>
        <w:t>Issue 24: Commercial boilerplate is not tailored to a §7121 agreement</w:t>
      </w:r>
    </w:p>
    <w:tbl>
      <w:tblPr>
        <w:tblStyle w:val="TableGrid"/>
        <w:tblW w:type="auto" w:w="0"/>
        <w:tblLook w:firstColumn="1" w:firstRow="1" w:lastColumn="0" w:lastRow="0" w:noHBand="0" w:noVBand="1" w:val="04A0"/>
      </w:tblPr>
      <w:tblGrid>
        <w:gridCol w:w="4680"/>
        <w:gridCol w:w="4680"/>
      </w:tblGrid>
      <w:tr>
        <w:tc>
          <w:tcPr>
            <w:tcW w:type="dxa" w:w="2016"/>
            <w:shd w:val="clear" w:color="auto" w:fill="548235"/>
          </w:tcPr>
          <w:p>
            <w:r/>
            <w:r>
              <w:rPr>
                <w:b/>
                <w:color w:val="FFFFFF"/>
                <w:sz w:val="18"/>
              </w:rPr>
              <w:t>Severity: Low</w:t>
            </w:r>
          </w:p>
        </w:tc>
        <w:tc>
          <w:tcPr>
            <w:tcW w:type="dxa" w:w="7344"/>
          </w:tcPr>
          <w:p>
            <w:r/>
            <w:r>
              <w:rPr>
                <w:b/>
                <w:sz w:val="18"/>
              </w:rPr>
              <w:t>Provision: Sections X.A, X.C, X.F (Governing Law, Counterparts, Severability); Form structure</w:t>
            </w:r>
          </w:p>
        </w:tc>
      </w:tr>
    </w:tbl>
    <w:p>
      <w:pPr>
        <w:spacing w:after="0"/>
      </w:pPr>
    </w:p>
    <w:p>
      <w:pPr>
        <w:spacing w:after="80"/>
      </w:pPr>
      <w:r>
        <w:rPr>
          <w:b/>
        </w:rPr>
        <w:t xml:space="preserve">Issue. </w:t>
      </w:r>
      <w:r>
        <w:t>Form 906 has a statutory “determined and agreed” structure. The severability clause (Section X.F) invites an argument that the agreement survives with a key term, such as the penalty release or the Rev. Proc. 99-32 terms, struck out. The governing-law clause subordinates the agreement to the Code, but §7121 agreements bind even where they depart from the Code. Electronic execution should be confirmed as acceptable to Appeals for Form 906.</w:t>
      </w:r>
    </w:p>
    <w:p>
      <w:pPr>
        <w:spacing w:after="80"/>
      </w:pPr>
      <w:r>
        <w:rPr>
          <w:b/>
        </w:rPr>
        <w:t xml:space="preserve">Source support. </w:t>
      </w:r>
      <w:r>
        <w:t>Draft §X.</w:t>
      </w:r>
    </w:p>
    <w:p>
      <w:pPr>
        <w:spacing w:after="80"/>
      </w:pPr>
      <w:r>
        <w:rPr>
          <w:b/>
        </w:rPr>
        <w:t xml:space="preserve">Risk to Ridgeline. </w:t>
      </w:r>
      <w:r>
        <w:t>Low, but it can be used to unpick negotiated terms.</w:t>
      </w:r>
    </w:p>
    <w:p>
      <w:pPr>
        <w:spacing w:after="80"/>
      </w:pPr>
      <w:r>
        <w:rPr>
          <w:b/>
        </w:rPr>
        <w:t xml:space="preserve">Recommended fix. </w:t>
      </w:r>
      <w:r>
        <w:t>Delete X.F, or provide that if any material term is invalid the agreement is void in its entirety. Delete the second sentence of X.A. Confirm Appeals’ acceptance of electronic signatures in writing.</w:t>
      </w:r>
    </w:p>
    <w:p>
      <w:pPr>
        <w:pStyle w:val="Heading1"/>
      </w:pPr>
      <w:r>
        <w:t>V. Corrected Settlement Computation (Exhibit C Restated)</w:t>
      </w:r>
    </w:p>
    <w:p>
      <w:pPr>
        <w:spacing w:after="80"/>
      </w:pPr>
      <w:r>
        <w:rPr>
          <w:b w:val="0"/>
          <w:i w:val="0"/>
        </w:rPr>
        <w:t>Table 1 restates Exhibit C on the terms both parties confirmed in writing (Marsh email of Nov. 14, 2024; Voss email of Nov. 22, 2024; Letter 907). It corrects only the sign and computation errors identified above. It does not reflect the potential correlative reductions in Issue 12 or any change to the FTC figure after verification (Issue 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val="clear" w:color="auto" w:fill="1F3A5F"/>
          </w:tcPr>
          <w:p>
            <w:r/>
            <w:r>
              <w:rPr>
                <w:b/>
                <w:color w:val="FFFFFF"/>
                <w:sz w:val="18"/>
              </w:rPr>
              <w:t>Line</w:t>
            </w:r>
          </w:p>
        </w:tc>
        <w:tc>
          <w:tcPr>
            <w:tcW w:type="dxa" w:w="4176"/>
            <w:shd w:val="clear" w:color="auto" w:fill="1F3A5F"/>
          </w:tcPr>
          <w:p>
            <w:r/>
            <w:r>
              <w:rPr>
                <w:b/>
                <w:color w:val="FFFFFF"/>
                <w:sz w:val="18"/>
              </w:rPr>
              <w:t>Component</w:t>
            </w:r>
          </w:p>
        </w:tc>
        <w:tc>
          <w:tcPr>
            <w:tcW w:type="dxa" w:w="1512"/>
            <w:shd w:val="clear" w:color="auto" w:fill="1F3A5F"/>
          </w:tcPr>
          <w:p>
            <w:r/>
            <w:r>
              <w:rPr>
                <w:b/>
                <w:color w:val="FFFFFF"/>
                <w:sz w:val="18"/>
              </w:rPr>
              <w:t>Draft Exhibit C</w:t>
            </w:r>
          </w:p>
        </w:tc>
        <w:tc>
          <w:tcPr>
            <w:tcW w:type="dxa" w:w="1512"/>
            <w:shd w:val="clear" w:color="auto" w:fill="1F3A5F"/>
          </w:tcPr>
          <w:p>
            <w:r/>
            <w:r>
              <w:rPr>
                <w:b/>
                <w:color w:val="FFFFFF"/>
                <w:sz w:val="18"/>
              </w:rPr>
              <w:t>Corrected</w:t>
            </w:r>
          </w:p>
        </w:tc>
        <w:tc>
          <w:tcPr>
            <w:tcW w:type="dxa" w:w="1512"/>
            <w:shd w:val="clear" w:color="auto" w:fill="1F3A5F"/>
          </w:tcPr>
          <w:p>
            <w:r/>
            <w:r>
              <w:rPr>
                <w:b/>
                <w:color w:val="FFFFFF"/>
                <w:sz w:val="18"/>
              </w:rPr>
              <w:t>Difference</w:t>
            </w:r>
          </w:p>
        </w:tc>
      </w:tr>
      <w:tr>
        <w:tc>
          <w:tcPr>
            <w:tcW w:type="dxa" w:w="648"/>
          </w:tcPr>
          <w:p>
            <w:r/>
            <w:r>
              <w:rPr>
                <w:sz w:val="18"/>
              </w:rPr>
              <w:t>1</w:t>
            </w:r>
          </w:p>
        </w:tc>
        <w:tc>
          <w:tcPr>
            <w:tcW w:type="dxa" w:w="4176"/>
          </w:tcPr>
          <w:p>
            <w:r/>
            <w:r>
              <w:rPr>
                <w:sz w:val="18"/>
              </w:rPr>
              <w:t>Additional tax on §482 adjustment ($104,960,000 × 21%)</w:t>
            </w:r>
          </w:p>
        </w:tc>
        <w:tc>
          <w:tcPr>
            <w:tcW w:type="dxa" w:w="1512"/>
          </w:tcPr>
          <w:p>
            <w:r/>
            <w:r>
              <w:rPr>
                <w:sz w:val="18"/>
              </w:rPr>
              <w:t>$22,041,600</w:t>
            </w:r>
          </w:p>
        </w:tc>
        <w:tc>
          <w:tcPr>
            <w:tcW w:type="dxa" w:w="1512"/>
          </w:tcPr>
          <w:p>
            <w:r/>
            <w:r>
              <w:rPr>
                <w:sz w:val="18"/>
              </w:rPr>
              <w:t>$22,041,600</w:t>
            </w:r>
          </w:p>
        </w:tc>
        <w:tc>
          <w:tcPr>
            <w:tcW w:type="dxa" w:w="1512"/>
          </w:tcPr>
          <w:p>
            <w:r/>
            <w:r>
              <w:rPr>
                <w:sz w:val="18"/>
              </w:rPr>
              <w:t>—</w:t>
            </w:r>
          </w:p>
        </w:tc>
      </w:tr>
      <w:tr>
        <w:tc>
          <w:tcPr>
            <w:tcW w:type="dxa" w:w="648"/>
          </w:tcPr>
          <w:p>
            <w:r/>
            <w:r>
              <w:rPr>
                <w:sz w:val="18"/>
              </w:rPr>
              <w:t>2</w:t>
            </w:r>
          </w:p>
        </w:tc>
        <w:tc>
          <w:tcPr>
            <w:tcW w:type="dxa" w:w="4176"/>
          </w:tcPr>
          <w:p>
            <w:r/>
            <w:r>
              <w:rPr>
                <w:sz w:val="18"/>
              </w:rPr>
              <w:t>R&amp;D credits: draft subtracts restored credits / corrected adds net disallowed credits</w:t>
            </w:r>
          </w:p>
        </w:tc>
        <w:tc>
          <w:tcPr>
            <w:tcW w:type="dxa" w:w="1512"/>
          </w:tcPr>
          <w:p>
            <w:r/>
            <w:r>
              <w:rPr>
                <w:sz w:val="18"/>
              </w:rPr>
              <w:t>($7,480,000)</w:t>
            </w:r>
          </w:p>
        </w:tc>
        <w:tc>
          <w:tcPr>
            <w:tcW w:type="dxa" w:w="1512"/>
          </w:tcPr>
          <w:p>
            <w:r/>
            <w:r>
              <w:rPr>
                <w:sz w:val="18"/>
              </w:rPr>
              <w:t>$11,220,000</w:t>
            </w:r>
          </w:p>
        </w:tc>
        <w:tc>
          <w:tcPr>
            <w:tcW w:type="dxa" w:w="1512"/>
          </w:tcPr>
          <w:p>
            <w:r/>
            <w:r>
              <w:rPr>
                <w:sz w:val="18"/>
              </w:rPr>
              <w:t>+$18,700,000</w:t>
            </w:r>
          </w:p>
        </w:tc>
      </w:tr>
      <w:tr>
        <w:tc>
          <w:tcPr>
            <w:tcW w:type="dxa" w:w="648"/>
          </w:tcPr>
          <w:p>
            <w:r/>
            <w:r>
              <w:rPr>
                <w:sz w:val="18"/>
              </w:rPr>
              <w:t>3</w:t>
            </w:r>
          </w:p>
        </w:tc>
        <w:tc>
          <w:tcPr>
            <w:tcW w:type="dxa" w:w="4176"/>
          </w:tcPr>
          <w:p>
            <w:r/>
            <w:r>
              <w:rPr>
                <w:sz w:val="18"/>
              </w:rPr>
              <w:t>Reduction in allowable FTCs (§904)</w:t>
            </w:r>
          </w:p>
        </w:tc>
        <w:tc>
          <w:tcPr>
            <w:tcW w:type="dxa" w:w="1512"/>
          </w:tcPr>
          <w:p>
            <w:r/>
            <w:r>
              <w:rPr>
                <w:sz w:val="18"/>
              </w:rPr>
              <w:t>($2,310,000)</w:t>
            </w:r>
          </w:p>
        </w:tc>
        <w:tc>
          <w:tcPr>
            <w:tcW w:type="dxa" w:w="1512"/>
          </w:tcPr>
          <w:p>
            <w:r/>
            <w:r>
              <w:rPr>
                <w:sz w:val="18"/>
              </w:rPr>
              <w:t>$2,310,000</w:t>
            </w:r>
          </w:p>
        </w:tc>
        <w:tc>
          <w:tcPr>
            <w:tcW w:type="dxa" w:w="1512"/>
          </w:tcPr>
          <w:p>
            <w:r/>
            <w:r>
              <w:rPr>
                <w:sz w:val="18"/>
              </w:rPr>
              <w:t>+$4,620,000</w:t>
            </w:r>
          </w:p>
        </w:tc>
      </w:tr>
      <w:tr>
        <w:tc>
          <w:tcPr>
            <w:tcW w:type="dxa" w:w="648"/>
          </w:tcPr>
          <w:p>
            <w:r/>
            <w:r>
              <w:rPr>
                <w:sz w:val="18"/>
              </w:rPr>
            </w:r>
          </w:p>
        </w:tc>
        <w:tc>
          <w:tcPr>
            <w:tcW w:type="dxa" w:w="4176"/>
          </w:tcPr>
          <w:p>
            <w:r/>
            <w:r>
              <w:rPr>
                <w:sz w:val="18"/>
              </w:rPr>
              <w:t>Subtotal — tax deficiency</w:t>
            </w:r>
          </w:p>
        </w:tc>
        <w:tc>
          <w:tcPr>
            <w:tcW w:type="dxa" w:w="1512"/>
          </w:tcPr>
          <w:p>
            <w:r/>
            <w:r>
              <w:rPr>
                <w:sz w:val="18"/>
              </w:rPr>
              <w:t>$12,251,600</w:t>
            </w:r>
          </w:p>
        </w:tc>
        <w:tc>
          <w:tcPr>
            <w:tcW w:type="dxa" w:w="1512"/>
          </w:tcPr>
          <w:p>
            <w:r/>
            <w:r>
              <w:rPr>
                <w:sz w:val="18"/>
              </w:rPr>
              <w:t>$35,571,600</w:t>
            </w:r>
          </w:p>
        </w:tc>
        <w:tc>
          <w:tcPr>
            <w:tcW w:type="dxa" w:w="1512"/>
          </w:tcPr>
          <w:p>
            <w:r/>
            <w:r>
              <w:rPr>
                <w:sz w:val="18"/>
              </w:rPr>
              <w:t>+$23,320,000</w:t>
            </w:r>
          </w:p>
        </w:tc>
      </w:tr>
      <w:tr>
        <w:tc>
          <w:tcPr>
            <w:tcW w:type="dxa" w:w="648"/>
          </w:tcPr>
          <w:p>
            <w:r/>
            <w:r>
              <w:rPr>
                <w:sz w:val="18"/>
              </w:rPr>
              <w:t>4</w:t>
            </w:r>
          </w:p>
        </w:tc>
        <w:tc>
          <w:tcPr>
            <w:tcW w:type="dxa" w:w="4176"/>
          </w:tcPr>
          <w:p>
            <w:r/>
            <w:r>
              <w:rPr>
                <w:sz w:val="18"/>
              </w:rPr>
              <w:t>Underpayment interest (IRS figure, unverified)</w:t>
            </w:r>
          </w:p>
        </w:tc>
        <w:tc>
          <w:tcPr>
            <w:tcW w:type="dxa" w:w="1512"/>
          </w:tcPr>
          <w:p>
            <w:r/>
            <w:r>
              <w:rPr>
                <w:sz w:val="18"/>
              </w:rPr>
              <w:t>$3,740,000</w:t>
            </w:r>
          </w:p>
        </w:tc>
        <w:tc>
          <w:tcPr>
            <w:tcW w:type="dxa" w:w="1512"/>
          </w:tcPr>
          <w:p>
            <w:r/>
            <w:r>
              <w:rPr>
                <w:sz w:val="18"/>
              </w:rPr>
              <w:t>$3,740,000</w:t>
            </w:r>
          </w:p>
        </w:tc>
        <w:tc>
          <w:tcPr>
            <w:tcW w:type="dxa" w:w="1512"/>
          </w:tcPr>
          <w:p>
            <w:r/>
            <w:r>
              <w:rPr>
                <w:sz w:val="18"/>
              </w:rPr>
              <w:t>— (see Table 2)</w:t>
            </w:r>
          </w:p>
        </w:tc>
      </w:tr>
      <w:tr>
        <w:tc>
          <w:tcPr>
            <w:tcW w:type="dxa" w:w="648"/>
          </w:tcPr>
          <w:p>
            <w:r/>
            <w:r>
              <w:rPr>
                <w:b/>
                <w:sz w:val="18"/>
              </w:rPr>
              <w:t>5</w:t>
            </w:r>
          </w:p>
        </w:tc>
        <w:tc>
          <w:tcPr>
            <w:tcW w:type="dxa" w:w="4176"/>
          </w:tcPr>
          <w:p>
            <w:r/>
            <w:r>
              <w:rPr>
                <w:b/>
                <w:sz w:val="18"/>
              </w:rPr>
              <w:t>TOTAL SETTLEMENT PAYMENT</w:t>
            </w:r>
          </w:p>
        </w:tc>
        <w:tc>
          <w:tcPr>
            <w:tcW w:type="dxa" w:w="1512"/>
          </w:tcPr>
          <w:p>
            <w:r/>
            <w:r>
              <w:rPr>
                <w:b/>
                <w:sz w:val="18"/>
              </w:rPr>
              <w:t>$15,991,600</w:t>
            </w:r>
          </w:p>
        </w:tc>
        <w:tc>
          <w:tcPr>
            <w:tcW w:type="dxa" w:w="1512"/>
          </w:tcPr>
          <w:p>
            <w:r/>
            <w:r>
              <w:rPr>
                <w:b/>
                <w:sz w:val="18"/>
              </w:rPr>
              <w:t>$39,311,600</w:t>
            </w:r>
          </w:p>
        </w:tc>
        <w:tc>
          <w:tcPr>
            <w:tcW w:type="dxa" w:w="1512"/>
          </w:tcPr>
          <w:p>
            <w:r/>
            <w:r>
              <w:rPr>
                <w:b/>
                <w:sz w:val="18"/>
              </w:rPr>
              <w:t>+$23,320,000</w:t>
            </w:r>
          </w:p>
        </w:tc>
      </w:tr>
    </w:tbl>
    <w:p>
      <w:pPr>
        <w:spacing w:after="40"/>
      </w:pPr>
    </w:p>
    <w:p>
      <w:pPr>
        <w:spacing w:after="80"/>
      </w:pPr>
      <w:r>
        <w:rPr>
          <w:b/>
          <w:i w:val="0"/>
        </w:rPr>
        <w:t>Table 1A — Year-by-year deficiency implied by the agreed terms (FTC allocated pro rata to Ridgeline’s reserve-schedule estimates pending the IRS computation):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1F3A5F"/>
          </w:tcPr>
          <w:p>
            <w:r/>
            <w:r>
              <w:rPr>
                <w:b/>
                <w:color w:val="FFFFFF"/>
                <w:sz w:val="18"/>
              </w:rPr>
              <w:t>Tax Year</w:t>
            </w:r>
          </w:p>
        </w:tc>
        <w:tc>
          <w:tcPr>
            <w:tcW w:type="dxa" w:w="2304"/>
            <w:shd w:val="clear" w:color="auto" w:fill="1F3A5F"/>
          </w:tcPr>
          <w:p>
            <w:r/>
            <w:r>
              <w:rPr>
                <w:b/>
                <w:color w:val="FFFFFF"/>
                <w:sz w:val="18"/>
              </w:rPr>
              <w:t>§482 tax (4% × net sales × 21%)</w:t>
            </w:r>
          </w:p>
        </w:tc>
        <w:tc>
          <w:tcPr>
            <w:tcW w:type="dxa" w:w="2016"/>
            <w:shd w:val="clear" w:color="auto" w:fill="1F3A5F"/>
          </w:tcPr>
          <w:p>
            <w:r/>
            <w:r>
              <w:rPr>
                <w:b/>
                <w:color w:val="FFFFFF"/>
                <w:sz w:val="18"/>
              </w:rPr>
              <w:t>Net R&amp;D credits disallowed</w:t>
            </w:r>
          </w:p>
        </w:tc>
        <w:tc>
          <w:tcPr>
            <w:tcW w:type="dxa" w:w="2016"/>
            <w:shd w:val="clear" w:color="auto" w:fill="1F3A5F"/>
          </w:tcPr>
          <w:p>
            <w:r/>
            <w:r>
              <w:rPr>
                <w:b/>
                <w:color w:val="FFFFFF"/>
                <w:sz w:val="18"/>
              </w:rPr>
              <w:t>FTC reduction (est. allocation)</w:t>
            </w:r>
          </w:p>
        </w:tc>
        <w:tc>
          <w:tcPr>
            <w:tcW w:type="dxa" w:w="2016"/>
            <w:shd w:val="clear" w:color="auto" w:fill="1F3A5F"/>
          </w:tcPr>
          <w:p>
            <w:r/>
            <w:r>
              <w:rPr>
                <w:b/>
                <w:color w:val="FFFFFF"/>
                <w:sz w:val="18"/>
              </w:rPr>
              <w:t>Total tax deficiency</w:t>
            </w:r>
          </w:p>
        </w:tc>
      </w:tr>
      <w:tr>
        <w:tc>
          <w:tcPr>
            <w:tcW w:type="dxa" w:w="1008"/>
          </w:tcPr>
          <w:p>
            <w:r/>
            <w:r>
              <w:rPr>
                <w:sz w:val="18"/>
              </w:rPr>
              <w:t>2019</w:t>
            </w:r>
          </w:p>
        </w:tc>
        <w:tc>
          <w:tcPr>
            <w:tcW w:type="dxa" w:w="2304"/>
          </w:tcPr>
          <w:p>
            <w:r/>
            <w:r>
              <w:rPr>
                <w:sz w:val="18"/>
              </w:rPr>
              <w:t>$3,460,800</w:t>
            </w:r>
          </w:p>
        </w:tc>
        <w:tc>
          <w:tcPr>
            <w:tcW w:type="dxa" w:w="2016"/>
          </w:tcPr>
          <w:p>
            <w:r/>
            <w:r>
              <w:rPr>
                <w:sz w:val="18"/>
              </w:rPr>
              <w:t>$2,520,000</w:t>
            </w:r>
          </w:p>
        </w:tc>
        <w:tc>
          <w:tcPr>
            <w:tcW w:type="dxa" w:w="2016"/>
          </w:tcPr>
          <w:p>
            <w:r/>
            <w:r>
              <w:rPr>
                <w:sz w:val="18"/>
              </w:rPr>
              <w:t>$380,471</w:t>
            </w:r>
          </w:p>
        </w:tc>
        <w:tc>
          <w:tcPr>
            <w:tcW w:type="dxa" w:w="2016"/>
          </w:tcPr>
          <w:p>
            <w:r/>
            <w:r>
              <w:rPr>
                <w:sz w:val="18"/>
              </w:rPr>
              <w:t>$6,361,271</w:t>
            </w:r>
          </w:p>
        </w:tc>
      </w:tr>
      <w:tr>
        <w:tc>
          <w:tcPr>
            <w:tcW w:type="dxa" w:w="1008"/>
          </w:tcPr>
          <w:p>
            <w:r/>
            <w:r>
              <w:rPr>
                <w:sz w:val="18"/>
              </w:rPr>
              <w:t>2020</w:t>
            </w:r>
          </w:p>
        </w:tc>
        <w:tc>
          <w:tcPr>
            <w:tcW w:type="dxa" w:w="2304"/>
          </w:tcPr>
          <w:p>
            <w:r/>
            <w:r>
              <w:rPr>
                <w:sz w:val="18"/>
              </w:rPr>
              <w:t>$4,930,800</w:t>
            </w:r>
          </w:p>
        </w:tc>
        <w:tc>
          <w:tcPr>
            <w:tcW w:type="dxa" w:w="2016"/>
          </w:tcPr>
          <w:p>
            <w:r/>
            <w:r>
              <w:rPr>
                <w:sz w:val="18"/>
              </w:rPr>
              <w:t>$2,880,000</w:t>
            </w:r>
          </w:p>
        </w:tc>
        <w:tc>
          <w:tcPr>
            <w:tcW w:type="dxa" w:w="2016"/>
          </w:tcPr>
          <w:p>
            <w:r/>
            <w:r>
              <w:rPr>
                <w:sz w:val="18"/>
              </w:rPr>
              <w:t>$475,588</w:t>
            </w:r>
          </w:p>
        </w:tc>
        <w:tc>
          <w:tcPr>
            <w:tcW w:type="dxa" w:w="2016"/>
          </w:tcPr>
          <w:p>
            <w:r/>
            <w:r>
              <w:rPr>
                <w:sz w:val="18"/>
              </w:rPr>
              <w:t>$8,286,388</w:t>
            </w:r>
          </w:p>
        </w:tc>
      </w:tr>
      <w:tr>
        <w:tc>
          <w:tcPr>
            <w:tcW w:type="dxa" w:w="1008"/>
          </w:tcPr>
          <w:p>
            <w:r/>
            <w:r>
              <w:rPr>
                <w:sz w:val="18"/>
              </w:rPr>
              <w:t>2021</w:t>
            </w:r>
          </w:p>
        </w:tc>
        <w:tc>
          <w:tcPr>
            <w:tcW w:type="dxa" w:w="2304"/>
          </w:tcPr>
          <w:p>
            <w:r/>
            <w:r>
              <w:rPr>
                <w:sz w:val="18"/>
              </w:rPr>
              <w:t>$6,165,600</w:t>
            </w:r>
          </w:p>
        </w:tc>
        <w:tc>
          <w:tcPr>
            <w:tcW w:type="dxa" w:w="2016"/>
          </w:tcPr>
          <w:p>
            <w:r/>
            <w:r>
              <w:rPr>
                <w:sz w:val="18"/>
              </w:rPr>
              <w:t>$2,700,000</w:t>
            </w:r>
          </w:p>
        </w:tc>
        <w:tc>
          <w:tcPr>
            <w:tcW w:type="dxa" w:w="2016"/>
          </w:tcPr>
          <w:p>
            <w:r/>
            <w:r>
              <w:rPr>
                <w:sz w:val="18"/>
              </w:rPr>
              <w:t>$665,824</w:t>
            </w:r>
          </w:p>
        </w:tc>
        <w:tc>
          <w:tcPr>
            <w:tcW w:type="dxa" w:w="2016"/>
          </w:tcPr>
          <w:p>
            <w:r/>
            <w:r>
              <w:rPr>
                <w:sz w:val="18"/>
              </w:rPr>
              <w:t>$9,531,424</w:t>
            </w:r>
          </w:p>
        </w:tc>
      </w:tr>
      <w:tr>
        <w:tc>
          <w:tcPr>
            <w:tcW w:type="dxa" w:w="1008"/>
          </w:tcPr>
          <w:p>
            <w:r/>
            <w:r>
              <w:rPr>
                <w:sz w:val="18"/>
              </w:rPr>
              <w:t>2022</w:t>
            </w:r>
          </w:p>
        </w:tc>
        <w:tc>
          <w:tcPr>
            <w:tcW w:type="dxa" w:w="2304"/>
          </w:tcPr>
          <w:p>
            <w:r/>
            <w:r>
              <w:rPr>
                <w:sz w:val="18"/>
              </w:rPr>
              <w:t>$7,484,400</w:t>
            </w:r>
          </w:p>
        </w:tc>
        <w:tc>
          <w:tcPr>
            <w:tcW w:type="dxa" w:w="2016"/>
          </w:tcPr>
          <w:p>
            <w:r/>
            <w:r>
              <w:rPr>
                <w:sz w:val="18"/>
              </w:rPr>
              <w:t>$3,120,000</w:t>
            </w:r>
          </w:p>
        </w:tc>
        <w:tc>
          <w:tcPr>
            <w:tcW w:type="dxa" w:w="2016"/>
          </w:tcPr>
          <w:p>
            <w:r/>
            <w:r>
              <w:rPr>
                <w:sz w:val="18"/>
              </w:rPr>
              <w:t>$788,117</w:t>
            </w:r>
          </w:p>
        </w:tc>
        <w:tc>
          <w:tcPr>
            <w:tcW w:type="dxa" w:w="2016"/>
          </w:tcPr>
          <w:p>
            <w:r/>
            <w:r>
              <w:rPr>
                <w:sz w:val="18"/>
              </w:rPr>
              <w:t>$11,392,517</w:t>
            </w:r>
          </w:p>
        </w:tc>
      </w:tr>
      <w:tr>
        <w:tc>
          <w:tcPr>
            <w:tcW w:type="dxa" w:w="1008"/>
          </w:tcPr>
          <w:p>
            <w:r/>
            <w:r>
              <w:rPr>
                <w:b/>
                <w:sz w:val="18"/>
              </w:rPr>
              <w:t>Total</w:t>
            </w:r>
          </w:p>
        </w:tc>
        <w:tc>
          <w:tcPr>
            <w:tcW w:type="dxa" w:w="2304"/>
          </w:tcPr>
          <w:p>
            <w:r/>
            <w:r>
              <w:rPr>
                <w:b/>
                <w:sz w:val="18"/>
              </w:rPr>
              <w:t>$22,041,600</w:t>
            </w:r>
          </w:p>
        </w:tc>
        <w:tc>
          <w:tcPr>
            <w:tcW w:type="dxa" w:w="2016"/>
          </w:tcPr>
          <w:p>
            <w:r/>
            <w:r>
              <w:rPr>
                <w:b/>
                <w:sz w:val="18"/>
              </w:rPr>
              <w:t>$11,220,000</w:t>
            </w:r>
          </w:p>
        </w:tc>
        <w:tc>
          <w:tcPr>
            <w:tcW w:type="dxa" w:w="2016"/>
          </w:tcPr>
          <w:p>
            <w:r/>
            <w:r>
              <w:rPr>
                <w:b/>
                <w:sz w:val="18"/>
              </w:rPr>
              <w:t>$2,310,000</w:t>
            </w:r>
          </w:p>
        </w:tc>
        <w:tc>
          <w:tcPr>
            <w:tcW w:type="dxa" w:w="2016"/>
          </w:tcPr>
          <w:p>
            <w:r/>
            <w:r>
              <w:rPr>
                <w:b/>
                <w:sz w:val="18"/>
              </w:rPr>
              <w:t>$35,571,600</w:t>
            </w:r>
          </w:p>
        </w:tc>
      </w:tr>
    </w:tbl>
    <w:p>
      <w:pPr>
        <w:spacing w:after="40"/>
      </w:pPr>
    </w:p>
    <w:p>
      <w:pPr>
        <w:spacing w:after="80"/>
      </w:pPr>
      <w:r>
        <w:rPr>
          <w:b w:val="0"/>
          <w:i/>
          <w:sz w:val="18"/>
        </w:rPr>
        <w:t>§482 tax by year uses the RAR-verified net sales ($412M / $587M / $734M / $891M). The FTC allocation uses the year-by-year proportions in Ridgeline’s FTC UTP tab ($280K / $350K / $490K / $580K) scaled to $2,310,000. It must be replaced by RA Salgado’s computation.</w:t>
      </w:r>
    </w:p>
    <w:p>
      <w:pPr>
        <w:spacing w:after="80"/>
      </w:pPr>
      <w:r>
        <w:rPr>
          <w:b/>
          <w:i w:val="0"/>
        </w:rPr>
        <w:t>Table 2 — Interest reasonableness check (estimate through assumed payment date of March 1, 2025; daily compounding):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312"/>
            <w:shd w:val="clear" w:color="auto" w:fill="1F3A5F"/>
          </w:tcPr>
          <w:p>
            <w:r/>
            <w:r>
              <w:rPr>
                <w:b/>
                <w:color w:val="FFFFFF"/>
                <w:sz w:val="17"/>
              </w:rPr>
              <w:t>Scenario</w:t>
            </w:r>
          </w:p>
        </w:tc>
        <w:tc>
          <w:tcPr>
            <w:tcW w:type="dxa" w:w="1224"/>
            <w:shd w:val="clear" w:color="auto" w:fill="1F3A5F"/>
          </w:tcPr>
          <w:p>
            <w:r/>
            <w:r>
              <w:rPr>
                <w:b/>
                <w:color w:val="FFFFFF"/>
                <w:sz w:val="17"/>
              </w:rPr>
              <w:t>2019</w:t>
            </w:r>
          </w:p>
        </w:tc>
        <w:tc>
          <w:tcPr>
            <w:tcW w:type="dxa" w:w="1224"/>
            <w:shd w:val="clear" w:color="auto" w:fill="1F3A5F"/>
          </w:tcPr>
          <w:p>
            <w:r/>
            <w:r>
              <w:rPr>
                <w:b/>
                <w:color w:val="FFFFFF"/>
                <w:sz w:val="17"/>
              </w:rPr>
              <w:t>2020</w:t>
            </w:r>
          </w:p>
        </w:tc>
        <w:tc>
          <w:tcPr>
            <w:tcW w:type="dxa" w:w="1224"/>
            <w:shd w:val="clear" w:color="auto" w:fill="1F3A5F"/>
          </w:tcPr>
          <w:p>
            <w:r/>
            <w:r>
              <w:rPr>
                <w:b/>
                <w:color w:val="FFFFFF"/>
                <w:sz w:val="17"/>
              </w:rPr>
              <w:t>2021</w:t>
            </w:r>
          </w:p>
        </w:tc>
        <w:tc>
          <w:tcPr>
            <w:tcW w:type="dxa" w:w="1224"/>
            <w:shd w:val="clear" w:color="auto" w:fill="1F3A5F"/>
          </w:tcPr>
          <w:p>
            <w:r/>
            <w:r>
              <w:rPr>
                <w:b/>
                <w:color w:val="FFFFFF"/>
                <w:sz w:val="17"/>
              </w:rPr>
              <w:t>2022</w:t>
            </w:r>
          </w:p>
        </w:tc>
        <w:tc>
          <w:tcPr>
            <w:tcW w:type="dxa" w:w="1296"/>
            <w:shd w:val="clear" w:color="auto" w:fill="1F3A5F"/>
          </w:tcPr>
          <w:p>
            <w:r/>
            <w:r>
              <w:rPr>
                <w:b/>
                <w:color w:val="FFFFFF"/>
                <w:sz w:val="17"/>
              </w:rPr>
              <w:t>Total</w:t>
            </w:r>
          </w:p>
        </w:tc>
      </w:tr>
      <w:tr>
        <w:tc>
          <w:tcPr>
            <w:tcW w:type="dxa" w:w="3312"/>
          </w:tcPr>
          <w:p>
            <w:r/>
            <w:r>
              <w:rPr>
                <w:sz w:val="17"/>
              </w:rPr>
              <w:t>Original due dates (Apr. 15), §6621(a)(2) rates only</w:t>
            </w:r>
          </w:p>
        </w:tc>
        <w:tc>
          <w:tcPr>
            <w:tcW w:type="dxa" w:w="1224"/>
          </w:tcPr>
          <w:p>
            <w:r/>
            <w:r>
              <w:rPr>
                <w:sz w:val="17"/>
              </w:rPr>
              <w:t>$1,926,145</w:t>
            </w:r>
          </w:p>
        </w:tc>
        <w:tc>
          <w:tcPr>
            <w:tcW w:type="dxa" w:w="1224"/>
          </w:tcPr>
          <w:p>
            <w:r/>
            <w:r>
              <w:rPr>
                <w:sz w:val="17"/>
              </w:rPr>
              <w:t>$2,146,643</w:t>
            </w:r>
          </w:p>
        </w:tc>
        <w:tc>
          <w:tcPr>
            <w:tcW w:type="dxa" w:w="1224"/>
          </w:tcPr>
          <w:p>
            <w:r/>
            <w:r>
              <w:rPr>
                <w:sz w:val="17"/>
              </w:rPr>
              <w:t>$2,110,055</w:t>
            </w:r>
          </w:p>
        </w:tc>
        <w:tc>
          <w:tcPr>
            <w:tcW w:type="dxa" w:w="1224"/>
          </w:tcPr>
          <w:p>
            <w:r/>
            <w:r>
              <w:rPr>
                <w:sz w:val="17"/>
              </w:rPr>
              <w:t>$1,762,879</w:t>
            </w:r>
          </w:p>
        </w:tc>
        <w:tc>
          <w:tcPr>
            <w:tcW w:type="dxa" w:w="1296"/>
          </w:tcPr>
          <w:p>
            <w:r/>
            <w:r>
              <w:rPr>
                <w:sz w:val="17"/>
              </w:rPr>
              <w:t>$7,945,722</w:t>
            </w:r>
          </w:p>
        </w:tc>
      </w:tr>
      <w:tr>
        <w:tc>
          <w:tcPr>
            <w:tcW w:type="dxa" w:w="3312"/>
          </w:tcPr>
          <w:p>
            <w:r/>
            <w:r>
              <w:rPr>
                <w:sz w:val="17"/>
              </w:rPr>
              <w:t>Same, plus §6621(c) +2% from July 28, 2024</w:t>
            </w:r>
          </w:p>
        </w:tc>
        <w:tc>
          <w:tcPr>
            <w:tcW w:type="dxa" w:w="1224"/>
          </w:tcPr>
          <w:p>
            <w:r/>
            <w:r>
              <w:rPr>
                <w:sz w:val="17"/>
              </w:rPr>
              <w:t>$2,024,594</w:t>
            </w:r>
          </w:p>
        </w:tc>
        <w:tc>
          <w:tcPr>
            <w:tcW w:type="dxa" w:w="1224"/>
          </w:tcPr>
          <w:p>
            <w:r/>
            <w:r>
              <w:rPr>
                <w:sz w:val="17"/>
              </w:rPr>
              <w:t>$2,270,580</w:t>
            </w:r>
          </w:p>
        </w:tc>
        <w:tc>
          <w:tcPr>
            <w:tcW w:type="dxa" w:w="1224"/>
          </w:tcPr>
          <w:p>
            <w:r/>
            <w:r>
              <w:rPr>
                <w:sz w:val="17"/>
              </w:rPr>
              <w:t>$2,248,348</w:t>
            </w:r>
          </w:p>
        </w:tc>
        <w:tc>
          <w:tcPr>
            <w:tcW w:type="dxa" w:w="1224"/>
          </w:tcPr>
          <w:p>
            <w:r/>
            <w:r>
              <w:rPr>
                <w:sz w:val="17"/>
              </w:rPr>
              <w:t>$1,919,156</w:t>
            </w:r>
          </w:p>
        </w:tc>
        <w:tc>
          <w:tcPr>
            <w:tcW w:type="dxa" w:w="1296"/>
          </w:tcPr>
          <w:p>
            <w:r/>
            <w:r>
              <w:rPr>
                <w:sz w:val="17"/>
              </w:rPr>
              <w:t>$8,462,677</w:t>
            </w:r>
          </w:p>
        </w:tc>
      </w:tr>
      <w:tr>
        <w:tc>
          <w:tcPr>
            <w:tcW w:type="dxa" w:w="3312"/>
          </w:tcPr>
          <w:p>
            <w:r/>
            <w:r>
              <w:rPr>
                <w:sz w:val="17"/>
              </w:rPr>
              <w:t>Extended due dates (Oct. 15) — legally incorrect method</w:t>
            </w:r>
          </w:p>
        </w:tc>
        <w:tc>
          <w:tcPr>
            <w:tcW w:type="dxa" w:w="1224"/>
          </w:tcPr>
          <w:p>
            <w:r/>
            <w:r>
              <w:rPr>
                <w:sz w:val="17"/>
              </w:rPr>
              <w:t>$1,768,491</w:t>
            </w:r>
          </w:p>
        </w:tc>
        <w:tc>
          <w:tcPr>
            <w:tcW w:type="dxa" w:w="1224"/>
          </w:tcPr>
          <w:p>
            <w:r/>
            <w:r>
              <w:rPr>
                <w:sz w:val="17"/>
              </w:rPr>
              <w:t>$1,990,899</w:t>
            </w:r>
          </w:p>
        </w:tc>
        <w:tc>
          <w:tcPr>
            <w:tcW w:type="dxa" w:w="1224"/>
          </w:tcPr>
          <w:p>
            <w:r/>
            <w:r>
              <w:rPr>
                <w:sz w:val="17"/>
              </w:rPr>
              <w:t>$1,841,479</w:t>
            </w:r>
          </w:p>
        </w:tc>
        <w:tc>
          <w:tcPr>
            <w:tcW w:type="dxa" w:w="1224"/>
          </w:tcPr>
          <w:p>
            <w:r/>
            <w:r>
              <w:rPr>
                <w:sz w:val="17"/>
              </w:rPr>
              <w:t>$1,304,359</w:t>
            </w:r>
          </w:p>
        </w:tc>
        <w:tc>
          <w:tcPr>
            <w:tcW w:type="dxa" w:w="1296"/>
          </w:tcPr>
          <w:p>
            <w:r/>
            <w:r>
              <w:rPr>
                <w:sz w:val="17"/>
              </w:rPr>
              <w:t>$6,905,228</w:t>
            </w:r>
          </w:p>
        </w:tc>
      </w:tr>
      <w:tr>
        <w:tc>
          <w:tcPr>
            <w:tcW w:type="dxa" w:w="3312"/>
          </w:tcPr>
          <w:p>
            <w:r/>
            <w:r>
              <w:rPr>
                <w:sz w:val="17"/>
              </w:rPr>
              <w:t>Draft / IRS stated figure (no breakdown)</w:t>
            </w:r>
          </w:p>
        </w:tc>
        <w:tc>
          <w:tcPr>
            <w:tcW w:type="dxa" w:w="1224"/>
          </w:tcPr>
          <w:p>
            <w:r/>
            <w:r>
              <w:rPr>
                <w:sz w:val="17"/>
              </w:rPr>
              <w:t>n/a</w:t>
            </w:r>
          </w:p>
        </w:tc>
        <w:tc>
          <w:tcPr>
            <w:tcW w:type="dxa" w:w="1224"/>
          </w:tcPr>
          <w:p>
            <w:r/>
            <w:r>
              <w:rPr>
                <w:sz w:val="17"/>
              </w:rPr>
              <w:t>n/a</w:t>
            </w:r>
          </w:p>
        </w:tc>
        <w:tc>
          <w:tcPr>
            <w:tcW w:type="dxa" w:w="1224"/>
          </w:tcPr>
          <w:p>
            <w:r/>
            <w:r>
              <w:rPr>
                <w:sz w:val="17"/>
              </w:rPr>
              <w:t>n/a</w:t>
            </w:r>
          </w:p>
        </w:tc>
        <w:tc>
          <w:tcPr>
            <w:tcW w:type="dxa" w:w="1224"/>
          </w:tcPr>
          <w:p>
            <w:r/>
            <w:r>
              <w:rPr>
                <w:sz w:val="17"/>
              </w:rPr>
              <w:t>n/a</w:t>
            </w:r>
          </w:p>
        </w:tc>
        <w:tc>
          <w:tcPr>
            <w:tcW w:type="dxa" w:w="1296"/>
          </w:tcPr>
          <w:p>
            <w:r/>
            <w:r>
              <w:rPr>
                <w:sz w:val="17"/>
              </w:rPr>
              <w:t>$3,740,000</w:t>
            </w:r>
          </w:p>
        </w:tc>
      </w:tr>
    </w:tbl>
    <w:p>
      <w:pPr>
        <w:spacing w:after="40"/>
      </w:pPr>
    </w:p>
    <w:p>
      <w:pPr>
        <w:spacing w:after="80"/>
      </w:pPr>
      <w:r>
        <w:rPr>
          <w:b w:val="0"/>
          <w:i/>
          <w:sz w:val="18"/>
        </w:rPr>
        <w:t>Rates applied: 5% (to 6/30/2020); 3% (7/1/2020–3/31/2022); 4% (Q2 2022); 5% (Q3 2022); 6% (Q4 2022); 7% (Q1–Q3 2023); 8% (Q4 2023–Q4 2024); 7% (Q1 2025). On these assumptions, the IRS figure cannot be reproduced on the deficiency base. We should insist on an IRS INTST computation by year before Ridgeline signs anything that fixes interest. Each month of delay past March 1, 2025 adds roughly $0.25–0.3 million of interest at the 7% rate (more if hot interest applies), which supports a §6603 deposit.</w:t>
      </w:r>
    </w:p>
    <w:p>
      <w:pPr>
        <w:pStyle w:val="Heading1"/>
      </w:pPr>
      <w:r>
        <w:t>VI. ASC 740 Reserve Implications</w:t>
      </w:r>
    </w:p>
    <w:p>
      <w:pPr>
        <w:spacing w:after="80"/>
      </w:pPr>
      <w:r>
        <w:rPr>
          <w:b w:val="0"/>
          <w:i w:val="0"/>
        </w:rPr>
        <w:t>Ridgeline’s reserve schedule (reviewed by Pinnacle Accounting Group LLP) was built on the same settlement terms and confirms the corrected direction of each component. Comparing booked reserves with the corrected settlement amounts: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3A5F"/>
          </w:tcPr>
          <w:p>
            <w:r/>
            <w:r>
              <w:rPr>
                <w:b/>
                <w:color w:val="FFFFFF"/>
                <w:sz w:val="18"/>
              </w:rPr>
              <w:t>Component</w:t>
            </w:r>
          </w:p>
        </w:tc>
        <w:tc>
          <w:tcPr>
            <w:tcW w:type="dxa" w:w="2448"/>
            <w:shd w:val="clear" w:color="auto" w:fill="1F3A5F"/>
          </w:tcPr>
          <w:p>
            <w:r/>
            <w:r>
              <w:rPr>
                <w:b/>
                <w:color w:val="FFFFFF"/>
                <w:sz w:val="18"/>
              </w:rPr>
              <w:t>Corrected settlement amount ($000s)</w:t>
            </w:r>
          </w:p>
        </w:tc>
        <w:tc>
          <w:tcPr>
            <w:tcW w:type="dxa" w:w="2016"/>
            <w:shd w:val="clear" w:color="auto" w:fill="1F3A5F"/>
          </w:tcPr>
          <w:p>
            <w:r/>
            <w:r>
              <w:rPr>
                <w:b/>
                <w:color w:val="FFFFFF"/>
                <w:sz w:val="18"/>
              </w:rPr>
              <w:t>Reserve booked ($000s)</w:t>
            </w:r>
          </w:p>
        </w:tc>
        <w:tc>
          <w:tcPr>
            <w:tcW w:type="dxa" w:w="2016"/>
            <w:shd w:val="clear" w:color="auto" w:fill="1F3A5F"/>
          </w:tcPr>
          <w:p>
            <w:r/>
            <w:r>
              <w:rPr>
                <w:b/>
                <w:color w:val="FFFFFF"/>
                <w:sz w:val="18"/>
              </w:rPr>
              <w:t>Surplus / (shortfall) ($000s)</w:t>
            </w:r>
          </w:p>
        </w:tc>
      </w:tr>
      <w:tr>
        <w:tc>
          <w:tcPr>
            <w:tcW w:type="dxa" w:w="2880"/>
          </w:tcPr>
          <w:p>
            <w:r/>
            <w:r>
              <w:rPr>
                <w:sz w:val="18"/>
              </w:rPr>
              <w:t>Transfer pricing (§482)</w:t>
            </w:r>
          </w:p>
        </w:tc>
        <w:tc>
          <w:tcPr>
            <w:tcW w:type="dxa" w:w="2448"/>
          </w:tcPr>
          <w:p>
            <w:r/>
            <w:r>
              <w:rPr>
                <w:sz w:val="18"/>
              </w:rPr>
              <w:t>22,041.6</w:t>
            </w:r>
          </w:p>
        </w:tc>
        <w:tc>
          <w:tcPr>
            <w:tcW w:type="dxa" w:w="2016"/>
          </w:tcPr>
          <w:p>
            <w:r/>
            <w:r>
              <w:rPr>
                <w:sz w:val="18"/>
              </w:rPr>
              <w:t>19,800.0</w:t>
            </w:r>
          </w:p>
        </w:tc>
        <w:tc>
          <w:tcPr>
            <w:tcW w:type="dxa" w:w="2016"/>
          </w:tcPr>
          <w:p>
            <w:r/>
            <w:r>
              <w:rPr>
                <w:sz w:val="18"/>
              </w:rPr>
              <w:t>(2,241.6)</w:t>
            </w:r>
          </w:p>
        </w:tc>
      </w:tr>
      <w:tr>
        <w:tc>
          <w:tcPr>
            <w:tcW w:type="dxa" w:w="2880"/>
          </w:tcPr>
          <w:p>
            <w:r/>
            <w:r>
              <w:rPr>
                <w:sz w:val="18"/>
              </w:rPr>
              <w:t>R&amp;D credits (§41)</w:t>
            </w:r>
          </w:p>
        </w:tc>
        <w:tc>
          <w:tcPr>
            <w:tcW w:type="dxa" w:w="2448"/>
          </w:tcPr>
          <w:p>
            <w:r/>
            <w:r>
              <w:rPr>
                <w:sz w:val="18"/>
              </w:rPr>
              <w:t>11,220.0</w:t>
            </w:r>
          </w:p>
        </w:tc>
        <w:tc>
          <w:tcPr>
            <w:tcW w:type="dxa" w:w="2016"/>
          </w:tcPr>
          <w:p>
            <w:r/>
            <w:r>
              <w:rPr>
                <w:sz w:val="18"/>
              </w:rPr>
              <w:t>9,400.0</w:t>
            </w:r>
          </w:p>
        </w:tc>
        <w:tc>
          <w:tcPr>
            <w:tcW w:type="dxa" w:w="2016"/>
          </w:tcPr>
          <w:p>
            <w:r/>
            <w:r>
              <w:rPr>
                <w:sz w:val="18"/>
              </w:rPr>
              <w:t>(1,820.0)</w:t>
            </w:r>
          </w:p>
        </w:tc>
      </w:tr>
      <w:tr>
        <w:tc>
          <w:tcPr>
            <w:tcW w:type="dxa" w:w="2880"/>
          </w:tcPr>
          <w:p>
            <w:r/>
            <w:r>
              <w:rPr>
                <w:sz w:val="18"/>
              </w:rPr>
              <w:t>Foreign tax credits (§904)</w:t>
            </w:r>
          </w:p>
        </w:tc>
        <w:tc>
          <w:tcPr>
            <w:tcW w:type="dxa" w:w="2448"/>
          </w:tcPr>
          <w:p>
            <w:r/>
            <w:r>
              <w:rPr>
                <w:sz w:val="18"/>
              </w:rPr>
              <w:t>2,310.0</w:t>
            </w:r>
          </w:p>
        </w:tc>
        <w:tc>
          <w:tcPr>
            <w:tcW w:type="dxa" w:w="2016"/>
          </w:tcPr>
          <w:p>
            <w:r/>
            <w:r>
              <w:rPr>
                <w:sz w:val="18"/>
              </w:rPr>
              <w:t>1,700.0</w:t>
            </w:r>
          </w:p>
        </w:tc>
        <w:tc>
          <w:tcPr>
            <w:tcW w:type="dxa" w:w="2016"/>
          </w:tcPr>
          <w:p>
            <w:r/>
            <w:r>
              <w:rPr>
                <w:sz w:val="18"/>
              </w:rPr>
              <w:t>(610.0)</w:t>
            </w:r>
          </w:p>
        </w:tc>
      </w:tr>
      <w:tr>
        <w:tc>
          <w:tcPr>
            <w:tcW w:type="dxa" w:w="2880"/>
          </w:tcPr>
          <w:p>
            <w:r/>
            <w:r>
              <w:rPr>
                <w:sz w:val="18"/>
              </w:rPr>
              <w:t>Interest — IRS figure</w:t>
            </w:r>
          </w:p>
        </w:tc>
        <w:tc>
          <w:tcPr>
            <w:tcW w:type="dxa" w:w="2448"/>
          </w:tcPr>
          <w:p>
            <w:r/>
            <w:r>
              <w:rPr>
                <w:sz w:val="18"/>
              </w:rPr>
              <w:t>3,740.0</w:t>
            </w:r>
          </w:p>
        </w:tc>
        <w:tc>
          <w:tcPr>
            <w:tcW w:type="dxa" w:w="2016"/>
          </w:tcPr>
          <w:p>
            <w:r/>
            <w:r>
              <w:rPr>
                <w:sz w:val="18"/>
              </w:rPr>
              <w:t>3,500.0</w:t>
            </w:r>
          </w:p>
        </w:tc>
        <w:tc>
          <w:tcPr>
            <w:tcW w:type="dxa" w:w="2016"/>
          </w:tcPr>
          <w:p>
            <w:r/>
            <w:r>
              <w:rPr>
                <w:sz w:val="18"/>
              </w:rPr>
              <w:t>(240.0)</w:t>
            </w:r>
          </w:p>
        </w:tc>
      </w:tr>
      <w:tr>
        <w:tc>
          <w:tcPr>
            <w:tcW w:type="dxa" w:w="2880"/>
          </w:tcPr>
          <w:p>
            <w:r/>
            <w:r>
              <w:rPr>
                <w:sz w:val="18"/>
              </w:rPr>
              <w:t>Penalties</w:t>
            </w:r>
          </w:p>
        </w:tc>
        <w:tc>
          <w:tcPr>
            <w:tcW w:type="dxa" w:w="2448"/>
          </w:tcPr>
          <w:p>
            <w:r/>
            <w:r>
              <w:rPr>
                <w:sz w:val="18"/>
              </w:rPr>
              <w:t>0.0 (if release fixed per Issue 8)</w:t>
            </w:r>
          </w:p>
        </w:tc>
        <w:tc>
          <w:tcPr>
            <w:tcW w:type="dxa" w:w="2016"/>
          </w:tcPr>
          <w:p>
            <w:r/>
            <w:r>
              <w:rPr>
                <w:sz w:val="18"/>
              </w:rPr>
              <w:t>0.0</w:t>
            </w:r>
          </w:p>
        </w:tc>
        <w:tc>
          <w:tcPr>
            <w:tcW w:type="dxa" w:w="2016"/>
          </w:tcPr>
          <w:p>
            <w:r/>
            <w:r>
              <w:rPr>
                <w:sz w:val="18"/>
              </w:rPr>
              <w:t>—</w:t>
            </w:r>
          </w:p>
        </w:tc>
      </w:tr>
      <w:tr>
        <w:tc>
          <w:tcPr>
            <w:tcW w:type="dxa" w:w="2880"/>
          </w:tcPr>
          <w:p>
            <w:r/>
            <w:r>
              <w:rPr>
                <w:sz w:val="18"/>
              </w:rPr>
              <w:t>Total (IRS interest figure)</w:t>
            </w:r>
          </w:p>
        </w:tc>
        <w:tc>
          <w:tcPr>
            <w:tcW w:type="dxa" w:w="2448"/>
          </w:tcPr>
          <w:p>
            <w:r/>
            <w:r>
              <w:rPr>
                <w:sz w:val="18"/>
              </w:rPr>
              <w:t>39,311.6</w:t>
            </w:r>
          </w:p>
        </w:tc>
        <w:tc>
          <w:tcPr>
            <w:tcW w:type="dxa" w:w="2016"/>
          </w:tcPr>
          <w:p>
            <w:r/>
            <w:r>
              <w:rPr>
                <w:sz w:val="18"/>
              </w:rPr>
              <w:t>34,400.0</w:t>
            </w:r>
          </w:p>
        </w:tc>
        <w:tc>
          <w:tcPr>
            <w:tcW w:type="dxa" w:w="2016"/>
          </w:tcPr>
          <w:p>
            <w:r/>
            <w:r>
              <w:rPr>
                <w:sz w:val="18"/>
              </w:rPr>
              <w:t>(4,911.6)</w:t>
            </w:r>
          </w:p>
        </w:tc>
      </w:tr>
      <w:tr>
        <w:tc>
          <w:tcPr>
            <w:tcW w:type="dxa" w:w="2880"/>
          </w:tcPr>
          <w:p>
            <w:r/>
            <w:r>
              <w:rPr>
                <w:b/>
                <w:sz w:val="18"/>
              </w:rPr>
              <w:t>Total (interest at our ~$7.9M estimate)</w:t>
            </w:r>
          </w:p>
        </w:tc>
        <w:tc>
          <w:tcPr>
            <w:tcW w:type="dxa" w:w="2448"/>
          </w:tcPr>
          <w:p>
            <w:r/>
            <w:r>
              <w:rPr>
                <w:b/>
                <w:sz w:val="18"/>
              </w:rPr>
              <w:t>~43,517</w:t>
            </w:r>
          </w:p>
        </w:tc>
        <w:tc>
          <w:tcPr>
            <w:tcW w:type="dxa" w:w="2016"/>
          </w:tcPr>
          <w:p>
            <w:r/>
            <w:r>
              <w:rPr>
                <w:b/>
                <w:sz w:val="18"/>
              </w:rPr>
              <w:t>34,400.0</w:t>
            </w:r>
          </w:p>
        </w:tc>
        <w:tc>
          <w:tcPr>
            <w:tcW w:type="dxa" w:w="2016"/>
          </w:tcPr>
          <w:p>
            <w:r/>
            <w:r>
              <w:rPr>
                <w:b/>
                <w:sz w:val="18"/>
              </w:rPr>
              <w:t>~(9,117)</w:t>
            </w:r>
          </w:p>
        </w:tc>
      </w:tr>
    </w:tbl>
    <w:p>
      <w:pPr>
        <w:spacing w:after="40"/>
      </w:pPr>
    </w:p>
    <w:p>
      <w:pPr>
        <w:spacing w:after="40"/>
      </w:pPr>
      <w:r>
        <w:rPr>
          <w:b/>
          <w:i w:val="0"/>
        </w:rPr>
        <w:t>Additional observations on the reserve schedule that should be raised with Ms. Kwon, Mr. Patel and Pinnacle:</w:t>
      </w:r>
    </w:p>
    <w:p>
      <w:pPr>
        <w:pStyle w:val="ListBullet"/>
        <w:spacing w:after="40"/>
      </w:pPr>
      <w:r>
        <w:t xml:space="preserve"> The schedule is labelled “As of December 31, 2022 … Final — Q4 2022 Close” and dated March 15, 2023, yet it refers to the June 28, 2024 RAR, the October 3, 2024 Appeals conference and the January 2025 Letter 907. The version and as-of date should be cleaned up before it supports the Q4 2024 close.</w:t>
      </w:r>
    </w:p>
    <w:p>
      <w:pPr>
        <w:pStyle w:val="ListBullet"/>
        <w:spacing w:after="40"/>
      </w:pPr>
      <w:r>
        <w:t xml:space="preserve"> Transfer Pricing tab note: the $19,800K reserve is said to be lower than the $22,041.6K expected tax “because reserves also reflect partial offsetting FTC and R&amp;D credit outcomes.” That reasoning is wrong in direction. The FTC and R&amp;D outcomes increase, not offset, the liability.</w:t>
      </w:r>
    </w:p>
    <w:p>
      <w:pPr>
        <w:pStyle w:val="ListBullet"/>
        <w:spacing w:after="40"/>
      </w:pPr>
      <w:r>
        <w:t xml:space="preserve"> R&amp;D tab: the reserve is described as “approximately 50% of total disallowed credits” sustained, while the 40% restoration assumption implies 60% ($11,220K) sustained. The reserve is $1,820K short of the modelled outcome.</w:t>
      </w:r>
    </w:p>
    <w:p>
      <w:pPr>
        <w:pStyle w:val="ListBullet"/>
        <w:spacing w:after="40"/>
      </w:pPr>
      <w:r>
        <w:t xml:space="preserve"> FTC tab: management knowingly kept a $1,700K reserve although its own 16% scenario shows $2,310K, a $610K shortfall. The tab also cites §904(d)(1)(B) (the foreign branch basket) for what it calls general-category credits.</w:t>
      </w:r>
    </w:p>
    <w:p>
      <w:pPr>
        <w:pStyle w:val="ListBullet"/>
        <w:spacing w:after="40"/>
      </w:pPr>
      <w:r>
        <w:t xml:space="preserve"> Interest: the Summary tab reserves $3,500K, while column M of the Transfer Pricing tab shows only $1,900K of cumulative interest. Neither ties to the IRS figure or to our estimate.</w:t>
      </w:r>
    </w:p>
    <w:p>
      <w:pPr>
        <w:pStyle w:val="ListBullet"/>
        <w:spacing w:after="40"/>
      </w:pPr>
      <w:r>
        <w:t xml:space="preserve"> No state tax reserve (Summary note 9) and no reserve for 2023 and later years at the settled 16% rate (see Issue 21).</w:t>
      </w:r>
    </w:p>
    <w:p>
      <w:pPr>
        <w:pStyle w:val="Heading1"/>
      </w:pPr>
      <w:r>
        <w:t>VII. Other Inconsistencies in the Supporting Record</w:t>
      </w:r>
    </w:p>
    <w:p>
      <w:pPr>
        <w:spacing w:after="80"/>
      </w:pPr>
      <w:r>
        <w:rPr>
          <w:b w:val="0"/>
          <w:i w:val="0"/>
        </w:rPr>
        <w:t>These items are not errors in the Draft itself. They bear on the accuracy representation (Issue 14) and on the strength of the penalty release, and they should be resolved internally before signing: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3A5F"/>
          </w:tcPr>
          <w:p>
            <w:r/>
            <w:r>
              <w:rPr>
                <w:b/>
                <w:color w:val="FFFFFF"/>
                <w:sz w:val="17"/>
              </w:rPr>
              <w:t>Item</w:t>
            </w:r>
          </w:p>
        </w:tc>
        <w:tc>
          <w:tcPr>
            <w:tcW w:type="dxa" w:w="2592"/>
            <w:shd w:val="clear" w:color="auto" w:fill="1F3A5F"/>
          </w:tcPr>
          <w:p>
            <w:r/>
            <w:r>
              <w:rPr>
                <w:b/>
                <w:color w:val="FFFFFF"/>
                <w:sz w:val="17"/>
              </w:rPr>
              <w:t>Source A</w:t>
            </w:r>
          </w:p>
        </w:tc>
        <w:tc>
          <w:tcPr>
            <w:tcW w:type="dxa" w:w="2592"/>
            <w:shd w:val="clear" w:color="auto" w:fill="1F3A5F"/>
          </w:tcPr>
          <w:p>
            <w:r/>
            <w:r>
              <w:rPr>
                <w:b/>
                <w:color w:val="FFFFFF"/>
                <w:sz w:val="17"/>
              </w:rPr>
              <w:t>Source B</w:t>
            </w:r>
          </w:p>
        </w:tc>
        <w:tc>
          <w:tcPr>
            <w:tcW w:type="dxa" w:w="2592"/>
            <w:shd w:val="clear" w:color="auto" w:fill="1F3A5F"/>
          </w:tcPr>
          <w:p>
            <w:r/>
            <w:r>
              <w:rPr>
                <w:b/>
                <w:color w:val="FFFFFF"/>
                <w:sz w:val="17"/>
              </w:rPr>
              <w:t>Comment</w:t>
            </w:r>
          </w:p>
        </w:tc>
      </w:tr>
      <w:tr>
        <w:tc>
          <w:tcPr>
            <w:tcW w:type="dxa" w:w="1584"/>
          </w:tcPr>
          <w:p>
            <w:r/>
            <w:r>
              <w:rPr>
                <w:sz w:val="17"/>
              </w:rPr>
              <w:t>RTIL headcount / functions</w:t>
            </w:r>
          </w:p>
        </w:tc>
        <w:tc>
          <w:tcPr>
            <w:tcW w:type="dxa" w:w="2592"/>
          </w:tcPr>
          <w:p>
            <w:r/>
            <w:r>
              <w:rPr>
                <w:sz w:val="17"/>
              </w:rPr>
              <w:t>RAR: ~480 employees; RTIL operates its own Ringaskiddy biologics facility</w:t>
            </w:r>
          </w:p>
        </w:tc>
        <w:tc>
          <w:tcPr>
            <w:tcW w:type="dxa" w:w="2592"/>
          </w:tcPr>
          <w:p>
            <w:r/>
            <w:r>
              <w:rPr>
                <w:sz w:val="17"/>
              </w:rPr>
              <w:t>H&amp;S Study: ~180 Dublin personnel; contract-manufacturing oversight</w:t>
            </w:r>
          </w:p>
        </w:tc>
        <w:tc>
          <w:tcPr>
            <w:tcW w:type="dxa" w:w="2592"/>
          </w:tcPr>
          <w:p>
            <w:r/>
            <w:r>
              <w:rPr>
                <w:sz w:val="17"/>
              </w:rPr>
              <w:t>Material to the functional analysis underlying the §482 settlement and the documentation defense.</w:t>
            </w:r>
          </w:p>
        </w:tc>
      </w:tr>
      <w:tr>
        <w:tc>
          <w:tcPr>
            <w:tcW w:type="dxa" w:w="1584"/>
          </w:tcPr>
          <w:p>
            <w:r/>
            <w:r>
              <w:rPr>
                <w:sz w:val="17"/>
              </w:rPr>
              <w:t>U.S. R&amp;D headcount</w:t>
            </w:r>
          </w:p>
        </w:tc>
        <w:tc>
          <w:tcPr>
            <w:tcW w:type="dxa" w:w="2592"/>
          </w:tcPr>
          <w:p>
            <w:r/>
            <w:r>
              <w:rPr>
                <w:sz w:val="17"/>
              </w:rPr>
              <w:t>RAR: ~1,200 R&amp;D personnel</w:t>
            </w:r>
          </w:p>
        </w:tc>
        <w:tc>
          <w:tcPr>
            <w:tcW w:type="dxa" w:w="2592"/>
          </w:tcPr>
          <w:p>
            <w:r/>
            <w:r>
              <w:rPr>
                <w:sz w:val="17"/>
              </w:rPr>
              <w:t>H&amp;S Study: over 600 scientists</w:t>
            </w:r>
          </w:p>
        </w:tc>
        <w:tc>
          <w:tcPr>
            <w:tcW w:type="dxa" w:w="2592"/>
          </w:tcPr>
          <w:p>
            <w:r/>
            <w:r>
              <w:rPr>
                <w:sz w:val="17"/>
              </w:rPr>
              <w:t>Reconcile; relevant to DEMPE characterization.</w:t>
            </w:r>
          </w:p>
        </w:tc>
      </w:tr>
      <w:tr>
        <w:tc>
          <w:tcPr>
            <w:tcW w:type="dxa" w:w="1584"/>
          </w:tcPr>
          <w:p>
            <w:r/>
            <w:r>
              <w:rPr>
                <w:sz w:val="17"/>
              </w:rPr>
              <w:t>Agent IQR and median</w:t>
            </w:r>
          </w:p>
        </w:tc>
        <w:tc>
          <w:tcPr>
            <w:tcW w:type="dxa" w:w="2592"/>
          </w:tcPr>
          <w:p>
            <w:r/>
            <w:r>
              <w:rPr>
                <w:sz w:val="17"/>
              </w:rPr>
              <w:t>RAR Schedule 3 lists eight rates (14.2%–24.7%) and states an IQR of 17.8%–22.9% and a median of 19.1%</w:t>
            </w:r>
          </w:p>
        </w:tc>
        <w:tc>
          <w:tcPr>
            <w:tcW w:type="dxa" w:w="2592"/>
          </w:tcPr>
          <w:p>
            <w:r/>
            <w:r>
              <w:rPr>
                <w:sz w:val="17"/>
              </w:rPr>
              <w:t>Applying Treas. Reg. §1.482-1(e)(2)(iii)(C) to the eight listed CUTs gives an IQR of 16.7%–22.1% and a median of 18.8%</w:t>
            </w:r>
          </w:p>
        </w:tc>
        <w:tc>
          <w:tcPr>
            <w:tcW w:type="dxa" w:w="2592"/>
          </w:tcPr>
          <w:p>
            <w:r/>
            <w:r>
              <w:rPr>
                <w:sz w:val="17"/>
              </w:rPr>
              <w:t>The RAR’s 19.5% rests on a misstated median. The settled 16% sits inside the H&amp;S IQR (10.5%–16.8%). Useful context for the reasonableness of the settlement and for future-year (APA) positioning.</w:t>
            </w:r>
          </w:p>
        </w:tc>
      </w:tr>
      <w:tr>
        <w:tc>
          <w:tcPr>
            <w:tcW w:type="dxa" w:w="1584"/>
          </w:tcPr>
          <w:p>
            <w:r/>
            <w:r>
              <w:rPr>
                <w:sz w:val="17"/>
              </w:rPr>
              <w:t>Penalty thresholds</w:t>
            </w:r>
          </w:p>
        </w:tc>
        <w:tc>
          <w:tcPr>
            <w:tcW w:type="dxa" w:w="2592"/>
          </w:tcPr>
          <w:p>
            <w:r/>
            <w:r>
              <w:rPr>
                <w:sz w:val="17"/>
              </w:rPr>
              <w:t>RAR cites a 200% test for substantial and a 40% gross-valuation rate</w:t>
            </w:r>
          </w:p>
        </w:tc>
        <w:tc>
          <w:tcPr>
            <w:tcW w:type="dxa" w:w="2592"/>
          </w:tcPr>
          <w:p>
            <w:r/>
            <w:r>
              <w:rPr>
                <w:sz w:val="17"/>
              </w:rPr>
              <w:t>Statute: 200%/50% (substantial) and 400%/25% (gross); net-adjustment thresholds of $5M / $20M</w:t>
            </w:r>
          </w:p>
        </w:tc>
        <w:tc>
          <w:tcPr>
            <w:tcW w:type="dxa" w:w="2592"/>
          </w:tcPr>
          <w:p>
            <w:r/>
            <w:r>
              <w:rPr>
                <w:sz w:val="17"/>
              </w:rPr>
              <w:t>At settled figures 2020–2022 exceed the $20M gross threshold (Issue 8).</w:t>
            </w:r>
          </w:p>
        </w:tc>
      </w:tr>
      <w:tr>
        <w:tc>
          <w:tcPr>
            <w:tcW w:type="dxa" w:w="1584"/>
          </w:tcPr>
          <w:p>
            <w:r/>
            <w:r>
              <w:rPr>
                <w:sz w:val="17"/>
              </w:rPr>
              <w:t>Documentation dates</w:t>
            </w:r>
          </w:p>
        </w:tc>
        <w:tc>
          <w:tcPr>
            <w:tcW w:type="dxa" w:w="2592"/>
          </w:tcPr>
          <w:p>
            <w:r/>
            <w:r>
              <w:rPr>
                <w:sz w:val="17"/>
              </w:rPr>
              <w:t>H&amp;S: “Both … completed prior to the filing of … returns”</w:t>
            </w:r>
          </w:p>
        </w:tc>
        <w:tc>
          <w:tcPr>
            <w:tcW w:type="dxa" w:w="2592"/>
          </w:tcPr>
          <w:p>
            <w:r/>
            <w:r>
              <w:rPr>
                <w:sz w:val="17"/>
              </w:rPr>
              <w:t>The March 2022 addendum includes “preliminary” FY2022 data in March 2022</w:t>
            </w:r>
          </w:p>
        </w:tc>
        <w:tc>
          <w:tcPr>
            <w:tcW w:type="dxa" w:w="2592"/>
          </w:tcPr>
          <w:p>
            <w:r/>
            <w:r>
              <w:rPr>
                <w:sz w:val="17"/>
              </w:rPr>
              <w:t>Confirm what documentation existed at each filing date and that it was produced within 30 days of IRS request (§6662(e)(3)(B)(i)(III)).</w:t>
            </w:r>
          </w:p>
        </w:tc>
      </w:tr>
      <w:tr>
        <w:tc>
          <w:tcPr>
            <w:tcW w:type="dxa" w:w="1584"/>
          </w:tcPr>
          <w:p>
            <w:r/>
            <w:r>
              <w:rPr>
                <w:sz w:val="17"/>
              </w:rPr>
              <w:t>Counsel contact data</w:t>
            </w:r>
          </w:p>
        </w:tc>
        <w:tc>
          <w:tcPr>
            <w:tcW w:type="dxa" w:w="2592"/>
          </w:tcPr>
          <w:p>
            <w:r/>
            <w:r>
              <w:rPr>
                <w:sz w:val="17"/>
              </w:rPr>
              <w:t>Letter 907: @phglaw.com; Draft notices: One Market Plaza, San Francisco</w:t>
            </w:r>
          </w:p>
        </w:tc>
        <w:tc>
          <w:tcPr>
            <w:tcW w:type="dxa" w:w="2592"/>
          </w:tcPr>
          <w:p>
            <w:r/>
            <w:r>
              <w:rPr>
                <w:sz w:val="17"/>
              </w:rPr>
              <w:t>RAR/Form 2848 and all emails: @pembertonhale.com; 1900 Century Park East, Los Angeles</w:t>
            </w:r>
          </w:p>
        </w:tc>
        <w:tc>
          <w:tcPr>
            <w:tcW w:type="dxa" w:w="2592"/>
          </w:tcPr>
          <w:p>
            <w:r/>
            <w:r>
              <w:rPr>
                <w:sz w:val="17"/>
              </w:rPr>
              <w:t>Correct before execution (Issues 20 and 22).</w:t>
            </w:r>
          </w:p>
        </w:tc>
      </w:tr>
    </w:tbl>
    <w:p>
      <w:pPr>
        <w:spacing w:after="40"/>
      </w:pPr>
    </w:p>
    <w:p>
      <w:pPr>
        <w:pStyle w:val="Heading1"/>
      </w:pPr>
      <w:r>
        <w:t>VIII. Recommended Next Steps</w:t>
      </w:r>
    </w:p>
    <w:p>
      <w:pPr>
        <w:pStyle w:val="ListNumber"/>
        <w:spacing w:after="60"/>
      </w:pPr>
      <w:r>
        <w:rPr>
          <w:b/>
        </w:rPr>
        <w:t>Immediately:</w:t>
      </w:r>
      <w:r>
        <w:t xml:space="preserve"> Send Ms. Voss a letter that (i) confirms receipt and the operative date of Letter 907, (ii) identifies the Critical and High computational errors (Issues 1–7), (iii) requests a written extension of the February 7, 2025 response date to 30 days after delivery of a corrected draft, and (iv) asks for the IRS INTST interest computation by year and RA Salgado’s §904 computation.</w:t>
      </w:r>
    </w:p>
    <w:p>
      <w:pPr>
        <w:pStyle w:val="ListNumber"/>
        <w:spacing w:after="60"/>
      </w:pPr>
      <w:r>
        <w:rPr>
          <w:b/>
        </w:rPr>
        <w:t>Within one week:</w:t>
      </w:r>
      <w:r>
        <w:t xml:space="preserve"> Have Ridgeline (Ms. Kwon, Mr. Patel) and Pinnacle (Ms. Takahashi) run a pro forma recomputation of each Covered Tax Year on the settled terms, including FDII, GILTI, §78, §280C(c)/§174 and §38 carryforwards (Issue 12), and verify the FTC computation (Issue 9).</w:t>
      </w:r>
    </w:p>
    <w:p>
      <w:pPr>
        <w:pStyle w:val="ListNumber"/>
        <w:spacing w:after="60"/>
      </w:pPr>
      <w:r>
        <w:rPr>
          <w:b/>
        </w:rPr>
        <w:t>Markup:</w:t>
      </w:r>
      <w:r>
        <w:t xml:space="preserve"> Deliver a redline of the Draft implementing the fixes in Part IV. Priorities: restated Exhibits A–C; interest “as provided by law” (or Exhibit D); a stand-alone penalty section; narrowed Section III.C; Rev. Proc. 99-32 and competent-authority provisions; a 90-day amended-return deadline; an order-of-precedence clause; a defined Effective Date and payment designation; corrected signatory, party and notice details.</w:t>
      </w:r>
    </w:p>
    <w:p>
      <w:pPr>
        <w:pStyle w:val="ListNumber"/>
        <w:spacing w:after="60"/>
      </w:pPr>
      <w:r>
        <w:rPr>
          <w:b/>
        </w:rPr>
        <w:t>Treaty / Ireland:</w:t>
      </w:r>
      <w:r>
        <w:t xml:space="preserve"> Engage Irish advisers. Prepare a U.S.–Ireland MAP request (or protective notification) for correlative relief, and coordinate the Rev. Proc. 99-32 account receivable and its Irish tax treatment.</w:t>
      </w:r>
    </w:p>
    <w:p>
      <w:pPr>
        <w:pStyle w:val="ListNumber"/>
        <w:spacing w:after="60"/>
      </w:pPr>
      <w:r>
        <w:rPr>
          <w:b/>
        </w:rPr>
        <w:t>Governance:</w:t>
      </w:r>
      <w:r>
        <w:t xml:space="preserve"> Obtain a board resolution authorizing the signatory (or have the CFO sign), and confirm the IRS signer’s delegated authority.</w:t>
      </w:r>
    </w:p>
    <w:p>
      <w:pPr>
        <w:pStyle w:val="ListNumber"/>
        <w:spacing w:after="60"/>
      </w:pPr>
      <w:r>
        <w:rPr>
          <w:b/>
        </w:rPr>
        <w:t>Cash and interest:</w:t>
      </w:r>
      <w:r>
        <w:t xml:space="preserve"> Consider a §6603 deposit, designated by year, of the corrected tax ($35.57 million) plus estimated interest, to stop accrual at 7% (about 9% if hot interest applies).</w:t>
      </w:r>
    </w:p>
    <w:p>
      <w:pPr>
        <w:pStyle w:val="ListNumber"/>
        <w:spacing w:after="60"/>
      </w:pPr>
      <w:r>
        <w:rPr>
          <w:b/>
        </w:rPr>
        <w:t>Financial reporting:</w:t>
      </w:r>
      <w:r>
        <w:t xml:space="preserve"> Brief Pinnacle on the corrected settlement amount and the reserve shortfall before the Q4 2024 close. The $15,991,600 figure must not be used to support any reserve release.</w:t>
      </w:r>
    </w:p>
    <w:p>
      <w:pPr>
        <w:pStyle w:val="ListNumber"/>
        <w:spacing w:after="60"/>
      </w:pPr>
      <w:r>
        <w:rPr>
          <w:b/>
        </w:rPr>
        <w:t>Follow-on:</w:t>
      </w:r>
      <w:r>
        <w:t xml:space="preserve"> Calendar the California FTB report of the federal determination (six months after the final determination) and any other state reporting deadlines. Evaluate an APA and the ASC 740 position for 2023 and later years.</w:t>
      </w:r>
    </w:p>
    <w:p>
      <w:pPr>
        <w:pStyle w:val="Heading1"/>
      </w:pPr>
      <w:r>
        <w:t>Appendix — Proposed Replacement Language (Key Provisions)</w:t>
      </w:r>
    </w:p>
    <w:p>
      <w:pPr>
        <w:spacing w:after="80"/>
      </w:pPr>
      <w:r>
        <w:rPr>
          <w:b/>
        </w:rPr>
        <w:t xml:space="preserve">Section VIII.B (Amount Due). </w:t>
      </w:r>
      <w:r>
        <w:t>“The deficiencies in federal income tax determined under this Agreement are: 2019 — $[6,361,271]; 2020 — $[8,286,388]; 2021 — $[9,531,424]; 2022 — $[11,392,517]; total $[35,571,600] [FTC allocation to be conformed to Schedule C-1], as computed in Exhibit C. Interest on such deficiencies shall be assessed and collected as provided by law.”</w:t>
      </w:r>
    </w:p>
    <w:p>
      <w:pPr>
        <w:spacing w:after="80"/>
      </w:pPr>
      <w:r>
        <w:rPr>
          <w:b/>
        </w:rPr>
        <w:t xml:space="preserve">New Section VII-A (Penalties). </w:t>
      </w:r>
      <w:r>
        <w:t>“No penalty or addition to tax under IRC §6662 (including subsections (a), (b), (e) and (h)) or IRC §6676 shall be asserted or assessed for any Covered Tax Year with respect to any underpayment attributable to any Covered Issue. The Commissioner has determined that the Taxpayer satisfied IRC §6662(e)(3)(B) and Treas. Reg. §1.6662-6(d) for each Covered Tax Year.”</w:t>
      </w:r>
    </w:p>
    <w:p>
      <w:pPr>
        <w:spacing w:after="80"/>
      </w:pPr>
      <w:r>
        <w:rPr>
          <w:b/>
        </w:rPr>
        <w:t xml:space="preserve">New Section IV.F (Rev. Proc. 99-32). </w:t>
      </w:r>
      <w:r>
        <w:t>“The Taxpayer is granted the treatment provided in Rev. Proc. 99-32. An account receivable from RTIL equal to the incremental royalty for each Covered Tax Year set forth in Exhibit A shall be deemed established as of the last day of such year, shall bear interest at an arm’s-length rate, and shall be paid within 90 days after the Effective Date, with the federal income tax consequences provided in Rev. Proc. 99-32, §4.”</w:t>
      </w:r>
    </w:p>
    <w:p>
      <w:pPr>
        <w:spacing w:after="80"/>
      </w:pPr>
      <w:r>
        <w:rPr>
          <w:b/>
        </w:rPr>
        <w:t xml:space="preserve">New Section X.G (Competent Authority). </w:t>
      </w:r>
      <w:r>
        <w:t>“Nothing in this Agreement shall preclude the Taxpayer or RTIL from requesting assistance from the U.S. Competent Authority under Article 25 of the United States–Ireland Income Tax Convention to obtain correlative relief with respect to the adjustments in Section IV, consistent with Rev. Proc. 2015-40.”</w:t>
      </w:r>
    </w:p>
    <w:p>
      <w:pPr>
        <w:spacing w:after="80"/>
      </w:pPr>
      <w:r>
        <w:rPr>
          <w:b/>
        </w:rPr>
        <w:t xml:space="preserve">Section III.C (Finality) — first sentence. </w:t>
      </w:r>
      <w:r>
        <w:t>“This Agreement is final and conclusive solely with respect to the Covered Issues for the Covered Tax Years, and does not determine any other item of income, deduction, credit or tax for any year.”</w:t>
      </w:r>
    </w:p>
    <w:p>
      <w:pPr>
        <w:spacing w:after="80"/>
      </w:pPr>
      <w:r>
        <w:rPr>
          <w:b/>
        </w:rPr>
        <w:t xml:space="preserve">New Section X.H (Precedence). </w:t>
      </w:r>
      <w:r>
        <w:t>“In the event of any conflict between the body of this Agreement and any Exhibit, the amounts set forth in Sections IV.C and V.C shall control.”</w:t>
      </w:r>
    </w:p>
    <w:p>
      <w:pPr>
        <w:spacing w:after="80"/>
      </w:pPr>
      <w:r>
        <w:rPr>
          <w:b w:val="0"/>
          <w:i/>
          <w:sz w:val="18"/>
        </w:rPr>
        <w:t>This memorandum is based solely on the documents listed in Part II. Figures marked as estimates are approximations for verification and are not a substitute for IRS or Ridgeline computations.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