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DISCREPANCY REPORT</w:t>
      </w:r>
    </w:p>
    <w:p>
      <w:pPr>
        <w:jc w:val="center"/>
      </w:pPr>
      <w:r>
        <w:rPr>
          <w:b/>
          <w:sz w:val="24"/>
        </w:rPr>
        <w:t>Proposed Final Decree of Divorce vs. Mediated Settlement Agreement (January 18, 2025)</w:t>
      </w:r>
    </w:p>
    <w:tbl>
      <w:tblPr>
        <w:tblStyle w:val="TableGrid"/>
        <w:tblW w:type="auto" w:w="0"/>
        <w:tblLook w:firstColumn="1" w:firstRow="1" w:lastColumn="0" w:lastRow="0" w:noHBand="0" w:noVBand="1" w:val="04A0"/>
      </w:tblPr>
      <w:tblGrid>
        <w:gridCol w:w="6912"/>
        <w:gridCol w:w="6912"/>
      </w:tblGrid>
      <w:tr>
        <w:tc>
          <w:tcPr>
            <w:tcW w:type="dxa" w:w="2592"/>
            <w:shd w:val="clear" w:color="auto" w:fill="D9E1F2"/>
          </w:tcPr>
          <w:p>
            <w:pPr>
              <w:spacing w:after="0"/>
            </w:pPr>
            <w:r/>
            <w:r>
              <w:rPr>
                <w:b/>
                <w:sz w:val="18"/>
              </w:rPr>
              <w:t>TO</w:t>
            </w:r>
          </w:p>
        </w:tc>
        <w:tc>
          <w:tcPr>
            <w:tcW w:type="dxa" w:w="11232"/>
          </w:tcPr>
          <w:p>
            <w:pPr>
              <w:spacing w:after="0"/>
            </w:pPr>
            <w:r/>
            <w:r>
              <w:rPr>
                <w:b w:val="0"/>
                <w:sz w:val="18"/>
              </w:rPr>
              <w:t>Rachel K. Abernathy, Trident Family Law Group (Counsel for Petitioner Megan Claire Holloway)</w:t>
            </w:r>
          </w:p>
        </w:tc>
      </w:tr>
      <w:tr>
        <w:tc>
          <w:tcPr>
            <w:tcW w:type="dxa" w:w="2592"/>
            <w:shd w:val="clear" w:color="auto" w:fill="D9E1F2"/>
          </w:tcPr>
          <w:p>
            <w:pPr>
              <w:spacing w:after="0"/>
            </w:pPr>
            <w:r/>
            <w:r>
              <w:rPr>
                <w:b/>
                <w:sz w:val="18"/>
              </w:rPr>
              <w:t>RE</w:t>
            </w:r>
          </w:p>
        </w:tc>
        <w:tc>
          <w:tcPr>
            <w:tcW w:type="dxa" w:w="11232"/>
          </w:tcPr>
          <w:p>
            <w:pPr>
              <w:spacing w:after="0"/>
            </w:pPr>
            <w:r/>
            <w:r>
              <w:rPr>
                <w:b w:val="0"/>
                <w:sz w:val="18"/>
              </w:rPr>
              <w:t>In the Matter of the Marriage of Holloway, Cause No. 2024-FL-04817, 245th Judicial District Court, Harris County, Texas (Hon. Robert L. Garner)</w:t>
            </w:r>
          </w:p>
        </w:tc>
      </w:tr>
      <w:tr>
        <w:tc>
          <w:tcPr>
            <w:tcW w:type="dxa" w:w="2592"/>
            <w:shd w:val="clear" w:color="auto" w:fill="D9E1F2"/>
          </w:tcPr>
          <w:p>
            <w:pPr>
              <w:spacing w:after="0"/>
            </w:pPr>
            <w:r/>
            <w:r>
              <w:rPr>
                <w:b/>
                <w:sz w:val="18"/>
              </w:rPr>
              <w:t>DOCUMENTS REVIEWED</w:t>
            </w:r>
          </w:p>
        </w:tc>
        <w:tc>
          <w:tcPr>
            <w:tcW w:type="dxa" w:w="11232"/>
          </w:tcPr>
          <w:p>
            <w:pPr>
              <w:spacing w:after="0"/>
            </w:pPr>
            <w:r/>
            <w:r>
              <w:rPr>
                <w:b w:val="0"/>
                <w:sz w:val="18"/>
              </w:rPr>
              <w:t>(1) Mediated Settlement Agreement executed January 18, 2025 (“MSA”); (2) Proposed Final Decree of Divorce prepared by Marcus D. Steed, Barlow &amp; Steed, PLLC, counsel for Respondent (“Decree”); (3) Cover email from Mr. Steed dated March 7, 2025</w:t>
            </w:r>
          </w:p>
        </w:tc>
      </w:tr>
      <w:tr>
        <w:tc>
          <w:tcPr>
            <w:tcW w:type="dxa" w:w="2592"/>
            <w:shd w:val="clear" w:color="auto" w:fill="D9E1F2"/>
          </w:tcPr>
          <w:p>
            <w:pPr>
              <w:spacing w:after="0"/>
            </w:pPr>
            <w:r/>
            <w:r>
              <w:rPr>
                <w:b/>
                <w:sz w:val="18"/>
              </w:rPr>
              <w:t>KEY DATE</w:t>
            </w:r>
          </w:p>
        </w:tc>
        <w:tc>
          <w:tcPr>
            <w:tcW w:type="dxa" w:w="11232"/>
          </w:tcPr>
          <w:p>
            <w:pPr>
              <w:spacing w:after="0"/>
            </w:pPr>
            <w:r/>
            <w:r>
              <w:rPr>
                <w:b w:val="0"/>
                <w:sz w:val="18"/>
              </w:rPr>
              <w:t>Prove-up hearing confirmed for April 3, 2025. Objections should be served well in advance (recommended within 7 days of receipt).</w:t>
            </w:r>
          </w:p>
        </w:tc>
      </w:tr>
      <w:tr>
        <w:tc>
          <w:tcPr>
            <w:tcW w:type="dxa" w:w="2592"/>
            <w:shd w:val="clear" w:color="auto" w:fill="D9E1F2"/>
          </w:tcPr>
          <w:p>
            <w:pPr>
              <w:spacing w:after="0"/>
            </w:pPr>
            <w:r/>
            <w:r>
              <w:rPr>
                <w:b/>
                <w:sz w:val="18"/>
              </w:rPr>
              <w:t>BOTTOM LINE</w:t>
            </w:r>
          </w:p>
        </w:tc>
        <w:tc>
          <w:tcPr>
            <w:tcW w:type="dxa" w:w="11232"/>
          </w:tcPr>
          <w:p>
            <w:pPr>
              <w:spacing w:after="0"/>
            </w:pPr>
            <w:r/>
            <w:r>
              <w:rPr>
                <w:b w:val="0"/>
                <w:sz w:val="18"/>
              </w:rPr>
              <w:t>The Decree does not conform to the MSA. Do not have Ms. Holloway sign it. Serve written objections with a conforming redraft, and if Respondent will not conform, move for entry of judgment on the MSA.</w:t>
            </w:r>
          </w:p>
        </w:tc>
      </w:tr>
    </w:tbl>
    <w:p>
      <w:pPr>
        <w:pStyle w:val="Heading1"/>
      </w:pPr>
      <w:r>
        <w:t>1. Executive Summary</w:t>
      </w:r>
    </w:p>
    <w:p>
      <w:pPr>
        <w:spacing w:after="80"/>
      </w:pPr>
      <w:r>
        <w:rPr>
          <w:b w:val="0"/>
          <w:i w:val="0"/>
        </w:rPr>
        <w:t>We compared every provision of the proposed Decree against the MSA line by line. We identified 63 items across 13 categories: 11 Critical, 14 High, 17 Medium and 21 Low (two Low items are noted only for completeness because the Decree is consistent with or protective of the MSA). Contrary to the cover email, the Decree is not “prepared consistent with the terms” of the MSA. The financial deviations run almost uniformly in Respondent’s favor, and several are built so that the totals still reconcile, which makes them easy to miss.</w:t>
      </w:r>
    </w:p>
    <w:p>
      <w:pPr>
        <w:spacing w:after="80"/>
      </w:pPr>
      <w:r>
        <w:rPr>
          <w:b/>
          <w:i w:val="0"/>
        </w:rPr>
        <w:t>The most serious discrepancies:</w:t>
      </w:r>
    </w:p>
    <w:p>
      <w:pPr>
        <w:pStyle w:val="ListBullet"/>
        <w:spacing w:after="40"/>
      </w:pPr>
      <w:r>
        <w:rPr>
          <w:b/>
        </w:rPr>
        <w:t>A-2 — Client signature on a nonconforming decree may operate as an amendment of the MSA:</w:t>
      </w:r>
      <w:r>
        <w:t xml:space="preserve"> A consent decree signed by both parties is itself a writing signed by both parties.</w:t>
      </w:r>
    </w:p>
    <w:p>
      <w:pPr>
        <w:pStyle w:val="ListBullet"/>
        <w:spacing w:after="40"/>
      </w:pPr>
      <w:r>
        <w:rPr>
          <w:b/>
        </w:rPr>
        <w:t>B-1 — Exclusive right to make educational decisions reassigned to Derek:</w:t>
      </w:r>
      <w:r>
        <w:t xml:space="preserve"> Direct reversal of a negotiated conservatorship right; expands it to extracurricular activities.</w:t>
      </w:r>
    </w:p>
    <w:p>
      <w:pPr>
        <w:pStyle w:val="ListBullet"/>
        <w:spacing w:after="40"/>
      </w:pPr>
      <w:r>
        <w:rPr>
          <w:b/>
        </w:rPr>
        <w:t>C-1 — Thursday overnight expanded to every week:</w:t>
      </w:r>
      <w:r>
        <w:t xml:space="preserve"> Roughly doubles Derek’s Thursday overnights during the school year (about 18 additional overnights per year), shifting the agreed possession balance and potentially supporting a later child support challenge.</w:t>
      </w:r>
    </w:p>
    <w:p>
      <w:pPr>
        <w:pStyle w:val="ListBullet"/>
        <w:spacing w:after="40"/>
      </w:pPr>
      <w:r>
        <w:rPr>
          <w:b/>
        </w:rPr>
        <w:t>D-1 — Monthly child support reduced by $100:</w:t>
      </w:r>
      <w:r>
        <w:t xml:space="preserve"> $1,200 per year; roughly $11,000 through Aiden’s anticipated emancipation (approximately 110 payments from May 2025 to mid-2034).</w:t>
      </w:r>
    </w:p>
    <w:p>
      <w:pPr>
        <w:pStyle w:val="ListBullet"/>
        <w:spacing w:after="40"/>
      </w:pPr>
      <w:r>
        <w:rPr>
          <w:b/>
        </w:rPr>
        <w:t>D-5 — Unreimbursed medical expense split reversed:</w:t>
      </w:r>
      <w:r>
        <w:t xml:space="preserve"> Inverts a bargained-for allocation; every $10,000 in unreimbursed expenses (orthodontics, therapy, etc.) costs Megan an additional $2,000.</w:t>
      </w:r>
    </w:p>
    <w:p>
      <w:pPr>
        <w:pStyle w:val="ListBullet"/>
        <w:spacing w:after="40"/>
      </w:pPr>
      <w:r>
        <w:rPr>
          <w:b/>
        </w:rPr>
        <w:t>E-1 — Court retains jurisdiction to modify — contradicts non-modifiability:</w:t>
      </w:r>
      <w:r>
        <w:t xml:space="preserve"> Directly contradicts a material term and exposes up to $115,200 to a modification petition by Derek.</w:t>
      </w:r>
    </w:p>
    <w:p>
      <w:pPr>
        <w:pStyle w:val="ListBullet"/>
        <w:spacing w:after="40"/>
      </w:pPr>
      <w:r>
        <w:rPr>
          <w:b/>
        </w:rPr>
        <w:t>F-1 — Equalization payment reduced by $10,000:</w:t>
      </w:r>
      <w:r>
        <w:t xml:space="preserve"> $10,000 shortfall.</w:t>
      </w:r>
    </w:p>
    <w:p>
      <w:pPr>
        <w:pStyle w:val="ListBullet"/>
        <w:spacing w:after="40"/>
      </w:pPr>
      <w:r>
        <w:rPr>
          <w:b/>
        </w:rPr>
        <w:t>F-2 — Special warranty deed due before refinance and payment:</w:t>
      </w:r>
      <w:r>
        <w:t xml:space="preserve"> Megan would convey title before receiving $133,300 and while still liable on the $218,400 mortgage, leaving her unsecured.</w:t>
      </w:r>
    </w:p>
    <w:p>
      <w:pPr>
        <w:pStyle w:val="ListBullet"/>
        <w:spacing w:after="40"/>
      </w:pPr>
      <w:r>
        <w:rPr>
          <w:b/>
        </w:rPr>
        <w:t>G-1 — Derek’s 401(k) split changed from 50/50:</w:t>
      </w:r>
      <w:r>
        <w:t xml:space="preserve"> $10,000 shift to Derek; the figures still total $189,300, masking the change.</w:t>
      </w:r>
    </w:p>
    <w:p>
      <w:pPr>
        <w:pStyle w:val="ListBullet"/>
        <w:spacing w:after="40"/>
      </w:pPr>
      <w:r>
        <w:rPr>
          <w:b/>
        </w:rPr>
        <w:t>H-1 — Brokerage split shifted $10,000 to Derek:</w:t>
      </w:r>
      <w:r>
        <w:t xml:space="preserve"> $10,000 shift; total still $73,250, masking the change.</w:t>
      </w:r>
    </w:p>
    <w:p>
      <w:pPr>
        <w:pStyle w:val="ListBullet"/>
        <w:spacing w:after="40"/>
      </w:pPr>
      <w:r>
        <w:rPr>
          <w:b/>
        </w:rPr>
        <w:t>K-1 — Home Depot card (acct. ending 8903) omitted entirely:</w:t>
      </w:r>
      <w:r>
        <w:t xml:space="preserve"> Debt is left unallocated in the decree while Megan remains jointly liable to the creditor; with the “relief not granted is denied” clause (§ XVI.G), her indemnity claim could be disputed.</w:t>
      </w:r>
    </w:p>
    <w:p>
      <w:pPr>
        <w:spacing w:after="80"/>
      </w:pPr>
      <w:r>
        <w:rPr>
          <w:b w:val="0"/>
          <w:i w:val="0"/>
        </w:rPr>
        <w:t>Quantifiable effect on Ms. Holloway: approximately $30,000 in property ($10,000 each in the equalization payment, Derek’s 401(k) and the brokerage account), plus the omitted $2,680 Home Depot debt, about $11,000 in child support before the first step-down, the lost fixed $1,450 step-down, the 60/40 to 40/60 reversal of unreimbursed medical expenses, lost 401(k) earnings since December 31, 2024, and exposure of up to $115,200 in contractual alimony to modification. See Section 5.</w:t>
      </w:r>
    </w:p>
    <w:p>
      <w:pPr>
        <w:spacing w:after="80"/>
      </w:pPr>
      <w:r>
        <w:rPr>
          <w:b w:val="0"/>
          <w:i w:val="0"/>
        </w:rPr>
        <w:t>Recommendation in brief: Petitioner is entitled to judgment on the MSA (Tex. Fam. Code §§ 6.602(c), 153.0071(e)), and the MSA requires a decree “in all respects consistent” with it (MSA §§ 2, 10.2). We recommend (i) written objections with a full redline to a conforming decree; (ii) no client signature on any nonconforming draft, because a decree signed by both parties may be argued to be a written amendment under MSA § 10.5; (iii) a motion to enter judgment on the MSA set for April 3 if Respondent does not agree; and (iv) a decision by the client on the few deviations that favor her (Section 4), which should be kept only with Respondent’s signed written agreement.</w:t>
      </w:r>
    </w:p>
    <w:p>
      <w:pPr>
        <w:pStyle w:val="Heading1"/>
      </w:pPr>
      <w:r>
        <w:t>2. Method, Severity Scale and Conventions</w:t>
      </w:r>
    </w:p>
    <w:p>
      <w:pPr>
        <w:pStyle w:val="ListBullet"/>
        <w:spacing w:after="40"/>
      </w:pPr>
      <w:r>
        <w:rPr>
          <w:b/>
        </w:rPr>
        <w:t>Scope.</w:t>
      </w:r>
      <w:r>
        <w:t xml:space="preserve"> Every Decree article (I–XVIII) was compared with every MSA section (1–11), including recitals, signature pages and the transmittal email. Omissions (MSA terms missing from the Decree) and additions (Decree terms not in the MSA) are both flagged.</w:t>
      </w:r>
    </w:p>
    <w:p>
      <w:pPr>
        <w:pStyle w:val="ListBullet"/>
        <w:spacing w:after="40"/>
      </w:pPr>
      <w:r>
        <w:rPr>
          <w:b/>
        </w:rPr>
        <w:t>Severity.</w:t>
      </w:r>
      <w:r>
        <w:t xml:space="preserve"> Critical: changes a dollar amount, reverses an allocation, or removes a core protection, with significant economic or custodial consequence. High: materially alters rights or remedies, or creates significant enforcement risk. Medium: meaningful drafting deviation that should be corrected. Low: clerical, stylistic, or consistent items noted for completeness.</w:t>
      </w:r>
    </w:p>
    <w:p>
      <w:pPr>
        <w:pStyle w:val="ListBullet"/>
        <w:spacing w:after="40"/>
      </w:pPr>
      <w:r>
        <w:rPr>
          <w:b/>
        </w:rPr>
        <w:t>Direction.</w:t>
      </w:r>
      <w:r>
        <w:t xml:space="preserve"> “Favors” shows which party benefits from the Decree as drafted (Derek = Respondent; Megan = Petitioner, our client; Neutral = no clear beneficiary).</w:t>
      </w:r>
    </w:p>
    <w:p>
      <w:pPr>
        <w:pStyle w:val="ListBullet"/>
        <w:spacing w:after="40"/>
      </w:pPr>
      <w:r>
        <w:rPr>
          <w:b/>
        </w:rPr>
        <w:t>Citations.</w:t>
      </w:r>
      <w:r>
        <w:t xml:space="preserve"> Statutory references are to the Texas Family Code unless noted and should be confirmed against current law before filing.</w:t>
      </w:r>
    </w:p>
    <w:p>
      <w:pPr>
        <w:pStyle w:val="Heading2"/>
      </w:pPr>
      <w:r>
        <w:t>Summary by Category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720"/>
            <w:shd w:val="clear" w:color="auto" w:fill="1F3864"/>
          </w:tcPr>
          <w:p>
            <w:pPr>
              <w:spacing w:after="0"/>
            </w:pPr>
            <w:r/>
            <w:r>
              <w:rPr>
                <w:b/>
                <w:color w:val="FFFFFF"/>
                <w:sz w:val="18"/>
              </w:rPr>
              <w:t>Cat.</w:t>
            </w:r>
          </w:p>
        </w:tc>
        <w:tc>
          <w:tcPr>
            <w:tcW w:type="dxa" w:w="5760"/>
            <w:shd w:val="clear" w:color="auto" w:fill="1F3864"/>
          </w:tcPr>
          <w:p>
            <w:pPr>
              <w:spacing w:after="0"/>
            </w:pPr>
            <w:r/>
            <w:r>
              <w:rPr>
                <w:b/>
                <w:color w:val="FFFFFF"/>
                <w:sz w:val="18"/>
              </w:rPr>
              <w:t>Category</w:t>
            </w:r>
          </w:p>
        </w:tc>
        <w:tc>
          <w:tcPr>
            <w:tcW w:type="dxa" w:w="1008"/>
            <w:shd w:val="clear" w:color="auto" w:fill="1F3864"/>
          </w:tcPr>
          <w:p>
            <w:pPr>
              <w:spacing w:after="0"/>
            </w:pPr>
            <w:r/>
            <w:r>
              <w:rPr>
                <w:b/>
                <w:color w:val="FFFFFF"/>
                <w:sz w:val="18"/>
              </w:rPr>
              <w:t>Items</w:t>
            </w:r>
          </w:p>
        </w:tc>
        <w:tc>
          <w:tcPr>
            <w:tcW w:type="dxa" w:w="1152"/>
            <w:shd w:val="clear" w:color="auto" w:fill="1F3864"/>
          </w:tcPr>
          <w:p>
            <w:pPr>
              <w:spacing w:after="0"/>
            </w:pPr>
            <w:r/>
            <w:r>
              <w:rPr>
                <w:b/>
                <w:color w:val="FFFFFF"/>
                <w:sz w:val="18"/>
              </w:rPr>
              <w:t>Critical</w:t>
            </w:r>
          </w:p>
        </w:tc>
        <w:tc>
          <w:tcPr>
            <w:tcW w:type="dxa" w:w="1008"/>
            <w:shd w:val="clear" w:color="auto" w:fill="1F3864"/>
          </w:tcPr>
          <w:p>
            <w:pPr>
              <w:spacing w:after="0"/>
            </w:pPr>
            <w:r/>
            <w:r>
              <w:rPr>
                <w:b/>
                <w:color w:val="FFFFFF"/>
                <w:sz w:val="18"/>
              </w:rPr>
              <w:t>High</w:t>
            </w:r>
          </w:p>
        </w:tc>
        <w:tc>
          <w:tcPr>
            <w:tcW w:type="dxa" w:w="1152"/>
            <w:shd w:val="clear" w:color="auto" w:fill="1F3864"/>
          </w:tcPr>
          <w:p>
            <w:pPr>
              <w:spacing w:after="0"/>
            </w:pPr>
            <w:r/>
            <w:r>
              <w:rPr>
                <w:b/>
                <w:color w:val="FFFFFF"/>
                <w:sz w:val="18"/>
              </w:rPr>
              <w:t>Medium</w:t>
            </w:r>
          </w:p>
        </w:tc>
        <w:tc>
          <w:tcPr>
            <w:tcW w:type="dxa" w:w="1008"/>
            <w:shd w:val="clear" w:color="auto" w:fill="1F3864"/>
          </w:tcPr>
          <w:p>
            <w:pPr>
              <w:spacing w:after="0"/>
            </w:pPr>
            <w:r/>
            <w:r>
              <w:rPr>
                <w:b/>
                <w:color w:val="FFFFFF"/>
                <w:sz w:val="18"/>
              </w:rPr>
              <w:t>Low</w:t>
            </w:r>
          </w:p>
        </w:tc>
        <w:tc>
          <w:tcPr>
            <w:tcW w:type="dxa" w:w="1584"/>
            <w:shd w:val="clear" w:color="auto" w:fill="1F3864"/>
          </w:tcPr>
          <w:p>
            <w:pPr>
              <w:spacing w:after="0"/>
            </w:pPr>
            <w:r/>
            <w:r>
              <w:rPr>
                <w:b/>
                <w:color w:val="FFFFFF"/>
                <w:sz w:val="18"/>
              </w:rPr>
              <w:t>Favor Derek</w:t>
            </w:r>
          </w:p>
        </w:tc>
      </w:tr>
      <w:tr>
        <w:tc>
          <w:tcPr>
            <w:tcW w:type="dxa" w:w="720"/>
          </w:tcPr>
          <w:p>
            <w:pPr>
              <w:spacing w:after="0"/>
            </w:pPr>
            <w:r/>
            <w:r>
              <w:rPr>
                <w:b/>
                <w:sz w:val="17"/>
              </w:rPr>
              <w:t>A</w:t>
            </w:r>
          </w:p>
        </w:tc>
        <w:tc>
          <w:tcPr>
            <w:tcW w:type="dxa" w:w="5760"/>
          </w:tcPr>
          <w:p>
            <w:pPr>
              <w:spacing w:after="0"/>
            </w:pPr>
            <w:r/>
            <w:r>
              <w:rPr>
                <w:b w:val="0"/>
                <w:sz w:val="17"/>
              </w:rPr>
              <w:t>Structural, Incorporation and Execution Issues</w:t>
            </w:r>
          </w:p>
        </w:tc>
        <w:tc>
          <w:tcPr>
            <w:tcW w:type="dxa" w:w="1008"/>
          </w:tcPr>
          <w:p>
            <w:pPr>
              <w:spacing w:after="0"/>
            </w:pPr>
            <w:r/>
            <w:r>
              <w:rPr>
                <w:b w:val="0"/>
                <w:sz w:val="17"/>
              </w:rPr>
              <w:t>3</w:t>
            </w:r>
          </w:p>
        </w:tc>
        <w:tc>
          <w:tcPr>
            <w:tcW w:type="dxa" w:w="1152"/>
          </w:tcPr>
          <w:p>
            <w:pPr>
              <w:spacing w:after="0"/>
            </w:pPr>
            <w:r/>
            <w:r>
              <w:rPr>
                <w:b w:val="0"/>
                <w:sz w:val="17"/>
              </w:rPr>
              <w:t>1</w:t>
            </w:r>
          </w:p>
        </w:tc>
        <w:tc>
          <w:tcPr>
            <w:tcW w:type="dxa" w:w="1008"/>
          </w:tcPr>
          <w:p>
            <w:pPr>
              <w:spacing w:after="0"/>
            </w:pPr>
            <w:r/>
            <w:r>
              <w:rPr>
                <w:b w:val="0"/>
                <w:sz w:val="17"/>
              </w:rPr>
              <w:t>2</w:t>
            </w:r>
          </w:p>
        </w:tc>
        <w:tc>
          <w:tcPr>
            <w:tcW w:type="dxa" w:w="1152"/>
          </w:tcPr>
          <w:p>
            <w:pPr>
              <w:spacing w:after="0"/>
            </w:pPr>
            <w:r/>
            <w:r>
              <w:rPr>
                <w:b w:val="0"/>
                <w:sz w:val="17"/>
              </w:rPr>
              <w:t>0</w:t>
            </w:r>
          </w:p>
        </w:tc>
        <w:tc>
          <w:tcPr>
            <w:tcW w:type="dxa" w:w="1008"/>
          </w:tcPr>
          <w:p>
            <w:pPr>
              <w:spacing w:after="0"/>
            </w:pPr>
            <w:r/>
            <w:r>
              <w:rPr>
                <w:b w:val="0"/>
                <w:sz w:val="17"/>
              </w:rPr>
              <w:t>0</w:t>
            </w:r>
          </w:p>
        </w:tc>
        <w:tc>
          <w:tcPr>
            <w:tcW w:type="dxa" w:w="1584"/>
          </w:tcPr>
          <w:p>
            <w:pPr>
              <w:spacing w:after="0"/>
            </w:pPr>
            <w:r/>
            <w:r>
              <w:rPr>
                <w:b w:val="0"/>
                <w:sz w:val="17"/>
              </w:rPr>
              <w:t>3</w:t>
            </w:r>
          </w:p>
        </w:tc>
      </w:tr>
      <w:tr>
        <w:tc>
          <w:tcPr>
            <w:tcW w:type="dxa" w:w="720"/>
          </w:tcPr>
          <w:p>
            <w:pPr>
              <w:spacing w:after="0"/>
            </w:pPr>
            <w:r/>
            <w:r>
              <w:rPr>
                <w:b/>
                <w:sz w:val="17"/>
              </w:rPr>
              <w:t>B</w:t>
            </w:r>
          </w:p>
        </w:tc>
        <w:tc>
          <w:tcPr>
            <w:tcW w:type="dxa" w:w="5760"/>
          </w:tcPr>
          <w:p>
            <w:pPr>
              <w:spacing w:after="0"/>
            </w:pPr>
            <w:r/>
            <w:r>
              <w:rPr>
                <w:b w:val="0"/>
                <w:sz w:val="17"/>
              </w:rPr>
              <w:t>Conservatorship and Parental Rights</w:t>
            </w:r>
          </w:p>
        </w:tc>
        <w:tc>
          <w:tcPr>
            <w:tcW w:type="dxa" w:w="1008"/>
          </w:tcPr>
          <w:p>
            <w:pPr>
              <w:spacing w:after="0"/>
            </w:pPr>
            <w:r/>
            <w:r>
              <w:rPr>
                <w:b w:val="0"/>
                <w:sz w:val="17"/>
              </w:rPr>
              <w:t>8</w:t>
            </w:r>
          </w:p>
        </w:tc>
        <w:tc>
          <w:tcPr>
            <w:tcW w:type="dxa" w:w="1152"/>
          </w:tcPr>
          <w:p>
            <w:pPr>
              <w:spacing w:after="0"/>
            </w:pPr>
            <w:r/>
            <w:r>
              <w:rPr>
                <w:b w:val="0"/>
                <w:sz w:val="17"/>
              </w:rPr>
              <w:t>1</w:t>
            </w:r>
          </w:p>
        </w:tc>
        <w:tc>
          <w:tcPr>
            <w:tcW w:type="dxa" w:w="1008"/>
          </w:tcPr>
          <w:p>
            <w:pPr>
              <w:spacing w:after="0"/>
            </w:pPr>
            <w:r/>
            <w:r>
              <w:rPr>
                <w:b w:val="0"/>
                <w:sz w:val="17"/>
              </w:rPr>
              <w:t>2</w:t>
            </w:r>
          </w:p>
        </w:tc>
        <w:tc>
          <w:tcPr>
            <w:tcW w:type="dxa" w:w="1152"/>
          </w:tcPr>
          <w:p>
            <w:pPr>
              <w:spacing w:after="0"/>
            </w:pPr>
            <w:r/>
            <w:r>
              <w:rPr>
                <w:b w:val="0"/>
                <w:sz w:val="17"/>
              </w:rPr>
              <w:t>1</w:t>
            </w:r>
          </w:p>
        </w:tc>
        <w:tc>
          <w:tcPr>
            <w:tcW w:type="dxa" w:w="1008"/>
          </w:tcPr>
          <w:p>
            <w:pPr>
              <w:spacing w:after="0"/>
            </w:pPr>
            <w:r/>
            <w:r>
              <w:rPr>
                <w:b w:val="0"/>
                <w:sz w:val="17"/>
              </w:rPr>
              <w:t>4</w:t>
            </w:r>
          </w:p>
        </w:tc>
        <w:tc>
          <w:tcPr>
            <w:tcW w:type="dxa" w:w="1584"/>
          </w:tcPr>
          <w:p>
            <w:pPr>
              <w:spacing w:after="0"/>
            </w:pPr>
            <w:r/>
            <w:r>
              <w:rPr>
                <w:b w:val="0"/>
                <w:sz w:val="17"/>
              </w:rPr>
              <w:t>3</w:t>
            </w:r>
          </w:p>
        </w:tc>
      </w:tr>
      <w:tr>
        <w:tc>
          <w:tcPr>
            <w:tcW w:type="dxa" w:w="720"/>
          </w:tcPr>
          <w:p>
            <w:pPr>
              <w:spacing w:after="0"/>
            </w:pPr>
            <w:r/>
            <w:r>
              <w:rPr>
                <w:b/>
                <w:sz w:val="17"/>
              </w:rPr>
              <w:t>C</w:t>
            </w:r>
          </w:p>
        </w:tc>
        <w:tc>
          <w:tcPr>
            <w:tcW w:type="dxa" w:w="5760"/>
          </w:tcPr>
          <w:p>
            <w:pPr>
              <w:spacing w:after="0"/>
            </w:pPr>
            <w:r/>
            <w:r>
              <w:rPr>
                <w:b w:val="0"/>
                <w:sz w:val="17"/>
              </w:rPr>
              <w:t>Possession and Access</w:t>
            </w:r>
          </w:p>
        </w:tc>
        <w:tc>
          <w:tcPr>
            <w:tcW w:type="dxa" w:w="1008"/>
          </w:tcPr>
          <w:p>
            <w:pPr>
              <w:spacing w:after="0"/>
            </w:pPr>
            <w:r/>
            <w:r>
              <w:rPr>
                <w:b w:val="0"/>
                <w:sz w:val="17"/>
              </w:rPr>
              <w:t>4</w:t>
            </w:r>
          </w:p>
        </w:tc>
        <w:tc>
          <w:tcPr>
            <w:tcW w:type="dxa" w:w="1152"/>
          </w:tcPr>
          <w:p>
            <w:pPr>
              <w:spacing w:after="0"/>
            </w:pPr>
            <w:r/>
            <w:r>
              <w:rPr>
                <w:b w:val="0"/>
                <w:sz w:val="17"/>
              </w:rPr>
              <w:t>1</w:t>
            </w:r>
          </w:p>
        </w:tc>
        <w:tc>
          <w:tcPr>
            <w:tcW w:type="dxa" w:w="1008"/>
          </w:tcPr>
          <w:p>
            <w:pPr>
              <w:spacing w:after="0"/>
            </w:pPr>
            <w:r/>
            <w:r>
              <w:rPr>
                <w:b w:val="0"/>
                <w:sz w:val="17"/>
              </w:rPr>
              <w:t>1</w:t>
            </w:r>
          </w:p>
        </w:tc>
        <w:tc>
          <w:tcPr>
            <w:tcW w:type="dxa" w:w="1152"/>
          </w:tcPr>
          <w:p>
            <w:pPr>
              <w:spacing w:after="0"/>
            </w:pPr>
            <w:r/>
            <w:r>
              <w:rPr>
                <w:b w:val="0"/>
                <w:sz w:val="17"/>
              </w:rPr>
              <w:t>1</w:t>
            </w:r>
          </w:p>
        </w:tc>
        <w:tc>
          <w:tcPr>
            <w:tcW w:type="dxa" w:w="1008"/>
          </w:tcPr>
          <w:p>
            <w:pPr>
              <w:spacing w:after="0"/>
            </w:pPr>
            <w:r/>
            <w:r>
              <w:rPr>
                <w:b w:val="0"/>
                <w:sz w:val="17"/>
              </w:rPr>
              <w:t>1</w:t>
            </w:r>
          </w:p>
        </w:tc>
        <w:tc>
          <w:tcPr>
            <w:tcW w:type="dxa" w:w="1584"/>
          </w:tcPr>
          <w:p>
            <w:pPr>
              <w:spacing w:after="0"/>
            </w:pPr>
            <w:r/>
            <w:r>
              <w:rPr>
                <w:b w:val="0"/>
                <w:sz w:val="17"/>
              </w:rPr>
              <w:t>3</w:t>
            </w:r>
          </w:p>
        </w:tc>
      </w:tr>
      <w:tr>
        <w:tc>
          <w:tcPr>
            <w:tcW w:type="dxa" w:w="720"/>
          </w:tcPr>
          <w:p>
            <w:pPr>
              <w:spacing w:after="0"/>
            </w:pPr>
            <w:r/>
            <w:r>
              <w:rPr>
                <w:b/>
                <w:sz w:val="17"/>
              </w:rPr>
              <w:t>D</w:t>
            </w:r>
          </w:p>
        </w:tc>
        <w:tc>
          <w:tcPr>
            <w:tcW w:type="dxa" w:w="5760"/>
          </w:tcPr>
          <w:p>
            <w:pPr>
              <w:spacing w:after="0"/>
            </w:pPr>
            <w:r/>
            <w:r>
              <w:rPr>
                <w:b w:val="0"/>
                <w:sz w:val="17"/>
              </w:rPr>
              <w:t>Child Support, Medical Support and Life Insurance</w:t>
            </w:r>
          </w:p>
        </w:tc>
        <w:tc>
          <w:tcPr>
            <w:tcW w:type="dxa" w:w="1008"/>
          </w:tcPr>
          <w:p>
            <w:pPr>
              <w:spacing w:after="0"/>
            </w:pPr>
            <w:r/>
            <w:r>
              <w:rPr>
                <w:b w:val="0"/>
                <w:sz w:val="17"/>
              </w:rPr>
              <w:t>9</w:t>
            </w:r>
          </w:p>
        </w:tc>
        <w:tc>
          <w:tcPr>
            <w:tcW w:type="dxa" w:w="1152"/>
          </w:tcPr>
          <w:p>
            <w:pPr>
              <w:spacing w:after="0"/>
            </w:pPr>
            <w:r/>
            <w:r>
              <w:rPr>
                <w:b w:val="0"/>
                <w:sz w:val="17"/>
              </w:rPr>
              <w:t>2</w:t>
            </w:r>
          </w:p>
        </w:tc>
        <w:tc>
          <w:tcPr>
            <w:tcW w:type="dxa" w:w="1008"/>
          </w:tcPr>
          <w:p>
            <w:pPr>
              <w:spacing w:after="0"/>
            </w:pPr>
            <w:r/>
            <w:r>
              <w:rPr>
                <w:b w:val="0"/>
                <w:sz w:val="17"/>
              </w:rPr>
              <w:t>4</w:t>
            </w:r>
          </w:p>
        </w:tc>
        <w:tc>
          <w:tcPr>
            <w:tcW w:type="dxa" w:w="1152"/>
          </w:tcPr>
          <w:p>
            <w:pPr>
              <w:spacing w:after="0"/>
            </w:pPr>
            <w:r/>
            <w:r>
              <w:rPr>
                <w:b w:val="0"/>
                <w:sz w:val="17"/>
              </w:rPr>
              <w:t>2</w:t>
            </w:r>
          </w:p>
        </w:tc>
        <w:tc>
          <w:tcPr>
            <w:tcW w:type="dxa" w:w="1008"/>
          </w:tcPr>
          <w:p>
            <w:pPr>
              <w:spacing w:after="0"/>
            </w:pPr>
            <w:r/>
            <w:r>
              <w:rPr>
                <w:b w:val="0"/>
                <w:sz w:val="17"/>
              </w:rPr>
              <w:t>1</w:t>
            </w:r>
          </w:p>
        </w:tc>
        <w:tc>
          <w:tcPr>
            <w:tcW w:type="dxa" w:w="1584"/>
          </w:tcPr>
          <w:p>
            <w:pPr>
              <w:spacing w:after="0"/>
            </w:pPr>
            <w:r/>
            <w:r>
              <w:rPr>
                <w:b w:val="0"/>
                <w:sz w:val="17"/>
              </w:rPr>
              <w:t>7</w:t>
            </w:r>
          </w:p>
        </w:tc>
      </w:tr>
      <w:tr>
        <w:tc>
          <w:tcPr>
            <w:tcW w:type="dxa" w:w="720"/>
          </w:tcPr>
          <w:p>
            <w:pPr>
              <w:spacing w:after="0"/>
            </w:pPr>
            <w:r/>
            <w:r>
              <w:rPr>
                <w:b/>
                <w:sz w:val="17"/>
              </w:rPr>
              <w:t>E</w:t>
            </w:r>
          </w:p>
        </w:tc>
        <w:tc>
          <w:tcPr>
            <w:tcW w:type="dxa" w:w="5760"/>
          </w:tcPr>
          <w:p>
            <w:pPr>
              <w:spacing w:after="0"/>
            </w:pPr>
            <w:r/>
            <w:r>
              <w:rPr>
                <w:b w:val="0"/>
                <w:sz w:val="17"/>
              </w:rPr>
              <w:t>Spousal Maintenance (Contractual Alimony)</w:t>
            </w:r>
          </w:p>
        </w:tc>
        <w:tc>
          <w:tcPr>
            <w:tcW w:type="dxa" w:w="1008"/>
          </w:tcPr>
          <w:p>
            <w:pPr>
              <w:spacing w:after="0"/>
            </w:pPr>
            <w:r/>
            <w:r>
              <w:rPr>
                <w:b w:val="0"/>
                <w:sz w:val="17"/>
              </w:rPr>
              <w:t>7</w:t>
            </w:r>
          </w:p>
        </w:tc>
        <w:tc>
          <w:tcPr>
            <w:tcW w:type="dxa" w:w="1152"/>
          </w:tcPr>
          <w:p>
            <w:pPr>
              <w:spacing w:after="0"/>
            </w:pPr>
            <w:r/>
            <w:r>
              <w:rPr>
                <w:b w:val="0"/>
                <w:sz w:val="17"/>
              </w:rPr>
              <w:t>1</w:t>
            </w:r>
          </w:p>
        </w:tc>
        <w:tc>
          <w:tcPr>
            <w:tcW w:type="dxa" w:w="1008"/>
          </w:tcPr>
          <w:p>
            <w:pPr>
              <w:spacing w:after="0"/>
            </w:pPr>
            <w:r/>
            <w:r>
              <w:rPr>
                <w:b w:val="0"/>
                <w:sz w:val="17"/>
              </w:rPr>
              <w:t>2</w:t>
            </w:r>
          </w:p>
        </w:tc>
        <w:tc>
          <w:tcPr>
            <w:tcW w:type="dxa" w:w="1152"/>
          </w:tcPr>
          <w:p>
            <w:pPr>
              <w:spacing w:after="0"/>
            </w:pPr>
            <w:r/>
            <w:r>
              <w:rPr>
                <w:b w:val="0"/>
                <w:sz w:val="17"/>
              </w:rPr>
              <w:t>2</w:t>
            </w:r>
          </w:p>
        </w:tc>
        <w:tc>
          <w:tcPr>
            <w:tcW w:type="dxa" w:w="1008"/>
          </w:tcPr>
          <w:p>
            <w:pPr>
              <w:spacing w:after="0"/>
            </w:pPr>
            <w:r/>
            <w:r>
              <w:rPr>
                <w:b w:val="0"/>
                <w:sz w:val="17"/>
              </w:rPr>
              <w:t>2</w:t>
            </w:r>
          </w:p>
        </w:tc>
        <w:tc>
          <w:tcPr>
            <w:tcW w:type="dxa" w:w="1584"/>
          </w:tcPr>
          <w:p>
            <w:pPr>
              <w:spacing w:after="0"/>
            </w:pPr>
            <w:r/>
            <w:r>
              <w:rPr>
                <w:b w:val="0"/>
                <w:sz w:val="17"/>
              </w:rPr>
              <w:t>5</w:t>
            </w:r>
          </w:p>
        </w:tc>
      </w:tr>
      <w:tr>
        <w:tc>
          <w:tcPr>
            <w:tcW w:type="dxa" w:w="720"/>
          </w:tcPr>
          <w:p>
            <w:pPr>
              <w:spacing w:after="0"/>
            </w:pPr>
            <w:r/>
            <w:r>
              <w:rPr>
                <w:b/>
                <w:sz w:val="17"/>
              </w:rPr>
              <w:t>F</w:t>
            </w:r>
          </w:p>
        </w:tc>
        <w:tc>
          <w:tcPr>
            <w:tcW w:type="dxa" w:w="5760"/>
          </w:tcPr>
          <w:p>
            <w:pPr>
              <w:spacing w:after="0"/>
            </w:pPr>
            <w:r/>
            <w:r>
              <w:rPr>
                <w:b w:val="0"/>
                <w:sz w:val="17"/>
              </w:rPr>
              <w:t>Marital Residence (4210 Cypress Creek Parkway)</w:t>
            </w:r>
          </w:p>
        </w:tc>
        <w:tc>
          <w:tcPr>
            <w:tcW w:type="dxa" w:w="1008"/>
          </w:tcPr>
          <w:p>
            <w:pPr>
              <w:spacing w:after="0"/>
            </w:pPr>
            <w:r/>
            <w:r>
              <w:rPr>
                <w:b w:val="0"/>
                <w:sz w:val="17"/>
              </w:rPr>
              <w:t>7</w:t>
            </w:r>
          </w:p>
        </w:tc>
        <w:tc>
          <w:tcPr>
            <w:tcW w:type="dxa" w:w="1152"/>
          </w:tcPr>
          <w:p>
            <w:pPr>
              <w:spacing w:after="0"/>
            </w:pPr>
            <w:r/>
            <w:r>
              <w:rPr>
                <w:b w:val="0"/>
                <w:sz w:val="17"/>
              </w:rPr>
              <w:t>2</w:t>
            </w:r>
          </w:p>
        </w:tc>
        <w:tc>
          <w:tcPr>
            <w:tcW w:type="dxa" w:w="1008"/>
          </w:tcPr>
          <w:p>
            <w:pPr>
              <w:spacing w:after="0"/>
            </w:pPr>
            <w:r/>
            <w:r>
              <w:rPr>
                <w:b w:val="0"/>
                <w:sz w:val="17"/>
              </w:rPr>
              <w:t>1</w:t>
            </w:r>
          </w:p>
        </w:tc>
        <w:tc>
          <w:tcPr>
            <w:tcW w:type="dxa" w:w="1152"/>
          </w:tcPr>
          <w:p>
            <w:pPr>
              <w:spacing w:after="0"/>
            </w:pPr>
            <w:r/>
            <w:r>
              <w:rPr>
                <w:b w:val="0"/>
                <w:sz w:val="17"/>
              </w:rPr>
              <w:t>2</w:t>
            </w:r>
          </w:p>
        </w:tc>
        <w:tc>
          <w:tcPr>
            <w:tcW w:type="dxa" w:w="1008"/>
          </w:tcPr>
          <w:p>
            <w:pPr>
              <w:spacing w:after="0"/>
            </w:pPr>
            <w:r/>
            <w:r>
              <w:rPr>
                <w:b w:val="0"/>
                <w:sz w:val="17"/>
              </w:rPr>
              <w:t>2</w:t>
            </w:r>
          </w:p>
        </w:tc>
        <w:tc>
          <w:tcPr>
            <w:tcW w:type="dxa" w:w="1584"/>
          </w:tcPr>
          <w:p>
            <w:pPr>
              <w:spacing w:after="0"/>
            </w:pPr>
            <w:r/>
            <w:r>
              <w:rPr>
                <w:b w:val="0"/>
                <w:sz w:val="17"/>
              </w:rPr>
              <w:t>4</w:t>
            </w:r>
          </w:p>
        </w:tc>
      </w:tr>
      <w:tr>
        <w:tc>
          <w:tcPr>
            <w:tcW w:type="dxa" w:w="720"/>
          </w:tcPr>
          <w:p>
            <w:pPr>
              <w:spacing w:after="0"/>
            </w:pPr>
            <w:r/>
            <w:r>
              <w:rPr>
                <w:b/>
                <w:sz w:val="17"/>
              </w:rPr>
              <w:t>G</w:t>
            </w:r>
          </w:p>
        </w:tc>
        <w:tc>
          <w:tcPr>
            <w:tcW w:type="dxa" w:w="5760"/>
          </w:tcPr>
          <w:p>
            <w:pPr>
              <w:spacing w:after="0"/>
            </w:pPr>
            <w:r/>
            <w:r>
              <w:rPr>
                <w:b w:val="0"/>
                <w:sz w:val="17"/>
              </w:rPr>
              <w:t>Retirement Accounts</w:t>
            </w:r>
          </w:p>
        </w:tc>
        <w:tc>
          <w:tcPr>
            <w:tcW w:type="dxa" w:w="1008"/>
          </w:tcPr>
          <w:p>
            <w:pPr>
              <w:spacing w:after="0"/>
            </w:pPr>
            <w:r/>
            <w:r>
              <w:rPr>
                <w:b w:val="0"/>
                <w:sz w:val="17"/>
              </w:rPr>
              <w:t>4</w:t>
            </w:r>
          </w:p>
        </w:tc>
        <w:tc>
          <w:tcPr>
            <w:tcW w:type="dxa" w:w="1152"/>
          </w:tcPr>
          <w:p>
            <w:pPr>
              <w:spacing w:after="0"/>
            </w:pPr>
            <w:r/>
            <w:r>
              <w:rPr>
                <w:b w:val="0"/>
                <w:sz w:val="17"/>
              </w:rPr>
              <w:t>1</w:t>
            </w:r>
          </w:p>
        </w:tc>
        <w:tc>
          <w:tcPr>
            <w:tcW w:type="dxa" w:w="1008"/>
          </w:tcPr>
          <w:p>
            <w:pPr>
              <w:spacing w:after="0"/>
            </w:pPr>
            <w:r/>
            <w:r>
              <w:rPr>
                <w:b w:val="0"/>
                <w:sz w:val="17"/>
              </w:rPr>
              <w:t>1</w:t>
            </w:r>
          </w:p>
        </w:tc>
        <w:tc>
          <w:tcPr>
            <w:tcW w:type="dxa" w:w="1152"/>
          </w:tcPr>
          <w:p>
            <w:pPr>
              <w:spacing w:after="0"/>
            </w:pPr>
            <w:r/>
            <w:r>
              <w:rPr>
                <w:b w:val="0"/>
                <w:sz w:val="17"/>
              </w:rPr>
              <w:t>1</w:t>
            </w:r>
          </w:p>
        </w:tc>
        <w:tc>
          <w:tcPr>
            <w:tcW w:type="dxa" w:w="1008"/>
          </w:tcPr>
          <w:p>
            <w:pPr>
              <w:spacing w:after="0"/>
            </w:pPr>
            <w:r/>
            <w:r>
              <w:rPr>
                <w:b w:val="0"/>
                <w:sz w:val="17"/>
              </w:rPr>
              <w:t>1</w:t>
            </w:r>
          </w:p>
        </w:tc>
        <w:tc>
          <w:tcPr>
            <w:tcW w:type="dxa" w:w="1584"/>
          </w:tcPr>
          <w:p>
            <w:pPr>
              <w:spacing w:after="0"/>
            </w:pPr>
            <w:r/>
            <w:r>
              <w:rPr>
                <w:b w:val="0"/>
                <w:sz w:val="17"/>
              </w:rPr>
              <w:t>3</w:t>
            </w:r>
          </w:p>
        </w:tc>
      </w:tr>
      <w:tr>
        <w:tc>
          <w:tcPr>
            <w:tcW w:type="dxa" w:w="720"/>
          </w:tcPr>
          <w:p>
            <w:pPr>
              <w:spacing w:after="0"/>
            </w:pPr>
            <w:r/>
            <w:r>
              <w:rPr>
                <w:b/>
                <w:sz w:val="17"/>
              </w:rPr>
              <w:t>H</w:t>
            </w:r>
          </w:p>
        </w:tc>
        <w:tc>
          <w:tcPr>
            <w:tcW w:type="dxa" w:w="5760"/>
          </w:tcPr>
          <w:p>
            <w:pPr>
              <w:spacing w:after="0"/>
            </w:pPr>
            <w:r/>
            <w:r>
              <w:rPr>
                <w:b w:val="0"/>
                <w:sz w:val="17"/>
              </w:rPr>
              <w:t>Brokerage Account (Redstone Wealth Advisors RWA-448821)</w:t>
            </w:r>
          </w:p>
        </w:tc>
        <w:tc>
          <w:tcPr>
            <w:tcW w:type="dxa" w:w="1008"/>
          </w:tcPr>
          <w:p>
            <w:pPr>
              <w:spacing w:after="0"/>
            </w:pPr>
            <w:r/>
            <w:r>
              <w:rPr>
                <w:b w:val="0"/>
                <w:sz w:val="17"/>
              </w:rPr>
              <w:t>2</w:t>
            </w:r>
          </w:p>
        </w:tc>
        <w:tc>
          <w:tcPr>
            <w:tcW w:type="dxa" w:w="1152"/>
          </w:tcPr>
          <w:p>
            <w:pPr>
              <w:spacing w:after="0"/>
            </w:pPr>
            <w:r/>
            <w:r>
              <w:rPr>
                <w:b w:val="0"/>
                <w:sz w:val="17"/>
              </w:rPr>
              <w:t>1</w:t>
            </w:r>
          </w:p>
        </w:tc>
        <w:tc>
          <w:tcPr>
            <w:tcW w:type="dxa" w:w="1008"/>
          </w:tcPr>
          <w:p>
            <w:pPr>
              <w:spacing w:after="0"/>
            </w:pPr>
            <w:r/>
            <w:r>
              <w:rPr>
                <w:b w:val="0"/>
                <w:sz w:val="17"/>
              </w:rPr>
              <w:t>0</w:t>
            </w:r>
          </w:p>
        </w:tc>
        <w:tc>
          <w:tcPr>
            <w:tcW w:type="dxa" w:w="1152"/>
          </w:tcPr>
          <w:p>
            <w:pPr>
              <w:spacing w:after="0"/>
            </w:pPr>
            <w:r/>
            <w:r>
              <w:rPr>
                <w:b w:val="0"/>
                <w:sz w:val="17"/>
              </w:rPr>
              <w:t>0</w:t>
            </w:r>
          </w:p>
        </w:tc>
        <w:tc>
          <w:tcPr>
            <w:tcW w:type="dxa" w:w="1008"/>
          </w:tcPr>
          <w:p>
            <w:pPr>
              <w:spacing w:after="0"/>
            </w:pPr>
            <w:r/>
            <w:r>
              <w:rPr>
                <w:b w:val="0"/>
                <w:sz w:val="17"/>
              </w:rPr>
              <w:t>1</w:t>
            </w:r>
          </w:p>
        </w:tc>
        <w:tc>
          <w:tcPr>
            <w:tcW w:type="dxa" w:w="1584"/>
          </w:tcPr>
          <w:p>
            <w:pPr>
              <w:spacing w:after="0"/>
            </w:pPr>
            <w:r/>
            <w:r>
              <w:rPr>
                <w:b w:val="0"/>
                <w:sz w:val="17"/>
              </w:rPr>
              <w:t>2</w:t>
            </w:r>
          </w:p>
        </w:tc>
      </w:tr>
      <w:tr>
        <w:tc>
          <w:tcPr>
            <w:tcW w:type="dxa" w:w="720"/>
          </w:tcPr>
          <w:p>
            <w:pPr>
              <w:spacing w:after="0"/>
            </w:pPr>
            <w:r/>
            <w:r>
              <w:rPr>
                <w:b/>
                <w:sz w:val="17"/>
              </w:rPr>
              <w:t>I</w:t>
            </w:r>
          </w:p>
        </w:tc>
        <w:tc>
          <w:tcPr>
            <w:tcW w:type="dxa" w:w="5760"/>
          </w:tcPr>
          <w:p>
            <w:pPr>
              <w:spacing w:after="0"/>
            </w:pPr>
            <w:r/>
            <w:r>
              <w:rPr>
                <w:b w:val="0"/>
                <w:sz w:val="17"/>
              </w:rPr>
              <w:t>Vehicles and Whole Life Policy (Property Award)</w:t>
            </w:r>
          </w:p>
        </w:tc>
        <w:tc>
          <w:tcPr>
            <w:tcW w:type="dxa" w:w="1008"/>
          </w:tcPr>
          <w:p>
            <w:pPr>
              <w:spacing w:after="0"/>
            </w:pPr>
            <w:r/>
            <w:r>
              <w:rPr>
                <w:b w:val="0"/>
                <w:sz w:val="17"/>
              </w:rPr>
              <w:t>2</w:t>
            </w:r>
          </w:p>
        </w:tc>
        <w:tc>
          <w:tcPr>
            <w:tcW w:type="dxa" w:w="1152"/>
          </w:tcPr>
          <w:p>
            <w:pPr>
              <w:spacing w:after="0"/>
            </w:pPr>
            <w:r/>
            <w:r>
              <w:rPr>
                <w:b w:val="0"/>
                <w:sz w:val="17"/>
              </w:rPr>
              <w:t>0</w:t>
            </w:r>
          </w:p>
        </w:tc>
        <w:tc>
          <w:tcPr>
            <w:tcW w:type="dxa" w:w="1008"/>
          </w:tcPr>
          <w:p>
            <w:pPr>
              <w:spacing w:after="0"/>
            </w:pPr>
            <w:r/>
            <w:r>
              <w:rPr>
                <w:b w:val="0"/>
                <w:sz w:val="17"/>
              </w:rPr>
              <w:t>0</w:t>
            </w:r>
          </w:p>
        </w:tc>
        <w:tc>
          <w:tcPr>
            <w:tcW w:type="dxa" w:w="1152"/>
          </w:tcPr>
          <w:p>
            <w:pPr>
              <w:spacing w:after="0"/>
            </w:pPr>
            <w:r/>
            <w:r>
              <w:rPr>
                <w:b w:val="0"/>
                <w:sz w:val="17"/>
              </w:rPr>
              <w:t>1</w:t>
            </w:r>
          </w:p>
        </w:tc>
        <w:tc>
          <w:tcPr>
            <w:tcW w:type="dxa" w:w="1008"/>
          </w:tcPr>
          <w:p>
            <w:pPr>
              <w:spacing w:after="0"/>
            </w:pPr>
            <w:r/>
            <w:r>
              <w:rPr>
                <w:b w:val="0"/>
                <w:sz w:val="17"/>
              </w:rPr>
              <w:t>1</w:t>
            </w:r>
          </w:p>
        </w:tc>
        <w:tc>
          <w:tcPr>
            <w:tcW w:type="dxa" w:w="1584"/>
          </w:tcPr>
          <w:p>
            <w:pPr>
              <w:spacing w:after="0"/>
            </w:pPr>
            <w:r/>
            <w:r>
              <w:rPr>
                <w:b w:val="0"/>
                <w:sz w:val="17"/>
              </w:rPr>
              <w:t>1</w:t>
            </w:r>
          </w:p>
        </w:tc>
      </w:tr>
      <w:tr>
        <w:tc>
          <w:tcPr>
            <w:tcW w:type="dxa" w:w="720"/>
          </w:tcPr>
          <w:p>
            <w:pPr>
              <w:spacing w:after="0"/>
            </w:pPr>
            <w:r/>
            <w:r>
              <w:rPr>
                <w:b/>
                <w:sz w:val="17"/>
              </w:rPr>
              <w:t>J</w:t>
            </w:r>
          </w:p>
        </w:tc>
        <w:tc>
          <w:tcPr>
            <w:tcW w:type="dxa" w:w="5760"/>
          </w:tcPr>
          <w:p>
            <w:pPr>
              <w:spacing w:after="0"/>
            </w:pPr>
            <w:r/>
            <w:r>
              <w:rPr>
                <w:b w:val="0"/>
                <w:sz w:val="17"/>
              </w:rPr>
              <w:t>Personal Property</w:t>
            </w:r>
          </w:p>
        </w:tc>
        <w:tc>
          <w:tcPr>
            <w:tcW w:type="dxa" w:w="1008"/>
          </w:tcPr>
          <w:p>
            <w:pPr>
              <w:spacing w:after="0"/>
            </w:pPr>
            <w:r/>
            <w:r>
              <w:rPr>
                <w:b w:val="0"/>
                <w:sz w:val="17"/>
              </w:rPr>
              <w:t>7</w:t>
            </w:r>
          </w:p>
        </w:tc>
        <w:tc>
          <w:tcPr>
            <w:tcW w:type="dxa" w:w="1152"/>
          </w:tcPr>
          <w:p>
            <w:pPr>
              <w:spacing w:after="0"/>
            </w:pPr>
            <w:r/>
            <w:r>
              <w:rPr>
                <w:b w:val="0"/>
                <w:sz w:val="17"/>
              </w:rPr>
              <w:t>0</w:t>
            </w:r>
          </w:p>
        </w:tc>
        <w:tc>
          <w:tcPr>
            <w:tcW w:type="dxa" w:w="1008"/>
          </w:tcPr>
          <w:p>
            <w:pPr>
              <w:spacing w:after="0"/>
            </w:pPr>
            <w:r/>
            <w:r>
              <w:rPr>
                <w:b w:val="0"/>
                <w:sz w:val="17"/>
              </w:rPr>
              <w:t>1</w:t>
            </w:r>
          </w:p>
        </w:tc>
        <w:tc>
          <w:tcPr>
            <w:tcW w:type="dxa" w:w="1152"/>
          </w:tcPr>
          <w:p>
            <w:pPr>
              <w:spacing w:after="0"/>
            </w:pPr>
            <w:r/>
            <w:r>
              <w:rPr>
                <w:b w:val="0"/>
                <w:sz w:val="17"/>
              </w:rPr>
              <w:t>3</w:t>
            </w:r>
          </w:p>
        </w:tc>
        <w:tc>
          <w:tcPr>
            <w:tcW w:type="dxa" w:w="1008"/>
          </w:tcPr>
          <w:p>
            <w:pPr>
              <w:spacing w:after="0"/>
            </w:pPr>
            <w:r/>
            <w:r>
              <w:rPr>
                <w:b w:val="0"/>
                <w:sz w:val="17"/>
              </w:rPr>
              <w:t>3</w:t>
            </w:r>
          </w:p>
        </w:tc>
        <w:tc>
          <w:tcPr>
            <w:tcW w:type="dxa" w:w="1584"/>
          </w:tcPr>
          <w:p>
            <w:pPr>
              <w:spacing w:after="0"/>
            </w:pPr>
            <w:r/>
            <w:r>
              <w:rPr>
                <w:b w:val="0"/>
                <w:sz w:val="17"/>
              </w:rPr>
              <w:t>4</w:t>
            </w:r>
          </w:p>
        </w:tc>
      </w:tr>
      <w:tr>
        <w:tc>
          <w:tcPr>
            <w:tcW w:type="dxa" w:w="720"/>
          </w:tcPr>
          <w:p>
            <w:pPr>
              <w:spacing w:after="0"/>
            </w:pPr>
            <w:r/>
            <w:r>
              <w:rPr>
                <w:b/>
                <w:sz w:val="17"/>
              </w:rPr>
              <w:t>K</w:t>
            </w:r>
          </w:p>
        </w:tc>
        <w:tc>
          <w:tcPr>
            <w:tcW w:type="dxa" w:w="5760"/>
          </w:tcPr>
          <w:p>
            <w:pPr>
              <w:spacing w:after="0"/>
            </w:pPr>
            <w:r/>
            <w:r>
              <w:rPr>
                <w:b w:val="0"/>
                <w:sz w:val="17"/>
              </w:rPr>
              <w:t>Community Debts and Indemnification</w:t>
            </w:r>
          </w:p>
        </w:tc>
        <w:tc>
          <w:tcPr>
            <w:tcW w:type="dxa" w:w="1008"/>
          </w:tcPr>
          <w:p>
            <w:pPr>
              <w:spacing w:after="0"/>
            </w:pPr>
            <w:r/>
            <w:r>
              <w:rPr>
                <w:b w:val="0"/>
                <w:sz w:val="17"/>
              </w:rPr>
              <w:t>4</w:t>
            </w:r>
          </w:p>
        </w:tc>
        <w:tc>
          <w:tcPr>
            <w:tcW w:type="dxa" w:w="1152"/>
          </w:tcPr>
          <w:p>
            <w:pPr>
              <w:spacing w:after="0"/>
            </w:pPr>
            <w:r/>
            <w:r>
              <w:rPr>
                <w:b w:val="0"/>
                <w:sz w:val="17"/>
              </w:rPr>
              <w:t>1</w:t>
            </w:r>
          </w:p>
        </w:tc>
        <w:tc>
          <w:tcPr>
            <w:tcW w:type="dxa" w:w="1008"/>
          </w:tcPr>
          <w:p>
            <w:pPr>
              <w:spacing w:after="0"/>
            </w:pPr>
            <w:r/>
            <w:r>
              <w:rPr>
                <w:b w:val="0"/>
                <w:sz w:val="17"/>
              </w:rPr>
              <w:t>0</w:t>
            </w:r>
          </w:p>
        </w:tc>
        <w:tc>
          <w:tcPr>
            <w:tcW w:type="dxa" w:w="1152"/>
          </w:tcPr>
          <w:p>
            <w:pPr>
              <w:spacing w:after="0"/>
            </w:pPr>
            <w:r/>
            <w:r>
              <w:rPr>
                <w:b w:val="0"/>
                <w:sz w:val="17"/>
              </w:rPr>
              <w:t>2</w:t>
            </w:r>
          </w:p>
        </w:tc>
        <w:tc>
          <w:tcPr>
            <w:tcW w:type="dxa" w:w="1008"/>
          </w:tcPr>
          <w:p>
            <w:pPr>
              <w:spacing w:after="0"/>
            </w:pPr>
            <w:r/>
            <w:r>
              <w:rPr>
                <w:b w:val="0"/>
                <w:sz w:val="17"/>
              </w:rPr>
              <w:t>1</w:t>
            </w:r>
          </w:p>
        </w:tc>
        <w:tc>
          <w:tcPr>
            <w:tcW w:type="dxa" w:w="1584"/>
          </w:tcPr>
          <w:p>
            <w:pPr>
              <w:spacing w:after="0"/>
            </w:pPr>
            <w:r/>
            <w:r>
              <w:rPr>
                <w:b w:val="0"/>
                <w:sz w:val="17"/>
              </w:rPr>
              <w:t>2</w:t>
            </w:r>
          </w:p>
        </w:tc>
      </w:tr>
      <w:tr>
        <w:tc>
          <w:tcPr>
            <w:tcW w:type="dxa" w:w="720"/>
          </w:tcPr>
          <w:p>
            <w:pPr>
              <w:spacing w:after="0"/>
            </w:pPr>
            <w:r/>
            <w:r>
              <w:rPr>
                <w:b/>
                <w:sz w:val="17"/>
              </w:rPr>
              <w:t>L</w:t>
            </w:r>
          </w:p>
        </w:tc>
        <w:tc>
          <w:tcPr>
            <w:tcW w:type="dxa" w:w="5760"/>
          </w:tcPr>
          <w:p>
            <w:pPr>
              <w:spacing w:after="0"/>
            </w:pPr>
            <w:r/>
            <w:r>
              <w:rPr>
                <w:b w:val="0"/>
                <w:sz w:val="17"/>
              </w:rPr>
              <w:t>Attorney’s Fees and General Provisions</w:t>
            </w:r>
          </w:p>
        </w:tc>
        <w:tc>
          <w:tcPr>
            <w:tcW w:type="dxa" w:w="1008"/>
          </w:tcPr>
          <w:p>
            <w:pPr>
              <w:spacing w:after="0"/>
            </w:pPr>
            <w:r/>
            <w:r>
              <w:rPr>
                <w:b w:val="0"/>
                <w:sz w:val="17"/>
              </w:rPr>
              <w:t>3</w:t>
            </w:r>
          </w:p>
        </w:tc>
        <w:tc>
          <w:tcPr>
            <w:tcW w:type="dxa" w:w="1152"/>
          </w:tcPr>
          <w:p>
            <w:pPr>
              <w:spacing w:after="0"/>
            </w:pPr>
            <w:r/>
            <w:r>
              <w:rPr>
                <w:b w:val="0"/>
                <w:sz w:val="17"/>
              </w:rPr>
              <w:t>0</w:t>
            </w:r>
          </w:p>
        </w:tc>
        <w:tc>
          <w:tcPr>
            <w:tcW w:type="dxa" w:w="1008"/>
          </w:tcPr>
          <w:p>
            <w:pPr>
              <w:spacing w:after="0"/>
            </w:pPr>
            <w:r/>
            <w:r>
              <w:rPr>
                <w:b w:val="0"/>
                <w:sz w:val="17"/>
              </w:rPr>
              <w:t>0</w:t>
            </w:r>
          </w:p>
        </w:tc>
        <w:tc>
          <w:tcPr>
            <w:tcW w:type="dxa" w:w="1152"/>
          </w:tcPr>
          <w:p>
            <w:pPr>
              <w:spacing w:after="0"/>
            </w:pPr>
            <w:r/>
            <w:r>
              <w:rPr>
                <w:b w:val="0"/>
                <w:sz w:val="17"/>
              </w:rPr>
              <w:t>1</w:t>
            </w:r>
          </w:p>
        </w:tc>
        <w:tc>
          <w:tcPr>
            <w:tcW w:type="dxa" w:w="1008"/>
          </w:tcPr>
          <w:p>
            <w:pPr>
              <w:spacing w:after="0"/>
            </w:pPr>
            <w:r/>
            <w:r>
              <w:rPr>
                <w:b w:val="0"/>
                <w:sz w:val="17"/>
              </w:rPr>
              <w:t>2</w:t>
            </w:r>
          </w:p>
        </w:tc>
        <w:tc>
          <w:tcPr>
            <w:tcW w:type="dxa" w:w="1584"/>
          </w:tcPr>
          <w:p>
            <w:pPr>
              <w:spacing w:after="0"/>
            </w:pPr>
            <w:r/>
            <w:r>
              <w:rPr>
                <w:b w:val="0"/>
                <w:sz w:val="17"/>
              </w:rPr>
              <w:t>1</w:t>
            </w:r>
          </w:p>
        </w:tc>
      </w:tr>
      <w:tr>
        <w:tc>
          <w:tcPr>
            <w:tcW w:type="dxa" w:w="720"/>
          </w:tcPr>
          <w:p>
            <w:pPr>
              <w:spacing w:after="0"/>
            </w:pPr>
            <w:r/>
            <w:r>
              <w:rPr>
                <w:b/>
                <w:sz w:val="17"/>
              </w:rPr>
              <w:t>M</w:t>
            </w:r>
          </w:p>
        </w:tc>
        <w:tc>
          <w:tcPr>
            <w:tcW w:type="dxa" w:w="5760"/>
          </w:tcPr>
          <w:p>
            <w:pPr>
              <w:spacing w:after="0"/>
            </w:pPr>
            <w:r/>
            <w:r>
              <w:rPr>
                <w:b w:val="0"/>
                <w:sz w:val="17"/>
              </w:rPr>
              <w:t>Clerical, Identification and Completion Items</w:t>
            </w:r>
          </w:p>
        </w:tc>
        <w:tc>
          <w:tcPr>
            <w:tcW w:type="dxa" w:w="1008"/>
          </w:tcPr>
          <w:p>
            <w:pPr>
              <w:spacing w:after="0"/>
            </w:pPr>
            <w:r/>
            <w:r>
              <w:rPr>
                <w:b w:val="0"/>
                <w:sz w:val="17"/>
              </w:rPr>
              <w:t>3</w:t>
            </w:r>
          </w:p>
        </w:tc>
        <w:tc>
          <w:tcPr>
            <w:tcW w:type="dxa" w:w="1152"/>
          </w:tcPr>
          <w:p>
            <w:pPr>
              <w:spacing w:after="0"/>
            </w:pPr>
            <w:r/>
            <w:r>
              <w:rPr>
                <w:b w:val="0"/>
                <w:sz w:val="17"/>
              </w:rPr>
              <w:t>0</w:t>
            </w:r>
          </w:p>
        </w:tc>
        <w:tc>
          <w:tcPr>
            <w:tcW w:type="dxa" w:w="1008"/>
          </w:tcPr>
          <w:p>
            <w:pPr>
              <w:spacing w:after="0"/>
            </w:pPr>
            <w:r/>
            <w:r>
              <w:rPr>
                <w:b w:val="0"/>
                <w:sz w:val="17"/>
              </w:rPr>
              <w:t>0</w:t>
            </w:r>
          </w:p>
        </w:tc>
        <w:tc>
          <w:tcPr>
            <w:tcW w:type="dxa" w:w="1152"/>
          </w:tcPr>
          <w:p>
            <w:pPr>
              <w:spacing w:after="0"/>
            </w:pPr>
            <w:r/>
            <w:r>
              <w:rPr>
                <w:b w:val="0"/>
                <w:sz w:val="17"/>
              </w:rPr>
              <w:t>1</w:t>
            </w:r>
          </w:p>
        </w:tc>
        <w:tc>
          <w:tcPr>
            <w:tcW w:type="dxa" w:w="1008"/>
          </w:tcPr>
          <w:p>
            <w:pPr>
              <w:spacing w:after="0"/>
            </w:pPr>
            <w:r/>
            <w:r>
              <w:rPr>
                <w:b w:val="0"/>
                <w:sz w:val="17"/>
              </w:rPr>
              <w:t>2</w:t>
            </w:r>
          </w:p>
        </w:tc>
        <w:tc>
          <w:tcPr>
            <w:tcW w:type="dxa" w:w="1584"/>
          </w:tcPr>
          <w:p>
            <w:pPr>
              <w:spacing w:after="0"/>
            </w:pPr>
            <w:r/>
            <w:r>
              <w:rPr>
                <w:b w:val="0"/>
                <w:sz w:val="17"/>
              </w:rPr>
              <w:t>0</w:t>
            </w:r>
          </w:p>
        </w:tc>
      </w:tr>
      <w:tr>
        <w:tc>
          <w:tcPr>
            <w:tcW w:type="dxa" w:w="720"/>
          </w:tcPr>
          <w:p>
            <w:pPr>
              <w:spacing w:after="0"/>
            </w:pPr>
            <w:r/>
            <w:r>
              <w:rPr>
                <w:b/>
                <w:sz w:val="17"/>
              </w:rPr>
            </w:r>
          </w:p>
        </w:tc>
        <w:tc>
          <w:tcPr>
            <w:tcW w:type="dxa" w:w="5760"/>
          </w:tcPr>
          <w:p>
            <w:pPr>
              <w:spacing w:after="0"/>
            </w:pPr>
            <w:r/>
            <w:r>
              <w:rPr>
                <w:b w:val="0"/>
                <w:sz w:val="17"/>
              </w:rPr>
              <w:t>TOTAL</w:t>
            </w:r>
          </w:p>
        </w:tc>
        <w:tc>
          <w:tcPr>
            <w:tcW w:type="dxa" w:w="1008"/>
          </w:tcPr>
          <w:p>
            <w:pPr>
              <w:spacing w:after="0"/>
            </w:pPr>
            <w:r/>
            <w:r>
              <w:rPr>
                <w:b w:val="0"/>
                <w:sz w:val="17"/>
              </w:rPr>
              <w:t>63</w:t>
            </w:r>
          </w:p>
        </w:tc>
        <w:tc>
          <w:tcPr>
            <w:tcW w:type="dxa" w:w="1152"/>
          </w:tcPr>
          <w:p>
            <w:pPr>
              <w:spacing w:after="0"/>
            </w:pPr>
            <w:r/>
            <w:r>
              <w:rPr>
                <w:b w:val="0"/>
                <w:sz w:val="17"/>
              </w:rPr>
              <w:t>11</w:t>
            </w:r>
          </w:p>
        </w:tc>
        <w:tc>
          <w:tcPr>
            <w:tcW w:type="dxa" w:w="1008"/>
          </w:tcPr>
          <w:p>
            <w:pPr>
              <w:spacing w:after="0"/>
            </w:pPr>
            <w:r/>
            <w:r>
              <w:rPr>
                <w:b w:val="0"/>
                <w:sz w:val="17"/>
              </w:rPr>
              <w:t>14</w:t>
            </w:r>
          </w:p>
        </w:tc>
        <w:tc>
          <w:tcPr>
            <w:tcW w:type="dxa" w:w="1152"/>
          </w:tcPr>
          <w:p>
            <w:pPr>
              <w:spacing w:after="0"/>
            </w:pPr>
            <w:r/>
            <w:r>
              <w:rPr>
                <w:b w:val="0"/>
                <w:sz w:val="17"/>
              </w:rPr>
              <w:t>17</w:t>
            </w:r>
          </w:p>
        </w:tc>
        <w:tc>
          <w:tcPr>
            <w:tcW w:type="dxa" w:w="1008"/>
          </w:tcPr>
          <w:p>
            <w:pPr>
              <w:spacing w:after="0"/>
            </w:pPr>
            <w:r/>
            <w:r>
              <w:rPr>
                <w:b w:val="0"/>
                <w:sz w:val="17"/>
              </w:rPr>
              <w:t>21</w:t>
            </w:r>
          </w:p>
        </w:tc>
        <w:tc>
          <w:tcPr>
            <w:tcW w:type="dxa" w:w="1584"/>
          </w:tcPr>
          <w:p>
            <w:pPr>
              <w:spacing w:after="0"/>
            </w:pPr>
            <w:r/>
            <w:r>
              <w:rPr>
                <w:b w:val="0"/>
                <w:sz w:val="17"/>
              </w:rPr>
              <w:t>38</w:t>
            </w:r>
          </w:p>
        </w:tc>
      </w:tr>
    </w:tbl>
    <w:p>
      <w:pPr>
        <w:pStyle w:val="Heading1"/>
      </w:pPr>
      <w:r>
        <w:t>3. Detailed Discrepancies by Category</w:t>
      </w:r>
    </w:p>
    <w:p>
      <w:pPr>
        <w:pStyle w:val="Heading2"/>
      </w:pPr>
      <w:r>
        <w:t>A. Structural, Incorporation and Execution Issues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A-1</w:t>
            </w:r>
          </w:p>
        </w:tc>
        <w:tc>
          <w:tcPr>
            <w:tcW w:type="dxa" w:w="1512"/>
          </w:tcPr>
          <w:p>
            <w:pPr>
              <w:spacing w:after="0"/>
            </w:pPr>
            <w:r/>
            <w:r>
              <w:rPr>
                <w:b w:val="0"/>
                <w:sz w:val="17"/>
              </w:rPr>
              <w:t>No reference to or incorporation of the MSA</w:t>
            </w:r>
          </w:p>
        </w:tc>
        <w:tc>
          <w:tcPr>
            <w:tcW w:type="dxa" w:w="2304"/>
          </w:tcPr>
          <w:p>
            <w:pPr>
              <w:spacing w:after="0"/>
            </w:pPr>
            <w:r/>
            <w:r>
              <w:rPr>
                <w:b w:val="0"/>
                <w:sz w:val="17"/>
              </w:rPr>
              <w:t>MSA § 10.2: Decree “shall specifically reference this Mediated Settlement Agreement and shall be in all respects consistent with” it; in a conflict the MSA controls. See also MSA §§ 2, 11 (binding under Tex. Fam. Code §§ 6.602 and 153.0071(d)).</w:t>
            </w:r>
          </w:p>
        </w:tc>
        <w:tc>
          <w:tcPr>
            <w:tcW w:type="dxa" w:w="2304"/>
          </w:tcPr>
          <w:p>
            <w:pPr>
              <w:spacing w:after="0"/>
            </w:pPr>
            <w:r/>
            <w:r>
              <w:rPr>
                <w:b w:val="0"/>
                <w:sz w:val="17"/>
              </w:rPr>
              <w:t>Decree Arts. I–II contain no mention of the January 18, 2025 MSA. Art. I recites that “all matters in controversy were submitted to the Court for determination” and Art. II finds a “just and right division” under § 7.001, as though after a contested trial.</w:t>
            </w:r>
          </w:p>
        </w:tc>
        <w:tc>
          <w:tcPr>
            <w:tcW w:type="dxa" w:w="2520"/>
          </w:tcPr>
          <w:p>
            <w:pPr>
              <w:spacing w:after="0"/>
            </w:pPr>
            <w:r/>
            <w:r>
              <w:rPr>
                <w:b w:val="0"/>
                <w:sz w:val="17"/>
              </w:rPr>
              <w:t>Omitting the MSA removes the express conflict rule (MSA controls) and the textual anchor for enforcing the MSA’s terms; framing the decree as a contested adjudication rather than an agreed judgment on a § 6.602 / § 153.0071 MSA invites argument that the decree, not the MSA, defines the parties’ rights.</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Insert findings that the parties executed a binding, irrevocable MSA on January 18, 2025 complying with §§ 6.602(b) and 153.0071(d); that the Court approves it and renders judgment on it; that the MSA is incorporated by reference; and that any conflict is resolved in favor of the MSA. Re-caption as an Agreed Final Decree of Divorce.</w:t>
            </w:r>
          </w:p>
        </w:tc>
      </w:tr>
      <w:tr>
        <w:tc>
          <w:tcPr>
            <w:tcW w:type="dxa" w:w="648"/>
          </w:tcPr>
          <w:p>
            <w:pPr>
              <w:spacing w:after="0"/>
            </w:pPr>
            <w:r/>
            <w:r>
              <w:rPr>
                <w:b/>
                <w:sz w:val="17"/>
              </w:rPr>
              <w:t>A-2</w:t>
            </w:r>
          </w:p>
        </w:tc>
        <w:tc>
          <w:tcPr>
            <w:tcW w:type="dxa" w:w="1512"/>
          </w:tcPr>
          <w:p>
            <w:pPr>
              <w:spacing w:after="0"/>
            </w:pPr>
            <w:r/>
            <w:r>
              <w:rPr>
                <w:b w:val="0"/>
                <w:sz w:val="17"/>
              </w:rPr>
              <w:t>Client signature on a nonconforming decree may operate as an amendment of the MSA</w:t>
            </w:r>
          </w:p>
        </w:tc>
        <w:tc>
          <w:tcPr>
            <w:tcW w:type="dxa" w:w="2304"/>
          </w:tcPr>
          <w:p>
            <w:pPr>
              <w:spacing w:after="0"/>
            </w:pPr>
            <w:r/>
            <w:r>
              <w:rPr>
                <w:b w:val="0"/>
                <w:sz w:val="17"/>
              </w:rPr>
              <w:t>MSA § 10.5: the MSA may be modified only “by a written instrument signed by both parties.”</w:t>
            </w:r>
          </w:p>
        </w:tc>
        <w:tc>
          <w:tcPr>
            <w:tcW w:type="dxa" w:w="2304"/>
          </w:tcPr>
          <w:p>
            <w:pPr>
              <w:spacing w:after="0"/>
            </w:pPr>
            <w:r/>
            <w:r>
              <w:rPr>
                <w:b w:val="0"/>
                <w:sz w:val="17"/>
              </w:rPr>
              <w:t>Decree Art. XVII contains “APPROVED AND CONSENTED TO” signature lines for Megan and Derek; Steed’s March 7, 2025 email asks that Ms. Holloway sign and return the decree before the April 3 prove-up.</w:t>
            </w:r>
          </w:p>
        </w:tc>
        <w:tc>
          <w:tcPr>
            <w:tcW w:type="dxa" w:w="2520"/>
          </w:tcPr>
          <w:p>
            <w:pPr>
              <w:spacing w:after="0"/>
            </w:pPr>
            <w:r/>
            <w:r>
              <w:rPr>
                <w:b w:val="0"/>
                <w:sz w:val="17"/>
              </w:rPr>
              <w:t>A consent decree signed by both parties is itself a writing signed by both parties. If Ms. Holloway signs this draft, Respondent can argue that each deviation below was knowingly agreed and that the MSA was amended under § 10.5, waiving her right to judgment on the MSA terms.</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Ms. Holloway must not sign the draft. Counsel signature should be “Approved as to form only” until a fully conforming decree is agreed. Respond in writing that the draft does not conform and that Petitioner stands on the MSA.</w:t>
            </w:r>
          </w:p>
        </w:tc>
      </w:tr>
      <w:tr>
        <w:tc>
          <w:tcPr>
            <w:tcW w:type="dxa" w:w="648"/>
          </w:tcPr>
          <w:p>
            <w:pPr>
              <w:spacing w:after="0"/>
            </w:pPr>
            <w:r/>
            <w:r>
              <w:rPr>
                <w:b/>
                <w:sz w:val="17"/>
              </w:rPr>
              <w:t>A-3</w:t>
            </w:r>
          </w:p>
        </w:tc>
        <w:tc>
          <w:tcPr>
            <w:tcW w:type="dxa" w:w="1512"/>
          </w:tcPr>
          <w:p>
            <w:pPr>
              <w:spacing w:after="0"/>
            </w:pPr>
            <w:r/>
            <w:r>
              <w:rPr>
                <w:b w:val="0"/>
                <w:sz w:val="17"/>
              </w:rPr>
              <w:t>Opposing counsel’s representation of conformity</w:t>
            </w:r>
          </w:p>
        </w:tc>
        <w:tc>
          <w:tcPr>
            <w:tcW w:type="dxa" w:w="2304"/>
          </w:tcPr>
          <w:p>
            <w:pPr>
              <w:spacing w:after="0"/>
            </w:pPr>
            <w:r/>
            <w:r>
              <w:rPr>
                <w:b w:val="0"/>
                <w:sz w:val="17"/>
              </w:rPr>
              <w:t>N/A</w:t>
            </w:r>
          </w:p>
        </w:tc>
        <w:tc>
          <w:tcPr>
            <w:tcW w:type="dxa" w:w="2304"/>
          </w:tcPr>
          <w:p>
            <w:pPr>
              <w:spacing w:after="0"/>
            </w:pPr>
            <w:r/>
            <w:r>
              <w:rPr>
                <w:b w:val="0"/>
                <w:sz w:val="17"/>
              </w:rPr>
              <w:t>Cover email (Mar. 7, 2025): decree “was prepared consistent with the terms of the parties’ Mediated Settlement Agreement.”</w:t>
            </w:r>
          </w:p>
        </w:tc>
        <w:tc>
          <w:tcPr>
            <w:tcW w:type="dxa" w:w="2520"/>
          </w:tcPr>
          <w:p>
            <w:pPr>
              <w:spacing w:after="0"/>
            </w:pPr>
            <w:r/>
            <w:r>
              <w:rPr>
                <w:b w:val="0"/>
                <w:sz w:val="17"/>
              </w:rPr>
              <w:t>The representation is inaccurate. At least 60 substantive and clerical discrepancies were identified, and the financial ones run almost uniformly in Respondent’s favor (approximately $30,000 in property alone, plus a reversed medical-expense split, a lower child support figure, and a modifiable maintenance award). Several changes preserve the original totals (e.g., 401(k) and brokerage splits still sum to the account balance), which makes them easy to overlook.</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Correct the record in a written objection letter itemizing each discrepancy; preserve the email. Consider whether to request that Respondent’s counsel redline any future draft against the MSA.</w:t>
            </w:r>
          </w:p>
        </w:tc>
      </w:tr>
    </w:tbl>
    <w:p/>
    <w:p>
      <w:pPr>
        <w:pStyle w:val="Heading2"/>
      </w:pPr>
      <w:r>
        <w:t>B. Conservatorship and Parental Rights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B-1</w:t>
            </w:r>
          </w:p>
        </w:tc>
        <w:tc>
          <w:tcPr>
            <w:tcW w:type="dxa" w:w="1512"/>
          </w:tcPr>
          <w:p>
            <w:pPr>
              <w:spacing w:after="0"/>
            </w:pPr>
            <w:r/>
            <w:r>
              <w:rPr>
                <w:b w:val="0"/>
                <w:sz w:val="17"/>
              </w:rPr>
              <w:t>Exclusive right to make educational decisions reassigned to Derek</w:t>
            </w:r>
          </w:p>
        </w:tc>
        <w:tc>
          <w:tcPr>
            <w:tcW w:type="dxa" w:w="2304"/>
          </w:tcPr>
          <w:p>
            <w:pPr>
              <w:spacing w:after="0"/>
            </w:pPr>
            <w:r/>
            <w:r>
              <w:rPr>
                <w:b w:val="0"/>
                <w:sz w:val="17"/>
              </w:rPr>
              <w:t>MSA § 3.2(d): Megan has “the exclusive right to make decisions concerning the children’s education, including … enrollment in and withdrawal from public and private schools.”</w:t>
            </w:r>
          </w:p>
        </w:tc>
        <w:tc>
          <w:tcPr>
            <w:tcW w:type="dxa" w:w="2304"/>
          </w:tcPr>
          <w:p>
            <w:pPr>
              <w:spacing w:after="0"/>
            </w:pPr>
            <w:r/>
            <w:r>
              <w:rPr>
                <w:b w:val="0"/>
                <w:sz w:val="17"/>
              </w:rPr>
              <w:t>Decree § IV.E(3): Derek has “the exclusive right to make decisions concerning the children’s education, including the choice of schools and extracurricular activities.” Megan’s education right is absent from § IV.D.</w:t>
            </w:r>
          </w:p>
        </w:tc>
        <w:tc>
          <w:tcPr>
            <w:tcW w:type="dxa" w:w="2520"/>
          </w:tcPr>
          <w:p>
            <w:pPr>
              <w:spacing w:after="0"/>
            </w:pPr>
            <w:r/>
            <w:r>
              <w:rPr>
                <w:b w:val="0"/>
                <w:sz w:val="17"/>
              </w:rPr>
              <w:t>Direct reversal of a negotiated conservatorship right; expands it to extracurricular activities. Decree on conservatorship must track a § 153.0071(d) MSA (court may decline only on family-violence or best-interest grounds, § 153.0071(e-1)).</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Delete § IV.E(3); add to § IV.D: “the exclusive right to make decisions concerning the children’s education, including the right to consent to enrollment in and withdrawal from public and private schools.”</w:t>
            </w:r>
          </w:p>
        </w:tc>
      </w:tr>
      <w:tr>
        <w:tc>
          <w:tcPr>
            <w:tcW w:type="dxa" w:w="648"/>
          </w:tcPr>
          <w:p>
            <w:pPr>
              <w:spacing w:after="0"/>
            </w:pPr>
            <w:r/>
            <w:r>
              <w:rPr>
                <w:b/>
                <w:sz w:val="17"/>
              </w:rPr>
              <w:t>B-2</w:t>
            </w:r>
          </w:p>
        </w:tc>
        <w:tc>
          <w:tcPr>
            <w:tcW w:type="dxa" w:w="1512"/>
          </w:tcPr>
          <w:p>
            <w:pPr>
              <w:spacing w:after="0"/>
            </w:pPr>
            <w:r/>
            <w:r>
              <w:rPr>
                <w:b w:val="0"/>
                <w:sz w:val="17"/>
              </w:rPr>
              <w:t>New exclusive rights granted to Derek</w:t>
            </w:r>
          </w:p>
        </w:tc>
        <w:tc>
          <w:tcPr>
            <w:tcW w:type="dxa" w:w="2304"/>
          </w:tcPr>
          <w:p>
            <w:pPr>
              <w:spacing w:after="0"/>
            </w:pPr>
            <w:r/>
            <w:r>
              <w:rPr>
                <w:b w:val="0"/>
                <w:sz w:val="17"/>
              </w:rPr>
              <w:t>MSA § 3.2 grants exclusive rights only to Megan; MSA § 3.4 lists shared rights and (f) “all other rights of a Joint Managing Conservator” are shared. No exclusive rights for Derek.</w:t>
            </w:r>
          </w:p>
        </w:tc>
        <w:tc>
          <w:tcPr>
            <w:tcW w:type="dxa" w:w="2304"/>
          </w:tcPr>
          <w:p>
            <w:pPr>
              <w:spacing w:after="0"/>
            </w:pPr>
            <w:r/>
            <w:r>
              <w:rPr>
                <w:b w:val="0"/>
                <w:sz w:val="17"/>
              </w:rPr>
              <w:t>Decree § IV.E(1), (2), (4): Derek receives exclusive rights to represent the children in legal actions and make decisions of substantial legal significance, to consent to marriage and military enlistment, and to manage the children’s earnings.</w:t>
            </w:r>
          </w:p>
        </w:tc>
        <w:tc>
          <w:tcPr>
            <w:tcW w:type="dxa" w:w="2520"/>
          </w:tcPr>
          <w:p>
            <w:pPr>
              <w:spacing w:after="0"/>
            </w:pPr>
            <w:r/>
            <w:r>
              <w:rPr>
                <w:b w:val="0"/>
                <w:sz w:val="17"/>
              </w:rPr>
              <w:t>None of these was bargained for. Under the MSA they fall within shared “all other rights” (§ 3.4(f)). Giving Derek unilateral control over legal decisions and the children’s earnings materially alters the agreed allocation.</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Delete § IV.E in its entirety, or convert items (1), (2) and (4) to rights exercised jointly (consistent with MSA § 3.4(f)).</w:t>
            </w:r>
          </w:p>
        </w:tc>
      </w:tr>
      <w:tr>
        <w:tc>
          <w:tcPr>
            <w:tcW w:type="dxa" w:w="648"/>
          </w:tcPr>
          <w:p>
            <w:pPr>
              <w:spacing w:after="0"/>
            </w:pPr>
            <w:r/>
            <w:r>
              <w:rPr>
                <w:b/>
                <w:sz w:val="17"/>
              </w:rPr>
              <w:t>B-3</w:t>
            </w:r>
          </w:p>
        </w:tc>
        <w:tc>
          <w:tcPr>
            <w:tcW w:type="dxa" w:w="1512"/>
          </w:tcPr>
          <w:p>
            <w:pPr>
              <w:spacing w:after="0"/>
            </w:pPr>
            <w:r/>
            <w:r>
              <w:rPr>
                <w:b w:val="0"/>
                <w:sz w:val="17"/>
              </w:rPr>
              <w:t>Geographic restriction expanded to “within 150 miles”</w:t>
            </w:r>
          </w:p>
        </w:tc>
        <w:tc>
          <w:tcPr>
            <w:tcW w:type="dxa" w:w="2304"/>
          </w:tcPr>
          <w:p>
            <w:pPr>
              <w:spacing w:after="0"/>
            </w:pPr>
            <w:r/>
            <w:r>
              <w:rPr>
                <w:b w:val="0"/>
                <w:sz w:val="17"/>
              </w:rPr>
              <w:t>MSA §§ 3.2(a), 3.3: primary residence within Harris County or a contiguous county; “For the avoidance of doubt, the geographic restriction … is limited to Harris County, Texas, or any county contiguous to Harris County.”</w:t>
            </w:r>
          </w:p>
        </w:tc>
        <w:tc>
          <w:tcPr>
            <w:tcW w:type="dxa" w:w="2304"/>
          </w:tcPr>
          <w:p>
            <w:pPr>
              <w:spacing w:after="0"/>
            </w:pPr>
            <w:r/>
            <w:r>
              <w:rPr>
                <w:b w:val="0"/>
                <w:sz w:val="17"/>
              </w:rPr>
              <w:t>Decree § IV.D(1): “within Harris County, Texas, or any county contiguous to Harris County, or within 150 miles of the current primary residence.” Decree § IV.F incorporates § IV.D(1) as the relocation boundary.</w:t>
            </w:r>
          </w:p>
        </w:tc>
        <w:tc>
          <w:tcPr>
            <w:tcW w:type="dxa" w:w="2520"/>
          </w:tcPr>
          <w:p>
            <w:pPr>
              <w:spacing w:after="0"/>
            </w:pPr>
            <w:r/>
            <w:r>
              <w:rPr>
                <w:b w:val="0"/>
                <w:sz w:val="17"/>
              </w:rPr>
              <w:t>Contradicts the MSA’s express “avoidance of doubt” language and creates ambiguity (150 miles from which residence, measured how). Although it facially gives Megan more latitude, it is nonconforming, could be cited later as a changed-circumstances baseline, and is unusual coming from Respondent’s counsel.</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Neutral / ambiguous</w:t>
            </w:r>
          </w:p>
        </w:tc>
        <w:tc>
          <w:tcPr>
            <w:tcW w:type="dxa" w:w="2664"/>
          </w:tcPr>
          <w:p>
            <w:pPr>
              <w:spacing w:after="0"/>
            </w:pPr>
            <w:r/>
            <w:r>
              <w:rPr>
                <w:b w:val="0"/>
                <w:sz w:val="17"/>
              </w:rPr>
              <w:t>Strike “or within 150 miles of the current primary residence” in § IV.D(1). Conform § IV.F to MSA § 3.3, including that the restriction remains until modified by written agreement or court order.</w:t>
            </w:r>
          </w:p>
        </w:tc>
      </w:tr>
      <w:tr>
        <w:tc>
          <w:tcPr>
            <w:tcW w:type="dxa" w:w="648"/>
          </w:tcPr>
          <w:p>
            <w:pPr>
              <w:spacing w:after="0"/>
            </w:pPr>
            <w:r/>
            <w:r>
              <w:rPr>
                <w:b/>
                <w:sz w:val="17"/>
              </w:rPr>
              <w:t>B-4</w:t>
            </w:r>
          </w:p>
        </w:tc>
        <w:tc>
          <w:tcPr>
            <w:tcW w:type="dxa" w:w="1512"/>
          </w:tcPr>
          <w:p>
            <w:pPr>
              <w:spacing w:after="0"/>
            </w:pPr>
            <w:r/>
            <w:r>
              <w:rPr>
                <w:b w:val="0"/>
                <w:sz w:val="17"/>
              </w:rPr>
              <w:t>Exclusive right to receive child support downgraded</w:t>
            </w:r>
          </w:p>
        </w:tc>
        <w:tc>
          <w:tcPr>
            <w:tcW w:type="dxa" w:w="2304"/>
          </w:tcPr>
          <w:p>
            <w:pPr>
              <w:spacing w:after="0"/>
            </w:pPr>
            <w:r/>
            <w:r>
              <w:rPr>
                <w:b w:val="0"/>
                <w:sz w:val="17"/>
              </w:rPr>
              <w:t>MSA § 3.2(c): “The exclusive right to receive and give receipt for periodic payments for the support of the children.”</w:t>
            </w:r>
          </w:p>
        </w:tc>
        <w:tc>
          <w:tcPr>
            <w:tcW w:type="dxa" w:w="2304"/>
          </w:tcPr>
          <w:p>
            <w:pPr>
              <w:spacing w:after="0"/>
            </w:pPr>
            <w:r/>
            <w:r>
              <w:rPr>
                <w:b w:val="0"/>
                <w:sz w:val="17"/>
              </w:rPr>
              <w:t>Decree § IV.D(4): “the right to receive and give receipt …” (word “exclusive” omitted).</w:t>
            </w:r>
          </w:p>
        </w:tc>
        <w:tc>
          <w:tcPr>
            <w:tcW w:type="dxa" w:w="2520"/>
          </w:tcPr>
          <w:p>
            <w:pPr>
              <w:spacing w:after="0"/>
            </w:pPr>
            <w:r/>
            <w:r>
              <w:rPr>
                <w:b w:val="0"/>
                <w:sz w:val="17"/>
              </w:rPr>
              <w:t>Drafting deviation that weakens Megan’s position as sole obligee for support.</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Derek</w:t>
            </w:r>
          </w:p>
        </w:tc>
        <w:tc>
          <w:tcPr>
            <w:tcW w:type="dxa" w:w="2664"/>
          </w:tcPr>
          <w:p>
            <w:pPr>
              <w:spacing w:after="0"/>
            </w:pPr>
            <w:r/>
            <w:r>
              <w:rPr>
                <w:b w:val="0"/>
                <w:sz w:val="17"/>
              </w:rPr>
              <w:t>Restore “exclusive.”</w:t>
            </w:r>
          </w:p>
        </w:tc>
      </w:tr>
      <w:tr>
        <w:tc>
          <w:tcPr>
            <w:tcW w:type="dxa" w:w="648"/>
          </w:tcPr>
          <w:p>
            <w:pPr>
              <w:spacing w:after="0"/>
            </w:pPr>
            <w:r/>
            <w:r>
              <w:rPr>
                <w:b/>
                <w:sz w:val="17"/>
              </w:rPr>
              <w:t>B-5</w:t>
            </w:r>
          </w:p>
        </w:tc>
        <w:tc>
          <w:tcPr>
            <w:tcW w:type="dxa" w:w="1512"/>
          </w:tcPr>
          <w:p>
            <w:pPr>
              <w:spacing w:after="0"/>
            </w:pPr>
            <w:r/>
            <w:r>
              <w:rPr>
                <w:b w:val="0"/>
                <w:sz w:val="17"/>
              </w:rPr>
              <w:t>Exclusive right to consent to psychiatric/psychological treatment added for Megan</w:t>
            </w:r>
          </w:p>
        </w:tc>
        <w:tc>
          <w:tcPr>
            <w:tcW w:type="dxa" w:w="2304"/>
          </w:tcPr>
          <w:p>
            <w:pPr>
              <w:spacing w:after="0"/>
            </w:pPr>
            <w:r/>
            <w:r>
              <w:rPr>
                <w:b w:val="0"/>
                <w:sz w:val="17"/>
              </w:rPr>
              <w:t>Not in MSA § 3.2. (MSA § 3.2(b) covers non-emergency invasive medical, dental and surgical treatment.)</w:t>
            </w:r>
          </w:p>
        </w:tc>
        <w:tc>
          <w:tcPr>
            <w:tcW w:type="dxa" w:w="2304"/>
          </w:tcPr>
          <w:p>
            <w:pPr>
              <w:spacing w:after="0"/>
            </w:pPr>
            <w:r/>
            <w:r>
              <w:rPr>
                <w:b w:val="0"/>
                <w:sz w:val="17"/>
              </w:rPr>
              <w:t>Decree § IV.D(3): Megan has the exclusive right to consent to psychiatric and psychological treatment.</w:t>
            </w:r>
          </w:p>
        </w:tc>
        <w:tc>
          <w:tcPr>
            <w:tcW w:type="dxa" w:w="2520"/>
          </w:tcPr>
          <w:p>
            <w:pPr>
              <w:spacing w:after="0"/>
            </w:pPr>
            <w:r/>
            <w:r>
              <w:rPr>
                <w:b w:val="0"/>
                <w:sz w:val="17"/>
              </w:rPr>
              <w:t>Favorable to client but not agreed; a nonconforming term could be attacked. Decision point for client.</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Megan</w:t>
            </w:r>
          </w:p>
        </w:tc>
        <w:tc>
          <w:tcPr>
            <w:tcW w:type="dxa" w:w="2664"/>
          </w:tcPr>
          <w:p>
            <w:pPr>
              <w:spacing w:after="0"/>
            </w:pPr>
            <w:r/>
            <w:r>
              <w:rPr>
                <w:b w:val="0"/>
                <w:sz w:val="17"/>
              </w:rPr>
              <w:t>Either delete to conform, or retain only if Respondent confirms in a signed Rule 11 agreement. Do not rely on it absent written agreement.</w:t>
            </w:r>
          </w:p>
        </w:tc>
      </w:tr>
      <w:tr>
        <w:tc>
          <w:tcPr>
            <w:tcW w:type="dxa" w:w="648"/>
          </w:tcPr>
          <w:p>
            <w:pPr>
              <w:spacing w:after="0"/>
            </w:pPr>
            <w:r/>
            <w:r>
              <w:rPr>
                <w:b/>
                <w:sz w:val="17"/>
              </w:rPr>
              <w:t>B-6</w:t>
            </w:r>
          </w:p>
        </w:tc>
        <w:tc>
          <w:tcPr>
            <w:tcW w:type="dxa" w:w="1512"/>
          </w:tcPr>
          <w:p>
            <w:pPr>
              <w:spacing w:after="0"/>
            </w:pPr>
            <w:r/>
            <w:r>
              <w:rPr>
                <w:b w:val="0"/>
                <w:sz w:val="17"/>
              </w:rPr>
              <w:t>Equal access to records covenant omitted</w:t>
            </w:r>
          </w:p>
        </w:tc>
        <w:tc>
          <w:tcPr>
            <w:tcW w:type="dxa" w:w="2304"/>
          </w:tcPr>
          <w:p>
            <w:pPr>
              <w:spacing w:after="0"/>
            </w:pPr>
            <w:r/>
            <w:r>
              <w:rPr>
                <w:b w:val="0"/>
                <w:sz w:val="17"/>
              </w:rPr>
              <w:t>MSA § 3.5: equal and unrestricted access; neither parent may impede the other’s access; each shall execute authorizations or releases needed for the other’s full access.</w:t>
            </w:r>
          </w:p>
        </w:tc>
        <w:tc>
          <w:tcPr>
            <w:tcW w:type="dxa" w:w="2304"/>
          </w:tcPr>
          <w:p>
            <w:pPr>
              <w:spacing w:after="0"/>
            </w:pPr>
            <w:r/>
            <w:r>
              <w:rPr>
                <w:b w:val="0"/>
                <w:sz w:val="17"/>
              </w:rPr>
              <w:t>Decree § IV.B(3) grants only a right of access; no non-interference covenant or duty to sign releases.</w:t>
            </w:r>
          </w:p>
        </w:tc>
        <w:tc>
          <w:tcPr>
            <w:tcW w:type="dxa" w:w="2520"/>
          </w:tcPr>
          <w:p>
            <w:pPr>
              <w:spacing w:after="0"/>
            </w:pPr>
            <w:r/>
            <w:r>
              <w:rPr>
                <w:b w:val="0"/>
                <w:sz w:val="17"/>
              </w:rPr>
              <w:t>Loss of an enforceable affirmative obligation (useful for contempt).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Neutral</w:t>
            </w:r>
          </w:p>
        </w:tc>
        <w:tc>
          <w:tcPr>
            <w:tcW w:type="dxa" w:w="2664"/>
          </w:tcPr>
          <w:p>
            <w:pPr>
              <w:spacing w:after="0"/>
            </w:pPr>
            <w:r/>
            <w:r>
              <w:rPr>
                <w:b w:val="0"/>
                <w:sz w:val="17"/>
              </w:rPr>
              <w:t>Add MSA § 3.5 verbatim as a separate ordering paragraph.</w:t>
            </w:r>
          </w:p>
        </w:tc>
      </w:tr>
      <w:tr>
        <w:tc>
          <w:tcPr>
            <w:tcW w:type="dxa" w:w="648"/>
          </w:tcPr>
          <w:p>
            <w:pPr>
              <w:spacing w:after="0"/>
            </w:pPr>
            <w:r/>
            <w:r>
              <w:rPr>
                <w:b/>
                <w:sz w:val="17"/>
              </w:rPr>
              <w:t>B-7</w:t>
            </w:r>
          </w:p>
        </w:tc>
        <w:tc>
          <w:tcPr>
            <w:tcW w:type="dxa" w:w="1512"/>
          </w:tcPr>
          <w:p>
            <w:pPr>
              <w:spacing w:after="0"/>
            </w:pPr>
            <w:r/>
            <w:r>
              <w:rPr>
                <w:b w:val="0"/>
                <w:sz w:val="17"/>
              </w:rPr>
              <w:t>Shared right to attend extracurricular activities narrowed</w:t>
            </w:r>
          </w:p>
        </w:tc>
        <w:tc>
          <w:tcPr>
            <w:tcW w:type="dxa" w:w="2304"/>
          </w:tcPr>
          <w:p>
            <w:pPr>
              <w:spacing w:after="0"/>
            </w:pPr>
            <w:r/>
            <w:r>
              <w:rPr>
                <w:b w:val="0"/>
                <w:sz w:val="17"/>
              </w:rPr>
              <w:t>MSA § 3.4(c): right to attend “school activities, extracurricular activities, and other functions involving the children.”</w:t>
            </w:r>
          </w:p>
        </w:tc>
        <w:tc>
          <w:tcPr>
            <w:tcW w:type="dxa" w:w="2304"/>
          </w:tcPr>
          <w:p>
            <w:pPr>
              <w:spacing w:after="0"/>
            </w:pPr>
            <w:r/>
            <w:r>
              <w:rPr>
                <w:b w:val="0"/>
                <w:sz w:val="17"/>
              </w:rPr>
              <w:t>Decree § IV.B(6): right to attend “school activities, including school lunches, performances, field trips, and open house events.”</w:t>
            </w:r>
          </w:p>
        </w:tc>
        <w:tc>
          <w:tcPr>
            <w:tcW w:type="dxa" w:w="2520"/>
          </w:tcPr>
          <w:p>
            <w:pPr>
              <w:spacing w:after="0"/>
            </w:pPr>
            <w:r/>
            <w:r>
              <w:rPr>
                <w:b w:val="0"/>
                <w:sz w:val="17"/>
              </w:rPr>
              <w:t>Extracurricular activities and other functions dropped.</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to MSA § 3.4(c).</w:t>
            </w:r>
          </w:p>
        </w:tc>
      </w:tr>
      <w:tr>
        <w:tc>
          <w:tcPr>
            <w:tcW w:type="dxa" w:w="648"/>
          </w:tcPr>
          <w:p>
            <w:pPr>
              <w:spacing w:after="0"/>
            </w:pPr>
            <w:r/>
            <w:r>
              <w:rPr>
                <w:b/>
                <w:sz w:val="17"/>
              </w:rPr>
              <w:t>B-8</w:t>
            </w:r>
          </w:p>
        </w:tc>
        <w:tc>
          <w:tcPr>
            <w:tcW w:type="dxa" w:w="1512"/>
          </w:tcPr>
          <w:p>
            <w:pPr>
              <w:spacing w:after="0"/>
            </w:pPr>
            <w:r/>
            <w:r>
              <w:rPr>
                <w:b w:val="0"/>
                <w:sz w:val="17"/>
              </w:rPr>
              <w:t>Management of children’s estates — formulation changed</w:t>
            </w:r>
          </w:p>
        </w:tc>
        <w:tc>
          <w:tcPr>
            <w:tcW w:type="dxa" w:w="2304"/>
          </w:tcPr>
          <w:p>
            <w:pPr>
              <w:spacing w:after="0"/>
            </w:pPr>
            <w:r/>
            <w:r>
              <w:rPr>
                <w:b w:val="0"/>
                <w:sz w:val="17"/>
              </w:rPr>
              <w:t>MSA § 3.4(e): estates “created by the community efforts of the parties or of the parent.”</w:t>
            </w:r>
          </w:p>
        </w:tc>
        <w:tc>
          <w:tcPr>
            <w:tcW w:type="dxa" w:w="2304"/>
          </w:tcPr>
          <w:p>
            <w:pPr>
              <w:spacing w:after="0"/>
            </w:pPr>
            <w:r/>
            <w:r>
              <w:rPr>
                <w:b w:val="0"/>
                <w:sz w:val="17"/>
              </w:rPr>
              <w:t>Decree § IV.B(9): estates “created by the community property of the parents.”</w:t>
            </w:r>
          </w:p>
        </w:tc>
        <w:tc>
          <w:tcPr>
            <w:tcW w:type="dxa" w:w="2520"/>
          </w:tcPr>
          <w:p>
            <w:pPr>
              <w:spacing w:after="0"/>
            </w:pPr>
            <w:r/>
            <w:r>
              <w:rPr>
                <w:b w:val="0"/>
                <w:sz w:val="17"/>
              </w:rPr>
              <w:t>Minor wording change; conform for consistency.</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to MSA § 3.4(e).</w:t>
            </w:r>
          </w:p>
        </w:tc>
      </w:tr>
    </w:tbl>
    <w:p/>
    <w:p>
      <w:pPr>
        <w:pStyle w:val="Heading2"/>
      </w:pPr>
      <w:r>
        <w:t>C. Possession and Access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C-1</w:t>
            </w:r>
          </w:p>
        </w:tc>
        <w:tc>
          <w:tcPr>
            <w:tcW w:type="dxa" w:w="1512"/>
          </w:tcPr>
          <w:p>
            <w:pPr>
              <w:spacing w:after="0"/>
            </w:pPr>
            <w:r/>
            <w:r>
              <w:rPr>
                <w:b w:val="0"/>
                <w:sz w:val="17"/>
              </w:rPr>
              <w:t>Thursday overnight expanded to every week</w:t>
            </w:r>
          </w:p>
        </w:tc>
        <w:tc>
          <w:tcPr>
            <w:tcW w:type="dxa" w:w="2304"/>
          </w:tcPr>
          <w:p>
            <w:pPr>
              <w:spacing w:after="0"/>
            </w:pPr>
            <w:r/>
            <w:r>
              <w:rPr>
                <w:b w:val="0"/>
                <w:sz w:val="17"/>
              </w:rPr>
              <w:t>MSA § 4.2(a): Thursday overnight “shall apply during each week in which Derek has weekend possession under the Standard Possession Order”; Derek responsible for on-time Friday arrival and all transportation and meals.</w:t>
            </w:r>
          </w:p>
        </w:tc>
        <w:tc>
          <w:tcPr>
            <w:tcW w:type="dxa" w:w="2304"/>
          </w:tcPr>
          <w:p>
            <w:pPr>
              <w:spacing w:after="0"/>
            </w:pPr>
            <w:r/>
            <w:r>
              <w:rPr>
                <w:b w:val="0"/>
                <w:sz w:val="17"/>
              </w:rPr>
              <w:t>Decree § V.B(a): Derek has possession “each Thursday during the regular school year.” The weekend-week limitation and the transportation/meals and on-time obligations are omitted.</w:t>
            </w:r>
          </w:p>
        </w:tc>
        <w:tc>
          <w:tcPr>
            <w:tcW w:type="dxa" w:w="2520"/>
          </w:tcPr>
          <w:p>
            <w:pPr>
              <w:spacing w:after="0"/>
            </w:pPr>
            <w:r/>
            <w:r>
              <w:rPr>
                <w:b w:val="0"/>
                <w:sz w:val="17"/>
              </w:rPr>
              <w:t>Roughly doubles Derek’s Thursday overnights during the school year (about 18 additional overnights per year), shifting the agreed possession balance and potentially supporting a later child support challenge.</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Restore “during each week in which Derek James Holloway has weekend possession under the Standard Possession Order” and the MSA’s transportation, meals and on-time obligations.</w:t>
            </w:r>
          </w:p>
        </w:tc>
      </w:tr>
      <w:tr>
        <w:tc>
          <w:tcPr>
            <w:tcW w:type="dxa" w:w="648"/>
          </w:tcPr>
          <w:p>
            <w:pPr>
              <w:spacing w:after="0"/>
            </w:pPr>
            <w:r/>
            <w:r>
              <w:rPr>
                <w:b/>
                <w:sz w:val="17"/>
              </w:rPr>
              <w:t>C-2</w:t>
            </w:r>
          </w:p>
        </w:tc>
        <w:tc>
          <w:tcPr>
            <w:tcW w:type="dxa" w:w="1512"/>
          </w:tcPr>
          <w:p>
            <w:pPr>
              <w:spacing w:after="0"/>
            </w:pPr>
            <w:r/>
            <w:r>
              <w:rPr>
                <w:b w:val="0"/>
                <w:sz w:val="17"/>
              </w:rPr>
              <w:t>Wednesday evening possession — “alternating” and holiday carve-out dropped</w:t>
            </w:r>
          </w:p>
        </w:tc>
        <w:tc>
          <w:tcPr>
            <w:tcW w:type="dxa" w:w="2304"/>
          </w:tcPr>
          <w:p>
            <w:pPr>
              <w:spacing w:after="0"/>
            </w:pPr>
            <w:r/>
            <w:r>
              <w:rPr>
                <w:b w:val="0"/>
                <w:sz w:val="17"/>
              </w:rPr>
              <w:t>MSA § 4.2(b): in non-weekend weeks, “alternating Wednesday evenings from 6:00 PM to 8:30 PM”; does “not apply during periods of holiday or vacation possession.”</w:t>
            </w:r>
          </w:p>
        </w:tc>
        <w:tc>
          <w:tcPr>
            <w:tcW w:type="dxa" w:w="2304"/>
          </w:tcPr>
          <w:p>
            <w:pPr>
              <w:spacing w:after="0"/>
            </w:pPr>
            <w:r/>
            <w:r>
              <w:rPr>
                <w:b w:val="0"/>
                <w:sz w:val="17"/>
              </w:rPr>
              <w:t>Decree § V.B(b): heading says “Alternating,” but the operative text gives Derek “Wednesday evenings” in every non-weekend week; holiday/vacation exclusion omitted.</w:t>
            </w:r>
          </w:p>
        </w:tc>
        <w:tc>
          <w:tcPr>
            <w:tcW w:type="dxa" w:w="2520"/>
          </w:tcPr>
          <w:p>
            <w:pPr>
              <w:spacing w:after="0"/>
            </w:pPr>
            <w:r/>
            <w:r>
              <w:rPr>
                <w:b w:val="0"/>
                <w:sz w:val="17"/>
              </w:rPr>
              <w:t>Operative language controls over the heading; the decree enlarges Derek’s time and lets Wednesday periods intrude into Megan’s holiday and vacation periods. Note the MSA phrasing itself is somewhat ambiguous; the decree should reproduce it exactly rather than resolve it in Respondent’s favor.</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Use MSA § 4.2(b) text verbatim, including “alternating” in the operative sentence and the holiday/vacation exclusion.</w:t>
            </w:r>
          </w:p>
        </w:tc>
      </w:tr>
      <w:tr>
        <w:tc>
          <w:tcPr>
            <w:tcW w:type="dxa" w:w="648"/>
          </w:tcPr>
          <w:p>
            <w:pPr>
              <w:spacing w:after="0"/>
            </w:pPr>
            <w:r/>
            <w:r>
              <w:rPr>
                <w:b/>
                <w:sz w:val="17"/>
              </w:rPr>
              <w:t>C-3</w:t>
            </w:r>
          </w:p>
        </w:tc>
        <w:tc>
          <w:tcPr>
            <w:tcW w:type="dxa" w:w="1512"/>
          </w:tcPr>
          <w:p>
            <w:pPr>
              <w:spacing w:after="0"/>
            </w:pPr>
            <w:r/>
            <w:r>
              <w:rPr>
                <w:b w:val="0"/>
                <w:sz w:val="17"/>
              </w:rPr>
              <w:t>Right of first refusal threshold raised from 6 to 8 hours and new limits added</w:t>
            </w:r>
          </w:p>
        </w:tc>
        <w:tc>
          <w:tcPr>
            <w:tcW w:type="dxa" w:w="2304"/>
          </w:tcPr>
          <w:p>
            <w:pPr>
              <w:spacing w:after="0"/>
            </w:pPr>
            <w:r/>
            <w:r>
              <w:rPr>
                <w:b w:val="0"/>
                <w:sz w:val="17"/>
              </w:rPr>
              <w:t>MSA § 4.3: ROFR triggered by absence exceeding 6 consecutive hours (stated twice “for the avoidance of doubt”); excludes school, daycare, or regularly scheduled extracurricular activity; no response deadline; no family-caregiver exception.</w:t>
            </w:r>
          </w:p>
        </w:tc>
        <w:tc>
          <w:tcPr>
            <w:tcW w:type="dxa" w:w="2304"/>
          </w:tcPr>
          <w:p>
            <w:pPr>
              <w:spacing w:after="0"/>
            </w:pPr>
            <w:r/>
            <w:r>
              <w:rPr>
                <w:b w:val="0"/>
                <w:sz w:val="17"/>
              </w:rPr>
              <w:t>Decree § V.C: 8 consecutive hours; excludes only school or daycare; other parent must respond within 1 hour; ROFR does not apply to grandparents/extended family for 4 hours or less.</w:t>
            </w:r>
          </w:p>
        </w:tc>
        <w:tc>
          <w:tcPr>
            <w:tcW w:type="dxa" w:w="2520"/>
          </w:tcPr>
          <w:p>
            <w:pPr>
              <w:spacing w:after="0"/>
            </w:pPr>
            <w:r/>
            <w:r>
              <w:rPr>
                <w:b w:val="0"/>
                <w:sz w:val="17"/>
              </w:rPr>
              <w:t>Four separate changes, each narrowing the ROFR. The family-caregiver carve-out and 1-hour deadline are new terms. Dropping the extracurricular exclusion is a further inconsistency.</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Restore MSA § 4.3 verbatim (6 hours; school/daycare/extracurricular exclusion; good-faith exercise). Delete the 1-hour response deadline and the extended-family exception unless agreed in writing.</w:t>
            </w:r>
          </w:p>
        </w:tc>
      </w:tr>
      <w:tr>
        <w:tc>
          <w:tcPr>
            <w:tcW w:type="dxa" w:w="648"/>
          </w:tcPr>
          <w:p>
            <w:pPr>
              <w:spacing w:after="0"/>
            </w:pPr>
            <w:r/>
            <w:r>
              <w:rPr>
                <w:b/>
                <w:sz w:val="17"/>
              </w:rPr>
              <w:t>C-4</w:t>
            </w:r>
          </w:p>
        </w:tc>
        <w:tc>
          <w:tcPr>
            <w:tcW w:type="dxa" w:w="1512"/>
          </w:tcPr>
          <w:p>
            <w:pPr>
              <w:spacing w:after="0"/>
            </w:pPr>
            <w:r/>
            <w:r>
              <w:rPr>
                <w:b w:val="0"/>
                <w:sz w:val="17"/>
              </w:rPr>
              <w:t>Standard Possession Order incorporated by statutory reference; § 153.317 election added</w:t>
            </w:r>
          </w:p>
        </w:tc>
        <w:tc>
          <w:tcPr>
            <w:tcW w:type="dxa" w:w="2304"/>
          </w:tcPr>
          <w:p>
            <w:pPr>
              <w:spacing w:after="0"/>
            </w:pPr>
            <w:r/>
            <w:r>
              <w:rPr>
                <w:b w:val="0"/>
                <w:sz w:val="17"/>
              </w:rPr>
              <w:t>MSA § 4.1: SPO under §§ 153.311–153.317 incorporated by reference for parents within 100 miles.</w:t>
            </w:r>
          </w:p>
        </w:tc>
        <w:tc>
          <w:tcPr>
            <w:tcW w:type="dxa" w:w="2304"/>
          </w:tcPr>
          <w:p>
            <w:pPr>
              <w:spacing w:after="0"/>
            </w:pPr>
            <w:r/>
            <w:r>
              <w:rPr>
                <w:b w:val="0"/>
                <w:sz w:val="17"/>
              </w:rPr>
              <w:t>Decree § V.A: same incorporation, plus an express § 153.317 election paragraph for Derek; holiday schedule controls conflicts.</w:t>
            </w:r>
          </w:p>
        </w:tc>
        <w:tc>
          <w:tcPr>
            <w:tcW w:type="dxa" w:w="2520"/>
          </w:tcPr>
          <w:p>
            <w:pPr>
              <w:spacing w:after="0"/>
            </w:pPr>
            <w:r/>
            <w:r>
              <w:rPr>
                <w:b w:val="0"/>
                <w:sz w:val="17"/>
              </w:rPr>
              <w:t>Substantively consistent (the MSA references § 153.317). However, an order that merely cross-references the statute may be too indefinite to support contempt; Harris County practice is to set out the SPO in full. Interaction between a § 153.317 election and the expanded Thursday possession should be addressed.</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Attach or set out the full SPO text; clarify that any § 153.317 election does not enlarge the expanded possession beyond MSA § 4.2.</w:t>
            </w:r>
          </w:p>
        </w:tc>
      </w:tr>
    </w:tbl>
    <w:p/>
    <w:p>
      <w:pPr>
        <w:pStyle w:val="Heading2"/>
      </w:pPr>
      <w:r>
        <w:t>D. Child Support, Medical Support and Life Insurance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D-1</w:t>
            </w:r>
          </w:p>
        </w:tc>
        <w:tc>
          <w:tcPr>
            <w:tcW w:type="dxa" w:w="1512"/>
          </w:tcPr>
          <w:p>
            <w:pPr>
              <w:spacing w:after="0"/>
            </w:pPr>
            <w:r/>
            <w:r>
              <w:rPr>
                <w:b w:val="0"/>
                <w:sz w:val="17"/>
              </w:rPr>
              <w:t>Monthly child support reduced by $100</w:t>
            </w:r>
          </w:p>
        </w:tc>
        <w:tc>
          <w:tcPr>
            <w:tcW w:type="dxa" w:w="2304"/>
          </w:tcPr>
          <w:p>
            <w:pPr>
              <w:spacing w:after="0"/>
            </w:pPr>
            <w:r/>
            <w:r>
              <w:rPr>
                <w:b w:val="0"/>
                <w:sz w:val="17"/>
              </w:rPr>
              <w:t>MSA §§ 5.1, 5.2: $2,175.00 per month (stated twice).</w:t>
            </w:r>
          </w:p>
        </w:tc>
        <w:tc>
          <w:tcPr>
            <w:tcW w:type="dxa" w:w="2304"/>
          </w:tcPr>
          <w:p>
            <w:pPr>
              <w:spacing w:after="0"/>
            </w:pPr>
            <w:r/>
            <w:r>
              <w:rPr>
                <w:b w:val="0"/>
                <w:sz w:val="17"/>
              </w:rPr>
              <w:t>Decree § VI.A: $2,075.00 per month.</w:t>
            </w:r>
          </w:p>
        </w:tc>
        <w:tc>
          <w:tcPr>
            <w:tcW w:type="dxa" w:w="2520"/>
          </w:tcPr>
          <w:p>
            <w:pPr>
              <w:spacing w:after="0"/>
            </w:pPr>
            <w:r/>
            <w:r>
              <w:rPr>
                <w:b w:val="0"/>
                <w:sz w:val="17"/>
              </w:rPr>
              <w:t>$1,200 per year; roughly $11,000 through Aiden’s anticipated emancipation (approximately 110 payments from May 2025 to mid-2034). Also flows into the income withholding order.</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Correct to $2,175.00 and ensure the separate income withholding order uses the same figure.</w:t>
            </w:r>
          </w:p>
        </w:tc>
      </w:tr>
      <w:tr>
        <w:tc>
          <w:tcPr>
            <w:tcW w:type="dxa" w:w="648"/>
          </w:tcPr>
          <w:p>
            <w:pPr>
              <w:spacing w:after="0"/>
            </w:pPr>
            <w:r/>
            <w:r>
              <w:rPr>
                <w:b/>
                <w:sz w:val="17"/>
              </w:rPr>
              <w:t>D-2</w:t>
            </w:r>
          </w:p>
        </w:tc>
        <w:tc>
          <w:tcPr>
            <w:tcW w:type="dxa" w:w="1512"/>
          </w:tcPr>
          <w:p>
            <w:pPr>
              <w:spacing w:after="0"/>
            </w:pPr>
            <w:r/>
            <w:r>
              <w:rPr>
                <w:b w:val="0"/>
                <w:sz w:val="17"/>
              </w:rPr>
              <w:t>Fixed step-down replaced with “guideline” amount</w:t>
            </w:r>
          </w:p>
        </w:tc>
        <w:tc>
          <w:tcPr>
            <w:tcW w:type="dxa" w:w="2304"/>
          </w:tcPr>
          <w:p>
            <w:pPr>
              <w:spacing w:after="0"/>
            </w:pPr>
            <w:r/>
            <w:r>
              <w:rPr>
                <w:b w:val="0"/>
                <w:sz w:val="17"/>
              </w:rPr>
              <w:t>MSA § 5.4: upon termination as to the first child, support “shall be reduced to $1,450.00 per month, or such amount as may be required by applicable law.”</w:t>
            </w:r>
          </w:p>
        </w:tc>
        <w:tc>
          <w:tcPr>
            <w:tcW w:type="dxa" w:w="2304"/>
          </w:tcPr>
          <w:p>
            <w:pPr>
              <w:spacing w:after="0"/>
            </w:pPr>
            <w:r/>
            <w:r>
              <w:rPr>
                <w:b w:val="0"/>
                <w:sz w:val="17"/>
              </w:rPr>
              <w:t>Decree § VI.B: reduced to “a sum consistent with the child support guidelines … for one child”; if no agreement, either party may petition the Court.</w:t>
            </w:r>
          </w:p>
        </w:tc>
        <w:tc>
          <w:tcPr>
            <w:tcW w:type="dxa" w:w="2520"/>
          </w:tcPr>
          <w:p>
            <w:pPr>
              <w:spacing w:after="0"/>
            </w:pPr>
            <w:r/>
            <w:r>
              <w:rPr>
                <w:b w:val="0"/>
                <w:sz w:val="17"/>
              </w:rPr>
              <w:t>Eliminates the agreed fixed figure, invites a future dispute and litigation cost, and may produce a lower number depending on Derek’s income at the time.</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Restore the $1,450.00 per month step-down.</w:t>
            </w:r>
          </w:p>
        </w:tc>
      </w:tr>
      <w:tr>
        <w:tc>
          <w:tcPr>
            <w:tcW w:type="dxa" w:w="648"/>
          </w:tcPr>
          <w:p>
            <w:pPr>
              <w:spacing w:after="0"/>
            </w:pPr>
            <w:r/>
            <w:r>
              <w:rPr>
                <w:b/>
                <w:sz w:val="17"/>
              </w:rPr>
              <w:t>D-3</w:t>
            </w:r>
          </w:p>
        </w:tc>
        <w:tc>
          <w:tcPr>
            <w:tcW w:type="dxa" w:w="1512"/>
          </w:tcPr>
          <w:p>
            <w:pPr>
              <w:spacing w:after="0"/>
            </w:pPr>
            <w:r/>
            <w:r>
              <w:rPr>
                <w:b w:val="0"/>
                <w:sz w:val="17"/>
              </w:rPr>
              <w:t>Obligor’s death added as a terminating event</w:t>
            </w:r>
          </w:p>
        </w:tc>
        <w:tc>
          <w:tcPr>
            <w:tcW w:type="dxa" w:w="2304"/>
          </w:tcPr>
          <w:p>
            <w:pPr>
              <w:spacing w:after="0"/>
            </w:pPr>
            <w:r/>
            <w:r>
              <w:rPr>
                <w:b w:val="0"/>
                <w:sz w:val="17"/>
              </w:rPr>
              <w:t>MSA § 5.4(a)–(d): age 18/graduation, marriage, death of child, removal of disabilities. Obligor’s death not listed.</w:t>
            </w:r>
          </w:p>
        </w:tc>
        <w:tc>
          <w:tcPr>
            <w:tcW w:type="dxa" w:w="2304"/>
          </w:tcPr>
          <w:p>
            <w:pPr>
              <w:spacing w:after="0"/>
            </w:pPr>
            <w:r/>
            <w:r>
              <w:rPr>
                <w:b w:val="0"/>
                <w:sz w:val="17"/>
              </w:rPr>
              <w:t>Decree § VI.B(e): support terminates on “the death of DEREK JAMES HOLLOWAY.”</w:t>
            </w:r>
          </w:p>
        </w:tc>
        <w:tc>
          <w:tcPr>
            <w:tcW w:type="dxa" w:w="2520"/>
          </w:tcPr>
          <w:p>
            <w:pPr>
              <w:spacing w:after="0"/>
            </w:pPr>
            <w:r/>
            <w:r>
              <w:rPr>
                <w:b w:val="0"/>
                <w:sz w:val="17"/>
              </w:rPr>
              <w:t>Not agreed and inconsistent with Tex. Fam. Code § 154.013 (support does not terminate on the obligor’s death and is payable from the estate). Also undermines the life insurance security in MSA § 5.7.</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Delete § VI.B(e); add § 154.013 continuation language.</w:t>
            </w:r>
          </w:p>
        </w:tc>
      </w:tr>
      <w:tr>
        <w:tc>
          <w:tcPr>
            <w:tcW w:type="dxa" w:w="648"/>
          </w:tcPr>
          <w:p>
            <w:pPr>
              <w:spacing w:after="0"/>
            </w:pPr>
            <w:r/>
            <w:r>
              <w:rPr>
                <w:b/>
                <w:sz w:val="17"/>
              </w:rPr>
              <w:t>D-4</w:t>
            </w:r>
          </w:p>
        </w:tc>
        <w:tc>
          <w:tcPr>
            <w:tcW w:type="dxa" w:w="1512"/>
          </w:tcPr>
          <w:p>
            <w:pPr>
              <w:spacing w:after="0"/>
            </w:pPr>
            <w:r/>
            <w:r>
              <w:rPr>
                <w:b w:val="0"/>
                <w:sz w:val="17"/>
              </w:rPr>
              <w:t>High-school continuation language altered</w:t>
            </w:r>
          </w:p>
        </w:tc>
        <w:tc>
          <w:tcPr>
            <w:tcW w:type="dxa" w:w="2304"/>
          </w:tcPr>
          <w:p>
            <w:pPr>
              <w:spacing w:after="0"/>
            </w:pPr>
            <w:r/>
            <w:r>
              <w:rPr>
                <w:b w:val="0"/>
                <w:sz w:val="17"/>
              </w:rPr>
              <w:t>MSA § 5.4(a): “accredited high school”; continuation if enrolled and “complies with minimum attendance requirements” as of 18th birthday; (d) removal of disabilities “other than by marriage.”</w:t>
            </w:r>
          </w:p>
        </w:tc>
        <w:tc>
          <w:tcPr>
            <w:tcW w:type="dxa" w:w="2304"/>
          </w:tcPr>
          <w:p>
            <w:pPr>
              <w:spacing w:after="0"/>
            </w:pPr>
            <w:r/>
            <w:r>
              <w:rPr>
                <w:b w:val="0"/>
                <w:sz w:val="17"/>
              </w:rPr>
              <w:t>Decree § VI.B(a): “graduates from high school”; attendance-compliance clause dropped; (d) adds “emancipation through marriage,” duplicating (b).</w:t>
            </w:r>
          </w:p>
        </w:tc>
        <w:tc>
          <w:tcPr>
            <w:tcW w:type="dxa" w:w="2520"/>
          </w:tcPr>
          <w:p>
            <w:pPr>
              <w:spacing w:after="0"/>
            </w:pPr>
            <w:r/>
            <w:r>
              <w:rPr>
                <w:b w:val="0"/>
                <w:sz w:val="17"/>
              </w:rPr>
              <w:t>Minor drafting differences; conform to avoid future argument over the continuation period.</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 VI.B(a) and (d) to MSA § 5.4.</w:t>
            </w:r>
          </w:p>
        </w:tc>
      </w:tr>
      <w:tr>
        <w:tc>
          <w:tcPr>
            <w:tcW w:type="dxa" w:w="648"/>
          </w:tcPr>
          <w:p>
            <w:pPr>
              <w:spacing w:after="0"/>
            </w:pPr>
            <w:r/>
            <w:r>
              <w:rPr>
                <w:b/>
                <w:sz w:val="17"/>
              </w:rPr>
              <w:t>D-5</w:t>
            </w:r>
          </w:p>
        </w:tc>
        <w:tc>
          <w:tcPr>
            <w:tcW w:type="dxa" w:w="1512"/>
          </w:tcPr>
          <w:p>
            <w:pPr>
              <w:spacing w:after="0"/>
            </w:pPr>
            <w:r/>
            <w:r>
              <w:rPr>
                <w:b w:val="0"/>
                <w:sz w:val="17"/>
              </w:rPr>
              <w:t>Unreimbursed medical expense split reversed</w:t>
            </w:r>
          </w:p>
        </w:tc>
        <w:tc>
          <w:tcPr>
            <w:tcW w:type="dxa" w:w="2304"/>
          </w:tcPr>
          <w:p>
            <w:pPr>
              <w:spacing w:after="0"/>
            </w:pPr>
            <w:r/>
            <w:r>
              <w:rPr>
                <w:b w:val="0"/>
                <w:sz w:val="17"/>
              </w:rPr>
              <w:t>MSA § 5.6: “60% to be paid by Derek (Respondent) and 40% to be paid by Megan (Petitioner).”</w:t>
            </w:r>
          </w:p>
        </w:tc>
        <w:tc>
          <w:tcPr>
            <w:tcW w:type="dxa" w:w="2304"/>
          </w:tcPr>
          <w:p>
            <w:pPr>
              <w:spacing w:after="0"/>
            </w:pPr>
            <w:r/>
            <w:r>
              <w:rPr>
                <w:b w:val="0"/>
                <w:sz w:val="17"/>
              </w:rPr>
              <w:t>Decree § VI.D: Derek 40%; Megan 60%.</w:t>
            </w:r>
          </w:p>
        </w:tc>
        <w:tc>
          <w:tcPr>
            <w:tcW w:type="dxa" w:w="2520"/>
          </w:tcPr>
          <w:p>
            <w:pPr>
              <w:spacing w:after="0"/>
            </w:pPr>
            <w:r/>
            <w:r>
              <w:rPr>
                <w:b w:val="0"/>
                <w:sz w:val="17"/>
              </w:rPr>
              <w:t>Inverts a bargained-for allocation; every $10,000 in unreimbursed expenses (orthodontics, therapy, etc.) costs Megan an additional $2,000.</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Correct to Derek 60% / Megan 40%.</w:t>
            </w:r>
          </w:p>
        </w:tc>
      </w:tr>
      <w:tr>
        <w:tc>
          <w:tcPr>
            <w:tcW w:type="dxa" w:w="648"/>
          </w:tcPr>
          <w:p>
            <w:pPr>
              <w:spacing w:after="0"/>
            </w:pPr>
            <w:r/>
            <w:r>
              <w:rPr>
                <w:b/>
                <w:sz w:val="17"/>
              </w:rPr>
              <w:t>D-6</w:t>
            </w:r>
          </w:p>
        </w:tc>
        <w:tc>
          <w:tcPr>
            <w:tcW w:type="dxa" w:w="1512"/>
          </w:tcPr>
          <w:p>
            <w:pPr>
              <w:spacing w:after="0"/>
            </w:pPr>
            <w:r/>
            <w:r>
              <w:rPr>
                <w:b w:val="0"/>
                <w:sz w:val="17"/>
              </w:rPr>
              <w:t>Unreimbursed medical expenses — scope, deductibles, documentation and waiver terms changed</w:t>
            </w:r>
          </w:p>
        </w:tc>
        <w:tc>
          <w:tcPr>
            <w:tcW w:type="dxa" w:w="2304"/>
          </w:tcPr>
          <w:p>
            <w:pPr>
              <w:spacing w:after="0"/>
            </w:pPr>
            <w:r/>
            <w:r>
              <w:rPr>
                <w:b w:val="0"/>
                <w:sz w:val="17"/>
              </w:rPr>
              <w:t>MSA § 5.6: split applies “after each party meets their respective insurance deductible obligations”; covers medical, dental, orthodontic, ophthalmologic, therapeutic, psychological, pharmaceutical and prescription expenses; notice due within 30 days of incurring the expense or receiving the bill, whichever is later; late documentation does not waive reimbursement; no start-date limitation.</w:t>
            </w:r>
          </w:p>
        </w:tc>
        <w:tc>
          <w:tcPr>
            <w:tcW w:type="dxa" w:w="2304"/>
          </w:tcPr>
          <w:p>
            <w:pPr>
              <w:spacing w:after="0"/>
            </w:pPr>
            <w:r/>
            <w:r>
              <w:rPr>
                <w:b w:val="0"/>
                <w:sz w:val="17"/>
              </w:rPr>
              <w:t>Decree § VI.D: deductibles and co-pays are shared expenses; limited to expenses incurred after the decree is signed; documentation within 30 days of “receiving the documentation”; no non-waiver clause.</w:t>
            </w:r>
          </w:p>
        </w:tc>
        <w:tc>
          <w:tcPr>
            <w:tcW w:type="dxa" w:w="2520"/>
          </w:tcPr>
          <w:p>
            <w:pPr>
              <w:spacing w:after="0"/>
            </w:pPr>
            <w:r/>
            <w:r>
              <w:rPr>
                <w:b w:val="0"/>
                <w:sz w:val="17"/>
              </w:rPr>
              <w:t>Changes the deductible mechanics, drops the non-waiver protection, and excludes expenses incurred between the MSA (Jan. 18, 2025) and signing.</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Reproduce MSA § 5.6 verbatim, including the deductible language and the non-waiver sentence; delete the post-decree limitation.</w:t>
            </w:r>
          </w:p>
        </w:tc>
      </w:tr>
      <w:tr>
        <w:tc>
          <w:tcPr>
            <w:tcW w:type="dxa" w:w="648"/>
          </w:tcPr>
          <w:p>
            <w:pPr>
              <w:spacing w:after="0"/>
            </w:pPr>
            <w:r/>
            <w:r>
              <w:rPr>
                <w:b/>
                <w:sz w:val="17"/>
              </w:rPr>
              <w:t>D-7</w:t>
            </w:r>
          </w:p>
        </w:tc>
        <w:tc>
          <w:tcPr>
            <w:tcW w:type="dxa" w:w="1512"/>
          </w:tcPr>
          <w:p>
            <w:pPr>
              <w:spacing w:after="0"/>
            </w:pPr>
            <w:r/>
            <w:r>
              <w:rPr>
                <w:b w:val="0"/>
                <w:sz w:val="17"/>
              </w:rPr>
              <w:t>Health insurance — “reasonable cost” definition and fallback obligation changed</w:t>
            </w:r>
          </w:p>
        </w:tc>
        <w:tc>
          <w:tcPr>
            <w:tcW w:type="dxa" w:w="2304"/>
          </w:tcPr>
          <w:p>
            <w:pPr>
              <w:spacing w:after="0"/>
            </w:pPr>
            <w:r/>
            <w:r>
              <w:rPr>
                <w:b w:val="0"/>
                <w:sz w:val="17"/>
              </w:rPr>
              <w:t>MSA § 5.5: reasonable cost means not exceeding 9% of Derek’s annual gross resources; if unavailable, “the parties shall cooperate to obtain alternative health insurance coverage.”</w:t>
            </w:r>
          </w:p>
        </w:tc>
        <w:tc>
          <w:tcPr>
            <w:tcW w:type="dxa" w:w="2304"/>
          </w:tcPr>
          <w:p>
            <w:pPr>
              <w:spacing w:after="0"/>
            </w:pPr>
            <w:r/>
            <w:r>
              <w:rPr>
                <w:b w:val="0"/>
                <w:sz w:val="17"/>
              </w:rPr>
              <w:t>Decree § VI.C: reasonable cost “as defined by Texas Family Code § 154.181(e)”; if unavailable, Megan becomes responsible for providing coverage through her employer.</w:t>
            </w:r>
          </w:p>
        </w:tc>
        <w:tc>
          <w:tcPr>
            <w:tcW w:type="dxa" w:w="2520"/>
          </w:tcPr>
          <w:p>
            <w:pPr>
              <w:spacing w:after="0"/>
            </w:pPr>
            <w:r/>
            <w:r>
              <w:rPr>
                <w:b w:val="0"/>
                <w:sz w:val="17"/>
              </w:rPr>
              <w:t>The statutory test is keyed to resources as described in § 154.062(b) (net), a lower threshold than the agreed gross measure, making it easier for Derek to escape the obligation. The fallback shifts the coverage burden to Megan, which the MSA did not do.</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Restore the 9% of annual gross resources definition and the mutual cooperation fallback. Retain the decree’s helpful notice and insurance-card provisions.</w:t>
            </w:r>
          </w:p>
        </w:tc>
      </w:tr>
      <w:tr>
        <w:tc>
          <w:tcPr>
            <w:tcW w:type="dxa" w:w="648"/>
          </w:tcPr>
          <w:p>
            <w:pPr>
              <w:spacing w:after="0"/>
            </w:pPr>
            <w:r/>
            <w:r>
              <w:rPr>
                <w:b/>
                <w:sz w:val="17"/>
              </w:rPr>
              <w:t>D-8</w:t>
            </w:r>
          </w:p>
        </w:tc>
        <w:tc>
          <w:tcPr>
            <w:tcW w:type="dxa" w:w="1512"/>
          </w:tcPr>
          <w:p>
            <w:pPr>
              <w:spacing w:after="0"/>
            </w:pPr>
            <w:r/>
            <w:r>
              <w:rPr>
                <w:b w:val="0"/>
                <w:sz w:val="17"/>
              </w:rPr>
              <w:t>Life insurance — irrevocable designation and anti-encumbrance covenants omitted</w:t>
            </w:r>
          </w:p>
        </w:tc>
        <w:tc>
          <w:tcPr>
            <w:tcW w:type="dxa" w:w="2304"/>
          </w:tcPr>
          <w:p>
            <w:pPr>
              <w:spacing w:after="0"/>
            </w:pPr>
            <w:r/>
            <w:r>
              <w:rPr>
                <w:b w:val="0"/>
                <w:sz w:val="17"/>
              </w:rPr>
              <w:t>MSA § 5.7: children named as irrevocable beneficiaries; Derek shall not borrow against, pledge, assign, encumber, surrender or cancel the policy; must replace a lapsed policy with equivalent coverage. MSA § 7.5 repeats the irrevocable requirement.</w:t>
            </w:r>
          </w:p>
        </w:tc>
        <w:tc>
          <w:tcPr>
            <w:tcW w:type="dxa" w:w="2304"/>
          </w:tcPr>
          <w:p>
            <w:pPr>
              <w:spacing w:after="0"/>
            </w:pPr>
            <w:r/>
            <w:r>
              <w:rPr>
                <w:b w:val="0"/>
                <w:sz w:val="17"/>
              </w:rPr>
              <w:t>Decree § VI.E: children named as beneficiaries (no “irrevocable”); no prohibition on loans, pledges or surrender; instead Megan “may obtain substitute coverage” at Derek’s expense, secured by a judgment lien. Decree § XII.A cross-references § VI.E without the irrevocable term.</w:t>
            </w:r>
          </w:p>
        </w:tc>
        <w:tc>
          <w:tcPr>
            <w:tcW w:type="dxa" w:w="2520"/>
          </w:tcPr>
          <w:p>
            <w:pPr>
              <w:spacing w:after="0"/>
            </w:pPr>
            <w:r/>
            <w:r>
              <w:rPr>
                <w:b w:val="0"/>
                <w:sz w:val="17"/>
              </w:rPr>
              <w:t>Derek could change beneficiaries or borrow against the $34,500 cash value, eroding the $500,000 security. Self-help substitute coverage is a poor replacement and may be unobtainable if Derek’s health declines.</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Add “irrevocable” and the full MSA § 5.7 covenant list; restore the replacement-policy obligation. The judgment-lien remedy may be retained as an additional remedy.</w:t>
            </w:r>
          </w:p>
        </w:tc>
      </w:tr>
      <w:tr>
        <w:tc>
          <w:tcPr>
            <w:tcW w:type="dxa" w:w="648"/>
          </w:tcPr>
          <w:p>
            <w:pPr>
              <w:spacing w:after="0"/>
            </w:pPr>
            <w:r/>
            <w:r>
              <w:rPr>
                <w:b/>
                <w:sz w:val="17"/>
              </w:rPr>
              <w:t>D-9</w:t>
            </w:r>
          </w:p>
        </w:tc>
        <w:tc>
          <w:tcPr>
            <w:tcW w:type="dxa" w:w="1512"/>
          </w:tcPr>
          <w:p>
            <w:pPr>
              <w:spacing w:after="0"/>
            </w:pPr>
            <w:r/>
            <w:r>
              <w:rPr>
                <w:b w:val="0"/>
                <w:sz w:val="17"/>
              </w:rPr>
              <w:t>Life insurance proceeds — trusteeship limited to age 18</w:t>
            </w:r>
          </w:p>
        </w:tc>
        <w:tc>
          <w:tcPr>
            <w:tcW w:type="dxa" w:w="2304"/>
          </w:tcPr>
          <w:p>
            <w:pPr>
              <w:spacing w:after="0"/>
            </w:pPr>
            <w:r/>
            <w:r>
              <w:rPr>
                <w:b w:val="0"/>
                <w:sz w:val="17"/>
              </w:rPr>
              <w:t>MSA § 5.7: Megan designated “trustee or custodian to manage any proceeds” payable to the children; no age limit.</w:t>
            </w:r>
          </w:p>
        </w:tc>
        <w:tc>
          <w:tcPr>
            <w:tcW w:type="dxa" w:w="2304"/>
          </w:tcPr>
          <w:p>
            <w:pPr>
              <w:spacing w:after="0"/>
            </w:pPr>
            <w:r/>
            <w:r>
              <w:rPr>
                <w:b w:val="0"/>
                <w:sz w:val="17"/>
              </w:rPr>
              <w:t>Decree § VI.E: Megan trustee “until each child reaches the age of eighteen (18) years.”</w:t>
            </w:r>
          </w:p>
        </w:tc>
        <w:tc>
          <w:tcPr>
            <w:tcW w:type="dxa" w:w="2520"/>
          </w:tcPr>
          <w:p>
            <w:pPr>
              <w:spacing w:after="0"/>
            </w:pPr>
            <w:r/>
            <w:r>
              <w:rPr>
                <w:b w:val="0"/>
                <w:sz w:val="17"/>
              </w:rPr>
              <w:t>Forces distribution of potentially large sums to 18-year-olds. Not agreed. The children’s interests would be better protected by a trust or a Texas Uniform Transfers to Minors Act custodianship to a later age.</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Neutral</w:t>
            </w:r>
          </w:p>
        </w:tc>
        <w:tc>
          <w:tcPr>
            <w:tcW w:type="dxa" w:w="2664"/>
          </w:tcPr>
          <w:p>
            <w:pPr>
              <w:spacing w:after="0"/>
            </w:pPr>
            <w:r/>
            <w:r>
              <w:rPr>
                <w:b w:val="0"/>
                <w:sz w:val="17"/>
              </w:rPr>
              <w:t>Conform to MSA (“trustee or custodian”) without an age limit, or propose a § 1301 Estates Code / UTMA arrangement by written agreement.</w:t>
            </w:r>
          </w:p>
        </w:tc>
      </w:tr>
    </w:tbl>
    <w:p/>
    <w:p>
      <w:pPr>
        <w:pStyle w:val="Heading2"/>
      </w:pPr>
      <w:r>
        <w:t>E. Spousal Maintenance (Contractual Alimony)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E-1</w:t>
            </w:r>
          </w:p>
        </w:tc>
        <w:tc>
          <w:tcPr>
            <w:tcW w:type="dxa" w:w="1512"/>
          </w:tcPr>
          <w:p>
            <w:pPr>
              <w:spacing w:after="0"/>
            </w:pPr>
            <w:r/>
            <w:r>
              <w:rPr>
                <w:b w:val="0"/>
                <w:sz w:val="17"/>
              </w:rPr>
              <w:t>Court retains jurisdiction to modify — contradicts non-modifiability</w:t>
            </w:r>
          </w:p>
        </w:tc>
        <w:tc>
          <w:tcPr>
            <w:tcW w:type="dxa" w:w="2304"/>
          </w:tcPr>
          <w:p>
            <w:pPr>
              <w:spacing w:after="0"/>
            </w:pPr>
            <w:r/>
            <w:r>
              <w:rPr>
                <w:b w:val="0"/>
                <w:sz w:val="17"/>
              </w:rPr>
              <w:t>MSA § 6.5: obligation is contractual and “not modifiable”; both parties waive any right to seek modification; a “material term” on which the settlement relied.</w:t>
            </w:r>
          </w:p>
        </w:tc>
        <w:tc>
          <w:tcPr>
            <w:tcW w:type="dxa" w:w="2304"/>
          </w:tcPr>
          <w:p>
            <w:pPr>
              <w:spacing w:after="0"/>
            </w:pPr>
            <w:r/>
            <w:r>
              <w:rPr>
                <w:b w:val="0"/>
                <w:sz w:val="17"/>
              </w:rPr>
              <w:t>Decree § VII.C: “The Court retains jurisdiction to modify the spousal maintenance provisions of this Decree as provided by law.”</w:t>
            </w:r>
          </w:p>
        </w:tc>
        <w:tc>
          <w:tcPr>
            <w:tcW w:type="dxa" w:w="2520"/>
          </w:tcPr>
          <w:p>
            <w:pPr>
              <w:spacing w:after="0"/>
            </w:pPr>
            <w:r/>
            <w:r>
              <w:rPr>
                <w:b w:val="0"/>
                <w:sz w:val="17"/>
              </w:rPr>
              <w:t>Directly contradicts a material term and exposes up to $115,200 to a modification petition by Derek. This is the single most consequential non-property deviation.</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Delete § VII.C and insert the MSA § 6.5 non-modifiability and waiver language.</w:t>
            </w:r>
          </w:p>
        </w:tc>
      </w:tr>
      <w:tr>
        <w:tc>
          <w:tcPr>
            <w:tcW w:type="dxa" w:w="648"/>
          </w:tcPr>
          <w:p>
            <w:pPr>
              <w:spacing w:after="0"/>
            </w:pPr>
            <w:r/>
            <w:r>
              <w:rPr>
                <w:b/>
                <w:sz w:val="17"/>
              </w:rPr>
              <w:t>E-2</w:t>
            </w:r>
          </w:p>
        </w:tc>
        <w:tc>
          <w:tcPr>
            <w:tcW w:type="dxa" w:w="1512"/>
          </w:tcPr>
          <w:p>
            <w:pPr>
              <w:spacing w:after="0"/>
            </w:pPr>
            <w:r/>
            <w:r>
              <w:rPr>
                <w:b w:val="0"/>
                <w:sz w:val="17"/>
              </w:rPr>
              <w:t>Characterization as contractual alimony and tax acknowledgment omitted</w:t>
            </w:r>
          </w:p>
        </w:tc>
        <w:tc>
          <w:tcPr>
            <w:tcW w:type="dxa" w:w="2304"/>
          </w:tcPr>
          <w:p>
            <w:pPr>
              <w:spacing w:after="0"/>
            </w:pPr>
            <w:r/>
            <w:r>
              <w:rPr>
                <w:b w:val="0"/>
                <w:sz w:val="17"/>
              </w:rPr>
              <w:t>MSA § 6.3: payments are contractual alimony and “do not constitute court-ordered spousal maintenance under Chapter 8”; TCJA tax acknowledgment.</w:t>
            </w:r>
          </w:p>
        </w:tc>
        <w:tc>
          <w:tcPr>
            <w:tcW w:type="dxa" w:w="2304"/>
          </w:tcPr>
          <w:p>
            <w:pPr>
              <w:spacing w:after="0"/>
            </w:pPr>
            <w:r/>
            <w:r>
              <w:rPr>
                <w:b w:val="0"/>
                <w:sz w:val="17"/>
              </w:rPr>
              <w:t>Decree § VII.A: “contractual spousal maintenance”; § VII.B–C use Chapter 8 concepts (cohabitation, court jurisdiction to modify). No § 6.3 language.</w:t>
            </w:r>
          </w:p>
        </w:tc>
        <w:tc>
          <w:tcPr>
            <w:tcW w:type="dxa" w:w="2520"/>
          </w:tcPr>
          <w:p>
            <w:pPr>
              <w:spacing w:after="0"/>
            </w:pPr>
            <w:r/>
            <w:r>
              <w:rPr>
                <w:b w:val="0"/>
                <w:sz w:val="17"/>
              </w:rPr>
              <w:t>Blurring contractual alimony into Chapter 8 maintenance invites application of Chapter 8 limits (e.g., § 8.055 amount caps, § 8.057 modification, § 8.056 termination) and affects available enforcement remedies (contract vs. contempt).</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Insert MSA § 6.3 verbatim; order that the obligation is enforceable as a contract incident to divorce under Tex. Fam. Code § 7.006 and as an order of the Court to the extent permitted by law.</w:t>
            </w:r>
          </w:p>
        </w:tc>
      </w:tr>
      <w:tr>
        <w:tc>
          <w:tcPr>
            <w:tcW w:type="dxa" w:w="648"/>
          </w:tcPr>
          <w:p>
            <w:pPr>
              <w:spacing w:after="0"/>
            </w:pPr>
            <w:r/>
            <w:r>
              <w:rPr>
                <w:b/>
                <w:sz w:val="17"/>
              </w:rPr>
              <w:t>E-3</w:t>
            </w:r>
          </w:p>
        </w:tc>
        <w:tc>
          <w:tcPr>
            <w:tcW w:type="dxa" w:w="1512"/>
          </w:tcPr>
          <w:p>
            <w:pPr>
              <w:spacing w:after="0"/>
            </w:pPr>
            <w:r/>
            <w:r>
              <w:rPr>
                <w:b w:val="0"/>
                <w:sz w:val="17"/>
              </w:rPr>
              <w:t>Cohabitation trigger broadened</w:t>
            </w:r>
          </w:p>
        </w:tc>
        <w:tc>
          <w:tcPr>
            <w:tcW w:type="dxa" w:w="2304"/>
          </w:tcPr>
          <w:p>
            <w:pPr>
              <w:spacing w:after="0"/>
            </w:pPr>
            <w:r/>
            <w:r>
              <w:rPr>
                <w:b w:val="0"/>
                <w:sz w:val="17"/>
              </w:rPr>
              <w:t>MSA § 6.4(c): cohabitation “with a romantic partner on a continuing conjugal basis as defined in Texas Family Code § 8.056.”</w:t>
            </w:r>
          </w:p>
        </w:tc>
        <w:tc>
          <w:tcPr>
            <w:tcW w:type="dxa" w:w="2304"/>
          </w:tcPr>
          <w:p>
            <w:pPr>
              <w:spacing w:after="0"/>
            </w:pPr>
            <w:r/>
            <w:r>
              <w:rPr>
                <w:b w:val="0"/>
                <w:sz w:val="17"/>
              </w:rPr>
              <w:t>Decree § VII.B(c): cohabitation “with an unrelated adult on a continuous basis for thirty (30) or more consecutive days.”</w:t>
            </w:r>
          </w:p>
        </w:tc>
        <w:tc>
          <w:tcPr>
            <w:tcW w:type="dxa" w:w="2520"/>
          </w:tcPr>
          <w:p>
            <w:pPr>
              <w:spacing w:after="0"/>
            </w:pPr>
            <w:r/>
            <w:r>
              <w:rPr>
                <w:b w:val="0"/>
                <w:sz w:val="17"/>
              </w:rPr>
              <w:t>Would terminate alimony if Megan has a roommate, live-in caregiver or au pair. A materially easier termination standard for Derek.</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Restore the MSA § 6.4(c) standard.</w:t>
            </w:r>
          </w:p>
        </w:tc>
      </w:tr>
      <w:tr>
        <w:tc>
          <w:tcPr>
            <w:tcW w:type="dxa" w:w="648"/>
          </w:tcPr>
          <w:p>
            <w:pPr>
              <w:spacing w:after="0"/>
            </w:pPr>
            <w:r/>
            <w:r>
              <w:rPr>
                <w:b/>
                <w:sz w:val="17"/>
              </w:rPr>
              <w:t>E-4</w:t>
            </w:r>
          </w:p>
        </w:tc>
        <w:tc>
          <w:tcPr>
            <w:tcW w:type="dxa" w:w="1512"/>
          </w:tcPr>
          <w:p>
            <w:pPr>
              <w:spacing w:after="0"/>
            </w:pPr>
            <w:r/>
            <w:r>
              <w:rPr>
                <w:b w:val="0"/>
                <w:sz w:val="17"/>
              </w:rPr>
              <w:t>Due date moved from the 15th to the 1st</w:t>
            </w:r>
          </w:p>
        </w:tc>
        <w:tc>
          <w:tcPr>
            <w:tcW w:type="dxa" w:w="2304"/>
          </w:tcPr>
          <w:p>
            <w:pPr>
              <w:spacing w:after="0"/>
            </w:pPr>
            <w:r/>
            <w:r>
              <w:rPr>
                <w:b w:val="0"/>
                <w:sz w:val="17"/>
              </w:rPr>
              <w:t>MSA § 6.2: due on the 15th of each month, commencing the 15th of the first full month after signing.</w:t>
            </w:r>
          </w:p>
        </w:tc>
        <w:tc>
          <w:tcPr>
            <w:tcW w:type="dxa" w:w="2304"/>
          </w:tcPr>
          <w:p>
            <w:pPr>
              <w:spacing w:after="0"/>
            </w:pPr>
            <w:r/>
            <w:r>
              <w:rPr>
                <w:b w:val="0"/>
                <w:sz w:val="17"/>
              </w:rPr>
              <w:t>Decree § VII.A: due on the 1st of each month.</w:t>
            </w:r>
          </w:p>
        </w:tc>
        <w:tc>
          <w:tcPr>
            <w:tcW w:type="dxa" w:w="2520"/>
          </w:tcPr>
          <w:p>
            <w:pPr>
              <w:spacing w:after="0"/>
            </w:pPr>
            <w:r/>
            <w:r>
              <w:rPr>
                <w:b w:val="0"/>
                <w:sz w:val="17"/>
              </w:rPr>
              <w:t>Megan negotiated a mid-month payment to stagger cash flow against child support on the 1st. Also creates confusion over the start date and 36-month count.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Neutral</w:t>
            </w:r>
          </w:p>
        </w:tc>
        <w:tc>
          <w:tcPr>
            <w:tcW w:type="dxa" w:w="2664"/>
          </w:tcPr>
          <w:p>
            <w:pPr>
              <w:spacing w:after="0"/>
            </w:pPr>
            <w:r/>
            <w:r>
              <w:rPr>
                <w:b w:val="0"/>
                <w:sz w:val="17"/>
              </w:rPr>
              <w:t>Change to the 15th day of each month, commencing the 15th day of the first full calendar month after signing.</w:t>
            </w:r>
          </w:p>
        </w:tc>
      </w:tr>
      <w:tr>
        <w:tc>
          <w:tcPr>
            <w:tcW w:type="dxa" w:w="648"/>
          </w:tcPr>
          <w:p>
            <w:pPr>
              <w:spacing w:after="0"/>
            </w:pPr>
            <w:r/>
            <w:r>
              <w:rPr>
                <w:b/>
                <w:sz w:val="17"/>
              </w:rPr>
              <w:t>E-5</w:t>
            </w:r>
          </w:p>
        </w:tc>
        <w:tc>
          <w:tcPr>
            <w:tcW w:type="dxa" w:w="1512"/>
          </w:tcPr>
          <w:p>
            <w:pPr>
              <w:spacing w:after="0"/>
            </w:pPr>
            <w:r/>
            <w:r>
              <w:rPr>
                <w:b w:val="0"/>
                <w:sz w:val="17"/>
              </w:rPr>
              <w:t>6% late-payment interest omitted</w:t>
            </w:r>
          </w:p>
        </w:tc>
        <w:tc>
          <w:tcPr>
            <w:tcW w:type="dxa" w:w="2304"/>
          </w:tcPr>
          <w:p>
            <w:pPr>
              <w:spacing w:after="0"/>
            </w:pPr>
            <w:r/>
            <w:r>
              <w:rPr>
                <w:b w:val="0"/>
                <w:sz w:val="17"/>
              </w:rPr>
              <w:t>MSA § 6.2: late payments bear 6% per annum interest from due date.</w:t>
            </w:r>
          </w:p>
        </w:tc>
        <w:tc>
          <w:tcPr>
            <w:tcW w:type="dxa" w:w="2304"/>
          </w:tcPr>
          <w:p>
            <w:pPr>
              <w:spacing w:after="0"/>
            </w:pPr>
            <w:r/>
            <w:r>
              <w:rPr>
                <w:b w:val="0"/>
                <w:sz w:val="17"/>
              </w:rPr>
              <w:t>Decree § VII.A: silent.</w:t>
            </w:r>
          </w:p>
        </w:tc>
        <w:tc>
          <w:tcPr>
            <w:tcW w:type="dxa" w:w="2520"/>
          </w:tcPr>
          <w:p>
            <w:pPr>
              <w:spacing w:after="0"/>
            </w:pPr>
            <w:r/>
            <w:r>
              <w:rPr>
                <w:b w:val="0"/>
                <w:sz w:val="17"/>
              </w:rPr>
              <w:t>Removes the agreed deterrent to late payment.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Add the 6% interest provision.</w:t>
            </w:r>
          </w:p>
        </w:tc>
      </w:tr>
      <w:tr>
        <w:tc>
          <w:tcPr>
            <w:tcW w:type="dxa" w:w="648"/>
          </w:tcPr>
          <w:p>
            <w:pPr>
              <w:spacing w:after="0"/>
            </w:pPr>
            <w:r/>
            <w:r>
              <w:rPr>
                <w:b/>
                <w:sz w:val="17"/>
              </w:rPr>
              <w:t>E-6</w:t>
            </w:r>
          </w:p>
        </w:tc>
        <w:tc>
          <w:tcPr>
            <w:tcW w:type="dxa" w:w="1512"/>
          </w:tcPr>
          <w:p>
            <w:pPr>
              <w:spacing w:after="0"/>
            </w:pPr>
            <w:r/>
            <w:r>
              <w:rPr>
                <w:b w:val="0"/>
                <w:sz w:val="17"/>
              </w:rPr>
              <w:t>Payment method changed</w:t>
            </w:r>
          </w:p>
        </w:tc>
        <w:tc>
          <w:tcPr>
            <w:tcW w:type="dxa" w:w="2304"/>
          </w:tcPr>
          <w:p>
            <w:pPr>
              <w:spacing w:after="0"/>
            </w:pPr>
            <w:r/>
            <w:r>
              <w:rPr>
                <w:b w:val="0"/>
                <w:sz w:val="17"/>
              </w:rPr>
              <w:t>MSA § 6.2: direct deposit, cashier’s check, or other reliable method agreed upon.</w:t>
            </w:r>
          </w:p>
        </w:tc>
        <w:tc>
          <w:tcPr>
            <w:tcW w:type="dxa" w:w="2304"/>
          </w:tcPr>
          <w:p>
            <w:pPr>
              <w:spacing w:after="0"/>
            </w:pPr>
            <w:r/>
            <w:r>
              <w:rPr>
                <w:b w:val="0"/>
                <w:sz w:val="17"/>
              </w:rPr>
              <w:t>Decree § VII.A: “check or electronic transfer.”</w:t>
            </w:r>
          </w:p>
        </w:tc>
        <w:tc>
          <w:tcPr>
            <w:tcW w:type="dxa" w:w="2520"/>
          </w:tcPr>
          <w:p>
            <w:pPr>
              <w:spacing w:after="0"/>
            </w:pPr>
            <w:r/>
            <w:r>
              <w:rPr>
                <w:b w:val="0"/>
                <w:sz w:val="17"/>
              </w:rPr>
              <w:t>Permits personal checks, which the MSA did not.</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Derek</w:t>
            </w:r>
          </w:p>
        </w:tc>
        <w:tc>
          <w:tcPr>
            <w:tcW w:type="dxa" w:w="2664"/>
          </w:tcPr>
          <w:p>
            <w:pPr>
              <w:spacing w:after="0"/>
            </w:pPr>
            <w:r/>
            <w:r>
              <w:rPr>
                <w:b w:val="0"/>
                <w:sz w:val="17"/>
              </w:rPr>
              <w:t>Conform to MSA § 6.2.</w:t>
            </w:r>
          </w:p>
        </w:tc>
      </w:tr>
      <w:tr>
        <w:tc>
          <w:tcPr>
            <w:tcW w:type="dxa" w:w="648"/>
          </w:tcPr>
          <w:p>
            <w:pPr>
              <w:spacing w:after="0"/>
            </w:pPr>
            <w:r/>
            <w:r>
              <w:rPr>
                <w:b/>
                <w:sz w:val="17"/>
              </w:rPr>
              <w:t>E-7</w:t>
            </w:r>
          </w:p>
        </w:tc>
        <w:tc>
          <w:tcPr>
            <w:tcW w:type="dxa" w:w="1512"/>
          </w:tcPr>
          <w:p>
            <w:pPr>
              <w:spacing w:after="0"/>
            </w:pPr>
            <w:r/>
            <w:r>
              <w:rPr>
                <w:b w:val="0"/>
                <w:sz w:val="17"/>
              </w:rPr>
              <w:t>Term measurement and total obligation</w:t>
            </w:r>
          </w:p>
        </w:tc>
        <w:tc>
          <w:tcPr>
            <w:tcW w:type="dxa" w:w="2304"/>
          </w:tcPr>
          <w:p>
            <w:pPr>
              <w:spacing w:after="0"/>
            </w:pPr>
            <w:r/>
            <w:r>
              <w:rPr>
                <w:b w:val="0"/>
                <w:sz w:val="17"/>
              </w:rPr>
              <w:t>MSA §§ 6.1, 6.4(a): 36 months calculated from the date of the first payment; total $115,200.</w:t>
            </w:r>
          </w:p>
        </w:tc>
        <w:tc>
          <w:tcPr>
            <w:tcW w:type="dxa" w:w="2304"/>
          </w:tcPr>
          <w:p>
            <w:pPr>
              <w:spacing w:after="0"/>
            </w:pPr>
            <w:r/>
            <w:r>
              <w:rPr>
                <w:b w:val="0"/>
                <w:sz w:val="17"/>
              </w:rPr>
              <w:t>Decree §§ VII.A, VII.B(a): 36 months “beginning the first full month after” signing; total not stated.</w:t>
            </w:r>
          </w:p>
        </w:tc>
        <w:tc>
          <w:tcPr>
            <w:tcW w:type="dxa" w:w="2520"/>
          </w:tcPr>
          <w:p>
            <w:pPr>
              <w:spacing w:after="0"/>
            </w:pPr>
            <w:r/>
            <w:r>
              <w:rPr>
                <w:b w:val="0"/>
                <w:sz w:val="17"/>
              </w:rPr>
              <w:t>Substantively close, but stating the total and the measuring date avoids disputes.</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Recite the $115,200 total and that the term runs from the first payment.</w:t>
            </w:r>
          </w:p>
        </w:tc>
      </w:tr>
    </w:tbl>
    <w:p/>
    <w:p>
      <w:pPr>
        <w:pStyle w:val="Heading2"/>
      </w:pPr>
      <w:r>
        <w:t>F. Marital Residence (4210 Cypress Creek Parkway)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F-1</w:t>
            </w:r>
          </w:p>
        </w:tc>
        <w:tc>
          <w:tcPr>
            <w:tcW w:type="dxa" w:w="1512"/>
          </w:tcPr>
          <w:p>
            <w:pPr>
              <w:spacing w:after="0"/>
            </w:pPr>
            <w:r/>
            <w:r>
              <w:rPr>
                <w:b w:val="0"/>
                <w:sz w:val="17"/>
              </w:rPr>
              <w:t>Equalization payment reduced by $10,000</w:t>
            </w:r>
          </w:p>
        </w:tc>
        <w:tc>
          <w:tcPr>
            <w:tcW w:type="dxa" w:w="2304"/>
          </w:tcPr>
          <w:p>
            <w:pPr>
              <w:spacing w:after="0"/>
            </w:pPr>
            <w:r/>
            <w:r>
              <w:rPr>
                <w:b w:val="0"/>
                <w:sz w:val="17"/>
              </w:rPr>
              <w:t>MSA § 7.1: $133,300.00, “representing fifty percent (50%) of the net equity of $266,600.00.”</w:t>
            </w:r>
          </w:p>
        </w:tc>
        <w:tc>
          <w:tcPr>
            <w:tcW w:type="dxa" w:w="2304"/>
          </w:tcPr>
          <w:p>
            <w:pPr>
              <w:spacing w:after="0"/>
            </w:pPr>
            <w:r/>
            <w:r>
              <w:rPr>
                <w:b w:val="0"/>
                <w:sz w:val="17"/>
              </w:rPr>
              <w:t>Decree § VIII.B: “One Hundred Twenty-Three Thousand Three Hundred Dollars ($123,300.00).”</w:t>
            </w:r>
          </w:p>
        </w:tc>
        <w:tc>
          <w:tcPr>
            <w:tcW w:type="dxa" w:w="2520"/>
          </w:tcPr>
          <w:p>
            <w:pPr>
              <w:spacing w:after="0"/>
            </w:pPr>
            <w:r/>
            <w:r>
              <w:rPr>
                <w:b w:val="0"/>
                <w:sz w:val="17"/>
              </w:rPr>
              <w:t>$10,000 shortfall. The decree omits the FMV ($485,000) and net-equity ($266,600) recitals that would reveal the error on the face of the decree.</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Correct to $133,300.00 and add the FMV, mortgage and net-equity recitals from MSA § 7.1.</w:t>
            </w:r>
          </w:p>
        </w:tc>
      </w:tr>
      <w:tr>
        <w:tc>
          <w:tcPr>
            <w:tcW w:type="dxa" w:w="648"/>
          </w:tcPr>
          <w:p>
            <w:pPr>
              <w:spacing w:after="0"/>
            </w:pPr>
            <w:r/>
            <w:r>
              <w:rPr>
                <w:b/>
                <w:sz w:val="17"/>
              </w:rPr>
              <w:t>F-2</w:t>
            </w:r>
          </w:p>
        </w:tc>
        <w:tc>
          <w:tcPr>
            <w:tcW w:type="dxa" w:w="1512"/>
          </w:tcPr>
          <w:p>
            <w:pPr>
              <w:spacing w:after="0"/>
            </w:pPr>
            <w:r/>
            <w:r>
              <w:rPr>
                <w:b w:val="0"/>
                <w:sz w:val="17"/>
              </w:rPr>
              <w:t>Special warranty deed due before refinance and payment</w:t>
            </w:r>
          </w:p>
        </w:tc>
        <w:tc>
          <w:tcPr>
            <w:tcW w:type="dxa" w:w="2304"/>
          </w:tcPr>
          <w:p>
            <w:pPr>
              <w:spacing w:after="0"/>
            </w:pPr>
            <w:r/>
            <w:r>
              <w:rPr>
                <w:b w:val="0"/>
                <w:sz w:val="17"/>
              </w:rPr>
              <w:t>MSA § 7.1: Megan executes the deed “within 10 business days following Derek’s completion of the refinance and payment of the equalization payment.”</w:t>
            </w:r>
          </w:p>
        </w:tc>
        <w:tc>
          <w:tcPr>
            <w:tcW w:type="dxa" w:w="2304"/>
          </w:tcPr>
          <w:p>
            <w:pPr>
              <w:spacing w:after="0"/>
            </w:pPr>
            <w:r/>
            <w:r>
              <w:rPr>
                <w:b w:val="0"/>
                <w:sz w:val="17"/>
              </w:rPr>
              <w:t>Decree § VIII.C: deed within 10 days of signing “or upon the closing of the refinance …, whichever occurs first,” delivered to Respondent’s counsel. § VIII.A divests Megan immediately on signing.</w:t>
            </w:r>
          </w:p>
        </w:tc>
        <w:tc>
          <w:tcPr>
            <w:tcW w:type="dxa" w:w="2520"/>
          </w:tcPr>
          <w:p>
            <w:pPr>
              <w:spacing w:after="0"/>
            </w:pPr>
            <w:r/>
            <w:r>
              <w:rPr>
                <w:b w:val="0"/>
                <w:sz w:val="17"/>
              </w:rPr>
              <w:t>Megan would convey title before receiving $133,300 and while still liable on the $218,400 mortgage, leaving her unsecured. This destroys the sequencing protection in the MSA.</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Conform to MSA § 7.1 timing (10 business days after both refinance and payment). Make the § VIII.A award expressly “subject to” the refinance, equalization and sale provisions; consider an owelty or equitable lien securing the equalization payment and deed held in escrow by Petitioner’s counsel.</w:t>
            </w:r>
          </w:p>
        </w:tc>
      </w:tr>
      <w:tr>
        <w:tc>
          <w:tcPr>
            <w:tcW w:type="dxa" w:w="648"/>
          </w:tcPr>
          <w:p>
            <w:pPr>
              <w:spacing w:after="0"/>
            </w:pPr>
            <w:r/>
            <w:r>
              <w:rPr>
                <w:b/>
                <w:sz w:val="17"/>
              </w:rPr>
              <w:t>F-3</w:t>
            </w:r>
          </w:p>
        </w:tc>
        <w:tc>
          <w:tcPr>
            <w:tcW w:type="dxa" w:w="1512"/>
          </w:tcPr>
          <w:p>
            <w:pPr>
              <w:spacing w:after="0"/>
            </w:pPr>
            <w:r/>
            <w:r>
              <w:rPr>
                <w:b w:val="0"/>
                <w:sz w:val="17"/>
              </w:rPr>
              <w:t>Refinance deadline shortened from 120 to 90 days</w:t>
            </w:r>
          </w:p>
        </w:tc>
        <w:tc>
          <w:tcPr>
            <w:tcW w:type="dxa" w:w="2304"/>
          </w:tcPr>
          <w:p>
            <w:pPr>
              <w:spacing w:after="0"/>
            </w:pPr>
            <w:r/>
            <w:r>
              <w:rPr>
                <w:b w:val="0"/>
                <w:sz w:val="17"/>
              </w:rPr>
              <w:t>MSA § 7.1: refinance within 120 days; equalization no later than the 120-day deadline; sale listing within 14 days after the 120-day period.</w:t>
            </w:r>
          </w:p>
        </w:tc>
        <w:tc>
          <w:tcPr>
            <w:tcW w:type="dxa" w:w="2304"/>
          </w:tcPr>
          <w:p>
            <w:pPr>
              <w:spacing w:after="0"/>
            </w:pPr>
            <w:r/>
            <w:r>
              <w:rPr>
                <w:b w:val="0"/>
                <w:sz w:val="17"/>
              </w:rPr>
              <w:t>Decree § VIII.B: 90 days throughout.</w:t>
            </w:r>
          </w:p>
        </w:tc>
        <w:tc>
          <w:tcPr>
            <w:tcW w:type="dxa" w:w="2520"/>
          </w:tcPr>
          <w:p>
            <w:pPr>
              <w:spacing w:after="0"/>
            </w:pPr>
            <w:r/>
            <w:r>
              <w:rPr>
                <w:b w:val="0"/>
                <w:sz w:val="17"/>
              </w:rPr>
              <w:t>A shorter deadline accelerates payment to Megan, but it is nonconforming and gives Respondent a ready argument that the decree overall is not the MSA. Decision point.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Megan</w:t>
            </w:r>
          </w:p>
        </w:tc>
        <w:tc>
          <w:tcPr>
            <w:tcW w:type="dxa" w:w="2664"/>
          </w:tcPr>
          <w:p>
            <w:pPr>
              <w:spacing w:after="0"/>
            </w:pPr>
            <w:r/>
            <w:r>
              <w:rPr>
                <w:b w:val="0"/>
                <w:sz w:val="17"/>
              </w:rPr>
              <w:t>Conform to 120 days unless Respondent agrees to 90 days in a signed writing.</w:t>
            </w:r>
          </w:p>
        </w:tc>
      </w:tr>
      <w:tr>
        <w:tc>
          <w:tcPr>
            <w:tcW w:type="dxa" w:w="648"/>
          </w:tcPr>
          <w:p>
            <w:pPr>
              <w:spacing w:after="0"/>
            </w:pPr>
            <w:r/>
            <w:r>
              <w:rPr>
                <w:b/>
                <w:sz w:val="17"/>
              </w:rPr>
              <w:t>F-4</w:t>
            </w:r>
          </w:p>
        </w:tc>
        <w:tc>
          <w:tcPr>
            <w:tcW w:type="dxa" w:w="1512"/>
          </w:tcPr>
          <w:p>
            <w:pPr>
              <w:spacing w:after="0"/>
            </w:pPr>
            <w:r/>
            <w:r>
              <w:rPr>
                <w:b w:val="0"/>
                <w:sz w:val="17"/>
              </w:rPr>
              <w:t>Refinance costs allocation omitted</w:t>
            </w:r>
          </w:p>
        </w:tc>
        <w:tc>
          <w:tcPr>
            <w:tcW w:type="dxa" w:w="2304"/>
          </w:tcPr>
          <w:p>
            <w:pPr>
              <w:spacing w:after="0"/>
            </w:pPr>
            <w:r/>
            <w:r>
              <w:rPr>
                <w:b w:val="0"/>
                <w:sz w:val="17"/>
              </w:rPr>
              <w:t>MSA § 7.1: Derek bears all refinance costs (closing, appraisal, origination).</w:t>
            </w:r>
          </w:p>
        </w:tc>
        <w:tc>
          <w:tcPr>
            <w:tcW w:type="dxa" w:w="2304"/>
          </w:tcPr>
          <w:p>
            <w:pPr>
              <w:spacing w:after="0"/>
            </w:pPr>
            <w:r/>
            <w:r>
              <w:rPr>
                <w:b w:val="0"/>
                <w:sz w:val="17"/>
              </w:rPr>
              <w:t>Decree § VIII.B: silent.</w:t>
            </w:r>
          </w:p>
        </w:tc>
        <w:tc>
          <w:tcPr>
            <w:tcW w:type="dxa" w:w="2520"/>
          </w:tcPr>
          <w:p>
            <w:pPr>
              <w:spacing w:after="0"/>
            </w:pPr>
            <w:r/>
            <w:r>
              <w:rPr>
                <w:b w:val="0"/>
                <w:sz w:val="17"/>
              </w:rPr>
              <w:t>Opens an argument that costs reduce net equity or are shared on a sale.</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Add the MSA cost-allocation sentence.</w:t>
            </w:r>
          </w:p>
        </w:tc>
      </w:tr>
      <w:tr>
        <w:tc>
          <w:tcPr>
            <w:tcW w:type="dxa" w:w="648"/>
          </w:tcPr>
          <w:p>
            <w:pPr>
              <w:spacing w:after="0"/>
            </w:pPr>
            <w:r/>
            <w:r>
              <w:rPr>
                <w:b/>
                <w:sz w:val="17"/>
              </w:rPr>
              <w:t>F-5</w:t>
            </w:r>
          </w:p>
        </w:tc>
        <w:tc>
          <w:tcPr>
            <w:tcW w:type="dxa" w:w="1512"/>
          </w:tcPr>
          <w:p>
            <w:pPr>
              <w:spacing w:after="0"/>
            </w:pPr>
            <w:r/>
            <w:r>
              <w:rPr>
                <w:b w:val="0"/>
                <w:sz w:val="17"/>
              </w:rPr>
              <w:t>Award not stated to be subject to conditions</w:t>
            </w:r>
          </w:p>
        </w:tc>
        <w:tc>
          <w:tcPr>
            <w:tcW w:type="dxa" w:w="2304"/>
          </w:tcPr>
          <w:p>
            <w:pPr>
              <w:spacing w:after="0"/>
            </w:pPr>
            <w:r/>
            <w:r>
              <w:rPr>
                <w:b w:val="0"/>
                <w:sz w:val="17"/>
              </w:rPr>
              <w:t>MSA § 7.1: award to Derek is “subject to the conditions set forth below.”</w:t>
            </w:r>
          </w:p>
        </w:tc>
        <w:tc>
          <w:tcPr>
            <w:tcW w:type="dxa" w:w="2304"/>
          </w:tcPr>
          <w:p>
            <w:pPr>
              <w:spacing w:after="0"/>
            </w:pPr>
            <w:r/>
            <w:r>
              <w:rPr>
                <w:b w:val="0"/>
                <w:sz w:val="17"/>
              </w:rPr>
              <w:t>Decree § VIII.A: unconditional award and divestiture.</w:t>
            </w:r>
          </w:p>
        </w:tc>
        <w:tc>
          <w:tcPr>
            <w:tcW w:type="dxa" w:w="2520"/>
          </w:tcPr>
          <w:p>
            <w:pPr>
              <w:spacing w:after="0"/>
            </w:pPr>
            <w:r/>
            <w:r>
              <w:rPr>
                <w:b w:val="0"/>
                <w:sz w:val="17"/>
              </w:rPr>
              <w:t>Weakens enforcement of the sale fallback if Derek fails to refinance.</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Add “subject to Sections VIII.B and VIII.C.”</w:t>
            </w:r>
          </w:p>
        </w:tc>
      </w:tr>
      <w:tr>
        <w:tc>
          <w:tcPr>
            <w:tcW w:type="dxa" w:w="648"/>
          </w:tcPr>
          <w:p>
            <w:pPr>
              <w:spacing w:after="0"/>
            </w:pPr>
            <w:r/>
            <w:r>
              <w:rPr>
                <w:b/>
                <w:sz w:val="17"/>
              </w:rPr>
              <w:t>F-6</w:t>
            </w:r>
          </w:p>
        </w:tc>
        <w:tc>
          <w:tcPr>
            <w:tcW w:type="dxa" w:w="1512"/>
          </w:tcPr>
          <w:p>
            <w:pPr>
              <w:spacing w:after="0"/>
            </w:pPr>
            <w:r/>
            <w:r>
              <w:rPr>
                <w:b w:val="0"/>
                <w:sz w:val="17"/>
              </w:rPr>
              <w:t>Appraiser selection mechanism changed; plat reference incomplete</w:t>
            </w:r>
          </w:p>
        </w:tc>
        <w:tc>
          <w:tcPr>
            <w:tcW w:type="dxa" w:w="2304"/>
          </w:tcPr>
          <w:p>
            <w:pPr>
              <w:spacing w:after="0"/>
            </w:pPr>
            <w:r/>
            <w:r>
              <w:rPr>
                <w:b w:val="0"/>
                <w:sz w:val="17"/>
              </w:rPr>
              <w:t>MSA § 7.1: appraiser selected “by agreement of the parties’ attorneys”; property described by lot/block/section per Harris County Map Records.</w:t>
            </w:r>
          </w:p>
        </w:tc>
        <w:tc>
          <w:tcPr>
            <w:tcW w:type="dxa" w:w="2304"/>
          </w:tcPr>
          <w:p>
            <w:pPr>
              <w:spacing w:after="0"/>
            </w:pPr>
            <w:r/>
            <w:r>
              <w:rPr>
                <w:b w:val="0"/>
                <w:sz w:val="17"/>
              </w:rPr>
              <w:t>Decree § VIII.B: appraiser “selected by mutual agreement”; § VIII.A leaves Volume ___, Page ___ blank.</w:t>
            </w:r>
          </w:p>
        </w:tc>
        <w:tc>
          <w:tcPr>
            <w:tcW w:type="dxa" w:w="2520"/>
          </w:tcPr>
          <w:p>
            <w:pPr>
              <w:spacing w:after="0"/>
            </w:pPr>
            <w:r/>
            <w:r>
              <w:rPr>
                <w:b w:val="0"/>
                <w:sz w:val="17"/>
              </w:rPr>
              <w:t>Minor deviation; blank recording data must be completed for the decree to serve as a muniment of title.</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appraiser language; complete plat volume/page from the deed records.</w:t>
            </w:r>
          </w:p>
        </w:tc>
      </w:tr>
      <w:tr>
        <w:tc>
          <w:tcPr>
            <w:tcW w:type="dxa" w:w="648"/>
          </w:tcPr>
          <w:p>
            <w:pPr>
              <w:spacing w:after="0"/>
            </w:pPr>
            <w:r/>
            <w:r>
              <w:rPr>
                <w:b/>
                <w:sz w:val="17"/>
              </w:rPr>
              <w:t>F-7</w:t>
            </w:r>
          </w:p>
        </w:tc>
        <w:tc>
          <w:tcPr>
            <w:tcW w:type="dxa" w:w="1512"/>
          </w:tcPr>
          <w:p>
            <w:pPr>
              <w:spacing w:after="0"/>
            </w:pPr>
            <w:r/>
            <w:r>
              <w:rPr>
                <w:b w:val="0"/>
                <w:sz w:val="17"/>
              </w:rPr>
              <w:t>Mortgage assumption and indemnity added</w:t>
            </w:r>
          </w:p>
        </w:tc>
        <w:tc>
          <w:tcPr>
            <w:tcW w:type="dxa" w:w="2304"/>
          </w:tcPr>
          <w:p>
            <w:pPr>
              <w:spacing w:after="0"/>
            </w:pPr>
            <w:r/>
            <w:r>
              <w:rPr>
                <w:b w:val="0"/>
                <w:sz w:val="17"/>
              </w:rPr>
              <w:t>MSA § 7.1 (implicit; refinance obligation).</w:t>
            </w:r>
          </w:p>
        </w:tc>
        <w:tc>
          <w:tcPr>
            <w:tcW w:type="dxa" w:w="2304"/>
          </w:tcPr>
          <w:p>
            <w:pPr>
              <w:spacing w:after="0"/>
            </w:pPr>
            <w:r/>
            <w:r>
              <w:rPr>
                <w:b w:val="0"/>
                <w:sz w:val="17"/>
              </w:rPr>
              <w:t>Decree § VIII.A: Derek assumes the mortgage and indemnifies Megan, including attorney’s fees.</w:t>
            </w:r>
          </w:p>
        </w:tc>
        <w:tc>
          <w:tcPr>
            <w:tcW w:type="dxa" w:w="2520"/>
          </w:tcPr>
          <w:p>
            <w:pPr>
              <w:spacing w:after="0"/>
            </w:pPr>
            <w:r/>
            <w:r>
              <w:rPr>
                <w:b w:val="0"/>
                <w:sz w:val="17"/>
              </w:rPr>
              <w:t>Consistent with and protective of the MSA allocation.</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Megan</w:t>
            </w:r>
          </w:p>
        </w:tc>
        <w:tc>
          <w:tcPr>
            <w:tcW w:type="dxa" w:w="2664"/>
          </w:tcPr>
          <w:p>
            <w:pPr>
              <w:spacing w:after="0"/>
            </w:pPr>
            <w:r/>
            <w:r>
              <w:rPr>
                <w:b w:val="0"/>
                <w:sz w:val="17"/>
              </w:rPr>
              <w:t>Retain.</w:t>
            </w:r>
          </w:p>
        </w:tc>
      </w:tr>
    </w:tbl>
    <w:p/>
    <w:p>
      <w:pPr>
        <w:pStyle w:val="Heading2"/>
      </w:pPr>
      <w:r>
        <w:t>G. Retirement Accounts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G-1</w:t>
            </w:r>
          </w:p>
        </w:tc>
        <w:tc>
          <w:tcPr>
            <w:tcW w:type="dxa" w:w="1512"/>
          </w:tcPr>
          <w:p>
            <w:pPr>
              <w:spacing w:after="0"/>
            </w:pPr>
            <w:r/>
            <w:r>
              <w:rPr>
                <w:b w:val="0"/>
                <w:sz w:val="17"/>
              </w:rPr>
              <w:t>Derek’s 401(k) split changed from 50/50</w:t>
            </w:r>
          </w:p>
        </w:tc>
        <w:tc>
          <w:tcPr>
            <w:tcW w:type="dxa" w:w="2304"/>
          </w:tcPr>
          <w:p>
            <w:pPr>
              <w:spacing w:after="0"/>
            </w:pPr>
            <w:r/>
            <w:r>
              <w:rPr>
                <w:b w:val="0"/>
                <w:sz w:val="17"/>
              </w:rPr>
              <w:t>MSA § 7.2.2: Derek retains $94,650.00; Megan receives $94,650.00 (50% each of $189,300).</w:t>
            </w:r>
          </w:p>
        </w:tc>
        <w:tc>
          <w:tcPr>
            <w:tcW w:type="dxa" w:w="2304"/>
          </w:tcPr>
          <w:p>
            <w:pPr>
              <w:spacing w:after="0"/>
            </w:pPr>
            <w:r/>
            <w:r>
              <w:rPr>
                <w:b w:val="0"/>
                <w:sz w:val="17"/>
              </w:rPr>
              <w:t>Decree § IX.B: Derek retains $104,650.00; Megan receives $84,650.00.</w:t>
            </w:r>
          </w:p>
        </w:tc>
        <w:tc>
          <w:tcPr>
            <w:tcW w:type="dxa" w:w="2520"/>
          </w:tcPr>
          <w:p>
            <w:pPr>
              <w:spacing w:after="0"/>
            </w:pPr>
            <w:r/>
            <w:r>
              <w:rPr>
                <w:b w:val="0"/>
                <w:sz w:val="17"/>
              </w:rPr>
              <w:t>$10,000 shift to Derek; the figures still total $189,300, masking the change. Also inconsistent with the MSA § 7.2.4 equalization rationale.</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Correct to $94,650.00 each, and describe Megan’s award as 50% of the 12/31/2024 balance.</w:t>
            </w:r>
          </w:p>
        </w:tc>
      </w:tr>
      <w:tr>
        <w:tc>
          <w:tcPr>
            <w:tcW w:type="dxa" w:w="648"/>
          </w:tcPr>
          <w:p>
            <w:pPr>
              <w:spacing w:after="0"/>
            </w:pPr>
            <w:r/>
            <w:r>
              <w:rPr>
                <w:b/>
                <w:sz w:val="17"/>
              </w:rPr>
              <w:t>G-2</w:t>
            </w:r>
          </w:p>
        </w:tc>
        <w:tc>
          <w:tcPr>
            <w:tcW w:type="dxa" w:w="1512"/>
          </w:tcPr>
          <w:p>
            <w:pPr>
              <w:spacing w:after="0"/>
            </w:pPr>
            <w:r/>
            <w:r>
              <w:rPr>
                <w:b w:val="0"/>
                <w:sz w:val="17"/>
              </w:rPr>
              <w:t>Gains and losses on Megan’s share omitted</w:t>
            </w:r>
          </w:p>
        </w:tc>
        <w:tc>
          <w:tcPr>
            <w:tcW w:type="dxa" w:w="2304"/>
          </w:tcPr>
          <w:p>
            <w:pPr>
              <w:spacing w:after="0"/>
            </w:pPr>
            <w:r/>
            <w:r>
              <w:rPr>
                <w:b w:val="0"/>
                <w:sz w:val="17"/>
              </w:rPr>
              <w:t>MSA § 7.2.2: Megan’s $94,650 to include gains, losses and earnings from December 31, 2024 to the date the plan processes the QDRO.</w:t>
            </w:r>
          </w:p>
        </w:tc>
        <w:tc>
          <w:tcPr>
            <w:tcW w:type="dxa" w:w="2304"/>
          </w:tcPr>
          <w:p>
            <w:pPr>
              <w:spacing w:after="0"/>
            </w:pPr>
            <w:r/>
            <w:r>
              <w:rPr>
                <w:b w:val="0"/>
                <w:sz w:val="17"/>
              </w:rPr>
              <w:t>Decree § IX.B: fixed dollar award; no earnings adjustment.</w:t>
            </w:r>
          </w:p>
        </w:tc>
        <w:tc>
          <w:tcPr>
            <w:tcW w:type="dxa" w:w="2520"/>
          </w:tcPr>
          <w:p>
            <w:pPr>
              <w:spacing w:after="0"/>
            </w:pPr>
            <w:r/>
            <w:r>
              <w:rPr>
                <w:b w:val="0"/>
                <w:sz w:val="17"/>
              </w:rPr>
              <w:t>Market growth since valuation date stays with Derek. On a balance of this size, a single year’s ordinary return can be several thousand dollars.</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Add the MSA earnings-adjustment sentence and mirror it in the QDRO.</w:t>
            </w:r>
          </w:p>
        </w:tc>
      </w:tr>
      <w:tr>
        <w:tc>
          <w:tcPr>
            <w:tcW w:type="dxa" w:w="648"/>
          </w:tcPr>
          <w:p>
            <w:pPr>
              <w:spacing w:after="0"/>
            </w:pPr>
            <w:r/>
            <w:r>
              <w:rPr>
                <w:b/>
                <w:sz w:val="17"/>
              </w:rPr>
              <w:t>G-3</w:t>
            </w:r>
          </w:p>
        </w:tc>
        <w:tc>
          <w:tcPr>
            <w:tcW w:type="dxa" w:w="1512"/>
          </w:tcPr>
          <w:p>
            <w:pPr>
              <w:spacing w:after="0"/>
            </w:pPr>
            <w:r/>
            <w:r>
              <w:rPr>
                <w:b w:val="0"/>
                <w:sz w:val="17"/>
              </w:rPr>
              <w:t>QDRO to be prepared by Respondent’s counsel</w:t>
            </w:r>
          </w:p>
        </w:tc>
        <w:tc>
          <w:tcPr>
            <w:tcW w:type="dxa" w:w="2304"/>
          </w:tcPr>
          <w:p>
            <w:pPr>
              <w:spacing w:after="0"/>
            </w:pPr>
            <w:r/>
            <w:r>
              <w:rPr>
                <w:b w:val="0"/>
                <w:sz w:val="17"/>
              </w:rPr>
              <w:t>MSA § 7.2.2: prepared by “a qualified attorney or benefits consultant,” submitted to the plan administrator as soon as practicable; cost shared 50/50.</w:t>
            </w:r>
          </w:p>
        </w:tc>
        <w:tc>
          <w:tcPr>
            <w:tcW w:type="dxa" w:w="2304"/>
          </w:tcPr>
          <w:p>
            <w:pPr>
              <w:spacing w:after="0"/>
            </w:pPr>
            <w:r/>
            <w:r>
              <w:rPr>
                <w:b w:val="0"/>
                <w:sz w:val="17"/>
              </w:rPr>
              <w:t>Decree § IX.B: “prepared by Respondent’s counsel and submitted to the Court for approval”; cost shared equally.</w:t>
            </w:r>
          </w:p>
        </w:tc>
        <w:tc>
          <w:tcPr>
            <w:tcW w:type="dxa" w:w="2520"/>
          </w:tcPr>
          <w:p>
            <w:pPr>
              <w:spacing w:after="0"/>
            </w:pPr>
            <w:r/>
            <w:r>
              <w:rPr>
                <w:b w:val="0"/>
                <w:sz w:val="17"/>
              </w:rPr>
              <w:t>Gives the adverse party control over the alternate-payee document. No deadline.</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Provide for a neutral QDRO preparer (or Petitioner’s counsel) with a 30-day deadline, Petitioner’s approval right, and the Court’s continuing jurisdiction to sign and clarify the QDRO (Tex. Fam. Code §§ 9.101–9.105).</w:t>
            </w:r>
          </w:p>
        </w:tc>
      </w:tr>
      <w:tr>
        <w:tc>
          <w:tcPr>
            <w:tcW w:type="dxa" w:w="648"/>
          </w:tcPr>
          <w:p>
            <w:pPr>
              <w:spacing w:after="0"/>
            </w:pPr>
            <w:r/>
            <w:r>
              <w:rPr>
                <w:b/>
                <w:sz w:val="17"/>
              </w:rPr>
              <w:t>G-4</w:t>
            </w:r>
          </w:p>
        </w:tc>
        <w:tc>
          <w:tcPr>
            <w:tcW w:type="dxa" w:w="1512"/>
          </w:tcPr>
          <w:p>
            <w:pPr>
              <w:spacing w:after="0"/>
            </w:pPr>
            <w:r/>
            <w:r>
              <w:rPr>
                <w:b w:val="0"/>
                <w:sz w:val="17"/>
              </w:rPr>
              <w:t>“Confirmed” and “approximately” used for community accounts</w:t>
            </w:r>
          </w:p>
        </w:tc>
        <w:tc>
          <w:tcPr>
            <w:tcW w:type="dxa" w:w="2304"/>
          </w:tcPr>
          <w:p>
            <w:pPr>
              <w:spacing w:after="0"/>
            </w:pPr>
            <w:r/>
            <w:r>
              <w:rPr>
                <w:b w:val="0"/>
                <w:sz w:val="17"/>
              </w:rPr>
              <w:t>MSA §§ 7.2.1, 7.2.3: accounts are “awarded” at stated balances.</w:t>
            </w:r>
          </w:p>
        </w:tc>
        <w:tc>
          <w:tcPr>
            <w:tcW w:type="dxa" w:w="2304"/>
          </w:tcPr>
          <w:p>
            <w:pPr>
              <w:spacing w:after="0"/>
            </w:pPr>
            <w:r/>
            <w:r>
              <w:rPr>
                <w:b w:val="0"/>
                <w:sz w:val="17"/>
              </w:rPr>
              <w:t>Decree §§ IX.A, IX.C: accounts “confirmed” as separate property with balances “approximately” stated.</w:t>
            </w:r>
          </w:p>
        </w:tc>
        <w:tc>
          <w:tcPr>
            <w:tcW w:type="dxa" w:w="2520"/>
          </w:tcPr>
          <w:p>
            <w:pPr>
              <w:spacing w:after="0"/>
            </w:pPr>
            <w:r/>
            <w:r>
              <w:rPr>
                <w:b w:val="0"/>
                <w:sz w:val="17"/>
              </w:rPr>
              <w:t>“Confirm” is the term for separate property; these are community assets being awarded. Low risk but imprecise.</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Use “awarded” and the exact 12/31/2024 balances.</w:t>
            </w:r>
          </w:p>
        </w:tc>
      </w:tr>
    </w:tbl>
    <w:p/>
    <w:p>
      <w:pPr>
        <w:pStyle w:val="Heading2"/>
      </w:pPr>
      <w:r>
        <w:t>H. Brokerage Account (Redstone Wealth Advisors RWA-448821)</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H-1</w:t>
            </w:r>
          </w:p>
        </w:tc>
        <w:tc>
          <w:tcPr>
            <w:tcW w:type="dxa" w:w="1512"/>
          </w:tcPr>
          <w:p>
            <w:pPr>
              <w:spacing w:after="0"/>
            </w:pPr>
            <w:r/>
            <w:r>
              <w:rPr>
                <w:b w:val="0"/>
                <w:sz w:val="17"/>
              </w:rPr>
              <w:t>Brokerage split shifted $10,000 to Derek</w:t>
            </w:r>
          </w:p>
        </w:tc>
        <w:tc>
          <w:tcPr>
            <w:tcW w:type="dxa" w:w="2304"/>
          </w:tcPr>
          <w:p>
            <w:pPr>
              <w:spacing w:after="0"/>
            </w:pPr>
            <w:r/>
            <w:r>
              <w:rPr>
                <w:b w:val="0"/>
                <w:sz w:val="17"/>
              </w:rPr>
              <w:t>MSA § 7.4: Megan retains $50,000.00; Derek receives $23,250.00.</w:t>
            </w:r>
          </w:p>
        </w:tc>
        <w:tc>
          <w:tcPr>
            <w:tcW w:type="dxa" w:w="2304"/>
          </w:tcPr>
          <w:p>
            <w:pPr>
              <w:spacing w:after="0"/>
            </w:pPr>
            <w:r/>
            <w:r>
              <w:rPr>
                <w:b w:val="0"/>
                <w:sz w:val="17"/>
              </w:rPr>
              <w:t>Decree § X.A: Megan retains $40,000.00; Derek receives $33,250.00.</w:t>
            </w:r>
          </w:p>
        </w:tc>
        <w:tc>
          <w:tcPr>
            <w:tcW w:type="dxa" w:w="2520"/>
          </w:tcPr>
          <w:p>
            <w:pPr>
              <w:spacing w:after="0"/>
            </w:pPr>
            <w:r/>
            <w:r>
              <w:rPr>
                <w:b w:val="0"/>
                <w:sz w:val="17"/>
              </w:rPr>
              <w:t>$10,000 shift; total still $73,250, masking the change.</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Correct to $50,000.00 / $23,250.00.</w:t>
            </w:r>
          </w:p>
        </w:tc>
      </w:tr>
      <w:tr>
        <w:tc>
          <w:tcPr>
            <w:tcW w:type="dxa" w:w="648"/>
          </w:tcPr>
          <w:p>
            <w:pPr>
              <w:spacing w:after="0"/>
            </w:pPr>
            <w:r/>
            <w:r>
              <w:rPr>
                <w:b/>
                <w:sz w:val="17"/>
              </w:rPr>
              <w:t>H-2</w:t>
            </w:r>
          </w:p>
        </w:tc>
        <w:tc>
          <w:tcPr>
            <w:tcW w:type="dxa" w:w="1512"/>
          </w:tcPr>
          <w:p>
            <w:pPr>
              <w:spacing w:after="0"/>
            </w:pPr>
            <w:r/>
            <w:r>
              <w:rPr>
                <w:b w:val="0"/>
                <w:sz w:val="17"/>
              </w:rPr>
              <w:t>Transfer deadline and cost allocation</w:t>
            </w:r>
          </w:p>
        </w:tc>
        <w:tc>
          <w:tcPr>
            <w:tcW w:type="dxa" w:w="2304"/>
          </w:tcPr>
          <w:p>
            <w:pPr>
              <w:spacing w:after="0"/>
            </w:pPr>
            <w:r/>
            <w:r>
              <w:rPr>
                <w:b w:val="0"/>
                <w:sz w:val="17"/>
              </w:rPr>
              <w:t>MSA § 7.4: transfer within 60 days “or as soon as administratively practicable”; transaction fees deducted from Derek’s transfer.</w:t>
            </w:r>
          </w:p>
        </w:tc>
        <w:tc>
          <w:tcPr>
            <w:tcW w:type="dxa" w:w="2304"/>
          </w:tcPr>
          <w:p>
            <w:pPr>
              <w:spacing w:after="0"/>
            </w:pPr>
            <w:r/>
            <w:r>
              <w:rPr>
                <w:b w:val="0"/>
                <w:sz w:val="17"/>
              </w:rPr>
              <w:t>Decree § X.A: within 30 days; “transfer fees, taxes, or penalties” borne by the receiving party.</w:t>
            </w:r>
          </w:p>
        </w:tc>
        <w:tc>
          <w:tcPr>
            <w:tcW w:type="dxa" w:w="2520"/>
          </w:tcPr>
          <w:p>
            <w:pPr>
              <w:spacing w:after="0"/>
            </w:pPr>
            <w:r/>
            <w:r>
              <w:rPr>
                <w:b w:val="0"/>
                <w:sz w:val="17"/>
              </w:rPr>
              <w:t>Shorter deadline places compliance risk (contempt exposure) on Megan as account holder. Adding “taxes” to Derek’s burden is broadly consistent but should track the MSA.</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Derek</w:t>
            </w:r>
          </w:p>
        </w:tc>
        <w:tc>
          <w:tcPr>
            <w:tcW w:type="dxa" w:w="2664"/>
          </w:tcPr>
          <w:p>
            <w:pPr>
              <w:spacing w:after="0"/>
            </w:pPr>
            <w:r/>
            <w:r>
              <w:rPr>
                <w:b w:val="0"/>
                <w:sz w:val="17"/>
              </w:rPr>
              <w:t>Conform to 60 days “or as soon as administratively practicable.”</w:t>
            </w:r>
          </w:p>
        </w:tc>
      </w:tr>
    </w:tbl>
    <w:p/>
    <w:p>
      <w:pPr>
        <w:pStyle w:val="Heading2"/>
      </w:pPr>
      <w:r>
        <w:t>I. Vehicles and Whole Life Policy (Property Award)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I-1</w:t>
            </w:r>
          </w:p>
        </w:tc>
        <w:tc>
          <w:tcPr>
            <w:tcW w:type="dxa" w:w="1512"/>
          </w:tcPr>
          <w:p>
            <w:pPr>
              <w:spacing w:after="0"/>
            </w:pPr>
            <w:r/>
            <w:r>
              <w:rPr>
                <w:b w:val="0"/>
                <w:sz w:val="17"/>
              </w:rPr>
              <w:t>Title transfer deadline shortened</w:t>
            </w:r>
          </w:p>
        </w:tc>
        <w:tc>
          <w:tcPr>
            <w:tcW w:type="dxa" w:w="2304"/>
          </w:tcPr>
          <w:p>
            <w:pPr>
              <w:spacing w:after="0"/>
            </w:pPr>
            <w:r/>
            <w:r>
              <w:rPr>
                <w:b w:val="0"/>
                <w:sz w:val="17"/>
              </w:rPr>
              <w:t>MSA § 7.3: each party executes title documents, including certificate-of-title applications and lien release forms, within 30 days.</w:t>
            </w:r>
          </w:p>
        </w:tc>
        <w:tc>
          <w:tcPr>
            <w:tcW w:type="dxa" w:w="2304"/>
          </w:tcPr>
          <w:p>
            <w:pPr>
              <w:spacing w:after="0"/>
            </w:pPr>
            <w:r/>
            <w:r>
              <w:rPr>
                <w:b w:val="0"/>
                <w:sz w:val="17"/>
              </w:rPr>
              <w:t>Decree § XI.A–B: within 10 days; references Harris County Tax Assessor-Collector; omits lien release forms.</w:t>
            </w:r>
          </w:p>
        </w:tc>
        <w:tc>
          <w:tcPr>
            <w:tcW w:type="dxa" w:w="2520"/>
          </w:tcPr>
          <w:p>
            <w:pPr>
              <w:spacing w:after="0"/>
            </w:pPr>
            <w:r/>
            <w:r>
              <w:rPr>
                <w:b w:val="0"/>
                <w:sz w:val="17"/>
              </w:rPr>
              <w:t>Shorter compliance window; Highlander has a Lone Star Auto Finance lien, so lien-release mechanics matter.</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to 30 days and include lien release forms.</w:t>
            </w:r>
          </w:p>
        </w:tc>
      </w:tr>
      <w:tr>
        <w:tc>
          <w:tcPr>
            <w:tcW w:type="dxa" w:w="648"/>
          </w:tcPr>
          <w:p>
            <w:pPr>
              <w:spacing w:after="0"/>
            </w:pPr>
            <w:r/>
            <w:r>
              <w:rPr>
                <w:b/>
                <w:sz w:val="17"/>
              </w:rPr>
              <w:t>I-2</w:t>
            </w:r>
          </w:p>
        </w:tc>
        <w:tc>
          <w:tcPr>
            <w:tcW w:type="dxa" w:w="1512"/>
          </w:tcPr>
          <w:p>
            <w:pPr>
              <w:spacing w:after="0"/>
            </w:pPr>
            <w:r/>
            <w:r>
              <w:rPr>
                <w:b w:val="0"/>
                <w:sz w:val="17"/>
              </w:rPr>
              <w:t>Whole life policy award lacks irrevocable-beneficiary condition</w:t>
            </w:r>
          </w:p>
        </w:tc>
        <w:tc>
          <w:tcPr>
            <w:tcW w:type="dxa" w:w="2304"/>
          </w:tcPr>
          <w:p>
            <w:pPr>
              <w:spacing w:after="0"/>
            </w:pPr>
            <w:r/>
            <w:r>
              <w:rPr>
                <w:b w:val="0"/>
                <w:sz w:val="17"/>
              </w:rPr>
              <w:t>MSA § 7.5: award to Derek subject to § 5.7 irrevocable beneficiary requirement.</w:t>
            </w:r>
          </w:p>
        </w:tc>
        <w:tc>
          <w:tcPr>
            <w:tcW w:type="dxa" w:w="2304"/>
          </w:tcPr>
          <w:p>
            <w:pPr>
              <w:spacing w:after="0"/>
            </w:pPr>
            <w:r/>
            <w:r>
              <w:rPr>
                <w:b w:val="0"/>
                <w:sz w:val="17"/>
              </w:rPr>
              <w:t>Decree § XII.A: award subject to § VI.E, which omits “irrevocable” (see D-8); divests Megan of “any proceeds thereof.”</w:t>
            </w:r>
          </w:p>
        </w:tc>
        <w:tc>
          <w:tcPr>
            <w:tcW w:type="dxa" w:w="2520"/>
          </w:tcPr>
          <w:p>
            <w:pPr>
              <w:spacing w:after="0"/>
            </w:pPr>
            <w:r/>
            <w:r>
              <w:rPr>
                <w:b w:val="0"/>
                <w:sz w:val="17"/>
              </w:rPr>
              <w:t>The cross-reference imports the D-8 defect. The proceeds divestiture should carve out Megan’s role as trustee/custodian.</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Restate the irrevocable requirement in § XII.A and carve out Megan’s fiduciary capacity.</w:t>
            </w:r>
          </w:p>
        </w:tc>
      </w:tr>
    </w:tbl>
    <w:p/>
    <w:p>
      <w:pPr>
        <w:pStyle w:val="Heading2"/>
      </w:pPr>
      <w:r>
        <w:t>J. Personal Property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J-1</w:t>
            </w:r>
          </w:p>
        </w:tc>
        <w:tc>
          <w:tcPr>
            <w:tcW w:type="dxa" w:w="1512"/>
          </w:tcPr>
          <w:p>
            <w:pPr>
              <w:spacing w:after="0"/>
            </w:pPr>
            <w:r/>
            <w:r>
              <w:rPr>
                <w:b w:val="0"/>
                <w:sz w:val="17"/>
              </w:rPr>
              <w:t>Retrieval window shortened from 30 to 14 days</w:t>
            </w:r>
          </w:p>
        </w:tc>
        <w:tc>
          <w:tcPr>
            <w:tcW w:type="dxa" w:w="2304"/>
          </w:tcPr>
          <w:p>
            <w:pPr>
              <w:spacing w:after="0"/>
            </w:pPr>
            <w:r/>
            <w:r>
              <w:rPr>
                <w:b w:val="0"/>
                <w:sz w:val="17"/>
              </w:rPr>
              <w:t>MSA § 7.6: 30 days after signing.</w:t>
            </w:r>
          </w:p>
        </w:tc>
        <w:tc>
          <w:tcPr>
            <w:tcW w:type="dxa" w:w="2304"/>
          </w:tcPr>
          <w:p>
            <w:pPr>
              <w:spacing w:after="0"/>
            </w:pPr>
            <w:r/>
            <w:r>
              <w:rPr>
                <w:b w:val="0"/>
                <w:sz w:val="17"/>
              </w:rPr>
              <w:t>Decree § XIII.B: 14 days.</w:t>
            </w:r>
          </w:p>
        </w:tc>
        <w:tc>
          <w:tcPr>
            <w:tcW w:type="dxa" w:w="2520"/>
          </w:tcPr>
          <w:p>
            <w:pPr>
              <w:spacing w:after="0"/>
            </w:pPr>
            <w:r/>
            <w:r>
              <w:rPr>
                <w:b w:val="0"/>
                <w:sz w:val="17"/>
              </w:rPr>
              <w:t>Halves the time to retrieve heirlooms; risk of forfeiture argument if missed.</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Restore 30 days.</w:t>
            </w:r>
          </w:p>
        </w:tc>
      </w:tr>
      <w:tr>
        <w:tc>
          <w:tcPr>
            <w:tcW w:type="dxa" w:w="648"/>
          </w:tcPr>
          <w:p>
            <w:pPr>
              <w:spacing w:after="0"/>
            </w:pPr>
            <w:r/>
            <w:r>
              <w:rPr>
                <w:b/>
                <w:sz w:val="17"/>
              </w:rPr>
              <w:t>J-2</w:t>
            </w:r>
          </w:p>
        </w:tc>
        <w:tc>
          <w:tcPr>
            <w:tcW w:type="dxa" w:w="1512"/>
          </w:tcPr>
          <w:p>
            <w:pPr>
              <w:spacing w:after="0"/>
            </w:pPr>
            <w:r/>
            <w:r>
              <w:rPr>
                <w:b w:val="0"/>
                <w:sz w:val="17"/>
              </w:rPr>
              <w:t>China set description diluted</w:t>
            </w:r>
          </w:p>
        </w:tc>
        <w:tc>
          <w:tcPr>
            <w:tcW w:type="dxa" w:w="2304"/>
          </w:tcPr>
          <w:p>
            <w:pPr>
              <w:spacing w:after="0"/>
            </w:pPr>
            <w:r/>
            <w:r>
              <w:rPr>
                <w:b w:val="0"/>
                <w:sz w:val="17"/>
              </w:rPr>
              <w:t>MSA § 7.6(a): “Haviland Limoges pattern, approximately 12 place settings with serving pieces.”</w:t>
            </w:r>
          </w:p>
        </w:tc>
        <w:tc>
          <w:tcPr>
            <w:tcW w:type="dxa" w:w="2304"/>
          </w:tcPr>
          <w:p>
            <w:pPr>
              <w:spacing w:after="0"/>
            </w:pPr>
            <w:r/>
            <w:r>
              <w:rPr>
                <w:b w:val="0"/>
                <w:sz w:val="17"/>
              </w:rPr>
              <w:t>Decree § XIII.B(a): “floral pattern, approximately twelve place settings, with serving dishes.”</w:t>
            </w:r>
          </w:p>
        </w:tc>
        <w:tc>
          <w:tcPr>
            <w:tcW w:type="dxa" w:w="2520"/>
          </w:tcPr>
          <w:p>
            <w:pPr>
              <w:spacing w:after="0"/>
            </w:pPr>
            <w:r/>
            <w:r>
              <w:rPr>
                <w:b w:val="0"/>
                <w:sz w:val="17"/>
              </w:rPr>
              <w:t>Loss of the identifying manufacturer/pattern invites substitution disputes; “serving dishes” may be read narrower than “serving pieces.”</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Restore the MSA description verbatim.</w:t>
            </w:r>
          </w:p>
        </w:tc>
      </w:tr>
      <w:tr>
        <w:tc>
          <w:tcPr>
            <w:tcW w:type="dxa" w:w="648"/>
          </w:tcPr>
          <w:p>
            <w:pPr>
              <w:spacing w:after="0"/>
            </w:pPr>
            <w:r/>
            <w:r>
              <w:rPr>
                <w:b/>
                <w:sz w:val="17"/>
              </w:rPr>
              <w:t>J-3</w:t>
            </w:r>
          </w:p>
        </w:tc>
        <w:tc>
          <w:tcPr>
            <w:tcW w:type="dxa" w:w="1512"/>
          </w:tcPr>
          <w:p>
            <w:pPr>
              <w:spacing w:after="0"/>
            </w:pPr>
            <w:r/>
            <w:r>
              <w:rPr>
                <w:b w:val="0"/>
                <w:sz w:val="17"/>
              </w:rPr>
              <w:t>Photo albums reduced; loose photographs omitted</w:t>
            </w:r>
          </w:p>
        </w:tc>
        <w:tc>
          <w:tcPr>
            <w:tcW w:type="dxa" w:w="2304"/>
          </w:tcPr>
          <w:p>
            <w:pPr>
              <w:spacing w:after="0"/>
            </w:pPr>
            <w:r/>
            <w:r>
              <w:rPr>
                <w:b w:val="0"/>
                <w:sz w:val="17"/>
              </w:rPr>
              <w:t>MSA § 7.6(b): approximately 8 albums and 2 boxes of loose photographs.</w:t>
            </w:r>
          </w:p>
        </w:tc>
        <w:tc>
          <w:tcPr>
            <w:tcW w:type="dxa" w:w="2304"/>
          </w:tcPr>
          <w:p>
            <w:pPr>
              <w:spacing w:after="0"/>
            </w:pPr>
            <w:r/>
            <w:r>
              <w:rPr>
                <w:b w:val="0"/>
                <w:sz w:val="17"/>
              </w:rPr>
              <w:t>Decree § XIII.B(b): approximately six albums.</w:t>
            </w:r>
          </w:p>
        </w:tc>
        <w:tc>
          <w:tcPr>
            <w:tcW w:type="dxa" w:w="2520"/>
          </w:tcPr>
          <w:p>
            <w:pPr>
              <w:spacing w:after="0"/>
            </w:pPr>
            <w:r/>
            <w:r>
              <w:rPr>
                <w:b w:val="0"/>
                <w:sz w:val="17"/>
              </w:rPr>
              <w:t>Two albums and both boxes of photographs omitted; irreplaceable items.</w:t>
            </w:r>
          </w:p>
        </w:tc>
        <w:tc>
          <w:tcPr>
            <w:tcW w:type="dxa" w:w="1008"/>
            <w:shd w:val="clear" w:color="auto" w:fill="ED7D31"/>
          </w:tcPr>
          <w:p>
            <w:pPr>
              <w:spacing w:after="0"/>
            </w:pPr>
            <w:r/>
            <w:r>
              <w:rPr>
                <w:b/>
                <w:color w:val="FFFFFF"/>
                <w:sz w:val="17"/>
              </w:rPr>
              <w:t>High</w:t>
            </w:r>
          </w:p>
        </w:tc>
        <w:tc>
          <w:tcPr>
            <w:tcW w:type="dxa" w:w="864"/>
          </w:tcPr>
          <w:p>
            <w:pPr>
              <w:spacing w:after="0"/>
            </w:pPr>
            <w:r/>
            <w:r>
              <w:rPr>
                <w:b w:val="0"/>
                <w:sz w:val="17"/>
              </w:rPr>
              <w:t>Derek</w:t>
            </w:r>
          </w:p>
        </w:tc>
        <w:tc>
          <w:tcPr>
            <w:tcW w:type="dxa" w:w="2664"/>
          </w:tcPr>
          <w:p>
            <w:pPr>
              <w:spacing w:after="0"/>
            </w:pPr>
            <w:r/>
            <w:r>
              <w:rPr>
                <w:b w:val="0"/>
                <w:sz w:val="17"/>
              </w:rPr>
              <w:t>Restore “approximately 8 albums and 2 boxes of loose photographs.”</w:t>
            </w:r>
          </w:p>
        </w:tc>
      </w:tr>
      <w:tr>
        <w:tc>
          <w:tcPr>
            <w:tcW w:type="dxa" w:w="648"/>
          </w:tcPr>
          <w:p>
            <w:pPr>
              <w:spacing w:after="0"/>
            </w:pPr>
            <w:r/>
            <w:r>
              <w:rPr>
                <w:b/>
                <w:sz w:val="17"/>
              </w:rPr>
              <w:t>J-4</w:t>
            </w:r>
          </w:p>
        </w:tc>
        <w:tc>
          <w:tcPr>
            <w:tcW w:type="dxa" w:w="1512"/>
          </w:tcPr>
          <w:p>
            <w:pPr>
              <w:spacing w:after="0"/>
            </w:pPr>
            <w:r/>
            <w:r>
              <w:rPr>
                <w:b w:val="0"/>
                <w:sz w:val="17"/>
              </w:rPr>
              <w:t>Personal library description changed</w:t>
            </w:r>
          </w:p>
        </w:tc>
        <w:tc>
          <w:tcPr>
            <w:tcW w:type="dxa" w:w="2304"/>
          </w:tcPr>
          <w:p>
            <w:pPr>
              <w:spacing w:after="0"/>
            </w:pPr>
            <w:r/>
            <w:r>
              <w:rPr>
                <w:b w:val="0"/>
                <w:sz w:val="17"/>
              </w:rPr>
              <w:t>MSA § 7.6(c): approximately 3 bookshelves of books in the upstairs study.</w:t>
            </w:r>
          </w:p>
        </w:tc>
        <w:tc>
          <w:tcPr>
            <w:tcW w:type="dxa" w:w="2304"/>
          </w:tcPr>
          <w:p>
            <w:pPr>
              <w:spacing w:after="0"/>
            </w:pPr>
            <w:r/>
            <w:r>
              <w:rPr>
                <w:b w:val="0"/>
                <w:sz w:val="17"/>
              </w:rPr>
              <w:t>Decree § XIII.B(c): books and bookshelves in the second-floor study (no quantity).</w:t>
            </w:r>
          </w:p>
        </w:tc>
        <w:tc>
          <w:tcPr>
            <w:tcW w:type="dxa" w:w="2520"/>
          </w:tcPr>
          <w:p>
            <w:pPr>
              <w:spacing w:after="0"/>
            </w:pPr>
            <w:r/>
            <w:r>
              <w:rPr>
                <w:b w:val="0"/>
                <w:sz w:val="17"/>
              </w:rPr>
              <w:t>Decree is arguably broader (includes the bookshelves), but deviates; removing the quantity reduces clarity.</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Megan</w:t>
            </w:r>
          </w:p>
        </w:tc>
        <w:tc>
          <w:tcPr>
            <w:tcW w:type="dxa" w:w="2664"/>
          </w:tcPr>
          <w:p>
            <w:pPr>
              <w:spacing w:after="0"/>
            </w:pPr>
            <w:r/>
            <w:r>
              <w:rPr>
                <w:b w:val="0"/>
                <w:sz w:val="17"/>
              </w:rPr>
              <w:t>Conform to MSA text, or confirm in writing that the bookshelves are included.</w:t>
            </w:r>
          </w:p>
        </w:tc>
      </w:tr>
      <w:tr>
        <w:tc>
          <w:tcPr>
            <w:tcW w:type="dxa" w:w="648"/>
          </w:tcPr>
          <w:p>
            <w:pPr>
              <w:spacing w:after="0"/>
            </w:pPr>
            <w:r/>
            <w:r>
              <w:rPr>
                <w:b/>
                <w:sz w:val="17"/>
              </w:rPr>
              <w:t>J-5</w:t>
            </w:r>
          </w:p>
        </w:tc>
        <w:tc>
          <w:tcPr>
            <w:tcW w:type="dxa" w:w="1512"/>
          </w:tcPr>
          <w:p>
            <w:pPr>
              <w:spacing w:after="0"/>
            </w:pPr>
            <w:r/>
            <w:r>
              <w:rPr>
                <w:b w:val="0"/>
                <w:sz w:val="17"/>
              </w:rPr>
              <w:t>Retrieval scheduling fallback changed</w:t>
            </w:r>
          </w:p>
        </w:tc>
        <w:tc>
          <w:tcPr>
            <w:tcW w:type="dxa" w:w="2304"/>
          </w:tcPr>
          <w:p>
            <w:pPr>
              <w:spacing w:after="0"/>
            </w:pPr>
            <w:r/>
            <w:r>
              <w:rPr>
                <w:b w:val="0"/>
                <w:sz w:val="17"/>
              </w:rPr>
              <w:t>MSA § 7.6: absent agreement, Megan gives 48 hours’ written notice and Derek must make the residence accessible at that time.</w:t>
            </w:r>
          </w:p>
        </w:tc>
        <w:tc>
          <w:tcPr>
            <w:tcW w:type="dxa" w:w="2304"/>
          </w:tcPr>
          <w:p>
            <w:pPr>
              <w:spacing w:after="0"/>
            </w:pPr>
            <w:r/>
            <w:r>
              <w:rPr>
                <w:b w:val="0"/>
                <w:sz w:val="17"/>
              </w:rPr>
              <w:t>Decree § XIII.B: absent agreement, “on a Saturday between the hours of 9:00 AM and 5:00 PM.” Adds non-interference covenant.</w:t>
            </w:r>
          </w:p>
        </w:tc>
        <w:tc>
          <w:tcPr>
            <w:tcW w:type="dxa" w:w="2520"/>
          </w:tcPr>
          <w:p>
            <w:pPr>
              <w:spacing w:after="0"/>
            </w:pPr>
            <w:r/>
            <w:r>
              <w:rPr>
                <w:b w:val="0"/>
                <w:sz w:val="17"/>
              </w:rPr>
              <w:t>Replaces Megan’s unilateral scheduling right with a single-day window; combined with the 14-day period, she may have only two Saturdays. Non-interference covenant is helpful.</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Restore the 48-hour notice mechanism; retain the non-interference sentence.</w:t>
            </w:r>
          </w:p>
        </w:tc>
      </w:tr>
      <w:tr>
        <w:tc>
          <w:tcPr>
            <w:tcW w:type="dxa" w:w="648"/>
          </w:tcPr>
          <w:p>
            <w:pPr>
              <w:spacing w:after="0"/>
            </w:pPr>
            <w:r/>
            <w:r>
              <w:rPr>
                <w:b/>
                <w:sz w:val="17"/>
              </w:rPr>
              <w:t>J-6</w:t>
            </w:r>
          </w:p>
        </w:tc>
        <w:tc>
          <w:tcPr>
            <w:tcW w:type="dxa" w:w="1512"/>
          </w:tcPr>
          <w:p>
            <w:pPr>
              <w:spacing w:after="0"/>
            </w:pPr>
            <w:r/>
            <w:r>
              <w:rPr>
                <w:b w:val="0"/>
                <w:sz w:val="17"/>
              </w:rPr>
              <w:t>Derek’s retained items list</w:t>
            </w:r>
          </w:p>
        </w:tc>
        <w:tc>
          <w:tcPr>
            <w:tcW w:type="dxa" w:w="2304"/>
          </w:tcPr>
          <w:p>
            <w:pPr>
              <w:spacing w:after="0"/>
            </w:pPr>
            <w:r/>
            <w:r>
              <w:rPr>
                <w:b w:val="0"/>
                <w:sz w:val="17"/>
              </w:rPr>
              <w:t>MSA § 7.6: firearms, workshop tools, lawn and garden equipment, and sporting equipment.</w:t>
            </w:r>
          </w:p>
        </w:tc>
        <w:tc>
          <w:tcPr>
            <w:tcW w:type="dxa" w:w="2304"/>
          </w:tcPr>
          <w:p>
            <w:pPr>
              <w:spacing w:after="0"/>
            </w:pPr>
            <w:r/>
            <w:r>
              <w:rPr>
                <w:b w:val="0"/>
                <w:sz w:val="17"/>
              </w:rPr>
              <w:t>Decree § XIII.C: omits lawn and garden equipment.</w:t>
            </w:r>
          </w:p>
        </w:tc>
        <w:tc>
          <w:tcPr>
            <w:tcW w:type="dxa" w:w="2520"/>
          </w:tcPr>
          <w:p>
            <w:pPr>
              <w:spacing w:after="0"/>
            </w:pPr>
            <w:r/>
            <w:r>
              <w:rPr>
                <w:b w:val="0"/>
                <w:sz w:val="17"/>
              </w:rPr>
              <w:t>Minor; items likely pass to Derek under the general possession clause anyway.</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to MSA list.</w:t>
            </w:r>
          </w:p>
        </w:tc>
      </w:tr>
      <w:tr>
        <w:tc>
          <w:tcPr>
            <w:tcW w:type="dxa" w:w="648"/>
          </w:tcPr>
          <w:p>
            <w:pPr>
              <w:spacing w:after="0"/>
            </w:pPr>
            <w:r/>
            <w:r>
              <w:rPr>
                <w:b/>
                <w:sz w:val="17"/>
              </w:rPr>
              <w:t>J-7</w:t>
            </w:r>
          </w:p>
        </w:tc>
        <w:tc>
          <w:tcPr>
            <w:tcW w:type="dxa" w:w="1512"/>
          </w:tcPr>
          <w:p>
            <w:pPr>
              <w:spacing w:after="0"/>
            </w:pPr>
            <w:r/>
            <w:r>
              <w:rPr>
                <w:b w:val="0"/>
                <w:sz w:val="17"/>
              </w:rPr>
              <w:t>Mutual waiver of personal property claims</w:t>
            </w:r>
          </w:p>
        </w:tc>
        <w:tc>
          <w:tcPr>
            <w:tcW w:type="dxa" w:w="2304"/>
          </w:tcPr>
          <w:p>
            <w:pPr>
              <w:spacing w:after="0"/>
            </w:pPr>
            <w:r/>
            <w:r>
              <w:rPr>
                <w:b w:val="0"/>
                <w:sz w:val="17"/>
              </w:rPr>
              <w:t>MSA § 7.6: each party waives all claims to personal property in the other’s possession as of January 18, 2025.</w:t>
            </w:r>
          </w:p>
        </w:tc>
        <w:tc>
          <w:tcPr>
            <w:tcW w:type="dxa" w:w="2304"/>
          </w:tcPr>
          <w:p>
            <w:pPr>
              <w:spacing w:after="0"/>
            </w:pPr>
            <w:r/>
            <w:r>
              <w:rPr>
                <w:b w:val="0"/>
                <w:sz w:val="17"/>
              </w:rPr>
              <w:t>Decree § XIII.A: reciprocal divestiture as of January 18, 2025.</w:t>
            </w:r>
          </w:p>
        </w:tc>
        <w:tc>
          <w:tcPr>
            <w:tcW w:type="dxa" w:w="2520"/>
          </w:tcPr>
          <w:p>
            <w:pPr>
              <w:spacing w:after="0"/>
            </w:pPr>
            <w:r/>
            <w:r>
              <w:rPr>
                <w:b w:val="0"/>
                <w:sz w:val="17"/>
              </w:rPr>
              <w:t>Substantively consistent.</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No change required.</w:t>
            </w:r>
          </w:p>
        </w:tc>
      </w:tr>
    </w:tbl>
    <w:p/>
    <w:p>
      <w:pPr>
        <w:pStyle w:val="Heading2"/>
      </w:pPr>
      <w:r>
        <w:t>K. Community Debts and Indemnification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K-1</w:t>
            </w:r>
          </w:p>
        </w:tc>
        <w:tc>
          <w:tcPr>
            <w:tcW w:type="dxa" w:w="1512"/>
          </w:tcPr>
          <w:p>
            <w:pPr>
              <w:spacing w:after="0"/>
            </w:pPr>
            <w:r/>
            <w:r>
              <w:rPr>
                <w:b w:val="0"/>
                <w:sz w:val="17"/>
              </w:rPr>
              <w:t>Home Depot card (acct. ending 8903) omitted entirely</w:t>
            </w:r>
          </w:p>
        </w:tc>
        <w:tc>
          <w:tcPr>
            <w:tcW w:type="dxa" w:w="2304"/>
          </w:tcPr>
          <w:p>
            <w:pPr>
              <w:spacing w:after="0"/>
            </w:pPr>
            <w:r/>
            <w:r>
              <w:rPr>
                <w:b w:val="0"/>
                <w:sz w:val="17"/>
              </w:rPr>
              <w:t>MSA § 8.2: $2,680.00 balance assigned to Derek with indemnity; § 8.3 totals Derek’s assumed debt at $14,020.00.</w:t>
            </w:r>
          </w:p>
        </w:tc>
        <w:tc>
          <w:tcPr>
            <w:tcW w:type="dxa" w:w="2304"/>
          </w:tcPr>
          <w:p>
            <w:pPr>
              <w:spacing w:after="0"/>
            </w:pPr>
            <w:r/>
            <w:r>
              <w:rPr>
                <w:b w:val="0"/>
                <w:sz w:val="17"/>
              </w:rPr>
              <w:t>Decree Art. XIV: no Home Depot provision.</w:t>
            </w:r>
          </w:p>
        </w:tc>
        <w:tc>
          <w:tcPr>
            <w:tcW w:type="dxa" w:w="2520"/>
          </w:tcPr>
          <w:p>
            <w:pPr>
              <w:spacing w:after="0"/>
            </w:pPr>
            <w:r/>
            <w:r>
              <w:rPr>
                <w:b w:val="0"/>
                <w:sz w:val="17"/>
              </w:rPr>
              <w:t>Debt is left unallocated in the decree while Megan remains jointly liable to the creditor; with the “relief not granted is denied” clause (§ XVI.G), her indemnity claim could be disputed.</w:t>
            </w:r>
          </w:p>
        </w:tc>
        <w:tc>
          <w:tcPr>
            <w:tcW w:type="dxa" w:w="1008"/>
            <w:shd w:val="clear" w:color="auto" w:fill="C00000"/>
          </w:tcPr>
          <w:p>
            <w:pPr>
              <w:spacing w:after="0"/>
            </w:pPr>
            <w:r/>
            <w:r>
              <w:rPr>
                <w:b/>
                <w:color w:val="FFFFFF"/>
                <w:sz w:val="17"/>
              </w:rPr>
              <w:t>Critical</w:t>
            </w:r>
          </w:p>
        </w:tc>
        <w:tc>
          <w:tcPr>
            <w:tcW w:type="dxa" w:w="864"/>
          </w:tcPr>
          <w:p>
            <w:pPr>
              <w:spacing w:after="0"/>
            </w:pPr>
            <w:r/>
            <w:r>
              <w:rPr>
                <w:b w:val="0"/>
                <w:sz w:val="17"/>
              </w:rPr>
              <w:t>Derek</w:t>
            </w:r>
          </w:p>
        </w:tc>
        <w:tc>
          <w:tcPr>
            <w:tcW w:type="dxa" w:w="2664"/>
          </w:tcPr>
          <w:p>
            <w:pPr>
              <w:spacing w:after="0"/>
            </w:pPr>
            <w:r/>
            <w:r>
              <w:rPr>
                <w:b w:val="0"/>
                <w:sz w:val="17"/>
              </w:rPr>
              <w:t>Add MSA § 8.2 and the § 8.3 total.</w:t>
            </w:r>
          </w:p>
        </w:tc>
      </w:tr>
      <w:tr>
        <w:tc>
          <w:tcPr>
            <w:tcW w:type="dxa" w:w="648"/>
          </w:tcPr>
          <w:p>
            <w:pPr>
              <w:spacing w:after="0"/>
            </w:pPr>
            <w:r/>
            <w:r>
              <w:rPr>
                <w:b/>
                <w:sz w:val="17"/>
              </w:rPr>
              <w:t>K-2</w:t>
            </w:r>
          </w:p>
        </w:tc>
        <w:tc>
          <w:tcPr>
            <w:tcW w:type="dxa" w:w="1512"/>
          </w:tcPr>
          <w:p>
            <w:pPr>
              <w:spacing w:after="0"/>
            </w:pPr>
            <w:r/>
            <w:r>
              <w:rPr>
                <w:b w:val="0"/>
                <w:sz w:val="17"/>
              </w:rPr>
              <w:t>Visa card covenants altered</w:t>
            </w:r>
          </w:p>
        </w:tc>
        <w:tc>
          <w:tcPr>
            <w:tcW w:type="dxa" w:w="2304"/>
          </w:tcPr>
          <w:p>
            <w:pPr>
              <w:spacing w:after="0"/>
            </w:pPr>
            <w:r/>
            <w:r>
              <w:rPr>
                <w:b w:val="0"/>
                <w:sz w:val="17"/>
              </w:rPr>
              <w:t>MSA §§ 8.1, 8.3: Derek indemnifies, defends and holds harmless; uses best efforts to pay off or close the joint account and incurs no additional charges.</w:t>
            </w:r>
          </w:p>
        </w:tc>
        <w:tc>
          <w:tcPr>
            <w:tcW w:type="dxa" w:w="2304"/>
          </w:tcPr>
          <w:p>
            <w:pPr>
              <w:spacing w:after="0"/>
            </w:pPr>
            <w:r/>
            <w:r>
              <w:rPr>
                <w:b w:val="0"/>
                <w:sz w:val="17"/>
              </w:rPr>
              <w:t>Decree § XIV.A: indemnify and hold harmless (no “defend”); best efforts to remove Megan as authorized user/joint holder within 30 days; no prohibition on new charges.</w:t>
            </w:r>
          </w:p>
        </w:tc>
        <w:tc>
          <w:tcPr>
            <w:tcW w:type="dxa" w:w="2520"/>
          </w:tcPr>
          <w:p>
            <w:pPr>
              <w:spacing w:after="0"/>
            </w:pPr>
            <w:r/>
            <w:r>
              <w:rPr>
                <w:b w:val="0"/>
                <w:sz w:val="17"/>
              </w:rPr>
              <w:t>Card issuers generally will not release a joint obligor; the decree’s substitute remedy is weaker and lets Derek keep charging on a joint account.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Restore the duty to defend, the pay-off/close covenant and the no-additional-charges prohibition.</w:t>
            </w:r>
          </w:p>
        </w:tc>
      </w:tr>
      <w:tr>
        <w:tc>
          <w:tcPr>
            <w:tcW w:type="dxa" w:w="648"/>
          </w:tcPr>
          <w:p>
            <w:pPr>
              <w:spacing w:after="0"/>
            </w:pPr>
            <w:r/>
            <w:r>
              <w:rPr>
                <w:b/>
                <w:sz w:val="17"/>
              </w:rPr>
              <w:t>K-3</w:t>
            </w:r>
          </w:p>
        </w:tc>
        <w:tc>
          <w:tcPr>
            <w:tcW w:type="dxa" w:w="1512"/>
          </w:tcPr>
          <w:p>
            <w:pPr>
              <w:spacing w:after="0"/>
            </w:pPr>
            <w:r/>
            <w:r>
              <w:rPr>
                <w:b w:val="0"/>
                <w:sz w:val="17"/>
              </w:rPr>
              <w:t>General indemnity and survival clause omitted</w:t>
            </w:r>
          </w:p>
        </w:tc>
        <w:tc>
          <w:tcPr>
            <w:tcW w:type="dxa" w:w="2304"/>
          </w:tcPr>
          <w:p>
            <w:pPr>
              <w:spacing w:after="0"/>
            </w:pPr>
            <w:r/>
            <w:r>
              <w:rPr>
                <w:b w:val="0"/>
                <w:sz w:val="17"/>
              </w:rPr>
              <w:t>MSA § 8.5: mutual indemnity for failure to pay assigned debts; survives the decree; enforceable in any court.</w:t>
            </w:r>
          </w:p>
        </w:tc>
        <w:tc>
          <w:tcPr>
            <w:tcW w:type="dxa" w:w="2304"/>
          </w:tcPr>
          <w:p>
            <w:pPr>
              <w:spacing w:after="0"/>
            </w:pPr>
            <w:r/>
            <w:r>
              <w:rPr>
                <w:b w:val="0"/>
                <w:sz w:val="17"/>
              </w:rPr>
              <w:t>Decree: no counterpart.</w:t>
            </w:r>
          </w:p>
        </w:tc>
        <w:tc>
          <w:tcPr>
            <w:tcW w:type="dxa" w:w="2520"/>
          </w:tcPr>
          <w:p>
            <w:pPr>
              <w:spacing w:after="0"/>
            </w:pPr>
            <w:r/>
            <w:r>
              <w:rPr>
                <w:b w:val="0"/>
                <w:sz w:val="17"/>
              </w:rPr>
              <w:t>Loss of a catch-all enforcement provision.</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Neutral</w:t>
            </w:r>
          </w:p>
        </w:tc>
        <w:tc>
          <w:tcPr>
            <w:tcW w:type="dxa" w:w="2664"/>
          </w:tcPr>
          <w:p>
            <w:pPr>
              <w:spacing w:after="0"/>
            </w:pPr>
            <w:r/>
            <w:r>
              <w:rPr>
                <w:b w:val="0"/>
                <w:sz w:val="17"/>
              </w:rPr>
              <w:t>Add MSA § 8.5.</w:t>
            </w:r>
          </w:p>
        </w:tc>
      </w:tr>
      <w:tr>
        <w:tc>
          <w:tcPr>
            <w:tcW w:type="dxa" w:w="648"/>
          </w:tcPr>
          <w:p>
            <w:pPr>
              <w:spacing w:after="0"/>
            </w:pPr>
            <w:r/>
            <w:r>
              <w:rPr>
                <w:b/>
                <w:sz w:val="17"/>
              </w:rPr>
              <w:t>K-4</w:t>
            </w:r>
          </w:p>
        </w:tc>
        <w:tc>
          <w:tcPr>
            <w:tcW w:type="dxa" w:w="1512"/>
          </w:tcPr>
          <w:p>
            <w:pPr>
              <w:spacing w:after="0"/>
            </w:pPr>
            <w:r/>
            <w:r>
              <w:rPr>
                <w:b w:val="0"/>
                <w:sz w:val="17"/>
              </w:rPr>
              <w:t>Post-separation debt covenant incomplete</w:t>
            </w:r>
          </w:p>
        </w:tc>
        <w:tc>
          <w:tcPr>
            <w:tcW w:type="dxa" w:w="2304"/>
          </w:tcPr>
          <w:p>
            <w:pPr>
              <w:spacing w:after="0"/>
            </w:pPr>
            <w:r/>
            <w:r>
              <w:rPr>
                <w:b w:val="0"/>
                <w:sz w:val="17"/>
              </w:rPr>
              <w:t>MSA § 8.4: includes “defend” and prohibits either party from incurring debt in the other’s name or on any joint account.</w:t>
            </w:r>
          </w:p>
        </w:tc>
        <w:tc>
          <w:tcPr>
            <w:tcW w:type="dxa" w:w="2304"/>
          </w:tcPr>
          <w:p>
            <w:pPr>
              <w:spacing w:after="0"/>
            </w:pPr>
            <w:r/>
            <w:r>
              <w:rPr>
                <w:b w:val="0"/>
                <w:sz w:val="17"/>
              </w:rPr>
              <w:t>Decree § XIV.B: omits “defend” and the prohibition.</w:t>
            </w:r>
          </w:p>
        </w:tc>
        <w:tc>
          <w:tcPr>
            <w:tcW w:type="dxa" w:w="2520"/>
          </w:tcPr>
          <w:p>
            <w:pPr>
              <w:spacing w:after="0"/>
            </w:pPr>
            <w:r/>
            <w:r>
              <w:rPr>
                <w:b w:val="0"/>
                <w:sz w:val="17"/>
              </w:rPr>
              <w:t>Minor narrowing.</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Conform to MSA § 8.4.</w:t>
            </w:r>
          </w:p>
        </w:tc>
      </w:tr>
    </w:tbl>
    <w:p/>
    <w:p>
      <w:pPr>
        <w:pStyle w:val="Heading2"/>
      </w:pPr>
      <w:r>
        <w:t>L. Attorney’s Fees and General Provisions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L-1</w:t>
            </w:r>
          </w:p>
        </w:tc>
        <w:tc>
          <w:tcPr>
            <w:tcW w:type="dxa" w:w="1512"/>
          </w:tcPr>
          <w:p>
            <w:pPr>
              <w:spacing w:after="0"/>
            </w:pPr>
            <w:r/>
            <w:r>
              <w:rPr>
                <w:b w:val="0"/>
                <w:sz w:val="17"/>
              </w:rPr>
              <w:t>Enforcement-fee carve-out omitted</w:t>
            </w:r>
          </w:p>
        </w:tc>
        <w:tc>
          <w:tcPr>
            <w:tcW w:type="dxa" w:w="2304"/>
          </w:tcPr>
          <w:p>
            <w:pPr>
              <w:spacing w:after="0"/>
            </w:pPr>
            <w:r/>
            <w:r>
              <w:rPr>
                <w:b w:val="0"/>
                <w:sz w:val="17"/>
              </w:rPr>
              <w:t>MSA § 9: each party bears own fees for the divorce, mediation and decree; does not limit fees “in connection with any future enforcement action arising from a breach.”</w:t>
            </w:r>
          </w:p>
        </w:tc>
        <w:tc>
          <w:tcPr>
            <w:tcW w:type="dxa" w:w="2304"/>
          </w:tcPr>
          <w:p>
            <w:pPr>
              <w:spacing w:after="0"/>
            </w:pPr>
            <w:r/>
            <w:r>
              <w:rPr>
                <w:b w:val="0"/>
                <w:sz w:val="17"/>
              </w:rPr>
              <w:t>Decree Art. XV: no reimbursement “unless specifically authorized by further order of this Court.”</w:t>
            </w:r>
          </w:p>
        </w:tc>
        <w:tc>
          <w:tcPr>
            <w:tcW w:type="dxa" w:w="2520"/>
          </w:tcPr>
          <w:p>
            <w:pPr>
              <w:spacing w:after="0"/>
            </w:pPr>
            <w:r/>
            <w:r>
              <w:rPr>
                <w:b w:val="0"/>
                <w:sz w:val="17"/>
              </w:rPr>
              <w:t>Without the express carve-out, Respondent may argue fees in an enforcement action were waived. Important given the number of deviations.</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Derek</w:t>
            </w:r>
          </w:p>
        </w:tc>
        <w:tc>
          <w:tcPr>
            <w:tcW w:type="dxa" w:w="2664"/>
          </w:tcPr>
          <w:p>
            <w:pPr>
              <w:spacing w:after="0"/>
            </w:pPr>
            <w:r/>
            <w:r>
              <w:rPr>
                <w:b w:val="0"/>
                <w:sz w:val="17"/>
              </w:rPr>
              <w:t>Add the MSA § 9 enforcement carve-out.</w:t>
            </w:r>
          </w:p>
        </w:tc>
      </w:tr>
      <w:tr>
        <w:tc>
          <w:tcPr>
            <w:tcW w:type="dxa" w:w="648"/>
          </w:tcPr>
          <w:p>
            <w:pPr>
              <w:spacing w:after="0"/>
            </w:pPr>
            <w:r/>
            <w:r>
              <w:rPr>
                <w:b/>
                <w:sz w:val="17"/>
              </w:rPr>
              <w:t>L-2</w:t>
            </w:r>
          </w:p>
        </w:tc>
        <w:tc>
          <w:tcPr>
            <w:tcW w:type="dxa" w:w="1512"/>
          </w:tcPr>
          <w:p>
            <w:pPr>
              <w:spacing w:after="0"/>
            </w:pPr>
            <w:r/>
            <w:r>
              <w:rPr>
                <w:b w:val="0"/>
                <w:sz w:val="17"/>
              </w:rPr>
              <w:t>Warranty of no other community property — no undisclosed-asset remedy</w:t>
            </w:r>
          </w:p>
        </w:tc>
        <w:tc>
          <w:tcPr>
            <w:tcW w:type="dxa" w:w="2304"/>
          </w:tcPr>
          <w:p>
            <w:pPr>
              <w:spacing w:after="0"/>
            </w:pPr>
            <w:r/>
            <w:r>
              <w:rPr>
                <w:b w:val="0"/>
                <w:sz w:val="17"/>
              </w:rPr>
              <w:t>Not in MSA.</w:t>
            </w:r>
          </w:p>
        </w:tc>
        <w:tc>
          <w:tcPr>
            <w:tcW w:type="dxa" w:w="2304"/>
          </w:tcPr>
          <w:p>
            <w:pPr>
              <w:spacing w:after="0"/>
            </w:pPr>
            <w:r/>
            <w:r>
              <w:rPr>
                <w:b w:val="0"/>
                <w:sz w:val="17"/>
              </w:rPr>
              <w:t>Decree § XVI.B: each party warrants full disclosure.</w:t>
            </w:r>
          </w:p>
        </w:tc>
        <w:tc>
          <w:tcPr>
            <w:tcW w:type="dxa" w:w="2520"/>
          </w:tcPr>
          <w:p>
            <w:pPr>
              <w:spacing w:after="0"/>
            </w:pPr>
            <w:r/>
            <w:r>
              <w:rPr>
                <w:b w:val="0"/>
                <w:sz w:val="17"/>
              </w:rPr>
              <w:t>Not agreed, but low risk. If retained, it should carry a remedy for undisclosed assets.</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Retain only by written agreement, and if retained add a clause that any undisclosed community property remains subject to post-decree division under Tex. Fam. Code § 9.201 et seq.</w:t>
            </w:r>
          </w:p>
        </w:tc>
      </w:tr>
      <w:tr>
        <w:tc>
          <w:tcPr>
            <w:tcW w:type="dxa" w:w="648"/>
          </w:tcPr>
          <w:p>
            <w:pPr>
              <w:spacing w:after="0"/>
            </w:pPr>
            <w:r/>
            <w:r>
              <w:rPr>
                <w:b/>
                <w:sz w:val="17"/>
              </w:rPr>
              <w:t>L-3</w:t>
            </w:r>
          </w:p>
        </w:tc>
        <w:tc>
          <w:tcPr>
            <w:tcW w:type="dxa" w:w="1512"/>
          </w:tcPr>
          <w:p>
            <w:pPr>
              <w:spacing w:after="0"/>
            </w:pPr>
            <w:r/>
            <w:r>
              <w:rPr>
                <w:b w:val="0"/>
                <w:sz w:val="17"/>
              </w:rPr>
              <w:t>Other MSA general provisions not carried forward</w:t>
            </w:r>
          </w:p>
        </w:tc>
        <w:tc>
          <w:tcPr>
            <w:tcW w:type="dxa" w:w="2304"/>
          </w:tcPr>
          <w:p>
            <w:pPr>
              <w:spacing w:after="0"/>
            </w:pPr>
            <w:r/>
            <w:r>
              <w:rPr>
                <w:b w:val="0"/>
                <w:sz w:val="17"/>
              </w:rPr>
              <w:t>MSA §§ 10.1, 10.3, 10.6, 10.9 (entire agreement, governing law, mutual drafting, further assurances, including beneficiary designation forms).</w:t>
            </w:r>
          </w:p>
        </w:tc>
        <w:tc>
          <w:tcPr>
            <w:tcW w:type="dxa" w:w="2304"/>
          </w:tcPr>
          <w:p>
            <w:pPr>
              <w:spacing w:after="0"/>
            </w:pPr>
            <w:r/>
            <w:r>
              <w:rPr>
                <w:b w:val="0"/>
                <w:sz w:val="17"/>
              </w:rPr>
              <w:t>Decree § XVI.A (execution of documents; clerk authorization) partially covers § 10.9.</w:t>
            </w:r>
          </w:p>
        </w:tc>
        <w:tc>
          <w:tcPr>
            <w:tcW w:type="dxa" w:w="2520"/>
          </w:tcPr>
          <w:p>
            <w:pPr>
              <w:spacing w:after="0"/>
            </w:pPr>
            <w:r/>
            <w:r>
              <w:rPr>
                <w:b w:val="0"/>
                <w:sz w:val="17"/>
              </w:rPr>
              <w:t>Generally appropriate for the MSA rather than the decree, but MSA § 10.9 beneficiary-designation forms should be included in § XVI.A.</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Add beneficiary designation forms to § XVI.A.</w:t>
            </w:r>
          </w:p>
        </w:tc>
      </w:tr>
    </w:tbl>
    <w:p/>
    <w:p>
      <w:pPr>
        <w:pStyle w:val="Heading2"/>
      </w:pPr>
      <w:r>
        <w:t>M. Clerical, Identification and Completion Items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648"/>
            <w:shd w:val="clear" w:color="auto" w:fill="1F3864"/>
          </w:tcPr>
          <w:p>
            <w:pPr>
              <w:spacing w:after="0"/>
            </w:pPr>
            <w:r/>
            <w:r>
              <w:rPr>
                <w:b/>
                <w:color w:val="FFFFFF"/>
                <w:sz w:val="18"/>
              </w:rPr>
              <w:t>No.</w:t>
            </w:r>
          </w:p>
        </w:tc>
        <w:tc>
          <w:tcPr>
            <w:tcW w:type="dxa" w:w="1512"/>
            <w:shd w:val="clear" w:color="auto" w:fill="1F3864"/>
          </w:tcPr>
          <w:p>
            <w:pPr>
              <w:spacing w:after="0"/>
            </w:pPr>
            <w:r/>
            <w:r>
              <w:rPr>
                <w:b/>
                <w:color w:val="FFFFFF"/>
                <w:sz w:val="18"/>
              </w:rPr>
              <w:t>Issue</w:t>
            </w:r>
          </w:p>
        </w:tc>
        <w:tc>
          <w:tcPr>
            <w:tcW w:type="dxa" w:w="2304"/>
            <w:shd w:val="clear" w:color="auto" w:fill="1F3864"/>
          </w:tcPr>
          <w:p>
            <w:pPr>
              <w:spacing w:after="0"/>
            </w:pPr>
            <w:r/>
            <w:r>
              <w:rPr>
                <w:b/>
                <w:color w:val="FFFFFF"/>
                <w:sz w:val="18"/>
              </w:rPr>
              <w:t>MSA Provision</w:t>
            </w:r>
          </w:p>
        </w:tc>
        <w:tc>
          <w:tcPr>
            <w:tcW w:type="dxa" w:w="2304"/>
            <w:shd w:val="clear" w:color="auto" w:fill="1F3864"/>
          </w:tcPr>
          <w:p>
            <w:pPr>
              <w:spacing w:after="0"/>
            </w:pPr>
            <w:r/>
            <w:r>
              <w:rPr>
                <w:b/>
                <w:color w:val="FFFFFF"/>
                <w:sz w:val="18"/>
              </w:rPr>
              <w:t>Proposed Decree</w:t>
            </w:r>
          </w:p>
        </w:tc>
        <w:tc>
          <w:tcPr>
            <w:tcW w:type="dxa" w:w="2520"/>
            <w:shd w:val="clear" w:color="auto" w:fill="1F3864"/>
          </w:tcPr>
          <w:p>
            <w:pPr>
              <w:spacing w:after="0"/>
            </w:pPr>
            <w:r/>
            <w:r>
              <w:rPr>
                <w:b/>
                <w:color w:val="FFFFFF"/>
                <w:sz w:val="18"/>
              </w:rPr>
              <w:t>Analysis / Impact</w:t>
            </w:r>
          </w:p>
        </w:tc>
        <w:tc>
          <w:tcPr>
            <w:tcW w:type="dxa" w:w="1008"/>
            <w:shd w:val="clear" w:color="auto" w:fill="1F3864"/>
          </w:tcPr>
          <w:p>
            <w:pPr>
              <w:spacing w:after="0"/>
            </w:pPr>
            <w:r/>
            <w:r>
              <w:rPr>
                <w:b/>
                <w:color w:val="FFFFFF"/>
                <w:sz w:val="18"/>
              </w:rPr>
              <w:t>Severity</w:t>
            </w:r>
          </w:p>
        </w:tc>
        <w:tc>
          <w:tcPr>
            <w:tcW w:type="dxa" w:w="864"/>
            <w:shd w:val="clear" w:color="auto" w:fill="1F3864"/>
          </w:tcPr>
          <w:p>
            <w:pPr>
              <w:spacing w:after="0"/>
            </w:pPr>
            <w:r/>
            <w:r>
              <w:rPr>
                <w:b/>
                <w:color w:val="FFFFFF"/>
                <w:sz w:val="18"/>
              </w:rPr>
              <w:t>Favors</w:t>
            </w:r>
          </w:p>
        </w:tc>
        <w:tc>
          <w:tcPr>
            <w:tcW w:type="dxa" w:w="2664"/>
            <w:shd w:val="clear" w:color="auto" w:fill="1F3864"/>
          </w:tcPr>
          <w:p>
            <w:pPr>
              <w:spacing w:after="0"/>
            </w:pPr>
            <w:r/>
            <w:r>
              <w:rPr>
                <w:b/>
                <w:color w:val="FFFFFF"/>
                <w:sz w:val="18"/>
              </w:rPr>
              <w:t>Recommendation</w:t>
            </w:r>
          </w:p>
        </w:tc>
      </w:tr>
      <w:tr>
        <w:tc>
          <w:tcPr>
            <w:tcW w:type="dxa" w:w="648"/>
          </w:tcPr>
          <w:p>
            <w:pPr>
              <w:spacing w:after="0"/>
            </w:pPr>
            <w:r/>
            <w:r>
              <w:rPr>
                <w:b/>
                <w:sz w:val="17"/>
              </w:rPr>
              <w:t>M-1</w:t>
            </w:r>
          </w:p>
        </w:tc>
        <w:tc>
          <w:tcPr>
            <w:tcW w:type="dxa" w:w="1512"/>
          </w:tcPr>
          <w:p>
            <w:pPr>
              <w:spacing w:after="0"/>
            </w:pPr>
            <w:r/>
            <w:r>
              <w:rPr>
                <w:b w:val="0"/>
                <w:sz w:val="17"/>
              </w:rPr>
              <w:t>Counsel telephone numbers inconsistent</w:t>
            </w:r>
          </w:p>
        </w:tc>
        <w:tc>
          <w:tcPr>
            <w:tcW w:type="dxa" w:w="2304"/>
          </w:tcPr>
          <w:p>
            <w:pPr>
              <w:spacing w:after="0"/>
            </w:pPr>
            <w:r/>
            <w:r>
              <w:rPr>
                <w:b w:val="0"/>
                <w:sz w:val="17"/>
              </w:rPr>
              <w:t>MSA signature page: Abernathy (713) 555-0142; Steed (713) 555-0387.</w:t>
            </w:r>
          </w:p>
        </w:tc>
        <w:tc>
          <w:tcPr>
            <w:tcW w:type="dxa" w:w="2304"/>
          </w:tcPr>
          <w:p>
            <w:pPr>
              <w:spacing w:after="0"/>
            </w:pPr>
            <w:r/>
            <w:r>
              <w:rPr>
                <w:b w:val="0"/>
                <w:sz w:val="17"/>
              </w:rPr>
              <w:t>Decree Art. XVII–XVIII: Abernathy (713) 555-4200 / fax 555-4201; Steed (713) 555-8100 / fax 555-8101. Steed’s email signature lists (713) 528-4100.</w:t>
            </w:r>
          </w:p>
        </w:tc>
        <w:tc>
          <w:tcPr>
            <w:tcW w:type="dxa" w:w="2520"/>
          </w:tcPr>
          <w:p>
            <w:pPr>
              <w:spacing w:after="0"/>
            </w:pPr>
            <w:r/>
            <w:r>
              <w:rPr>
                <w:b w:val="0"/>
                <w:sz w:val="17"/>
              </w:rPr>
              <w:t>Three different numbers for Respondent’s counsel; Petitioner’s counsel number does not match the MSA.</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Confirm and correct Petitioner’s counsel contact information.</w:t>
            </w:r>
          </w:p>
        </w:tc>
      </w:tr>
      <w:tr>
        <w:tc>
          <w:tcPr>
            <w:tcW w:type="dxa" w:w="648"/>
          </w:tcPr>
          <w:p>
            <w:pPr>
              <w:spacing w:after="0"/>
            </w:pPr>
            <w:r/>
            <w:r>
              <w:rPr>
                <w:b/>
                <w:sz w:val="17"/>
              </w:rPr>
              <w:t>M-2</w:t>
            </w:r>
          </w:p>
        </w:tc>
        <w:tc>
          <w:tcPr>
            <w:tcW w:type="dxa" w:w="1512"/>
          </w:tcPr>
          <w:p>
            <w:pPr>
              <w:spacing w:after="0"/>
            </w:pPr>
            <w:r/>
            <w:r>
              <w:rPr>
                <w:b w:val="0"/>
                <w:sz w:val="17"/>
              </w:rPr>
              <w:t>Blanks to complete</w:t>
            </w:r>
          </w:p>
        </w:tc>
        <w:tc>
          <w:tcPr>
            <w:tcW w:type="dxa" w:w="2304"/>
          </w:tcPr>
          <w:p>
            <w:pPr>
              <w:spacing w:after="0"/>
            </w:pPr>
            <w:r/>
            <w:r>
              <w:rPr>
                <w:b w:val="0"/>
                <w:sz w:val="17"/>
              </w:rPr>
              <w:t>N/A</w:t>
            </w:r>
          </w:p>
        </w:tc>
        <w:tc>
          <w:tcPr>
            <w:tcW w:type="dxa" w:w="2304"/>
          </w:tcPr>
          <w:p>
            <w:pPr>
              <w:spacing w:after="0"/>
            </w:pPr>
            <w:r/>
            <w:r>
              <w:rPr>
                <w:b w:val="0"/>
                <w:sz w:val="17"/>
              </w:rPr>
              <w:t>Hearing date (Art. I), plat volume/page (§ VIII.A), signing date (§ XVI.H), party signature dates.</w:t>
            </w:r>
          </w:p>
        </w:tc>
        <w:tc>
          <w:tcPr>
            <w:tcW w:type="dxa" w:w="2520"/>
          </w:tcPr>
          <w:p>
            <w:pPr>
              <w:spacing w:after="0"/>
            </w:pPr>
            <w:r/>
            <w:r>
              <w:rPr>
                <w:b w:val="0"/>
                <w:sz w:val="17"/>
              </w:rPr>
              <w:t>Must be completed before entry.</w:t>
            </w:r>
          </w:p>
        </w:tc>
        <w:tc>
          <w:tcPr>
            <w:tcW w:type="dxa" w:w="1008"/>
            <w:shd w:val="clear" w:color="auto" w:fill="D9E1F2"/>
          </w:tcPr>
          <w:p>
            <w:pPr>
              <w:spacing w:after="0"/>
            </w:pPr>
            <w:r/>
            <w:r>
              <w:rPr>
                <w:b/>
                <w:color w:val="000000"/>
                <w:sz w:val="17"/>
              </w:rPr>
              <w:t>Low</w:t>
            </w:r>
          </w:p>
        </w:tc>
        <w:tc>
          <w:tcPr>
            <w:tcW w:type="dxa" w:w="864"/>
          </w:tcPr>
          <w:p>
            <w:pPr>
              <w:spacing w:after="0"/>
            </w:pPr>
            <w:r/>
            <w:r>
              <w:rPr>
                <w:b w:val="0"/>
                <w:sz w:val="17"/>
              </w:rPr>
              <w:t>Neutral</w:t>
            </w:r>
          </w:p>
        </w:tc>
        <w:tc>
          <w:tcPr>
            <w:tcW w:type="dxa" w:w="2664"/>
          </w:tcPr>
          <w:p>
            <w:pPr>
              <w:spacing w:after="0"/>
            </w:pPr>
            <w:r/>
            <w:r>
              <w:rPr>
                <w:b w:val="0"/>
                <w:sz w:val="17"/>
              </w:rPr>
              <w:t>Complete at prove-up.</w:t>
            </w:r>
          </w:p>
        </w:tc>
      </w:tr>
      <w:tr>
        <w:tc>
          <w:tcPr>
            <w:tcW w:type="dxa" w:w="648"/>
          </w:tcPr>
          <w:p>
            <w:pPr>
              <w:spacing w:after="0"/>
            </w:pPr>
            <w:r/>
            <w:r>
              <w:rPr>
                <w:b/>
                <w:sz w:val="17"/>
              </w:rPr>
              <w:t>M-3</w:t>
            </w:r>
          </w:p>
        </w:tc>
        <w:tc>
          <w:tcPr>
            <w:tcW w:type="dxa" w:w="1512"/>
          </w:tcPr>
          <w:p>
            <w:pPr>
              <w:spacing w:after="0"/>
            </w:pPr>
            <w:r/>
            <w:r>
              <w:rPr>
                <w:b w:val="0"/>
                <w:sz w:val="17"/>
              </w:rPr>
              <w:t>Statutory notices and required information absent</w:t>
            </w:r>
          </w:p>
        </w:tc>
        <w:tc>
          <w:tcPr>
            <w:tcW w:type="dxa" w:w="2304"/>
          </w:tcPr>
          <w:p>
            <w:pPr>
              <w:spacing w:after="0"/>
            </w:pPr>
            <w:r/>
            <w:r>
              <w:rPr>
                <w:b w:val="0"/>
                <w:sz w:val="17"/>
              </w:rPr>
              <w:t>N/A (MSA silent).</w:t>
            </w:r>
          </w:p>
        </w:tc>
        <w:tc>
          <w:tcPr>
            <w:tcW w:type="dxa" w:w="2304"/>
          </w:tcPr>
          <w:p>
            <w:pPr>
              <w:spacing w:after="0"/>
            </w:pPr>
            <w:r/>
            <w:r>
              <w:rPr>
                <w:b w:val="0"/>
                <w:sz w:val="17"/>
              </w:rPr>
              <w:t>Decree lacks the Tex. Fam. Code § 105.006 required information and boldface warnings, a dental support order (§ 154.1815), and § 154.130 support findings.</w:t>
            </w:r>
          </w:p>
        </w:tc>
        <w:tc>
          <w:tcPr>
            <w:tcW w:type="dxa" w:w="2520"/>
          </w:tcPr>
          <w:p>
            <w:pPr>
              <w:spacing w:after="0"/>
            </w:pPr>
            <w:r/>
            <w:r>
              <w:rPr>
                <w:b w:val="0"/>
                <w:sz w:val="17"/>
              </w:rPr>
              <w:t>Not MSA discrepancies, but omissions that may cause the court to reject the decree or impair enforcement (e.g., contempt).</w:t>
            </w:r>
          </w:p>
        </w:tc>
        <w:tc>
          <w:tcPr>
            <w:tcW w:type="dxa" w:w="1008"/>
            <w:shd w:val="clear" w:color="auto" w:fill="FFD966"/>
          </w:tcPr>
          <w:p>
            <w:pPr>
              <w:spacing w:after="0"/>
            </w:pPr>
            <w:r/>
            <w:r>
              <w:rPr>
                <w:b/>
                <w:color w:val="000000"/>
                <w:sz w:val="17"/>
              </w:rPr>
              <w:t>Medium</w:t>
            </w:r>
          </w:p>
        </w:tc>
        <w:tc>
          <w:tcPr>
            <w:tcW w:type="dxa" w:w="864"/>
          </w:tcPr>
          <w:p>
            <w:pPr>
              <w:spacing w:after="0"/>
            </w:pPr>
            <w:r/>
            <w:r>
              <w:rPr>
                <w:b w:val="0"/>
                <w:sz w:val="17"/>
              </w:rPr>
              <w:t>Neutral</w:t>
            </w:r>
          </w:p>
        </w:tc>
        <w:tc>
          <w:tcPr>
            <w:tcW w:type="dxa" w:w="2664"/>
          </w:tcPr>
          <w:p>
            <w:pPr>
              <w:spacing w:after="0"/>
            </w:pPr>
            <w:r/>
            <w:r>
              <w:rPr>
                <w:b w:val="0"/>
                <w:sz w:val="17"/>
              </w:rPr>
              <w:t>Add required notices, § 105.006 party information, dental support provisions consistent with the MSA, and § 154.130 findings. Note that dental support terms must be agreed if they go beyond the MSA.</w:t>
            </w:r>
          </w:p>
        </w:tc>
      </w:tr>
    </w:tbl>
    <w:p/>
    <w:p>
      <w:pPr>
        <w:pStyle w:val="Heading1"/>
      </w:pPr>
      <w:r>
        <w:t>4. Deviations That Favor Ms. Holloway — Client Decision Points</w:t>
      </w:r>
    </w:p>
    <w:p>
      <w:pPr>
        <w:spacing w:after="80"/>
      </w:pPr>
      <w:r>
        <w:rPr>
          <w:b w:val="0"/>
          <w:i w:val="0"/>
        </w:rPr>
        <w:t>A few changes appear to benefit our client. Because the MSA requires a conforming decree, and because accepting favorable deviations weakens our position that the Decree must track the MSA exactly, we recommend conforming every item unless Respondent confirms the deviation in a signed Rule 11 agreement (Tex. R. Civ. P. 11) or written MSA amendment (MSA § 10.5).</w:t>
      </w:r>
    </w:p>
    <w:tbl>
      <w:tblPr>
        <w:tblStyle w:val="TableGrid"/>
        <w:tblW w:type="auto" w:w="0"/>
        <w:jc w:val="center"/>
        <w:tblLook w:firstColumn="1" w:firstRow="1" w:lastColumn="0" w:lastRow="0" w:noHBand="0" w:noVBand="1" w:val="04A0"/>
      </w:tblPr>
      <w:tblGrid>
        <w:gridCol w:w="3456"/>
        <w:gridCol w:w="3456"/>
        <w:gridCol w:w="3456"/>
        <w:gridCol w:w="3456"/>
      </w:tblGrid>
      <w:tr>
        <w:trPr>
          <w:tblHeader w:val="true"/>
        </w:trPr>
        <w:tc>
          <w:tcPr>
            <w:tcW w:type="dxa" w:w="864"/>
            <w:shd w:val="clear" w:color="auto" w:fill="1F3864"/>
          </w:tcPr>
          <w:p>
            <w:pPr>
              <w:spacing w:after="0"/>
            </w:pPr>
            <w:r/>
            <w:r>
              <w:rPr>
                <w:b/>
                <w:color w:val="FFFFFF"/>
                <w:sz w:val="18"/>
              </w:rPr>
              <w:t>No.</w:t>
            </w:r>
          </w:p>
        </w:tc>
        <w:tc>
          <w:tcPr>
            <w:tcW w:type="dxa" w:w="3456"/>
            <w:shd w:val="clear" w:color="auto" w:fill="1F3864"/>
          </w:tcPr>
          <w:p>
            <w:pPr>
              <w:spacing w:after="0"/>
            </w:pPr>
            <w:r/>
            <w:r>
              <w:rPr>
                <w:b/>
                <w:color w:val="FFFFFF"/>
                <w:sz w:val="18"/>
              </w:rPr>
              <w:t>Deviation</w:t>
            </w:r>
          </w:p>
        </w:tc>
        <w:tc>
          <w:tcPr>
            <w:tcW w:type="dxa" w:w="6048"/>
            <w:shd w:val="clear" w:color="auto" w:fill="1F3864"/>
          </w:tcPr>
          <w:p>
            <w:pPr>
              <w:spacing w:after="0"/>
            </w:pPr>
            <w:r/>
            <w:r>
              <w:rPr>
                <w:b/>
                <w:color w:val="FFFFFF"/>
                <w:sz w:val="18"/>
              </w:rPr>
              <w:t>Consideration</w:t>
            </w:r>
          </w:p>
        </w:tc>
        <w:tc>
          <w:tcPr>
            <w:tcW w:type="dxa" w:w="3456"/>
            <w:shd w:val="clear" w:color="auto" w:fill="1F3864"/>
          </w:tcPr>
          <w:p>
            <w:pPr>
              <w:spacing w:after="0"/>
            </w:pPr>
            <w:r/>
            <w:r>
              <w:rPr>
                <w:b/>
                <w:color w:val="FFFFFF"/>
                <w:sz w:val="18"/>
              </w:rPr>
              <w:t>Recommendation</w:t>
            </w:r>
          </w:p>
        </w:tc>
      </w:tr>
      <w:tr>
        <w:tc>
          <w:tcPr>
            <w:tcW w:type="dxa" w:w="864"/>
          </w:tcPr>
          <w:p>
            <w:pPr>
              <w:spacing w:after="0"/>
            </w:pPr>
            <w:r/>
            <w:r>
              <w:rPr>
                <w:b/>
                <w:sz w:val="17"/>
              </w:rPr>
              <w:t>B-3</w:t>
            </w:r>
          </w:p>
        </w:tc>
        <w:tc>
          <w:tcPr>
            <w:tcW w:type="dxa" w:w="3456"/>
          </w:tcPr>
          <w:p>
            <w:pPr>
              <w:spacing w:after="0"/>
            </w:pPr>
            <w:r/>
            <w:r>
              <w:rPr>
                <w:b w:val="0"/>
                <w:sz w:val="17"/>
              </w:rPr>
              <w:t>Geographic area adds “within 150 miles”</w:t>
            </w:r>
          </w:p>
        </w:tc>
        <w:tc>
          <w:tcPr>
            <w:tcW w:type="dxa" w:w="6048"/>
          </w:tcPr>
          <w:p>
            <w:pPr>
              <w:spacing w:after="0"/>
            </w:pPr>
            <w:r/>
            <w:r>
              <w:rPr>
                <w:b w:val="0"/>
                <w:sz w:val="17"/>
              </w:rPr>
              <w:t>Gives Megan more relocation latitude, but contradicts the MSA’s express avoidance-of-doubt language and is ambiguous; also applies to Derek’s residence for relocation purposes.</w:t>
            </w:r>
          </w:p>
        </w:tc>
        <w:tc>
          <w:tcPr>
            <w:tcW w:type="dxa" w:w="3456"/>
          </w:tcPr>
          <w:p>
            <w:pPr>
              <w:spacing w:after="0"/>
            </w:pPr>
            <w:r/>
            <w:r>
              <w:rPr>
                <w:b w:val="0"/>
                <w:sz w:val="17"/>
              </w:rPr>
              <w:t>Conform (strike).</w:t>
            </w:r>
          </w:p>
        </w:tc>
      </w:tr>
      <w:tr>
        <w:tc>
          <w:tcPr>
            <w:tcW w:type="dxa" w:w="864"/>
          </w:tcPr>
          <w:p>
            <w:pPr>
              <w:spacing w:after="0"/>
            </w:pPr>
            <w:r/>
            <w:r>
              <w:rPr>
                <w:b/>
                <w:sz w:val="17"/>
              </w:rPr>
              <w:t>B-5</w:t>
            </w:r>
          </w:p>
        </w:tc>
        <w:tc>
          <w:tcPr>
            <w:tcW w:type="dxa" w:w="3456"/>
          </w:tcPr>
          <w:p>
            <w:pPr>
              <w:spacing w:after="0"/>
            </w:pPr>
            <w:r/>
            <w:r>
              <w:rPr>
                <w:b w:val="0"/>
                <w:sz w:val="17"/>
              </w:rPr>
              <w:t>Exclusive psychiatric/psychological consent for Megan</w:t>
            </w:r>
          </w:p>
        </w:tc>
        <w:tc>
          <w:tcPr>
            <w:tcW w:type="dxa" w:w="6048"/>
          </w:tcPr>
          <w:p>
            <w:pPr>
              <w:spacing w:after="0"/>
            </w:pPr>
            <w:r/>
            <w:r>
              <w:rPr>
                <w:b w:val="0"/>
                <w:sz w:val="17"/>
              </w:rPr>
              <w:t>Useful; not agreed.</w:t>
            </w:r>
          </w:p>
        </w:tc>
        <w:tc>
          <w:tcPr>
            <w:tcW w:type="dxa" w:w="3456"/>
          </w:tcPr>
          <w:p>
            <w:pPr>
              <w:spacing w:after="0"/>
            </w:pPr>
            <w:r/>
            <w:r>
              <w:rPr>
                <w:b w:val="0"/>
                <w:sz w:val="17"/>
              </w:rPr>
              <w:t>Keep only with signed Rule 11 agreement.</w:t>
            </w:r>
          </w:p>
        </w:tc>
      </w:tr>
      <w:tr>
        <w:tc>
          <w:tcPr>
            <w:tcW w:type="dxa" w:w="864"/>
          </w:tcPr>
          <w:p>
            <w:pPr>
              <w:spacing w:after="0"/>
            </w:pPr>
            <w:r/>
            <w:r>
              <w:rPr>
                <w:b/>
                <w:sz w:val="17"/>
              </w:rPr>
              <w:t>F-3</w:t>
            </w:r>
          </w:p>
        </w:tc>
        <w:tc>
          <w:tcPr>
            <w:tcW w:type="dxa" w:w="3456"/>
          </w:tcPr>
          <w:p>
            <w:pPr>
              <w:spacing w:after="0"/>
            </w:pPr>
            <w:r/>
            <w:r>
              <w:rPr>
                <w:b w:val="0"/>
                <w:sz w:val="17"/>
              </w:rPr>
              <w:t>Refinance deadline 90 days instead of 120</w:t>
            </w:r>
          </w:p>
        </w:tc>
        <w:tc>
          <w:tcPr>
            <w:tcW w:type="dxa" w:w="6048"/>
          </w:tcPr>
          <w:p>
            <w:pPr>
              <w:spacing w:after="0"/>
            </w:pPr>
            <w:r/>
            <w:r>
              <w:rPr>
                <w:b w:val="0"/>
                <w:sz w:val="17"/>
              </w:rPr>
              <w:t>Faster payment to Megan; but Derek may later use it to argue the Decree as a whole is a renegotiated deal.</w:t>
            </w:r>
          </w:p>
        </w:tc>
        <w:tc>
          <w:tcPr>
            <w:tcW w:type="dxa" w:w="3456"/>
          </w:tcPr>
          <w:p>
            <w:pPr>
              <w:spacing w:after="0"/>
            </w:pPr>
            <w:r/>
            <w:r>
              <w:rPr>
                <w:b w:val="0"/>
                <w:sz w:val="17"/>
              </w:rPr>
              <w:t>Conform to 120 days unless agreed in writing.</w:t>
            </w:r>
          </w:p>
        </w:tc>
      </w:tr>
      <w:tr>
        <w:tc>
          <w:tcPr>
            <w:tcW w:type="dxa" w:w="864"/>
          </w:tcPr>
          <w:p>
            <w:pPr>
              <w:spacing w:after="0"/>
            </w:pPr>
            <w:r/>
            <w:r>
              <w:rPr>
                <w:b/>
                <w:sz w:val="17"/>
              </w:rPr>
              <w:t>F-7</w:t>
            </w:r>
          </w:p>
        </w:tc>
        <w:tc>
          <w:tcPr>
            <w:tcW w:type="dxa" w:w="3456"/>
          </w:tcPr>
          <w:p>
            <w:pPr>
              <w:spacing w:after="0"/>
            </w:pPr>
            <w:r/>
            <w:r>
              <w:rPr>
                <w:b w:val="0"/>
                <w:sz w:val="17"/>
              </w:rPr>
              <w:t>Derek’s express mortgage assumption and indemnity</w:t>
            </w:r>
          </w:p>
        </w:tc>
        <w:tc>
          <w:tcPr>
            <w:tcW w:type="dxa" w:w="6048"/>
          </w:tcPr>
          <w:p>
            <w:pPr>
              <w:spacing w:after="0"/>
            </w:pPr>
            <w:r/>
            <w:r>
              <w:rPr>
                <w:b w:val="0"/>
                <w:sz w:val="17"/>
              </w:rPr>
              <w:t>Consistent with MSA intent and protective.</w:t>
            </w:r>
          </w:p>
        </w:tc>
        <w:tc>
          <w:tcPr>
            <w:tcW w:type="dxa" w:w="3456"/>
          </w:tcPr>
          <w:p>
            <w:pPr>
              <w:spacing w:after="0"/>
            </w:pPr>
            <w:r/>
            <w:r>
              <w:rPr>
                <w:b w:val="0"/>
                <w:sz w:val="17"/>
              </w:rPr>
              <w:t>Retain.</w:t>
            </w:r>
          </w:p>
        </w:tc>
      </w:tr>
      <w:tr>
        <w:tc>
          <w:tcPr>
            <w:tcW w:type="dxa" w:w="864"/>
          </w:tcPr>
          <w:p>
            <w:pPr>
              <w:spacing w:after="0"/>
            </w:pPr>
            <w:r/>
            <w:r>
              <w:rPr>
                <w:b/>
                <w:sz w:val="17"/>
              </w:rPr>
              <w:t>D-8</w:t>
            </w:r>
          </w:p>
        </w:tc>
        <w:tc>
          <w:tcPr>
            <w:tcW w:type="dxa" w:w="3456"/>
          </w:tcPr>
          <w:p>
            <w:pPr>
              <w:spacing w:after="0"/>
            </w:pPr>
            <w:r/>
            <w:r>
              <w:rPr>
                <w:b w:val="0"/>
                <w:sz w:val="17"/>
              </w:rPr>
              <w:t>Substitute coverage at Derek’s expense with judgment lien; proof of coverage within 30 days and annually</w:t>
            </w:r>
          </w:p>
        </w:tc>
        <w:tc>
          <w:tcPr>
            <w:tcW w:type="dxa" w:w="6048"/>
          </w:tcPr>
          <w:p>
            <w:pPr>
              <w:spacing w:after="0"/>
            </w:pPr>
            <w:r/>
            <w:r>
              <w:rPr>
                <w:b w:val="0"/>
                <w:sz w:val="17"/>
              </w:rPr>
              <w:t>Helpful extra remedies, but cannot replace the irrevocable designation and anti-encumbrance covenants.</w:t>
            </w:r>
          </w:p>
        </w:tc>
        <w:tc>
          <w:tcPr>
            <w:tcW w:type="dxa" w:w="3456"/>
          </w:tcPr>
          <w:p>
            <w:pPr>
              <w:spacing w:after="0"/>
            </w:pPr>
            <w:r/>
            <w:r>
              <w:rPr>
                <w:b w:val="0"/>
                <w:sz w:val="17"/>
              </w:rPr>
              <w:t>Retain in addition to restored MSA § 5.7 terms.</w:t>
            </w:r>
          </w:p>
        </w:tc>
      </w:tr>
      <w:tr>
        <w:tc>
          <w:tcPr>
            <w:tcW w:type="dxa" w:w="864"/>
          </w:tcPr>
          <w:p>
            <w:pPr>
              <w:spacing w:after="0"/>
            </w:pPr>
            <w:r/>
            <w:r>
              <w:rPr>
                <w:b/>
                <w:sz w:val="17"/>
              </w:rPr>
              <w:t>J-4</w:t>
            </w:r>
          </w:p>
        </w:tc>
        <w:tc>
          <w:tcPr>
            <w:tcW w:type="dxa" w:w="3456"/>
          </w:tcPr>
          <w:p>
            <w:pPr>
              <w:spacing w:after="0"/>
            </w:pPr>
            <w:r/>
            <w:r>
              <w:rPr>
                <w:b w:val="0"/>
                <w:sz w:val="17"/>
              </w:rPr>
              <w:t>Library includes bookshelves</w:t>
            </w:r>
          </w:p>
        </w:tc>
        <w:tc>
          <w:tcPr>
            <w:tcW w:type="dxa" w:w="6048"/>
          </w:tcPr>
          <w:p>
            <w:pPr>
              <w:spacing w:after="0"/>
            </w:pPr>
            <w:r/>
            <w:r>
              <w:rPr>
                <w:b w:val="0"/>
                <w:sz w:val="17"/>
              </w:rPr>
              <w:t>Arguably broader than MSA.</w:t>
            </w:r>
          </w:p>
        </w:tc>
        <w:tc>
          <w:tcPr>
            <w:tcW w:type="dxa" w:w="3456"/>
          </w:tcPr>
          <w:p>
            <w:pPr>
              <w:spacing w:after="0"/>
            </w:pPr>
            <w:r/>
            <w:r>
              <w:rPr>
                <w:b w:val="0"/>
                <w:sz w:val="17"/>
              </w:rPr>
              <w:t>Confirm in writing or conform.</w:t>
            </w:r>
          </w:p>
        </w:tc>
      </w:tr>
      <w:tr>
        <w:tc>
          <w:tcPr>
            <w:tcW w:type="dxa" w:w="864"/>
          </w:tcPr>
          <w:p>
            <w:pPr>
              <w:spacing w:after="0"/>
            </w:pPr>
            <w:r/>
            <w:r>
              <w:rPr>
                <w:b/>
                <w:sz w:val="17"/>
              </w:rPr>
              <w:t>J-5</w:t>
            </w:r>
          </w:p>
        </w:tc>
        <w:tc>
          <w:tcPr>
            <w:tcW w:type="dxa" w:w="3456"/>
          </w:tcPr>
          <w:p>
            <w:pPr>
              <w:spacing w:after="0"/>
            </w:pPr>
            <w:r/>
            <w:r>
              <w:rPr>
                <w:b w:val="0"/>
                <w:sz w:val="17"/>
              </w:rPr>
              <w:t>Non-interference covenant on retrieval</w:t>
            </w:r>
          </w:p>
        </w:tc>
        <w:tc>
          <w:tcPr>
            <w:tcW w:type="dxa" w:w="6048"/>
          </w:tcPr>
          <w:p>
            <w:pPr>
              <w:spacing w:after="0"/>
            </w:pPr>
            <w:r/>
            <w:r>
              <w:rPr>
                <w:b w:val="0"/>
                <w:sz w:val="17"/>
              </w:rPr>
              <w:t>Protective; consistent with MSA intent.</w:t>
            </w:r>
          </w:p>
        </w:tc>
        <w:tc>
          <w:tcPr>
            <w:tcW w:type="dxa" w:w="3456"/>
          </w:tcPr>
          <w:p>
            <w:pPr>
              <w:spacing w:after="0"/>
            </w:pPr>
            <w:r/>
            <w:r>
              <w:rPr>
                <w:b w:val="0"/>
                <w:sz w:val="17"/>
              </w:rPr>
              <w:t>Retain (while restoring 48-hour notice and 30 days).</w:t>
            </w:r>
          </w:p>
        </w:tc>
      </w:tr>
      <w:tr>
        <w:tc>
          <w:tcPr>
            <w:tcW w:type="dxa" w:w="864"/>
          </w:tcPr>
          <w:p>
            <w:pPr>
              <w:spacing w:after="0"/>
            </w:pPr>
            <w:r/>
            <w:r>
              <w:rPr>
                <w:b/>
                <w:sz w:val="17"/>
              </w:rPr>
              <w:t>VI.A</w:t>
            </w:r>
          </w:p>
        </w:tc>
        <w:tc>
          <w:tcPr>
            <w:tcW w:type="dxa" w:w="3456"/>
          </w:tcPr>
          <w:p>
            <w:pPr>
              <w:spacing w:after="0"/>
            </w:pPr>
            <w:r/>
            <w:r>
              <w:rPr>
                <w:b w:val="0"/>
                <w:sz w:val="17"/>
              </w:rPr>
              <w:t>Obligor must report employment change within 7 days; insurance cards within 30 days</w:t>
            </w:r>
          </w:p>
        </w:tc>
        <w:tc>
          <w:tcPr>
            <w:tcW w:type="dxa" w:w="6048"/>
          </w:tcPr>
          <w:p>
            <w:pPr>
              <w:spacing w:after="0"/>
            </w:pPr>
            <w:r/>
            <w:r>
              <w:rPr>
                <w:b w:val="0"/>
                <w:sz w:val="17"/>
              </w:rPr>
              <w:t>Standard, protective, consistent with MSA.</w:t>
            </w:r>
          </w:p>
        </w:tc>
        <w:tc>
          <w:tcPr>
            <w:tcW w:type="dxa" w:w="3456"/>
          </w:tcPr>
          <w:p>
            <w:pPr>
              <w:spacing w:after="0"/>
            </w:pPr>
            <w:r/>
            <w:r>
              <w:rPr>
                <w:b w:val="0"/>
                <w:sz w:val="17"/>
              </w:rPr>
              <w:t>Retain.</w:t>
            </w:r>
          </w:p>
        </w:tc>
      </w:tr>
    </w:tbl>
    <w:p>
      <w:pPr>
        <w:pStyle w:val="Heading1"/>
      </w:pPr>
      <w:r>
        <w:t>5. Financial Impact Summary (Client Perspective)</w:t>
      </w:r>
    </w:p>
    <w:tbl>
      <w:tblPr>
        <w:tblStyle w:val="TableGrid"/>
        <w:tblW w:type="auto" w:w="0"/>
        <w:jc w:val="center"/>
        <w:tblLook w:firstColumn="1" w:firstRow="1" w:lastColumn="0" w:lastRow="0" w:noHBand="0" w:noVBand="1" w:val="04A0"/>
      </w:tblPr>
      <w:tblGrid>
        <w:gridCol w:w="2765"/>
        <w:gridCol w:w="2765"/>
        <w:gridCol w:w="2765"/>
        <w:gridCol w:w="2765"/>
        <w:gridCol w:w="2765"/>
      </w:tblGrid>
      <w:tr>
        <w:trPr>
          <w:tblHeader w:val="true"/>
        </w:trPr>
        <w:tc>
          <w:tcPr>
            <w:tcW w:type="dxa" w:w="1152"/>
            <w:shd w:val="clear" w:color="auto" w:fill="1F3864"/>
          </w:tcPr>
          <w:p>
            <w:pPr>
              <w:spacing w:after="0"/>
            </w:pPr>
            <w:r/>
            <w:r>
              <w:rPr>
                <w:b/>
                <w:color w:val="FFFFFF"/>
                <w:sz w:val="18"/>
              </w:rPr>
              <w:t>No.</w:t>
            </w:r>
          </w:p>
        </w:tc>
        <w:tc>
          <w:tcPr>
            <w:tcW w:type="dxa" w:w="3744"/>
            <w:shd w:val="clear" w:color="auto" w:fill="1F3864"/>
          </w:tcPr>
          <w:p>
            <w:pPr>
              <w:spacing w:after="0"/>
            </w:pPr>
            <w:r/>
            <w:r>
              <w:rPr>
                <w:b/>
                <w:color w:val="FFFFFF"/>
                <w:sz w:val="18"/>
              </w:rPr>
              <w:t>Item</w:t>
            </w:r>
          </w:p>
        </w:tc>
        <w:tc>
          <w:tcPr>
            <w:tcW w:type="dxa" w:w="2880"/>
            <w:shd w:val="clear" w:color="auto" w:fill="1F3864"/>
          </w:tcPr>
          <w:p>
            <w:pPr>
              <w:spacing w:after="0"/>
            </w:pPr>
            <w:r/>
            <w:r>
              <w:rPr>
                <w:b/>
                <w:color w:val="FFFFFF"/>
                <w:sz w:val="18"/>
              </w:rPr>
              <w:t>MSA</w:t>
            </w:r>
          </w:p>
        </w:tc>
        <w:tc>
          <w:tcPr>
            <w:tcW w:type="dxa" w:w="2880"/>
            <w:shd w:val="clear" w:color="auto" w:fill="1F3864"/>
          </w:tcPr>
          <w:p>
            <w:pPr>
              <w:spacing w:after="0"/>
            </w:pPr>
            <w:r/>
            <w:r>
              <w:rPr>
                <w:b/>
                <w:color w:val="FFFFFF"/>
                <w:sz w:val="18"/>
              </w:rPr>
              <w:t>Decree</w:t>
            </w:r>
          </w:p>
        </w:tc>
        <w:tc>
          <w:tcPr>
            <w:tcW w:type="dxa" w:w="3168"/>
            <w:shd w:val="clear" w:color="auto" w:fill="1F3864"/>
          </w:tcPr>
          <w:p>
            <w:pPr>
              <w:spacing w:after="0"/>
            </w:pPr>
            <w:r/>
            <w:r>
              <w:rPr>
                <w:b/>
                <w:color w:val="FFFFFF"/>
                <w:sz w:val="18"/>
              </w:rPr>
              <w:t>Difference to Megan</w:t>
            </w:r>
          </w:p>
        </w:tc>
      </w:tr>
      <w:tr>
        <w:tc>
          <w:tcPr>
            <w:tcW w:type="dxa" w:w="1152"/>
          </w:tcPr>
          <w:p>
            <w:pPr>
              <w:spacing w:after="0"/>
            </w:pPr>
            <w:r/>
            <w:r>
              <w:rPr>
                <w:b/>
                <w:sz w:val="17"/>
              </w:rPr>
              <w:t>F-1</w:t>
            </w:r>
          </w:p>
        </w:tc>
        <w:tc>
          <w:tcPr>
            <w:tcW w:type="dxa" w:w="3744"/>
          </w:tcPr>
          <w:p>
            <w:pPr>
              <w:spacing w:after="0"/>
            </w:pPr>
            <w:r/>
            <w:r>
              <w:rPr>
                <w:b w:val="0"/>
                <w:sz w:val="17"/>
              </w:rPr>
              <w:t>Residence equalization payment</w:t>
            </w:r>
          </w:p>
        </w:tc>
        <w:tc>
          <w:tcPr>
            <w:tcW w:type="dxa" w:w="2880"/>
          </w:tcPr>
          <w:p>
            <w:pPr>
              <w:spacing w:after="0"/>
            </w:pPr>
            <w:r/>
            <w:r>
              <w:rPr>
                <w:b w:val="0"/>
                <w:sz w:val="17"/>
              </w:rPr>
              <w:t>$133,300.00</w:t>
            </w:r>
          </w:p>
        </w:tc>
        <w:tc>
          <w:tcPr>
            <w:tcW w:type="dxa" w:w="2880"/>
          </w:tcPr>
          <w:p>
            <w:pPr>
              <w:spacing w:after="0"/>
            </w:pPr>
            <w:r/>
            <w:r>
              <w:rPr>
                <w:b w:val="0"/>
                <w:sz w:val="17"/>
              </w:rPr>
              <w:t>$123,300.00</w:t>
            </w:r>
          </w:p>
        </w:tc>
        <w:tc>
          <w:tcPr>
            <w:tcW w:type="dxa" w:w="3168"/>
          </w:tcPr>
          <w:p>
            <w:pPr>
              <w:spacing w:after="0"/>
            </w:pPr>
            <w:r/>
            <w:r>
              <w:rPr>
                <w:b w:val="0"/>
                <w:sz w:val="17"/>
              </w:rPr>
              <w:t>($10,000.00)</w:t>
            </w:r>
          </w:p>
        </w:tc>
      </w:tr>
      <w:tr>
        <w:tc>
          <w:tcPr>
            <w:tcW w:type="dxa" w:w="1152"/>
          </w:tcPr>
          <w:p>
            <w:pPr>
              <w:spacing w:after="0"/>
            </w:pPr>
            <w:r/>
            <w:r>
              <w:rPr>
                <w:b/>
                <w:sz w:val="17"/>
              </w:rPr>
              <w:t>G-1</w:t>
            </w:r>
          </w:p>
        </w:tc>
        <w:tc>
          <w:tcPr>
            <w:tcW w:type="dxa" w:w="3744"/>
          </w:tcPr>
          <w:p>
            <w:pPr>
              <w:spacing w:after="0"/>
            </w:pPr>
            <w:r/>
            <w:r>
              <w:rPr>
                <w:b w:val="0"/>
                <w:sz w:val="17"/>
              </w:rPr>
              <w:t>Derek’s 401(k) — Megan’s share</w:t>
            </w:r>
          </w:p>
        </w:tc>
        <w:tc>
          <w:tcPr>
            <w:tcW w:type="dxa" w:w="2880"/>
          </w:tcPr>
          <w:p>
            <w:pPr>
              <w:spacing w:after="0"/>
            </w:pPr>
            <w:r/>
            <w:r>
              <w:rPr>
                <w:b w:val="0"/>
                <w:sz w:val="17"/>
              </w:rPr>
              <w:t>$94,650.00 + earnings since 12/31/2024</w:t>
            </w:r>
          </w:p>
        </w:tc>
        <w:tc>
          <w:tcPr>
            <w:tcW w:type="dxa" w:w="2880"/>
          </w:tcPr>
          <w:p>
            <w:pPr>
              <w:spacing w:after="0"/>
            </w:pPr>
            <w:r/>
            <w:r>
              <w:rPr>
                <w:b w:val="0"/>
                <w:sz w:val="17"/>
              </w:rPr>
              <w:t>$84,650.00, no earnings</w:t>
            </w:r>
          </w:p>
        </w:tc>
        <w:tc>
          <w:tcPr>
            <w:tcW w:type="dxa" w:w="3168"/>
          </w:tcPr>
          <w:p>
            <w:pPr>
              <w:spacing w:after="0"/>
            </w:pPr>
            <w:r/>
            <w:r>
              <w:rPr>
                <w:b w:val="0"/>
                <w:sz w:val="17"/>
              </w:rPr>
              <w:t>($10,000.00) plus lost earnings</w:t>
            </w:r>
          </w:p>
        </w:tc>
      </w:tr>
      <w:tr>
        <w:tc>
          <w:tcPr>
            <w:tcW w:type="dxa" w:w="1152"/>
          </w:tcPr>
          <w:p>
            <w:pPr>
              <w:spacing w:after="0"/>
            </w:pPr>
            <w:r/>
            <w:r>
              <w:rPr>
                <w:b/>
                <w:sz w:val="17"/>
              </w:rPr>
              <w:t>H-1</w:t>
            </w:r>
          </w:p>
        </w:tc>
        <w:tc>
          <w:tcPr>
            <w:tcW w:type="dxa" w:w="3744"/>
          </w:tcPr>
          <w:p>
            <w:pPr>
              <w:spacing w:after="0"/>
            </w:pPr>
            <w:r/>
            <w:r>
              <w:rPr>
                <w:b w:val="0"/>
                <w:sz w:val="17"/>
              </w:rPr>
              <w:t>Brokerage — Megan retains</w:t>
            </w:r>
          </w:p>
        </w:tc>
        <w:tc>
          <w:tcPr>
            <w:tcW w:type="dxa" w:w="2880"/>
          </w:tcPr>
          <w:p>
            <w:pPr>
              <w:spacing w:after="0"/>
            </w:pPr>
            <w:r/>
            <w:r>
              <w:rPr>
                <w:b w:val="0"/>
                <w:sz w:val="17"/>
              </w:rPr>
              <w:t>$50,000.00</w:t>
            </w:r>
          </w:p>
        </w:tc>
        <w:tc>
          <w:tcPr>
            <w:tcW w:type="dxa" w:w="2880"/>
          </w:tcPr>
          <w:p>
            <w:pPr>
              <w:spacing w:after="0"/>
            </w:pPr>
            <w:r/>
            <w:r>
              <w:rPr>
                <w:b w:val="0"/>
                <w:sz w:val="17"/>
              </w:rPr>
              <w:t>$40,000.00</w:t>
            </w:r>
          </w:p>
        </w:tc>
        <w:tc>
          <w:tcPr>
            <w:tcW w:type="dxa" w:w="3168"/>
          </w:tcPr>
          <w:p>
            <w:pPr>
              <w:spacing w:after="0"/>
            </w:pPr>
            <w:r/>
            <w:r>
              <w:rPr>
                <w:b w:val="0"/>
                <w:sz w:val="17"/>
              </w:rPr>
              <w:t>($10,000.00)</w:t>
            </w:r>
          </w:p>
        </w:tc>
      </w:tr>
      <w:tr>
        <w:tc>
          <w:tcPr>
            <w:tcW w:type="dxa" w:w="1152"/>
          </w:tcPr>
          <w:p>
            <w:pPr>
              <w:spacing w:after="0"/>
            </w:pPr>
            <w:r/>
            <w:r>
              <w:rPr>
                <w:b/>
                <w:sz w:val="17"/>
              </w:rPr>
              <w:t>K-1</w:t>
            </w:r>
          </w:p>
        </w:tc>
        <w:tc>
          <w:tcPr>
            <w:tcW w:type="dxa" w:w="3744"/>
          </w:tcPr>
          <w:p>
            <w:pPr>
              <w:spacing w:after="0"/>
            </w:pPr>
            <w:r/>
            <w:r>
              <w:rPr>
                <w:b w:val="0"/>
                <w:sz w:val="17"/>
              </w:rPr>
              <w:t>Home Depot joint debt (acct. 8903)</w:t>
            </w:r>
          </w:p>
        </w:tc>
        <w:tc>
          <w:tcPr>
            <w:tcW w:type="dxa" w:w="2880"/>
          </w:tcPr>
          <w:p>
            <w:pPr>
              <w:spacing w:after="0"/>
            </w:pPr>
            <w:r/>
            <w:r>
              <w:rPr>
                <w:b w:val="0"/>
                <w:sz w:val="17"/>
              </w:rPr>
              <w:t>Assigned to Derek</w:t>
            </w:r>
          </w:p>
        </w:tc>
        <w:tc>
          <w:tcPr>
            <w:tcW w:type="dxa" w:w="2880"/>
          </w:tcPr>
          <w:p>
            <w:pPr>
              <w:spacing w:after="0"/>
            </w:pPr>
            <w:r/>
            <w:r>
              <w:rPr>
                <w:b w:val="0"/>
                <w:sz w:val="17"/>
              </w:rPr>
              <w:t>Not allocated</w:t>
            </w:r>
          </w:p>
        </w:tc>
        <w:tc>
          <w:tcPr>
            <w:tcW w:type="dxa" w:w="3168"/>
          </w:tcPr>
          <w:p>
            <w:pPr>
              <w:spacing w:after="0"/>
            </w:pPr>
            <w:r/>
            <w:r>
              <w:rPr>
                <w:b w:val="0"/>
                <w:sz w:val="17"/>
              </w:rPr>
              <w:t>Up to ($2,680.00) exposure</w:t>
            </w:r>
          </w:p>
        </w:tc>
      </w:tr>
      <w:tr>
        <w:tc>
          <w:tcPr>
            <w:tcW w:type="dxa" w:w="1152"/>
          </w:tcPr>
          <w:p>
            <w:pPr>
              <w:spacing w:after="0"/>
            </w:pPr>
            <w:r/>
            <w:r>
              <w:rPr>
                <w:b/>
                <w:sz w:val="17"/>
              </w:rPr>
            </w:r>
          </w:p>
        </w:tc>
        <w:tc>
          <w:tcPr>
            <w:tcW w:type="dxa" w:w="3744"/>
          </w:tcPr>
          <w:p>
            <w:pPr>
              <w:spacing w:after="0"/>
            </w:pPr>
            <w:r/>
            <w:r>
              <w:rPr>
                <w:b w:val="0"/>
                <w:sz w:val="17"/>
              </w:rPr>
              <w:t>Subtotal — property and debt</w:t>
            </w:r>
          </w:p>
        </w:tc>
        <w:tc>
          <w:tcPr>
            <w:tcW w:type="dxa" w:w="2880"/>
          </w:tcPr>
          <w:p>
            <w:pPr>
              <w:spacing w:after="0"/>
            </w:pPr>
            <w:r/>
            <w:r>
              <w:rPr>
                <w:b w:val="0"/>
                <w:sz w:val="17"/>
              </w:rPr>
            </w:r>
          </w:p>
        </w:tc>
        <w:tc>
          <w:tcPr>
            <w:tcW w:type="dxa" w:w="2880"/>
          </w:tcPr>
          <w:p>
            <w:pPr>
              <w:spacing w:after="0"/>
            </w:pPr>
            <w:r/>
            <w:r>
              <w:rPr>
                <w:b w:val="0"/>
                <w:sz w:val="17"/>
              </w:rPr>
            </w:r>
          </w:p>
        </w:tc>
        <w:tc>
          <w:tcPr>
            <w:tcW w:type="dxa" w:w="3168"/>
          </w:tcPr>
          <w:p>
            <w:pPr>
              <w:spacing w:after="0"/>
            </w:pPr>
            <w:r/>
            <w:r>
              <w:rPr>
                <w:b w:val="0"/>
                <w:sz w:val="17"/>
              </w:rPr>
              <w:t>approx. ($32,680.00)</w:t>
            </w:r>
          </w:p>
        </w:tc>
      </w:tr>
      <w:tr>
        <w:tc>
          <w:tcPr>
            <w:tcW w:type="dxa" w:w="1152"/>
          </w:tcPr>
          <w:p>
            <w:pPr>
              <w:spacing w:after="0"/>
            </w:pPr>
            <w:r/>
            <w:r>
              <w:rPr>
                <w:b/>
                <w:sz w:val="17"/>
              </w:rPr>
              <w:t>D-1</w:t>
            </w:r>
          </w:p>
        </w:tc>
        <w:tc>
          <w:tcPr>
            <w:tcW w:type="dxa" w:w="3744"/>
          </w:tcPr>
          <w:p>
            <w:pPr>
              <w:spacing w:after="0"/>
            </w:pPr>
            <w:r/>
            <w:r>
              <w:rPr>
                <w:b w:val="0"/>
                <w:sz w:val="17"/>
              </w:rPr>
              <w:t>Child support</w:t>
            </w:r>
          </w:p>
        </w:tc>
        <w:tc>
          <w:tcPr>
            <w:tcW w:type="dxa" w:w="2880"/>
          </w:tcPr>
          <w:p>
            <w:pPr>
              <w:spacing w:after="0"/>
            </w:pPr>
            <w:r/>
            <w:r>
              <w:rPr>
                <w:b w:val="0"/>
                <w:sz w:val="17"/>
              </w:rPr>
              <w:t>$2,175.00 / month</w:t>
            </w:r>
          </w:p>
        </w:tc>
        <w:tc>
          <w:tcPr>
            <w:tcW w:type="dxa" w:w="2880"/>
          </w:tcPr>
          <w:p>
            <w:pPr>
              <w:spacing w:after="0"/>
            </w:pPr>
            <w:r/>
            <w:r>
              <w:rPr>
                <w:b w:val="0"/>
                <w:sz w:val="17"/>
              </w:rPr>
              <w:t>$2,075.00 / month</w:t>
            </w:r>
          </w:p>
        </w:tc>
        <w:tc>
          <w:tcPr>
            <w:tcW w:type="dxa" w:w="3168"/>
          </w:tcPr>
          <w:p>
            <w:pPr>
              <w:spacing w:after="0"/>
            </w:pPr>
            <w:r/>
            <w:r>
              <w:rPr>
                <w:b w:val="0"/>
                <w:sz w:val="17"/>
              </w:rPr>
              <w:t>($1,200.00) per year; approx. ($11,000) through mid-2034</w:t>
            </w:r>
          </w:p>
        </w:tc>
      </w:tr>
      <w:tr>
        <w:tc>
          <w:tcPr>
            <w:tcW w:type="dxa" w:w="1152"/>
          </w:tcPr>
          <w:p>
            <w:pPr>
              <w:spacing w:after="0"/>
            </w:pPr>
            <w:r/>
            <w:r>
              <w:rPr>
                <w:b/>
                <w:sz w:val="17"/>
              </w:rPr>
              <w:t>D-2</w:t>
            </w:r>
          </w:p>
        </w:tc>
        <w:tc>
          <w:tcPr>
            <w:tcW w:type="dxa" w:w="3744"/>
          </w:tcPr>
          <w:p>
            <w:pPr>
              <w:spacing w:after="0"/>
            </w:pPr>
            <w:r/>
            <w:r>
              <w:rPr>
                <w:b w:val="0"/>
                <w:sz w:val="17"/>
              </w:rPr>
              <w:t>Step-down for one child</w:t>
            </w:r>
          </w:p>
        </w:tc>
        <w:tc>
          <w:tcPr>
            <w:tcW w:type="dxa" w:w="2880"/>
          </w:tcPr>
          <w:p>
            <w:pPr>
              <w:spacing w:after="0"/>
            </w:pPr>
            <w:r/>
            <w:r>
              <w:rPr>
                <w:b w:val="0"/>
                <w:sz w:val="17"/>
              </w:rPr>
              <w:t>$1,450.00 / month fixed</w:t>
            </w:r>
          </w:p>
        </w:tc>
        <w:tc>
          <w:tcPr>
            <w:tcW w:type="dxa" w:w="2880"/>
          </w:tcPr>
          <w:p>
            <w:pPr>
              <w:spacing w:after="0"/>
            </w:pPr>
            <w:r/>
            <w:r>
              <w:rPr>
                <w:b w:val="0"/>
                <w:sz w:val="17"/>
              </w:rPr>
              <w:t>Guideline amount, to be litigated</w:t>
            </w:r>
          </w:p>
        </w:tc>
        <w:tc>
          <w:tcPr>
            <w:tcW w:type="dxa" w:w="3168"/>
          </w:tcPr>
          <w:p>
            <w:pPr>
              <w:spacing w:after="0"/>
            </w:pPr>
            <w:r/>
            <w:r>
              <w:rPr>
                <w:b w:val="0"/>
                <w:sz w:val="17"/>
              </w:rPr>
              <w:t>Uncertain; litigation cost</w:t>
            </w:r>
          </w:p>
        </w:tc>
      </w:tr>
      <w:tr>
        <w:tc>
          <w:tcPr>
            <w:tcW w:type="dxa" w:w="1152"/>
          </w:tcPr>
          <w:p>
            <w:pPr>
              <w:spacing w:after="0"/>
            </w:pPr>
            <w:r/>
            <w:r>
              <w:rPr>
                <w:b/>
                <w:sz w:val="17"/>
              </w:rPr>
              <w:t>D-5</w:t>
            </w:r>
          </w:p>
        </w:tc>
        <w:tc>
          <w:tcPr>
            <w:tcW w:type="dxa" w:w="3744"/>
          </w:tcPr>
          <w:p>
            <w:pPr>
              <w:spacing w:after="0"/>
            </w:pPr>
            <w:r/>
            <w:r>
              <w:rPr>
                <w:b w:val="0"/>
                <w:sz w:val="17"/>
              </w:rPr>
              <w:t>Unreimbursed medical expenses</w:t>
            </w:r>
          </w:p>
        </w:tc>
        <w:tc>
          <w:tcPr>
            <w:tcW w:type="dxa" w:w="2880"/>
          </w:tcPr>
          <w:p>
            <w:pPr>
              <w:spacing w:after="0"/>
            </w:pPr>
            <w:r/>
            <w:r>
              <w:rPr>
                <w:b w:val="0"/>
                <w:sz w:val="17"/>
              </w:rPr>
              <w:t>Derek 60% / Megan 40%</w:t>
            </w:r>
          </w:p>
        </w:tc>
        <w:tc>
          <w:tcPr>
            <w:tcW w:type="dxa" w:w="2880"/>
          </w:tcPr>
          <w:p>
            <w:pPr>
              <w:spacing w:after="0"/>
            </w:pPr>
            <w:r/>
            <w:r>
              <w:rPr>
                <w:b w:val="0"/>
                <w:sz w:val="17"/>
              </w:rPr>
              <w:t>Derek 40% / Megan 60%</w:t>
            </w:r>
          </w:p>
        </w:tc>
        <w:tc>
          <w:tcPr>
            <w:tcW w:type="dxa" w:w="3168"/>
          </w:tcPr>
          <w:p>
            <w:pPr>
              <w:spacing w:after="0"/>
            </w:pPr>
            <w:r/>
            <w:r>
              <w:rPr>
                <w:b w:val="0"/>
                <w:sz w:val="17"/>
              </w:rPr>
              <w:t>Megan pays 20% more of every expense</w:t>
            </w:r>
          </w:p>
        </w:tc>
      </w:tr>
      <w:tr>
        <w:tc>
          <w:tcPr>
            <w:tcW w:type="dxa" w:w="1152"/>
          </w:tcPr>
          <w:p>
            <w:pPr>
              <w:spacing w:after="0"/>
            </w:pPr>
            <w:r/>
            <w:r>
              <w:rPr>
                <w:b/>
                <w:sz w:val="17"/>
              </w:rPr>
              <w:t>E-1/E-3</w:t>
            </w:r>
          </w:p>
        </w:tc>
        <w:tc>
          <w:tcPr>
            <w:tcW w:type="dxa" w:w="3744"/>
          </w:tcPr>
          <w:p>
            <w:pPr>
              <w:spacing w:after="0"/>
            </w:pPr>
            <w:r/>
            <w:r>
              <w:rPr>
                <w:b w:val="0"/>
                <w:sz w:val="17"/>
              </w:rPr>
              <w:t>Contractual alimony ($3,200 x 36)</w:t>
            </w:r>
          </w:p>
        </w:tc>
        <w:tc>
          <w:tcPr>
            <w:tcW w:type="dxa" w:w="2880"/>
          </w:tcPr>
          <w:p>
            <w:pPr>
              <w:spacing w:after="0"/>
            </w:pPr>
            <w:r/>
            <w:r>
              <w:rPr>
                <w:b w:val="0"/>
                <w:sz w:val="17"/>
              </w:rPr>
              <w:t>$115,200.00, non-modifiable</w:t>
            </w:r>
          </w:p>
        </w:tc>
        <w:tc>
          <w:tcPr>
            <w:tcW w:type="dxa" w:w="2880"/>
          </w:tcPr>
          <w:p>
            <w:pPr>
              <w:spacing w:after="0"/>
            </w:pPr>
            <w:r/>
            <w:r>
              <w:rPr>
                <w:b w:val="0"/>
                <w:sz w:val="17"/>
              </w:rPr>
              <w:t>Modifiable; broader cohabitation trigger</w:t>
            </w:r>
          </w:p>
        </w:tc>
        <w:tc>
          <w:tcPr>
            <w:tcW w:type="dxa" w:w="3168"/>
          </w:tcPr>
          <w:p>
            <w:pPr>
              <w:spacing w:after="0"/>
            </w:pPr>
            <w:r/>
            <w:r>
              <w:rPr>
                <w:b w:val="0"/>
                <w:sz w:val="17"/>
              </w:rPr>
              <w:t>Up to ($115,200.00) at risk</w:t>
            </w:r>
          </w:p>
        </w:tc>
      </w:tr>
      <w:tr>
        <w:tc>
          <w:tcPr>
            <w:tcW w:type="dxa" w:w="1152"/>
          </w:tcPr>
          <w:p>
            <w:pPr>
              <w:spacing w:after="0"/>
            </w:pPr>
            <w:r/>
            <w:r>
              <w:rPr>
                <w:b/>
                <w:sz w:val="17"/>
              </w:rPr>
              <w:t>E-5</w:t>
            </w:r>
          </w:p>
        </w:tc>
        <w:tc>
          <w:tcPr>
            <w:tcW w:type="dxa" w:w="3744"/>
          </w:tcPr>
          <w:p>
            <w:pPr>
              <w:spacing w:after="0"/>
            </w:pPr>
            <w:r/>
            <w:r>
              <w:rPr>
                <w:b w:val="0"/>
                <w:sz w:val="17"/>
              </w:rPr>
              <w:t>Late-payment interest</w:t>
            </w:r>
          </w:p>
        </w:tc>
        <w:tc>
          <w:tcPr>
            <w:tcW w:type="dxa" w:w="2880"/>
          </w:tcPr>
          <w:p>
            <w:pPr>
              <w:spacing w:after="0"/>
            </w:pPr>
            <w:r/>
            <w:r>
              <w:rPr>
                <w:b w:val="0"/>
                <w:sz w:val="17"/>
              </w:rPr>
              <w:t>6% per annum</w:t>
            </w:r>
          </w:p>
        </w:tc>
        <w:tc>
          <w:tcPr>
            <w:tcW w:type="dxa" w:w="2880"/>
          </w:tcPr>
          <w:p>
            <w:pPr>
              <w:spacing w:after="0"/>
            </w:pPr>
            <w:r/>
            <w:r>
              <w:rPr>
                <w:b w:val="0"/>
                <w:sz w:val="17"/>
              </w:rPr>
              <w:t>None</w:t>
            </w:r>
          </w:p>
        </w:tc>
        <w:tc>
          <w:tcPr>
            <w:tcW w:type="dxa" w:w="3168"/>
          </w:tcPr>
          <w:p>
            <w:pPr>
              <w:spacing w:after="0"/>
            </w:pPr>
            <w:r/>
            <w:r>
              <w:rPr>
                <w:b w:val="0"/>
                <w:sz w:val="17"/>
              </w:rPr>
              <w:t>Lost remedy</w:t>
            </w:r>
          </w:p>
        </w:tc>
      </w:tr>
    </w:tbl>
    <w:p>
      <w:pPr>
        <w:spacing w:after="80"/>
      </w:pPr>
      <w:r>
        <w:rPr>
          <w:b w:val="0"/>
          <w:i/>
        </w:rPr>
        <w:t>Child support estimate assumes a decree signed in April 2025 (first payment May 1, 2025) and Aiden graduating high school in about June 2034 (approximately 110 monthly payments). Figures are illustrative.</w:t>
      </w:r>
    </w:p>
    <w:p>
      <w:pPr>
        <w:pStyle w:val="Heading1"/>
      </w:pPr>
      <w:r>
        <w:t>6. Legal Framework Supporting the Objections</w:t>
      </w:r>
    </w:p>
    <w:p>
      <w:pPr>
        <w:pStyle w:val="ListBullet"/>
        <w:spacing w:after="40"/>
      </w:pPr>
      <w:r>
        <w:rPr>
          <w:b/>
        </w:rPr>
        <w:t>Tex. Fam. Code §§ 6.602(b)–(c), 153.0071(d)–(e).</w:t>
      </w:r>
      <w:r>
        <w:t xml:space="preserve"> A mediated settlement agreement that states in prominent type that it is not subject to revocation and is signed by the parties and attending counsel is binding, and a party is entitled to judgment on it notwithstanding Rule 11 or another rule of law. The MSA satisfies these requirements (MSA §§ 2, 11 and signature page).</w:t>
      </w:r>
    </w:p>
    <w:p>
      <w:pPr>
        <w:pStyle w:val="ListBullet"/>
        <w:spacing w:after="40"/>
      </w:pPr>
      <w:r>
        <w:rPr>
          <w:b/>
        </w:rPr>
        <w:t>§ 153.0071(e-1).</w:t>
      </w:r>
      <w:r>
        <w:t xml:space="preserve"> The court may decline to enter judgment on a conservatorship MSA only on narrow family-violence grounds, and the Supreme Court of Texas has held a trial court may not refuse on a general best-interest review. See In re Lee, 411 S.W.3d 445 (Tex. 2013). Both parties represented that no family violence affected the mediation (MSA § 11).</w:t>
      </w:r>
    </w:p>
    <w:p>
      <w:pPr>
        <w:pStyle w:val="ListBullet"/>
        <w:spacing w:after="40"/>
      </w:pPr>
      <w:r>
        <w:rPr>
          <w:b/>
        </w:rPr>
        <w:t>Conformity.</w:t>
      </w:r>
      <w:r>
        <w:t xml:space="preserve"> A court entering judgment on a binding MSA may not supply or vary material terms; the decree must reflect the parties’ agreement. See, e.g., Milner v. Milner, 361 S.W.3d 615 (Tex. 2012) (MSA enforceable per its terms). Confirm current Fourteenth/First Court of Appeals authority on nonconforming decrees before filing.</w:t>
      </w:r>
    </w:p>
    <w:p>
      <w:pPr>
        <w:pStyle w:val="ListBullet"/>
        <w:spacing w:after="40"/>
      </w:pPr>
      <w:r>
        <w:rPr>
          <w:b/>
        </w:rPr>
        <w:t>§ 154.013.</w:t>
      </w:r>
      <w:r>
        <w:t xml:space="preserve"> Child support does not terminate on the obligor’s death (relevant to D-3).</w:t>
      </w:r>
    </w:p>
    <w:p>
      <w:pPr>
        <w:pStyle w:val="ListBullet"/>
        <w:spacing w:after="40"/>
      </w:pPr>
      <w:r>
        <w:rPr>
          <w:b/>
        </w:rPr>
        <w:t>§ 7.006; Chapter 8.</w:t>
      </w:r>
      <w:r>
        <w:t xml:space="preserve"> Agreements incident to divorce may be enforced as contract terms; contractual alimony should be preserved as such and not converted into Chapter 8 maintenance subject to §§ 8.055–8.057 and the contempt limits of § 8.059 (relevant to E-1 to E-3).</w:t>
      </w:r>
    </w:p>
    <w:p>
      <w:pPr>
        <w:pStyle w:val="ListBullet"/>
        <w:spacing w:after="40"/>
      </w:pPr>
      <w:r>
        <w:rPr>
          <w:b/>
        </w:rPr>
        <w:t>Property division finality.</w:t>
      </w:r>
      <w:r>
        <w:t xml:space="preserve"> A post-decree court cannot amend the substantive property division (§ 9.007), so property errors must be fixed before entry. The court retains power to sign and clarify QDROs (§§ 9.101–9.105).</w:t>
      </w:r>
    </w:p>
    <w:p>
      <w:pPr>
        <w:pStyle w:val="Heading1"/>
      </w:pPr>
      <w:r>
        <w:t>7. Recommended Next Steps</w:t>
      </w:r>
    </w:p>
    <w:p>
      <w:pPr>
        <w:pStyle w:val="ListNumber"/>
      </w:pPr>
      <w:r>
        <w:rPr>
          <w:b/>
        </w:rPr>
        <w:t xml:space="preserve">Client conference (immediately). </w:t>
      </w:r>
      <w:r>
        <w:t>Review Critical and High items and Section 4 decision points with Ms. Holloway; instruct her not to sign the draft.</w:t>
      </w:r>
    </w:p>
    <w:p>
      <w:pPr>
        <w:pStyle w:val="ListNumber"/>
      </w:pPr>
      <w:r>
        <w:rPr>
          <w:b/>
        </w:rPr>
        <w:t xml:space="preserve">Objection letter to Mr. Steed (within 7 days). </w:t>
      </w:r>
      <w:r>
        <w:t>Itemize each discrepancy by reference to this report; state that Petitioner stands on the MSA; reserve the right to seek fees in any enforcement proceeding (MSA § 9); request a conforming draft by a date certain (e.g., March 21, 2025).</w:t>
      </w:r>
    </w:p>
    <w:p>
      <w:pPr>
        <w:pStyle w:val="ListNumber"/>
      </w:pPr>
      <w:r>
        <w:rPr>
          <w:b/>
        </w:rPr>
        <w:t xml:space="preserve">Prepare Petitioner’s conforming decree. </w:t>
      </w:r>
      <w:r>
        <w:t>Draft an Agreed Final Decree tracking the MSA verbatim on all economic and conservatorship terms, with a tracked-changes comparison against the Respondent draft, and incorporate the MSA by reference.</w:t>
      </w:r>
    </w:p>
    <w:p>
      <w:pPr>
        <w:pStyle w:val="ListNumber"/>
      </w:pPr>
      <w:r>
        <w:rPr>
          <w:b/>
        </w:rPr>
        <w:t xml:space="preserve">Supporting orders. </w:t>
      </w:r>
      <w:r>
        <w:t>Prepare the income withholding order at $2,175.00; a QDRO for 50% of Derek’s 401(k) with earnings; and, if agreed, a deed of trust or owelty lien and escrow instructions for the special warranty deed.</w:t>
      </w:r>
    </w:p>
    <w:p>
      <w:pPr>
        <w:pStyle w:val="ListNumber"/>
      </w:pPr>
      <w:r>
        <w:rPr>
          <w:b/>
        </w:rPr>
        <w:t xml:space="preserve">Motion to enter judgment on the MSA. </w:t>
      </w:r>
      <w:r>
        <w:t>If no conforming draft is agreed by about March 24, 2025, file and set a motion to enter judgment on the MSA for the April 3, 2025 prove-up, attaching the MSA and Petitioner’s proposed decree.</w:t>
      </w:r>
    </w:p>
    <w:p>
      <w:pPr>
        <w:pStyle w:val="ListNumber"/>
      </w:pPr>
      <w:r>
        <w:rPr>
          <w:b/>
        </w:rPr>
        <w:t xml:space="preserve">Prove-up preparation. </w:t>
      </w:r>
      <w:r>
        <w:t>Prepare Ms. Holloway’s testimony to reference the MSA, the 12/31/2024 valuations and her agreement only to the MSA terms. Confirm the plat volume/page, statutory notices and required party information.</w:t>
      </w:r>
    </w:p>
    <w:p>
      <w:pPr>
        <w:pStyle w:val="ListNumber"/>
      </w:pPr>
      <w:r>
        <w:rPr>
          <w:b/>
        </w:rPr>
        <w:t xml:space="preserve">Post-entry calendar. </w:t>
      </w:r>
      <w:r>
        <w:t>Docket the 30-day retrieval window, 60-day brokerage transfer, 120-day refinance/equalization deadline, QDRO submission, life insurance proof and the 15th-of-month alimony schedule.</w:t>
      </w:r>
    </w:p>
    <w:p>
      <w:pPr>
        <w:pStyle w:val="Heading1"/>
      </w:pPr>
      <w:r>
        <w:t>8. Limitations</w:t>
      </w:r>
    </w:p>
    <w:p>
      <w:pPr>
        <w:spacing w:after="80"/>
      </w:pPr>
      <w:r>
        <w:rPr>
          <w:b w:val="0"/>
          <w:i w:val="0"/>
        </w:rPr>
        <w:t>This report is based solely on the three documents listed above. We have not reviewed the pleadings, inventories, account statements, the deed records or any side agreements. Severity ratings reflect our judgment from Petitioner’s perspective. Case and statutory citations should be verified before use in any filing.</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PRIVILEGED &amp; CONFIDENTIAL — ATTORNEY WORK PRODUCT — Holloway v. Holloway, Cause No. 2024-FL-04817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