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WHITFIELD &amp; CRANE LLP</w:t>
      </w:r>
    </w:p>
    <w:p>
      <w:pPr>
        <w:jc w:val="center"/>
      </w:pPr>
      <w:r>
        <w:rPr>
          <w:sz w:val="20"/>
        </w:rPr>
        <w:t>1200 Post Road, Fairfield, Connecticut 06824</w:t>
      </w:r>
    </w:p>
    <w:p>
      <w:pPr>
        <w:jc w:val="center"/>
      </w:pPr>
      <w:r>
        <w:rPr>
          <w:b/>
          <w:sz w:val="26"/>
        </w:rPr>
        <w:t>MEMORANDUM</w:t>
      </w:r>
    </w:p>
    <w:p>
      <w:pPr>
        <w:jc w:val="center"/>
      </w:pPr>
      <w:r>
        <w:rPr>
          <w:b/>
          <w:sz w:val="20"/>
        </w:rPr>
        <w:t>ATTORNEY-CLIENT PRIVILEGED AND CONFIDENTIAL — ATTORNEY WORK PRODUCT</w:t>
      </w:r>
    </w:p>
    <w:tbl>
      <w:tblPr>
        <w:tblStyle w:val="TableGrid"/>
        <w:tblW w:type="auto" w:w="0"/>
        <w:tblLook w:firstColumn="1" w:firstRow="1" w:lastColumn="0" w:lastRow="0" w:noHBand="0" w:noVBand="1" w:val="04A0"/>
      </w:tblPr>
      <w:tblGrid>
        <w:gridCol w:w="4680"/>
        <w:gridCol w:w="4680"/>
      </w:tblGrid>
      <w:tr>
        <w:tc>
          <w:tcPr>
            <w:tcW w:type="dxa" w:w="1296"/>
          </w:tcPr>
          <w:p>
            <w:pPr>
              <w:spacing w:after="0"/>
            </w:pPr>
            <w:r>
              <w:rPr>
                <w:sz w:val="22"/>
              </w:rPr>
            </w:r>
            <w:r>
              <w:rPr>
                <w:sz w:val="22"/>
              </w:rPr>
              <w:t>TO:</w:t>
            </w:r>
          </w:p>
        </w:tc>
        <w:tc>
          <w:tcPr>
            <w:tcW w:type="dxa" w:w="8064"/>
          </w:tcPr>
          <w:p>
            <w:pPr>
              <w:spacing w:after="0"/>
            </w:pPr>
            <w:r>
              <w:rPr>
                <w:sz w:val="22"/>
              </w:rPr>
            </w:r>
            <w:r>
              <w:rPr>
                <w:sz w:val="22"/>
              </w:rPr>
              <w:t>Eleanor Whitfield, Managing Partner</w:t>
            </w:r>
          </w:p>
        </w:tc>
      </w:tr>
      <w:tr>
        <w:tc>
          <w:tcPr>
            <w:tcW w:type="dxa" w:w="1296"/>
          </w:tcPr>
          <w:p>
            <w:pPr>
              <w:spacing w:after="0"/>
            </w:pPr>
            <w:r>
              <w:rPr>
                <w:sz w:val="22"/>
              </w:rPr>
            </w:r>
            <w:r>
              <w:rPr>
                <w:sz w:val="22"/>
              </w:rPr>
              <w:t>CC:</w:t>
            </w:r>
          </w:p>
        </w:tc>
        <w:tc>
          <w:tcPr>
            <w:tcW w:type="dxa" w:w="8064"/>
          </w:tcPr>
          <w:p>
            <w:pPr>
              <w:spacing w:after="0"/>
            </w:pPr>
            <w:r>
              <w:rPr>
                <w:sz w:val="22"/>
              </w:rPr>
            </w:r>
            <w:r>
              <w:rPr>
                <w:sz w:val="22"/>
              </w:rPr>
              <w:t>James Okoro, Associate</w:t>
            </w:r>
          </w:p>
        </w:tc>
      </w:tr>
      <w:tr>
        <w:tc>
          <w:tcPr>
            <w:tcW w:type="dxa" w:w="1296"/>
          </w:tcPr>
          <w:p>
            <w:pPr>
              <w:spacing w:after="0"/>
            </w:pPr>
            <w:r>
              <w:rPr>
                <w:sz w:val="22"/>
              </w:rPr>
            </w:r>
            <w:r>
              <w:rPr>
                <w:sz w:val="22"/>
              </w:rPr>
              <w:t>FROM:</w:t>
            </w:r>
          </w:p>
        </w:tc>
        <w:tc>
          <w:tcPr>
            <w:tcW w:type="dxa" w:w="8064"/>
          </w:tcPr>
          <w:p>
            <w:pPr>
              <w:spacing w:after="0"/>
            </w:pPr>
            <w:r>
              <w:rPr>
                <w:sz w:val="22"/>
              </w:rPr>
            </w:r>
            <w:r>
              <w:rPr>
                <w:sz w:val="22"/>
              </w:rPr>
              <w:t>GRAT Drafting Team</w:t>
            </w:r>
          </w:p>
        </w:tc>
      </w:tr>
      <w:tr>
        <w:tc>
          <w:tcPr>
            <w:tcW w:type="dxa" w:w="1296"/>
          </w:tcPr>
          <w:p>
            <w:pPr>
              <w:spacing w:after="0"/>
            </w:pPr>
            <w:r>
              <w:rPr>
                <w:sz w:val="22"/>
              </w:rPr>
            </w:r>
            <w:r>
              <w:rPr>
                <w:sz w:val="22"/>
              </w:rPr>
              <w:t>DATE:</w:t>
            </w:r>
          </w:p>
        </w:tc>
        <w:tc>
          <w:tcPr>
            <w:tcW w:type="dxa" w:w="8064"/>
          </w:tcPr>
          <w:p>
            <w:pPr>
              <w:spacing w:after="0"/>
            </w:pPr>
            <w:r>
              <w:rPr>
                <w:sz w:val="22"/>
              </w:rPr>
            </w:r>
            <w:r>
              <w:rPr>
                <w:sz w:val="22"/>
              </w:rPr>
              <w:t>June 2, 2025</w:t>
            </w:r>
          </w:p>
        </w:tc>
      </w:tr>
      <w:tr>
        <w:tc>
          <w:tcPr>
            <w:tcW w:type="dxa" w:w="1296"/>
          </w:tcPr>
          <w:p>
            <w:pPr>
              <w:spacing w:after="0"/>
            </w:pPr>
            <w:r>
              <w:rPr>
                <w:sz w:val="22"/>
              </w:rPr>
            </w:r>
            <w:r>
              <w:rPr>
                <w:sz w:val="22"/>
              </w:rPr>
              <w:t>RE:</w:t>
            </w:r>
          </w:p>
        </w:tc>
        <w:tc>
          <w:tcPr>
            <w:tcW w:type="dxa" w:w="8064"/>
          </w:tcPr>
          <w:p>
            <w:pPr>
              <w:spacing w:after="0"/>
            </w:pPr>
            <w:r>
              <w:rPr>
                <w:sz w:val="22"/>
              </w:rPr>
            </w:r>
            <w:r>
              <w:rPr>
                <w:sz w:val="22"/>
              </w:rPr>
              <w:t>Priya Chandrasekaran 2025 Grantor Retained Annuity Trust — Draft Trust Agreement and Pre-Funding Issues (File WC-2025-0347-PC/GRAT)</w:t>
            </w:r>
          </w:p>
        </w:tc>
      </w:tr>
    </w:tbl>
    <w:p/>
    <w:p>
      <w:pPr>
        <w:pStyle w:val="Heading1"/>
      </w:pPr>
      <w:r>
        <w:t>I. Purpose and Bottom Line</w:t>
      </w:r>
    </w:p>
    <w:p>
      <w:pPr>
        <w:jc w:val="both"/>
      </w:pPr>
      <w:r>
        <w:t>This memorandum accompanies Draft No. 1 of the Priya Chandrasekaran 2025 Grantor Retained Annuity Trust Agreement (grat-agreement.docx). It flags the problems we found across the seven source documents in the file (the May 20 intake memorandum, the May 22 engagement letter, the May 22 existing estate plan summary, the Ridgeline 409A valuation summary, the Silveroak projection workbook, the Helios Stockholders’ Agreement Article IV excerpt, and Meg Hollister’s May 28 email). Each of these must be resolved, or knowingly accepted, before the GRAT is funded.</w:t>
      </w:r>
    </w:p>
    <w:p>
      <w:pPr>
        <w:jc w:val="both"/>
      </w:pPr>
      <w:r>
        <w:rPr>
          <w:b/>
        </w:rPr>
        <w:t>Bottom line:</w:t>
      </w:r>
      <w:r>
        <w:t xml:space="preserve"> The GRAT can be done, but not on the terms or the timetable the file currently assumes. Five problems would each defeat or materially impair the plan if not fixed:</w:t>
      </w:r>
    </w:p>
    <w:p>
      <w:pPr>
        <w:pStyle w:val="ListBullet"/>
        <w:spacing w:after="60"/>
        <w:jc w:val="both"/>
      </w:pPr>
      <w:r>
        <w:rPr>
          <w:b/>
        </w:rPr>
        <w:t>The funding value is wrong.</w:t>
      </w:r>
      <w:r>
        <w:t xml:space="preserve"> Every planning document uses $20.00 per share ($8,000,000). Ridgeline’s actual fair market value conclusion is </w:t>
      </w:r>
      <w:r>
        <w:rPr>
          <w:b/>
        </w:rPr>
        <w:t>$13.50 per share</w:t>
      </w:r>
      <w:r>
        <w:t xml:space="preserve"> (minority, non-marketable). $20.00 is Ridgeline’s pre-discount, marketable-control figure, which Ridgeline itself says "should not be used" as the fair market value of minority shares. On Ridgeline’s numbers the 400,000 shares are worth </w:t>
      </w:r>
      <w:r>
        <w:rPr>
          <w:b/>
        </w:rPr>
        <w:t>$5,400,000</w:t>
      </w:r>
      <w:r>
        <w:t>, and the $13.50 figure is itself stale (Issues 1–2).</w:t>
      </w:r>
    </w:p>
    <w:p>
      <w:pPr>
        <w:pStyle w:val="ListBullet"/>
        <w:spacing w:after="60"/>
        <w:jc w:val="both"/>
      </w:pPr>
      <w:r>
        <w:rPr>
          <w:b/>
        </w:rPr>
        <w:t>The annuity math is wrong.</w:t>
      </w:r>
      <w:r>
        <w:t xml:space="preserve"> Silveroak’s 2.807 annuity factor is incorrect. The 3-year factor at 5.8% is 2.682934. A $2,850,000 annuity on an $8,000,000 funding would produce a taxable gift of about </w:t>
      </w:r>
      <w:r>
        <w:rPr>
          <w:b/>
        </w:rPr>
        <w:t>$353,638</w:t>
      </w:r>
      <w:r>
        <w:t>, not "$0.72." The draft therefore states the annuity as a fixed percentage of the value as finally determined for gift tax purposes, which keeps the GRAT zeroed out whatever value is finally determined (Issue 4).</w:t>
      </w:r>
    </w:p>
    <w:p>
      <w:pPr>
        <w:pStyle w:val="ListBullet"/>
        <w:spacing w:after="60"/>
        <w:jc w:val="both"/>
      </w:pPr>
      <w:r>
        <w:rPr>
          <w:b/>
        </w:rPr>
        <w:t>The July 1, 2025 funding date cannot be met.</w:t>
      </w:r>
      <w:r>
        <w:t xml:space="preserve"> Section 4.2(a) of the Stockholders’ Agreement requires a complete Trust Transfer Request </w:t>
      </w:r>
      <w:r>
        <w:rPr>
          <w:b/>
        </w:rPr>
        <w:t>at least 60 days</w:t>
      </w:r>
      <w:r>
        <w:t xml:space="preserve"> before the transfer date. The Board then has a 30-day review period, and silence counts as a denial. A separate 30-day ROFR period follows Board consent. The intake memo, the engagement letter and the Silveroak workbook all describe only a 30-day process. The realistic funding window is mid-August to September 2025 (Issue 7).</w:t>
      </w:r>
    </w:p>
    <w:p>
      <w:pPr>
        <w:pStyle w:val="ListBullet"/>
        <w:spacing w:after="60"/>
        <w:jc w:val="both"/>
      </w:pPr>
      <w:r>
        <w:rPr>
          <w:b/>
        </w:rPr>
        <w:t>Wheatley will not serve on the terms the client asked for.</w:t>
      </w:r>
      <w:r>
        <w:t xml:space="preserve"> Dr. Chandrasekaran wants day-to-day control as individual trustee. Wheatley requires exclusive authority over valuation, investment decisions and any discretion, and will decline the appointment otherwise. We go further and recommend that Wheatley also hold the vote of the Helios shares. Dr. Chandrasekaran owns exactly 20.0% of Helios’s outstanding voting stock, which makes Helios a "controlled corporation" under IRC §2036(b) (Issues 10 and 13).</w:t>
      </w:r>
    </w:p>
    <w:p>
      <w:pPr>
        <w:pStyle w:val="ListBullet"/>
        <w:spacing w:after="60"/>
        <w:jc w:val="both"/>
      </w:pPr>
      <w:r>
        <w:rPr>
          <w:b/>
        </w:rPr>
        <w:t>Every later movement of shares out of the trust is itself a restricted "Transfer."</w:t>
      </w:r>
      <w:r>
        <w:t xml:space="preserve"> This includes in-kind annuity payments back to the grantor, swaps under the substitution power, and the final distribution to the children. Each one triggers the ROFR and joinder requirements. Dr. Chandrasekaran individually is not listed as a "Permitted Transferee." Without an advance Board resolution, the trust may be unable to make an in-kind annuity payment within the 105-day grace period, and a missed payment would disqualify the annuity under §2702 (Issues 9 and 19).</w:t>
      </w:r>
    </w:p>
    <w:p>
      <w:pPr>
        <w:jc w:val="both"/>
      </w:pPr>
      <w:r>
        <w:t>An issue summary table is in Part III. Detailed analysis is in Part IV. A table of discrepancies between the source documents, a revised timeline and a pre-funding checklist are in Parts V, VI and VII. Corrected computations are in the Appendices.</w:t>
      </w:r>
    </w:p>
    <w:p>
      <w:pPr>
        <w:pStyle w:val="Heading1"/>
      </w:pPr>
      <w:r>
        <w:t>II. Key Design Choices in Draft No. 1</w:t>
      </w:r>
    </w:p>
    <w:tbl>
      <w:tblPr>
        <w:tblStyle w:val="TableGrid"/>
        <w:tblW w:type="auto" w:w="0"/>
        <w:tblLook w:firstColumn="1" w:firstRow="1" w:lastColumn="0" w:lastRow="0" w:noHBand="0" w:noVBand="1" w:val="04A0"/>
      </w:tblPr>
      <w:tblGrid>
        <w:gridCol w:w="3120"/>
        <w:gridCol w:w="3120"/>
        <w:gridCol w:w="3120"/>
      </w:tblGrid>
      <w:tr>
        <w:tc>
          <w:tcPr>
            <w:tcW w:type="dxa" w:w="1728"/>
            <w:shd w:val="clear" w:color="auto" w:fill="D9D9D9"/>
          </w:tcPr>
          <w:p>
            <w:pPr>
              <w:spacing w:after="0"/>
            </w:pPr>
            <w:r>
              <w:rPr>
                <w:b/>
                <w:sz w:val="18"/>
              </w:rPr>
            </w:r>
            <w:r>
              <w:rPr>
                <w:b/>
                <w:sz w:val="18"/>
              </w:rPr>
              <w:t>Topic</w:t>
            </w:r>
          </w:p>
        </w:tc>
        <w:tc>
          <w:tcPr>
            <w:tcW w:type="dxa" w:w="4464"/>
            <w:shd w:val="clear" w:color="auto" w:fill="D9D9D9"/>
          </w:tcPr>
          <w:p>
            <w:pPr>
              <w:spacing w:after="0"/>
            </w:pPr>
            <w:r>
              <w:rPr>
                <w:b/>
                <w:sz w:val="18"/>
              </w:rPr>
            </w:r>
            <w:r>
              <w:rPr>
                <w:b/>
                <w:sz w:val="18"/>
              </w:rPr>
              <w:t>Draft provision</w:t>
            </w:r>
          </w:p>
        </w:tc>
        <w:tc>
          <w:tcPr>
            <w:tcW w:type="dxa" w:w="3168"/>
            <w:shd w:val="clear" w:color="auto" w:fill="D9D9D9"/>
          </w:tcPr>
          <w:p>
            <w:pPr>
              <w:spacing w:after="0"/>
            </w:pPr>
            <w:r>
              <w:rPr>
                <w:b/>
                <w:sz w:val="18"/>
              </w:rPr>
            </w:r>
            <w:r>
              <w:rPr>
                <w:b/>
                <w:sz w:val="18"/>
              </w:rPr>
              <w:t>Why</w:t>
            </w:r>
          </w:p>
        </w:tc>
      </w:tr>
      <w:tr>
        <w:tc>
          <w:tcPr>
            <w:tcW w:type="dxa" w:w="1728"/>
          </w:tcPr>
          <w:p>
            <w:pPr>
              <w:spacing w:after="0"/>
            </w:pPr>
            <w:r>
              <w:rPr>
                <w:sz w:val="18"/>
              </w:rPr>
            </w:r>
            <w:r>
              <w:rPr>
                <w:sz w:val="18"/>
              </w:rPr>
              <w:t>Annuity</w:t>
            </w:r>
          </w:p>
        </w:tc>
        <w:tc>
          <w:tcPr>
            <w:tcW w:type="dxa" w:w="4464"/>
          </w:tcPr>
          <w:p>
            <w:pPr>
              <w:spacing w:after="0"/>
            </w:pPr>
            <w:r>
              <w:rPr>
                <w:sz w:val="18"/>
              </w:rPr>
            </w:r>
            <w:r>
              <w:rPr>
                <w:sz w:val="18"/>
              </w:rPr>
              <w:t xml:space="preserve">Art. III: fixed </w:t>
            </w:r>
            <w:r>
              <w:rPr>
                <w:b/>
                <w:sz w:val="18"/>
              </w:rPr>
              <w:t>percentage</w:t>
            </w:r>
            <w:r>
              <w:rPr>
                <w:sz w:val="18"/>
              </w:rPr>
              <w:t xml:space="preserve"> ([37.2726]% illustrative at 5.8%) of Initial Fair Market Value as finally determined for gift tax purposes, payable annually in arrears on each anniversary of the Funding Date; 105-day grace period; adjustment for incorrect valuations</w:t>
            </w:r>
          </w:p>
        </w:tc>
        <w:tc>
          <w:tcPr>
            <w:tcW w:type="dxa" w:w="3168"/>
          </w:tcPr>
          <w:p>
            <w:pPr>
              <w:spacing w:after="0"/>
            </w:pPr>
            <w:r>
              <w:rPr>
                <w:sz w:val="18"/>
              </w:rPr>
            </w:r>
            <w:r>
              <w:rPr>
                <w:sz w:val="18"/>
              </w:rPr>
              <w:t>Treas. Reg. §25.2702-3(b)(1)(ii)(B), (b)(2), (b)(4). Keeps the gift near zero whether the shares are valued at $13.50, $20.00 or an updated figure</w:t>
            </w:r>
          </w:p>
        </w:tc>
      </w:tr>
      <w:tr>
        <w:tc>
          <w:tcPr>
            <w:tcW w:type="dxa" w:w="1728"/>
          </w:tcPr>
          <w:p>
            <w:pPr>
              <w:spacing w:after="0"/>
            </w:pPr>
            <w:r>
              <w:rPr>
                <w:sz w:val="18"/>
              </w:rPr>
            </w:r>
            <w:r>
              <w:rPr>
                <w:sz w:val="18"/>
              </w:rPr>
              <w:t>Funding</w:t>
            </w:r>
          </w:p>
        </w:tc>
        <w:tc>
          <w:tcPr>
            <w:tcW w:type="dxa" w:w="4464"/>
          </w:tcPr>
          <w:p>
            <w:pPr>
              <w:spacing w:after="0"/>
            </w:pPr>
            <w:r>
              <w:rPr>
                <w:sz w:val="18"/>
              </w:rPr>
            </w:r>
            <w:r>
              <w:rPr>
                <w:sz w:val="18"/>
              </w:rPr>
              <w:t>Single transfer of Schedule A property only after Board consent, ROFR waiver or lapse, and trustee joinders (§2.2); no nominal pre-funding; no additional contributions (§2.3)</w:t>
            </w:r>
          </w:p>
        </w:tc>
        <w:tc>
          <w:tcPr>
            <w:tcW w:type="dxa" w:w="3168"/>
          </w:tcPr>
          <w:p>
            <w:pPr>
              <w:spacing w:after="0"/>
            </w:pPr>
            <w:r>
              <w:rPr>
                <w:sz w:val="18"/>
              </w:rPr>
            </w:r>
            <w:r>
              <w:rPr>
                <w:sz w:val="18"/>
              </w:rPr>
              <w:t>Stockholders’ Agreement §§4.1(a), (d), 4.2. Reg. §25.2702-3(b)(5)</w:t>
            </w:r>
          </w:p>
        </w:tc>
      </w:tr>
      <w:tr>
        <w:tc>
          <w:tcPr>
            <w:tcW w:type="dxa" w:w="1728"/>
          </w:tcPr>
          <w:p>
            <w:pPr>
              <w:spacing w:after="0"/>
            </w:pPr>
            <w:r>
              <w:rPr>
                <w:sz w:val="18"/>
              </w:rPr>
            </w:r>
            <w:r>
              <w:rPr>
                <w:sz w:val="18"/>
              </w:rPr>
              <w:t>Section 2702 requirements</w:t>
            </w:r>
          </w:p>
        </w:tc>
        <w:tc>
          <w:tcPr>
            <w:tcW w:type="dxa" w:w="4464"/>
          </w:tcPr>
          <w:p>
            <w:pPr>
              <w:spacing w:after="0"/>
            </w:pPr>
            <w:r>
              <w:rPr>
                <w:sz w:val="18"/>
              </w:rPr>
            </w:r>
            <w:r>
              <w:rPr>
                <w:sz w:val="18"/>
              </w:rPr>
              <w:t>Prohibitions on notes, commutation and distributions to others; excess income accumulated; savings and limited amendment clause (Art. XI)</w:t>
            </w:r>
          </w:p>
        </w:tc>
        <w:tc>
          <w:tcPr>
            <w:tcW w:type="dxa" w:w="3168"/>
          </w:tcPr>
          <w:p>
            <w:pPr>
              <w:spacing w:after="0"/>
            </w:pPr>
            <w:r>
              <w:rPr>
                <w:sz w:val="18"/>
              </w:rPr>
            </w:r>
            <w:r>
              <w:rPr>
                <w:sz w:val="18"/>
              </w:rPr>
              <w:t>Reg. §25.2702-3(b), (d)</w:t>
            </w:r>
          </w:p>
        </w:tc>
      </w:tr>
      <w:tr>
        <w:tc>
          <w:tcPr>
            <w:tcW w:type="dxa" w:w="1728"/>
          </w:tcPr>
          <w:p>
            <w:pPr>
              <w:spacing w:after="0"/>
            </w:pPr>
            <w:r>
              <w:rPr>
                <w:sz w:val="18"/>
              </w:rPr>
            </w:r>
            <w:r>
              <w:rPr>
                <w:sz w:val="18"/>
              </w:rPr>
              <w:t>Trustee powers</w:t>
            </w:r>
          </w:p>
        </w:tc>
        <w:tc>
          <w:tcPr>
            <w:tcW w:type="dxa" w:w="4464"/>
          </w:tcPr>
          <w:p>
            <w:pPr>
              <w:spacing w:after="0"/>
            </w:pPr>
            <w:r>
              <w:rPr>
                <w:sz w:val="18"/>
              </w:rPr>
            </w:r>
            <w:r>
              <w:rPr>
                <w:sz w:val="18"/>
              </w:rPr>
              <w:t xml:space="preserve">Wheatley holds the "Reserved Powers": valuation, investment, </w:t>
            </w:r>
            <w:r>
              <w:rPr>
                <w:b/>
                <w:sz w:val="18"/>
              </w:rPr>
              <w:t>voting</w:t>
            </w:r>
            <w:r>
              <w:rPr>
                <w:sz w:val="18"/>
              </w:rPr>
              <w:t>, Stockholders’ Agreement and drag-along decisions, cash vs. in-kind decisions, all discretion. Individual trustee is ministerial only (§§6.2–6.3)</w:t>
            </w:r>
          </w:p>
        </w:tc>
        <w:tc>
          <w:tcPr>
            <w:tcW w:type="dxa" w:w="3168"/>
          </w:tcPr>
          <w:p>
            <w:pPr>
              <w:spacing w:after="0"/>
            </w:pPr>
            <w:r>
              <w:rPr>
                <w:sz w:val="18"/>
              </w:rPr>
            </w:r>
            <w:r>
              <w:rPr>
                <w:sz w:val="18"/>
              </w:rPr>
              <w:t>Wheatley conditions (May 28 email). IRC §§2036(a)(2), 2036(b), 2038</w:t>
            </w:r>
          </w:p>
        </w:tc>
      </w:tr>
      <w:tr>
        <w:tc>
          <w:tcPr>
            <w:tcW w:type="dxa" w:w="1728"/>
          </w:tcPr>
          <w:p>
            <w:pPr>
              <w:spacing w:after="0"/>
            </w:pPr>
            <w:r>
              <w:rPr>
                <w:sz w:val="18"/>
              </w:rPr>
            </w:r>
            <w:r>
              <w:rPr>
                <w:sz w:val="18"/>
              </w:rPr>
              <w:t>Successors</w:t>
            </w:r>
          </w:p>
        </w:tc>
        <w:tc>
          <w:tcPr>
            <w:tcW w:type="dxa" w:w="4464"/>
          </w:tcPr>
          <w:p>
            <w:pPr>
              <w:spacing w:after="0"/>
            </w:pPr>
            <w:r>
              <w:rPr>
                <w:sz w:val="18"/>
              </w:rPr>
            </w:r>
            <w:r>
              <w:rPr>
                <w:sz w:val="18"/>
              </w:rPr>
              <w:t>Vikram as successor individual trustee (ministerial only), then Wheatley as sole trustee. Grantor may remove Wheatley only by appointing a successor that is not related or subordinate</w:t>
            </w:r>
          </w:p>
        </w:tc>
        <w:tc>
          <w:tcPr>
            <w:tcW w:type="dxa" w:w="3168"/>
          </w:tcPr>
          <w:p>
            <w:pPr>
              <w:spacing w:after="0"/>
            </w:pPr>
            <w:r>
              <w:rPr>
                <w:sz w:val="18"/>
              </w:rPr>
            </w:r>
            <w:r>
              <w:rPr>
                <w:sz w:val="18"/>
              </w:rPr>
              <w:t>Intake §VI.C. Rev. Rul. 95-58</w:t>
            </w:r>
          </w:p>
        </w:tc>
      </w:tr>
      <w:tr>
        <w:tc>
          <w:tcPr>
            <w:tcW w:type="dxa" w:w="1728"/>
          </w:tcPr>
          <w:p>
            <w:pPr>
              <w:spacing w:after="0"/>
            </w:pPr>
            <w:r>
              <w:rPr>
                <w:sz w:val="18"/>
              </w:rPr>
            </w:r>
            <w:r>
              <w:rPr>
                <w:sz w:val="18"/>
              </w:rPr>
              <w:t>Death during term</w:t>
            </w:r>
          </w:p>
        </w:tc>
        <w:tc>
          <w:tcPr>
            <w:tcW w:type="dxa" w:w="4464"/>
          </w:tcPr>
          <w:p>
            <w:pPr>
              <w:spacing w:after="0"/>
            </w:pPr>
            <w:r>
              <w:rPr>
                <w:sz w:val="18"/>
              </w:rPr>
            </w:r>
            <w:r>
              <w:rPr>
                <w:sz w:val="18"/>
              </w:rPr>
              <w:t xml:space="preserve">Annuity continues to the estate for the full fixed term (term-certain valuation). Includible portion passes under </w:t>
            </w:r>
            <w:r>
              <w:rPr>
                <w:b/>
                <w:sz w:val="18"/>
              </w:rPr>
              <w:t>[Alt. A: children] / [Alt. B: QTIP trust for Vikram]</w:t>
            </w:r>
            <w:r>
              <w:rPr>
                <w:sz w:val="18"/>
              </w:rPr>
              <w:t>. Section 2207B recovery</w:t>
            </w:r>
          </w:p>
        </w:tc>
        <w:tc>
          <w:tcPr>
            <w:tcW w:type="dxa" w:w="3168"/>
          </w:tcPr>
          <w:p>
            <w:pPr>
              <w:spacing w:after="0"/>
            </w:pPr>
            <w:r>
              <w:rPr>
                <w:sz w:val="18"/>
              </w:rPr>
            </w:r>
            <w:r>
              <w:rPr>
                <w:sz w:val="18"/>
              </w:rPr>
              <w:t>Client decision (Issue 21)</w:t>
            </w:r>
          </w:p>
        </w:tc>
      </w:tr>
      <w:tr>
        <w:tc>
          <w:tcPr>
            <w:tcW w:type="dxa" w:w="1728"/>
          </w:tcPr>
          <w:p>
            <w:pPr>
              <w:spacing w:after="0"/>
            </w:pPr>
            <w:r>
              <w:rPr>
                <w:sz w:val="18"/>
              </w:rPr>
            </w:r>
            <w:r>
              <w:rPr>
                <w:sz w:val="18"/>
              </w:rPr>
              <w:t>Remainder</w:t>
            </w:r>
          </w:p>
        </w:tc>
        <w:tc>
          <w:tcPr>
            <w:tcW w:type="dxa" w:w="4464"/>
          </w:tcPr>
          <w:p>
            <w:pPr>
              <w:spacing w:after="0"/>
            </w:pPr>
            <w:r>
              <w:rPr>
                <w:sz w:val="18"/>
              </w:rPr>
            </w:r>
            <w:r>
              <w:rPr>
                <w:sz w:val="18"/>
              </w:rPr>
              <w:t>Equal shares to the three children, per stirpes for a deceased child’s descendants (Revocable Trust pattern); minors’/disability holdback to age 25 or CUTMA</w:t>
            </w:r>
          </w:p>
        </w:tc>
        <w:tc>
          <w:tcPr>
            <w:tcW w:type="dxa" w:w="3168"/>
          </w:tcPr>
          <w:p>
            <w:pPr>
              <w:spacing w:after="0"/>
            </w:pPr>
            <w:r>
              <w:rPr>
                <w:sz w:val="18"/>
              </w:rPr>
            </w:r>
            <w:r>
              <w:rPr>
                <w:sz w:val="18"/>
              </w:rPr>
              <w:t>Intake §II.C, V.F. Zara is age 4</w:t>
            </w:r>
          </w:p>
        </w:tc>
      </w:tr>
      <w:tr>
        <w:tc>
          <w:tcPr>
            <w:tcW w:type="dxa" w:w="1728"/>
          </w:tcPr>
          <w:p>
            <w:pPr>
              <w:spacing w:after="0"/>
            </w:pPr>
            <w:r>
              <w:rPr>
                <w:sz w:val="18"/>
              </w:rPr>
            </w:r>
            <w:r>
              <w:rPr>
                <w:sz w:val="18"/>
              </w:rPr>
              <w:t>Helios Stockholders’ Agreement</w:t>
            </w:r>
          </w:p>
        </w:tc>
        <w:tc>
          <w:tcPr>
            <w:tcW w:type="dxa" w:w="4464"/>
          </w:tcPr>
          <w:p>
            <w:pPr>
              <w:spacing w:after="0"/>
            </w:pPr>
            <w:r>
              <w:rPr>
                <w:sz w:val="18"/>
              </w:rPr>
            </w:r>
            <w:r>
              <w:rPr>
                <w:sz w:val="18"/>
              </w:rPr>
              <w:t>Art. VIII expressly binds every trustee to Article IV and to the §4.3 drag-along, as §4.3(c) requires as a condition of Board consent</w:t>
            </w:r>
          </w:p>
        </w:tc>
        <w:tc>
          <w:tcPr>
            <w:tcW w:type="dxa" w:w="3168"/>
          </w:tcPr>
          <w:p>
            <w:pPr>
              <w:spacing w:after="0"/>
            </w:pPr>
            <w:r>
              <w:rPr>
                <w:sz w:val="18"/>
              </w:rPr>
            </w:r>
            <w:r>
              <w:rPr>
                <w:sz w:val="18"/>
              </w:rPr>
              <w:t>Stockholders’ Agreement §§4.1(d), 4.3(c)</w:t>
            </w:r>
          </w:p>
        </w:tc>
      </w:tr>
      <w:tr>
        <w:tc>
          <w:tcPr>
            <w:tcW w:type="dxa" w:w="1728"/>
          </w:tcPr>
          <w:p>
            <w:pPr>
              <w:spacing w:after="0"/>
            </w:pPr>
            <w:r>
              <w:rPr>
                <w:sz w:val="18"/>
              </w:rPr>
            </w:r>
            <w:r>
              <w:rPr>
                <w:sz w:val="18"/>
              </w:rPr>
              <w:t>Grantor trust</w:t>
            </w:r>
          </w:p>
        </w:tc>
        <w:tc>
          <w:tcPr>
            <w:tcW w:type="dxa" w:w="4464"/>
          </w:tcPr>
          <w:p>
            <w:pPr>
              <w:spacing w:after="0"/>
            </w:pPr>
            <w:r>
              <w:rPr>
                <w:sz w:val="18"/>
              </w:rPr>
            </w:r>
            <w:r>
              <w:rPr>
                <w:sz w:val="18"/>
              </w:rPr>
              <w:t>Section 675(4)(C) substitution power in a non-fiduciary capacity, with Wheatley certifying equivalent value; no reimbursement of the grantor’s income tax</w:t>
            </w:r>
          </w:p>
        </w:tc>
        <w:tc>
          <w:tcPr>
            <w:tcW w:type="dxa" w:w="3168"/>
          </w:tcPr>
          <w:p>
            <w:pPr>
              <w:spacing w:after="0"/>
            </w:pPr>
            <w:r>
              <w:rPr>
                <w:sz w:val="18"/>
              </w:rPr>
            </w:r>
            <w:r>
              <w:rPr>
                <w:sz w:val="18"/>
              </w:rPr>
              <w:t>IRC §§671–677. Rev. Rul. 2008-22</w:t>
            </w:r>
          </w:p>
        </w:tc>
      </w:tr>
      <w:tr>
        <w:tc>
          <w:tcPr>
            <w:tcW w:type="dxa" w:w="1728"/>
          </w:tcPr>
          <w:p>
            <w:pPr>
              <w:spacing w:after="0"/>
            </w:pPr>
            <w:r>
              <w:rPr>
                <w:sz w:val="18"/>
              </w:rPr>
            </w:r>
            <w:r>
              <w:rPr>
                <w:sz w:val="18"/>
              </w:rPr>
              <w:t>Spendthrift</w:t>
            </w:r>
          </w:p>
        </w:tc>
        <w:tc>
          <w:tcPr>
            <w:tcW w:type="dxa" w:w="4464"/>
          </w:tcPr>
          <w:p>
            <w:pPr>
              <w:spacing w:after="0"/>
            </w:pPr>
            <w:r>
              <w:rPr>
                <w:sz w:val="18"/>
              </w:rPr>
            </w:r>
            <w:r>
              <w:rPr>
                <w:sz w:val="18"/>
              </w:rPr>
              <w:t>Spendthrift clause covers all interests until distribution, including divorce claims</w:t>
            </w:r>
          </w:p>
        </w:tc>
        <w:tc>
          <w:tcPr>
            <w:tcW w:type="dxa" w:w="3168"/>
          </w:tcPr>
          <w:p>
            <w:pPr>
              <w:spacing w:after="0"/>
            </w:pPr>
            <w:r>
              <w:rPr>
                <w:sz w:val="18"/>
              </w:rPr>
            </w:r>
            <w:r>
              <w:rPr>
                <w:sz w:val="18"/>
              </w:rPr>
              <w:t>Intake objective 5. Connecticut Uniform Trust Code</w:t>
            </w:r>
          </w:p>
        </w:tc>
      </w:tr>
    </w:tbl>
    <w:p/>
    <w:p>
      <w:pPr>
        <w:pStyle w:val="Heading1"/>
      </w:pPr>
      <w:r>
        <w:t>III. Issue Summary</w:t>
      </w:r>
    </w:p>
    <w:tbl>
      <w:tblPr>
        <w:tblStyle w:val="TableGrid"/>
        <w:tblW w:type="auto" w:w="0"/>
        <w:tblLook w:firstColumn="1" w:firstRow="1" w:lastColumn="0" w:lastRow="0" w:noHBand="0" w:noVBand="1" w:val="04A0"/>
      </w:tblPr>
      <w:tblGrid>
        <w:gridCol w:w="2340"/>
        <w:gridCol w:w="2340"/>
        <w:gridCol w:w="2340"/>
        <w:gridCol w:w="2340"/>
      </w:tblGrid>
      <w:tr>
        <w:tc>
          <w:tcPr>
            <w:tcW w:type="dxa" w:w="504"/>
            <w:shd w:val="clear" w:color="auto" w:fill="D9D9D9"/>
          </w:tcPr>
          <w:p>
            <w:pPr>
              <w:spacing w:after="0"/>
            </w:pPr>
            <w:r>
              <w:rPr>
                <w:b/>
                <w:sz w:val="18"/>
              </w:rPr>
            </w:r>
            <w:r>
              <w:rPr>
                <w:b/>
                <w:sz w:val="18"/>
              </w:rPr>
              <w:t>#</w:t>
            </w:r>
          </w:p>
        </w:tc>
        <w:tc>
          <w:tcPr>
            <w:tcW w:type="dxa" w:w="5904"/>
            <w:shd w:val="clear" w:color="auto" w:fill="D9D9D9"/>
          </w:tcPr>
          <w:p>
            <w:pPr>
              <w:spacing w:after="0"/>
            </w:pPr>
            <w:r>
              <w:rPr>
                <w:b/>
                <w:sz w:val="18"/>
              </w:rPr>
            </w:r>
            <w:r>
              <w:rPr>
                <w:b/>
                <w:sz w:val="18"/>
              </w:rPr>
              <w:t>Issue</w:t>
            </w:r>
          </w:p>
        </w:tc>
        <w:tc>
          <w:tcPr>
            <w:tcW w:type="dxa" w:w="1152"/>
            <w:shd w:val="clear" w:color="auto" w:fill="D9D9D9"/>
          </w:tcPr>
          <w:p>
            <w:pPr>
              <w:spacing w:after="0"/>
            </w:pPr>
            <w:r>
              <w:rPr>
                <w:b/>
                <w:sz w:val="18"/>
              </w:rPr>
            </w:r>
            <w:r>
              <w:rPr>
                <w:b/>
                <w:sz w:val="18"/>
              </w:rPr>
              <w:t>Priority</w:t>
            </w:r>
          </w:p>
        </w:tc>
        <w:tc>
          <w:tcPr>
            <w:tcW w:type="dxa" w:w="1800"/>
            <w:shd w:val="clear" w:color="auto" w:fill="D9D9D9"/>
          </w:tcPr>
          <w:p>
            <w:pPr>
              <w:spacing w:after="0"/>
            </w:pPr>
            <w:r>
              <w:rPr>
                <w:b/>
                <w:sz w:val="18"/>
              </w:rPr>
            </w:r>
            <w:r>
              <w:rPr>
                <w:b/>
                <w:sz w:val="18"/>
              </w:rPr>
              <w:t>Blocks funding?</w:t>
            </w:r>
          </w:p>
        </w:tc>
      </w:tr>
      <w:tr>
        <w:tc>
          <w:tcPr>
            <w:tcW w:type="dxa" w:w="504"/>
          </w:tcPr>
          <w:p>
            <w:pPr>
              <w:spacing w:after="0"/>
            </w:pPr>
            <w:r>
              <w:rPr>
                <w:sz w:val="18"/>
              </w:rPr>
            </w:r>
            <w:r>
              <w:rPr>
                <w:sz w:val="18"/>
              </w:rPr>
              <w:t>1</w:t>
            </w:r>
          </w:p>
        </w:tc>
        <w:tc>
          <w:tcPr>
            <w:tcW w:type="dxa" w:w="5904"/>
          </w:tcPr>
          <w:p>
            <w:pPr>
              <w:spacing w:after="0"/>
            </w:pPr>
            <w:r>
              <w:rPr>
                <w:sz w:val="18"/>
              </w:rPr>
            </w:r>
            <w:r>
              <w:rPr>
                <w:sz w:val="18"/>
              </w:rPr>
              <w:t>Funding value uses $20.00 pre-discount figure; Ridgeline FMV is $13.50</w:t>
            </w:r>
          </w:p>
        </w:tc>
        <w:tc>
          <w:tcPr>
            <w:tcW w:type="dxa" w:w="1152"/>
          </w:tcPr>
          <w:p>
            <w:pPr>
              <w:spacing w:after="0"/>
            </w:pPr>
            <w:r>
              <w:rPr>
                <w:sz w:val="18"/>
              </w:rPr>
            </w:r>
            <w:r>
              <w:rPr>
                <w:sz w:val="18"/>
              </w:rPr>
              <w:t>Critical</w:t>
            </w:r>
          </w:p>
        </w:tc>
        <w:tc>
          <w:tcPr>
            <w:tcW w:type="dxa" w:w="1800"/>
          </w:tcPr>
          <w:p>
            <w:pPr>
              <w:spacing w:after="0"/>
            </w:pPr>
            <w:r>
              <w:rPr>
                <w:sz w:val="18"/>
              </w:rPr>
            </w:r>
            <w:r>
              <w:rPr>
                <w:sz w:val="18"/>
              </w:rPr>
              <w:t>Yes</w:t>
            </w:r>
          </w:p>
        </w:tc>
      </w:tr>
      <w:tr>
        <w:tc>
          <w:tcPr>
            <w:tcW w:type="dxa" w:w="504"/>
          </w:tcPr>
          <w:p>
            <w:pPr>
              <w:spacing w:after="0"/>
            </w:pPr>
            <w:r>
              <w:rPr>
                <w:sz w:val="18"/>
              </w:rPr>
            </w:r>
            <w:r>
              <w:rPr>
                <w:sz w:val="18"/>
              </w:rPr>
              <w:t>2</w:t>
            </w:r>
          </w:p>
        </w:tc>
        <w:tc>
          <w:tcPr>
            <w:tcW w:type="dxa" w:w="5904"/>
          </w:tcPr>
          <w:p>
            <w:pPr>
              <w:spacing w:after="0"/>
            </w:pPr>
            <w:r>
              <w:rPr>
                <w:sz w:val="18"/>
              </w:rPr>
            </w:r>
            <w:r>
              <w:rPr>
                <w:sz w:val="18"/>
              </w:rPr>
              <w:t>Ridgeline valuation stale (3/31/25); Paramount deal and IPO talks post-date or were not reflected; not a gift-tax appraisal</w:t>
            </w:r>
          </w:p>
        </w:tc>
        <w:tc>
          <w:tcPr>
            <w:tcW w:type="dxa" w:w="1152"/>
          </w:tcPr>
          <w:p>
            <w:pPr>
              <w:spacing w:after="0"/>
            </w:pPr>
            <w:r>
              <w:rPr>
                <w:sz w:val="18"/>
              </w:rPr>
            </w:r>
            <w:r>
              <w:rPr>
                <w:sz w:val="18"/>
              </w:rPr>
              <w:t>Critical</w:t>
            </w:r>
          </w:p>
        </w:tc>
        <w:tc>
          <w:tcPr>
            <w:tcW w:type="dxa" w:w="1800"/>
          </w:tcPr>
          <w:p>
            <w:pPr>
              <w:spacing w:after="0"/>
            </w:pPr>
            <w:r>
              <w:rPr>
                <w:sz w:val="18"/>
              </w:rPr>
            </w:r>
            <w:r>
              <w:rPr>
                <w:sz w:val="18"/>
              </w:rPr>
              <w:t>Yes</w:t>
            </w:r>
          </w:p>
        </w:tc>
      </w:tr>
      <w:tr>
        <w:tc>
          <w:tcPr>
            <w:tcW w:type="dxa" w:w="504"/>
          </w:tcPr>
          <w:p>
            <w:pPr>
              <w:spacing w:after="0"/>
            </w:pPr>
            <w:r>
              <w:rPr>
                <w:sz w:val="18"/>
              </w:rPr>
            </w:r>
            <w:r>
              <w:rPr>
                <w:sz w:val="18"/>
              </w:rPr>
              <w:t>3</w:t>
            </w:r>
          </w:p>
        </w:tc>
        <w:tc>
          <w:tcPr>
            <w:tcW w:type="dxa" w:w="5904"/>
          </w:tcPr>
          <w:p>
            <w:pPr>
              <w:spacing w:after="0"/>
            </w:pPr>
            <w:r>
              <w:rPr>
                <w:sz w:val="18"/>
              </w:rPr>
            </w:r>
            <w:r>
              <w:rPr>
                <w:sz w:val="18"/>
              </w:rPr>
              <w:t>Factual inconsistencies inside the Ridgeline report</w:t>
            </w:r>
          </w:p>
        </w:tc>
        <w:tc>
          <w:tcPr>
            <w:tcW w:type="dxa" w:w="1152"/>
          </w:tcPr>
          <w:p>
            <w:pPr>
              <w:spacing w:after="0"/>
            </w:pPr>
            <w:r>
              <w:rPr>
                <w:sz w:val="18"/>
              </w:rPr>
            </w:r>
            <w:r>
              <w:rPr>
                <w:sz w:val="18"/>
              </w:rPr>
              <w:t>High</w:t>
            </w:r>
          </w:p>
        </w:tc>
        <w:tc>
          <w:tcPr>
            <w:tcW w:type="dxa" w:w="1800"/>
          </w:tcPr>
          <w:p>
            <w:pPr>
              <w:spacing w:after="0"/>
            </w:pPr>
            <w:r>
              <w:rPr>
                <w:sz w:val="18"/>
              </w:rPr>
            </w:r>
            <w:r>
              <w:rPr>
                <w:sz w:val="18"/>
              </w:rPr>
              <w:t>Yes (until reconciled)</w:t>
            </w:r>
          </w:p>
        </w:tc>
      </w:tr>
      <w:tr>
        <w:tc>
          <w:tcPr>
            <w:tcW w:type="dxa" w:w="504"/>
          </w:tcPr>
          <w:p>
            <w:pPr>
              <w:spacing w:after="0"/>
            </w:pPr>
            <w:r>
              <w:rPr>
                <w:sz w:val="18"/>
              </w:rPr>
            </w:r>
            <w:r>
              <w:rPr>
                <w:sz w:val="18"/>
              </w:rPr>
              <w:t>4</w:t>
            </w:r>
          </w:p>
        </w:tc>
        <w:tc>
          <w:tcPr>
            <w:tcW w:type="dxa" w:w="5904"/>
          </w:tcPr>
          <w:p>
            <w:pPr>
              <w:spacing w:after="0"/>
            </w:pPr>
            <w:r>
              <w:rPr>
                <w:sz w:val="18"/>
              </w:rPr>
            </w:r>
            <w:r>
              <w:rPr>
                <w:sz w:val="18"/>
              </w:rPr>
              <w:t>Annuity factor and payment miscalculated; "$0.72 gift" is wrong</w:t>
            </w:r>
          </w:p>
        </w:tc>
        <w:tc>
          <w:tcPr>
            <w:tcW w:type="dxa" w:w="1152"/>
          </w:tcPr>
          <w:p>
            <w:pPr>
              <w:spacing w:after="0"/>
            </w:pPr>
            <w:r>
              <w:rPr>
                <w:sz w:val="18"/>
              </w:rPr>
            </w:r>
            <w:r>
              <w:rPr>
                <w:sz w:val="18"/>
              </w:rPr>
              <w:t>Critical</w:t>
            </w:r>
          </w:p>
        </w:tc>
        <w:tc>
          <w:tcPr>
            <w:tcW w:type="dxa" w:w="1800"/>
          </w:tcPr>
          <w:p>
            <w:pPr>
              <w:spacing w:after="0"/>
            </w:pPr>
            <w:r>
              <w:rPr>
                <w:sz w:val="18"/>
              </w:rPr>
            </w:r>
            <w:r>
              <w:rPr>
                <w:sz w:val="18"/>
              </w:rPr>
              <w:t>Yes</w:t>
            </w:r>
          </w:p>
        </w:tc>
      </w:tr>
      <w:tr>
        <w:tc>
          <w:tcPr>
            <w:tcW w:type="dxa" w:w="504"/>
          </w:tcPr>
          <w:p>
            <w:pPr>
              <w:spacing w:after="0"/>
            </w:pPr>
            <w:r>
              <w:rPr>
                <w:sz w:val="18"/>
              </w:rPr>
            </w:r>
            <w:r>
              <w:rPr>
                <w:sz w:val="18"/>
              </w:rPr>
              <w:t>5</w:t>
            </w:r>
          </w:p>
        </w:tc>
        <w:tc>
          <w:tcPr>
            <w:tcW w:type="dxa" w:w="5904"/>
          </w:tcPr>
          <w:p>
            <w:pPr>
              <w:spacing w:after="0"/>
            </w:pPr>
            <w:r>
              <w:rPr>
                <w:sz w:val="18"/>
              </w:rPr>
            </w:r>
            <w:r>
              <w:rPr>
                <w:sz w:val="18"/>
              </w:rPr>
              <w:t>Section 7520 rate unverified; election months shift with funding date</w:t>
            </w:r>
          </w:p>
        </w:tc>
        <w:tc>
          <w:tcPr>
            <w:tcW w:type="dxa" w:w="1152"/>
          </w:tcPr>
          <w:p>
            <w:pPr>
              <w:spacing w:after="0"/>
            </w:pPr>
            <w:r>
              <w:rPr>
                <w:sz w:val="18"/>
              </w:rPr>
            </w:r>
            <w:r>
              <w:rPr>
                <w:sz w:val="18"/>
              </w:rPr>
              <w:t>High</w:t>
            </w:r>
          </w:p>
        </w:tc>
        <w:tc>
          <w:tcPr>
            <w:tcW w:type="dxa" w:w="1800"/>
          </w:tcPr>
          <w:p>
            <w:pPr>
              <w:spacing w:after="0"/>
            </w:pPr>
            <w:r>
              <w:rPr>
                <w:sz w:val="18"/>
              </w:rPr>
            </w:r>
            <w:r>
              <w:rPr>
                <w:sz w:val="18"/>
              </w:rPr>
              <w:t>Yes</w:t>
            </w:r>
          </w:p>
        </w:tc>
      </w:tr>
      <w:tr>
        <w:tc>
          <w:tcPr>
            <w:tcW w:type="dxa" w:w="504"/>
          </w:tcPr>
          <w:p>
            <w:pPr>
              <w:spacing w:after="0"/>
            </w:pPr>
            <w:r>
              <w:rPr>
                <w:sz w:val="18"/>
              </w:rPr>
            </w:r>
            <w:r>
              <w:rPr>
                <w:sz w:val="18"/>
              </w:rPr>
              <w:t>6</w:t>
            </w:r>
          </w:p>
        </w:tc>
        <w:tc>
          <w:tcPr>
            <w:tcW w:type="dxa" w:w="5904"/>
          </w:tcPr>
          <w:p>
            <w:pPr>
              <w:spacing w:after="0"/>
            </w:pPr>
            <w:r>
              <w:rPr>
                <w:sz w:val="18"/>
              </w:rPr>
            </w:r>
            <w:r>
              <w:rPr>
                <w:sz w:val="18"/>
              </w:rPr>
              <w:t>Silveroak projections overstate the benefit; consider design alternatives</w:t>
            </w:r>
          </w:p>
        </w:tc>
        <w:tc>
          <w:tcPr>
            <w:tcW w:type="dxa" w:w="1152"/>
          </w:tcPr>
          <w:p>
            <w:pPr>
              <w:spacing w:after="0"/>
            </w:pPr>
            <w:r>
              <w:rPr>
                <w:sz w:val="18"/>
              </w:rPr>
            </w:r>
            <w:r>
              <w:rPr>
                <w:sz w:val="18"/>
              </w:rPr>
              <w:t>Medium</w:t>
            </w:r>
          </w:p>
        </w:tc>
        <w:tc>
          <w:tcPr>
            <w:tcW w:type="dxa" w:w="1800"/>
          </w:tcPr>
          <w:p>
            <w:pPr>
              <w:spacing w:after="0"/>
            </w:pPr>
            <w:r>
              <w:rPr>
                <w:sz w:val="18"/>
              </w:rPr>
            </w:r>
            <w:r>
              <w:rPr>
                <w:sz w:val="18"/>
              </w:rPr>
              <w:t>No</w:t>
            </w:r>
          </w:p>
        </w:tc>
      </w:tr>
      <w:tr>
        <w:tc>
          <w:tcPr>
            <w:tcW w:type="dxa" w:w="504"/>
          </w:tcPr>
          <w:p>
            <w:pPr>
              <w:spacing w:after="0"/>
            </w:pPr>
            <w:r>
              <w:rPr>
                <w:sz w:val="18"/>
              </w:rPr>
            </w:r>
            <w:r>
              <w:rPr>
                <w:sz w:val="18"/>
              </w:rPr>
              <w:t>7</w:t>
            </w:r>
          </w:p>
        </w:tc>
        <w:tc>
          <w:tcPr>
            <w:tcW w:type="dxa" w:w="5904"/>
          </w:tcPr>
          <w:p>
            <w:pPr>
              <w:spacing w:after="0"/>
            </w:pPr>
            <w:r>
              <w:rPr>
                <w:sz w:val="18"/>
              </w:rPr>
            </w:r>
            <w:r>
              <w:rPr>
                <w:sz w:val="18"/>
              </w:rPr>
              <w:t>July 1, 2025 timeline is infeasible under the 60-day / 30-day / 30-day Stockholders’ Agreement process</w:t>
            </w:r>
          </w:p>
        </w:tc>
        <w:tc>
          <w:tcPr>
            <w:tcW w:type="dxa" w:w="1152"/>
          </w:tcPr>
          <w:p>
            <w:pPr>
              <w:spacing w:after="0"/>
            </w:pPr>
            <w:r>
              <w:rPr>
                <w:sz w:val="18"/>
              </w:rPr>
            </w:r>
            <w:r>
              <w:rPr>
                <w:sz w:val="18"/>
              </w:rPr>
              <w:t>Critical</w:t>
            </w:r>
          </w:p>
        </w:tc>
        <w:tc>
          <w:tcPr>
            <w:tcW w:type="dxa" w:w="1800"/>
          </w:tcPr>
          <w:p>
            <w:pPr>
              <w:spacing w:after="0"/>
            </w:pPr>
            <w:r>
              <w:rPr>
                <w:sz w:val="18"/>
              </w:rPr>
            </w:r>
            <w:r>
              <w:rPr>
                <w:sz w:val="18"/>
              </w:rPr>
              <w:t>Yes</w:t>
            </w:r>
          </w:p>
        </w:tc>
      </w:tr>
      <w:tr>
        <w:tc>
          <w:tcPr>
            <w:tcW w:type="dxa" w:w="504"/>
          </w:tcPr>
          <w:p>
            <w:pPr>
              <w:spacing w:after="0"/>
            </w:pPr>
            <w:r>
              <w:rPr>
                <w:sz w:val="18"/>
              </w:rPr>
            </w:r>
            <w:r>
              <w:rPr>
                <w:sz w:val="18"/>
              </w:rPr>
              <w:t>8</w:t>
            </w:r>
          </w:p>
        </w:tc>
        <w:tc>
          <w:tcPr>
            <w:tcW w:type="dxa" w:w="5904"/>
          </w:tcPr>
          <w:p>
            <w:pPr>
              <w:spacing w:after="0"/>
            </w:pPr>
            <w:r>
              <w:rPr>
                <w:sz w:val="18"/>
              </w:rPr>
            </w:r>
            <w:r>
              <w:rPr>
                <w:sz w:val="18"/>
              </w:rPr>
              <w:t>Trust Transfer Request deliverables (including a securities opinion) not yet arranged</w:t>
            </w:r>
          </w:p>
        </w:tc>
        <w:tc>
          <w:tcPr>
            <w:tcW w:type="dxa" w:w="1152"/>
          </w:tcPr>
          <w:p>
            <w:pPr>
              <w:spacing w:after="0"/>
            </w:pPr>
            <w:r>
              <w:rPr>
                <w:sz w:val="18"/>
              </w:rPr>
            </w:r>
            <w:r>
              <w:rPr>
                <w:sz w:val="18"/>
              </w:rPr>
              <w:t>High</w:t>
            </w:r>
          </w:p>
        </w:tc>
        <w:tc>
          <w:tcPr>
            <w:tcW w:type="dxa" w:w="1800"/>
          </w:tcPr>
          <w:p>
            <w:pPr>
              <w:spacing w:after="0"/>
            </w:pPr>
            <w:r>
              <w:rPr>
                <w:sz w:val="18"/>
              </w:rPr>
            </w:r>
            <w:r>
              <w:rPr>
                <w:sz w:val="18"/>
              </w:rPr>
              <w:t>Yes</w:t>
            </w:r>
          </w:p>
        </w:tc>
      </w:tr>
      <w:tr>
        <w:tc>
          <w:tcPr>
            <w:tcW w:type="dxa" w:w="504"/>
          </w:tcPr>
          <w:p>
            <w:pPr>
              <w:spacing w:after="0"/>
            </w:pPr>
            <w:r>
              <w:rPr>
                <w:sz w:val="18"/>
              </w:rPr>
            </w:r>
            <w:r>
              <w:rPr>
                <w:sz w:val="18"/>
              </w:rPr>
              <w:t>9</w:t>
            </w:r>
          </w:p>
        </w:tc>
        <w:tc>
          <w:tcPr>
            <w:tcW w:type="dxa" w:w="5904"/>
          </w:tcPr>
          <w:p>
            <w:pPr>
              <w:spacing w:after="0"/>
            </w:pPr>
            <w:r>
              <w:rPr>
                <w:sz w:val="18"/>
              </w:rPr>
            </w:r>
            <w:r>
              <w:rPr>
                <w:sz w:val="18"/>
              </w:rPr>
              <w:t>ROFR, Permitted Transferee status and joinders for funding AND for every later share movement; interested-director consent</w:t>
            </w:r>
          </w:p>
        </w:tc>
        <w:tc>
          <w:tcPr>
            <w:tcW w:type="dxa" w:w="1152"/>
          </w:tcPr>
          <w:p>
            <w:pPr>
              <w:spacing w:after="0"/>
            </w:pPr>
            <w:r>
              <w:rPr>
                <w:sz w:val="18"/>
              </w:rPr>
            </w:r>
            <w:r>
              <w:rPr>
                <w:sz w:val="18"/>
              </w:rPr>
              <w:t>Critical</w:t>
            </w:r>
          </w:p>
        </w:tc>
        <w:tc>
          <w:tcPr>
            <w:tcW w:type="dxa" w:w="1800"/>
          </w:tcPr>
          <w:p>
            <w:pPr>
              <w:spacing w:after="0"/>
            </w:pPr>
            <w:r>
              <w:rPr>
                <w:sz w:val="18"/>
              </w:rPr>
            </w:r>
            <w:r>
              <w:rPr>
                <w:sz w:val="18"/>
              </w:rPr>
              <w:t>Yes</w:t>
            </w:r>
          </w:p>
        </w:tc>
      </w:tr>
      <w:tr>
        <w:tc>
          <w:tcPr>
            <w:tcW w:type="dxa" w:w="504"/>
          </w:tcPr>
          <w:p>
            <w:pPr>
              <w:spacing w:after="0"/>
            </w:pPr>
            <w:r>
              <w:rPr>
                <w:sz w:val="18"/>
              </w:rPr>
            </w:r>
            <w:r>
              <w:rPr>
                <w:sz w:val="18"/>
              </w:rPr>
              <w:t>10</w:t>
            </w:r>
          </w:p>
        </w:tc>
        <w:tc>
          <w:tcPr>
            <w:tcW w:type="dxa" w:w="5904"/>
          </w:tcPr>
          <w:p>
            <w:pPr>
              <w:spacing w:after="0"/>
            </w:pPr>
            <w:r>
              <w:rPr>
                <w:sz w:val="18"/>
              </w:rPr>
            </w:r>
            <w:r>
              <w:rPr>
                <w:sz w:val="18"/>
              </w:rPr>
              <w:t>Client’s desired control conflicts with Wheatley’s conditions</w:t>
            </w:r>
          </w:p>
        </w:tc>
        <w:tc>
          <w:tcPr>
            <w:tcW w:type="dxa" w:w="1152"/>
          </w:tcPr>
          <w:p>
            <w:pPr>
              <w:spacing w:after="0"/>
            </w:pPr>
            <w:r>
              <w:rPr>
                <w:sz w:val="18"/>
              </w:rPr>
            </w:r>
            <w:r>
              <w:rPr>
                <w:sz w:val="18"/>
              </w:rPr>
              <w:t>Critical</w:t>
            </w:r>
          </w:p>
        </w:tc>
        <w:tc>
          <w:tcPr>
            <w:tcW w:type="dxa" w:w="1800"/>
          </w:tcPr>
          <w:p>
            <w:pPr>
              <w:spacing w:after="0"/>
            </w:pPr>
            <w:r>
              <w:rPr>
                <w:sz w:val="18"/>
              </w:rPr>
            </w:r>
            <w:r>
              <w:rPr>
                <w:sz w:val="18"/>
              </w:rPr>
              <w:t>Yes</w:t>
            </w:r>
          </w:p>
        </w:tc>
      </w:tr>
      <w:tr>
        <w:tc>
          <w:tcPr>
            <w:tcW w:type="dxa" w:w="504"/>
          </w:tcPr>
          <w:p>
            <w:pPr>
              <w:spacing w:after="0"/>
            </w:pPr>
            <w:r>
              <w:rPr>
                <w:sz w:val="18"/>
              </w:rPr>
            </w:r>
            <w:r>
              <w:rPr>
                <w:sz w:val="18"/>
              </w:rPr>
              <w:t>11</w:t>
            </w:r>
          </w:p>
        </w:tc>
        <w:tc>
          <w:tcPr>
            <w:tcW w:type="dxa" w:w="5904"/>
          </w:tcPr>
          <w:p>
            <w:pPr>
              <w:spacing w:after="0"/>
            </w:pPr>
            <w:r>
              <w:rPr>
                <w:sz w:val="18"/>
              </w:rPr>
            </w:r>
            <w:r>
              <w:rPr>
                <w:sz w:val="18"/>
              </w:rPr>
              <w:t>Wheatley acceptance agreement, review deadline and confidentiality of documents to be shared</w:t>
            </w:r>
          </w:p>
        </w:tc>
        <w:tc>
          <w:tcPr>
            <w:tcW w:type="dxa" w:w="1152"/>
          </w:tcPr>
          <w:p>
            <w:pPr>
              <w:spacing w:after="0"/>
            </w:pPr>
            <w:r>
              <w:rPr>
                <w:sz w:val="18"/>
              </w:rPr>
            </w:r>
            <w:r>
              <w:rPr>
                <w:sz w:val="18"/>
              </w:rPr>
              <w:t>High</w:t>
            </w:r>
          </w:p>
        </w:tc>
        <w:tc>
          <w:tcPr>
            <w:tcW w:type="dxa" w:w="1800"/>
          </w:tcPr>
          <w:p>
            <w:pPr>
              <w:spacing w:after="0"/>
            </w:pPr>
            <w:r>
              <w:rPr>
                <w:sz w:val="18"/>
              </w:rPr>
            </w:r>
            <w:r>
              <w:rPr>
                <w:sz w:val="18"/>
              </w:rPr>
              <w:t>Yes</w:t>
            </w:r>
          </w:p>
        </w:tc>
      </w:tr>
      <w:tr>
        <w:tc>
          <w:tcPr>
            <w:tcW w:type="dxa" w:w="504"/>
          </w:tcPr>
          <w:p>
            <w:pPr>
              <w:spacing w:after="0"/>
            </w:pPr>
            <w:r>
              <w:rPr>
                <w:sz w:val="18"/>
              </w:rPr>
            </w:r>
            <w:r>
              <w:rPr>
                <w:sz w:val="18"/>
              </w:rPr>
              <w:t>12</w:t>
            </w:r>
          </w:p>
        </w:tc>
        <w:tc>
          <w:tcPr>
            <w:tcW w:type="dxa" w:w="5904"/>
          </w:tcPr>
          <w:p>
            <w:pPr>
              <w:spacing w:after="0"/>
            </w:pPr>
            <w:r>
              <w:rPr>
                <w:sz w:val="18"/>
              </w:rPr>
            </w:r>
            <w:r>
              <w:rPr>
                <w:sz w:val="18"/>
              </w:rPr>
              <w:t>Successor trustee and Wheatley’s multiple roles in the estate plan</w:t>
            </w:r>
          </w:p>
        </w:tc>
        <w:tc>
          <w:tcPr>
            <w:tcW w:type="dxa" w:w="1152"/>
          </w:tcPr>
          <w:p>
            <w:pPr>
              <w:spacing w:after="0"/>
            </w:pPr>
            <w:r>
              <w:rPr>
                <w:sz w:val="18"/>
              </w:rPr>
            </w:r>
            <w:r>
              <w:rPr>
                <w:sz w:val="18"/>
              </w:rPr>
              <w:t>Medium</w:t>
            </w:r>
          </w:p>
        </w:tc>
        <w:tc>
          <w:tcPr>
            <w:tcW w:type="dxa" w:w="1800"/>
          </w:tcPr>
          <w:p>
            <w:pPr>
              <w:spacing w:after="0"/>
            </w:pPr>
            <w:r>
              <w:rPr>
                <w:sz w:val="18"/>
              </w:rPr>
            </w:r>
            <w:r>
              <w:rPr>
                <w:sz w:val="18"/>
              </w:rPr>
              <w:t>No</w:t>
            </w:r>
          </w:p>
        </w:tc>
      </w:tr>
      <w:tr>
        <w:tc>
          <w:tcPr>
            <w:tcW w:type="dxa" w:w="504"/>
          </w:tcPr>
          <w:p>
            <w:pPr>
              <w:spacing w:after="0"/>
            </w:pPr>
            <w:r>
              <w:rPr>
                <w:sz w:val="18"/>
              </w:rPr>
            </w:r>
            <w:r>
              <w:rPr>
                <w:sz w:val="18"/>
              </w:rPr>
              <w:t>13</w:t>
            </w:r>
          </w:p>
        </w:tc>
        <w:tc>
          <w:tcPr>
            <w:tcW w:type="dxa" w:w="5904"/>
          </w:tcPr>
          <w:p>
            <w:pPr>
              <w:spacing w:after="0"/>
            </w:pPr>
            <w:r>
              <w:rPr>
                <w:sz w:val="18"/>
              </w:rPr>
            </w:r>
            <w:r>
              <w:rPr>
                <w:sz w:val="18"/>
              </w:rPr>
              <w:t>IRC §2036(b) controlled-corporation exposure (20.0% voting stake); §2035 three-year rule</w:t>
            </w:r>
          </w:p>
        </w:tc>
        <w:tc>
          <w:tcPr>
            <w:tcW w:type="dxa" w:w="1152"/>
          </w:tcPr>
          <w:p>
            <w:pPr>
              <w:spacing w:after="0"/>
            </w:pPr>
            <w:r>
              <w:rPr>
                <w:sz w:val="18"/>
              </w:rPr>
            </w:r>
            <w:r>
              <w:rPr>
                <w:sz w:val="18"/>
              </w:rPr>
              <w:t>Critical</w:t>
            </w:r>
          </w:p>
        </w:tc>
        <w:tc>
          <w:tcPr>
            <w:tcW w:type="dxa" w:w="1800"/>
          </w:tcPr>
          <w:p>
            <w:pPr>
              <w:spacing w:after="0"/>
            </w:pPr>
            <w:r>
              <w:rPr>
                <w:sz w:val="18"/>
              </w:rPr>
            </w:r>
            <w:r>
              <w:rPr>
                <w:sz w:val="18"/>
              </w:rPr>
              <w:t>Yes (drafting)</w:t>
            </w:r>
          </w:p>
        </w:tc>
      </w:tr>
      <w:tr>
        <w:tc>
          <w:tcPr>
            <w:tcW w:type="dxa" w:w="504"/>
          </w:tcPr>
          <w:p>
            <w:pPr>
              <w:spacing w:after="0"/>
            </w:pPr>
            <w:r>
              <w:rPr>
                <w:sz w:val="18"/>
              </w:rPr>
            </w:r>
            <w:r>
              <w:rPr>
                <w:sz w:val="18"/>
              </w:rPr>
              <w:t>14</w:t>
            </w:r>
          </w:p>
        </w:tc>
        <w:tc>
          <w:tcPr>
            <w:tcW w:type="dxa" w:w="5904"/>
          </w:tcPr>
          <w:p>
            <w:pPr>
              <w:spacing w:after="0"/>
            </w:pPr>
            <w:r>
              <w:rPr>
                <w:sz w:val="18"/>
              </w:rPr>
            </w:r>
            <w:r>
              <w:rPr>
                <w:sz w:val="18"/>
              </w:rPr>
              <w:t>Grantor trust status; substitution power mechanics; power of attorney gap</w:t>
            </w:r>
          </w:p>
        </w:tc>
        <w:tc>
          <w:tcPr>
            <w:tcW w:type="dxa" w:w="1152"/>
          </w:tcPr>
          <w:p>
            <w:pPr>
              <w:spacing w:after="0"/>
            </w:pPr>
            <w:r>
              <w:rPr>
                <w:sz w:val="18"/>
              </w:rPr>
            </w:r>
            <w:r>
              <w:rPr>
                <w:sz w:val="18"/>
              </w:rPr>
              <w:t>Medium</w:t>
            </w:r>
          </w:p>
        </w:tc>
        <w:tc>
          <w:tcPr>
            <w:tcW w:type="dxa" w:w="1800"/>
          </w:tcPr>
          <w:p>
            <w:pPr>
              <w:spacing w:after="0"/>
            </w:pPr>
            <w:r>
              <w:rPr>
                <w:sz w:val="18"/>
              </w:rPr>
            </w:r>
            <w:r>
              <w:rPr>
                <w:sz w:val="18"/>
              </w:rPr>
              <w:t>No</w:t>
            </w:r>
          </w:p>
        </w:tc>
      </w:tr>
      <w:tr>
        <w:tc>
          <w:tcPr>
            <w:tcW w:type="dxa" w:w="504"/>
          </w:tcPr>
          <w:p>
            <w:pPr>
              <w:spacing w:after="0"/>
            </w:pPr>
            <w:r>
              <w:rPr>
                <w:sz w:val="18"/>
              </w:rPr>
            </w:r>
            <w:r>
              <w:rPr>
                <w:sz w:val="18"/>
              </w:rPr>
              <w:t>15</w:t>
            </w:r>
          </w:p>
        </w:tc>
        <w:tc>
          <w:tcPr>
            <w:tcW w:type="dxa" w:w="5904"/>
          </w:tcPr>
          <w:p>
            <w:pPr>
              <w:spacing w:after="0"/>
            </w:pPr>
            <w:r>
              <w:rPr>
                <w:sz w:val="18"/>
              </w:rPr>
            </w:r>
            <w:r>
              <w:rPr>
                <w:sz w:val="18"/>
              </w:rPr>
              <w:t>Exemption and annual exclusion figures use 2024 amounts</w:t>
            </w:r>
          </w:p>
        </w:tc>
        <w:tc>
          <w:tcPr>
            <w:tcW w:type="dxa" w:w="1152"/>
          </w:tcPr>
          <w:p>
            <w:pPr>
              <w:spacing w:after="0"/>
            </w:pPr>
            <w:r>
              <w:rPr>
                <w:sz w:val="18"/>
              </w:rPr>
            </w:r>
            <w:r>
              <w:rPr>
                <w:sz w:val="18"/>
              </w:rPr>
              <w:t>High</w:t>
            </w:r>
          </w:p>
        </w:tc>
        <w:tc>
          <w:tcPr>
            <w:tcW w:type="dxa" w:w="1800"/>
          </w:tcPr>
          <w:p>
            <w:pPr>
              <w:spacing w:after="0"/>
            </w:pPr>
            <w:r>
              <w:rPr>
                <w:sz w:val="18"/>
              </w:rPr>
            </w:r>
            <w:r>
              <w:rPr>
                <w:sz w:val="18"/>
              </w:rPr>
              <w:t>No</w:t>
            </w:r>
          </w:p>
        </w:tc>
      </w:tr>
      <w:tr>
        <w:tc>
          <w:tcPr>
            <w:tcW w:type="dxa" w:w="504"/>
          </w:tcPr>
          <w:p>
            <w:pPr>
              <w:spacing w:after="0"/>
            </w:pPr>
            <w:r>
              <w:rPr>
                <w:sz w:val="18"/>
              </w:rPr>
            </w:r>
            <w:r>
              <w:rPr>
                <w:sz w:val="18"/>
              </w:rPr>
              <w:t>16</w:t>
            </w:r>
          </w:p>
        </w:tc>
        <w:tc>
          <w:tcPr>
            <w:tcW w:type="dxa" w:w="5904"/>
          </w:tcPr>
          <w:p>
            <w:pPr>
              <w:spacing w:after="0"/>
            </w:pPr>
            <w:r>
              <w:rPr>
                <w:sz w:val="18"/>
              </w:rPr>
            </w:r>
            <w:r>
              <w:rPr>
                <w:sz w:val="18"/>
              </w:rPr>
              <w:t>Prior exemption usage inconsistent with Vikram’s split-gift elections</w:t>
            </w:r>
          </w:p>
        </w:tc>
        <w:tc>
          <w:tcPr>
            <w:tcW w:type="dxa" w:w="1152"/>
          </w:tcPr>
          <w:p>
            <w:pPr>
              <w:spacing w:after="0"/>
            </w:pPr>
            <w:r>
              <w:rPr>
                <w:sz w:val="18"/>
              </w:rPr>
            </w:r>
            <w:r>
              <w:rPr>
                <w:sz w:val="18"/>
              </w:rPr>
              <w:t>High</w:t>
            </w:r>
          </w:p>
        </w:tc>
        <w:tc>
          <w:tcPr>
            <w:tcW w:type="dxa" w:w="1800"/>
          </w:tcPr>
          <w:p>
            <w:pPr>
              <w:spacing w:after="0"/>
            </w:pPr>
            <w:r>
              <w:rPr>
                <w:sz w:val="18"/>
              </w:rPr>
            </w:r>
            <w:r>
              <w:rPr>
                <w:sz w:val="18"/>
              </w:rPr>
              <w:t>No</w:t>
            </w:r>
          </w:p>
        </w:tc>
      </w:tr>
      <w:tr>
        <w:tc>
          <w:tcPr>
            <w:tcW w:type="dxa" w:w="504"/>
          </w:tcPr>
          <w:p>
            <w:pPr>
              <w:spacing w:after="0"/>
            </w:pPr>
            <w:r>
              <w:rPr>
                <w:sz w:val="18"/>
              </w:rPr>
            </w:r>
            <w:r>
              <w:rPr>
                <w:sz w:val="18"/>
              </w:rPr>
              <w:t>17</w:t>
            </w:r>
          </w:p>
        </w:tc>
        <w:tc>
          <w:tcPr>
            <w:tcW w:type="dxa" w:w="5904"/>
          </w:tcPr>
          <w:p>
            <w:pPr>
              <w:spacing w:after="0"/>
            </w:pPr>
            <w:r>
              <w:rPr>
                <w:sz w:val="18"/>
              </w:rPr>
            </w:r>
            <w:r>
              <w:rPr>
                <w:sz w:val="18"/>
              </w:rPr>
              <w:t>Connecticut gift tax return, Form 709 adequate disclosure and GST elections not addressed</w:t>
            </w:r>
          </w:p>
        </w:tc>
        <w:tc>
          <w:tcPr>
            <w:tcW w:type="dxa" w:w="1152"/>
          </w:tcPr>
          <w:p>
            <w:pPr>
              <w:spacing w:after="0"/>
            </w:pPr>
            <w:r>
              <w:rPr>
                <w:sz w:val="18"/>
              </w:rPr>
            </w:r>
            <w:r>
              <w:rPr>
                <w:sz w:val="18"/>
              </w:rPr>
              <w:t>High</w:t>
            </w:r>
          </w:p>
        </w:tc>
        <w:tc>
          <w:tcPr>
            <w:tcW w:type="dxa" w:w="1800"/>
          </w:tcPr>
          <w:p>
            <w:pPr>
              <w:spacing w:after="0"/>
            </w:pPr>
            <w:r>
              <w:rPr>
                <w:sz w:val="18"/>
              </w:rPr>
            </w:r>
            <w:r>
              <w:rPr>
                <w:sz w:val="18"/>
              </w:rPr>
              <w:t>No</w:t>
            </w:r>
          </w:p>
        </w:tc>
      </w:tr>
      <w:tr>
        <w:tc>
          <w:tcPr>
            <w:tcW w:type="dxa" w:w="504"/>
          </w:tcPr>
          <w:p>
            <w:pPr>
              <w:spacing w:after="0"/>
            </w:pPr>
            <w:r>
              <w:rPr>
                <w:sz w:val="18"/>
              </w:rPr>
            </w:r>
            <w:r>
              <w:rPr>
                <w:sz w:val="18"/>
              </w:rPr>
              <w:t>18</w:t>
            </w:r>
          </w:p>
        </w:tc>
        <w:tc>
          <w:tcPr>
            <w:tcW w:type="dxa" w:w="5904"/>
          </w:tcPr>
          <w:p>
            <w:pPr>
              <w:spacing w:after="0"/>
            </w:pPr>
            <w:r>
              <w:rPr>
                <w:sz w:val="18"/>
              </w:rPr>
            </w:r>
            <w:r>
              <w:rPr>
                <w:sz w:val="18"/>
              </w:rPr>
              <w:t>No liquidity for trustee fees and appraisals; grantor cannot pay them</w:t>
            </w:r>
          </w:p>
        </w:tc>
        <w:tc>
          <w:tcPr>
            <w:tcW w:type="dxa" w:w="1152"/>
          </w:tcPr>
          <w:p>
            <w:pPr>
              <w:spacing w:after="0"/>
            </w:pPr>
            <w:r>
              <w:rPr>
                <w:sz w:val="18"/>
              </w:rPr>
            </w:r>
            <w:r>
              <w:rPr>
                <w:sz w:val="18"/>
              </w:rPr>
              <w:t>High</w:t>
            </w:r>
          </w:p>
        </w:tc>
        <w:tc>
          <w:tcPr>
            <w:tcW w:type="dxa" w:w="1800"/>
          </w:tcPr>
          <w:p>
            <w:pPr>
              <w:spacing w:after="0"/>
            </w:pPr>
            <w:r>
              <w:rPr>
                <w:sz w:val="18"/>
              </w:rPr>
            </w:r>
            <w:r>
              <w:rPr>
                <w:sz w:val="18"/>
              </w:rPr>
              <w:t>Yes</w:t>
            </w:r>
          </w:p>
        </w:tc>
      </w:tr>
      <w:tr>
        <w:tc>
          <w:tcPr>
            <w:tcW w:type="dxa" w:w="504"/>
          </w:tcPr>
          <w:p>
            <w:pPr>
              <w:spacing w:after="0"/>
            </w:pPr>
            <w:r>
              <w:rPr>
                <w:sz w:val="18"/>
              </w:rPr>
            </w:r>
            <w:r>
              <w:rPr>
                <w:sz w:val="18"/>
              </w:rPr>
              <w:t>19</w:t>
            </w:r>
          </w:p>
        </w:tc>
        <w:tc>
          <w:tcPr>
            <w:tcW w:type="dxa" w:w="5904"/>
          </w:tcPr>
          <w:p>
            <w:pPr>
              <w:spacing w:after="0"/>
            </w:pPr>
            <w:r>
              <w:rPr>
                <w:sz w:val="18"/>
              </w:rPr>
            </w:r>
            <w:r>
              <w:rPr>
                <w:sz w:val="18"/>
              </w:rPr>
              <w:t>In-kind annuity mechanics: valuation, 105-day window, IPO lock-up and Rule 144</w:t>
            </w:r>
          </w:p>
        </w:tc>
        <w:tc>
          <w:tcPr>
            <w:tcW w:type="dxa" w:w="1152"/>
          </w:tcPr>
          <w:p>
            <w:pPr>
              <w:spacing w:after="0"/>
            </w:pPr>
            <w:r>
              <w:rPr>
                <w:sz w:val="18"/>
              </w:rPr>
            </w:r>
            <w:r>
              <w:rPr>
                <w:sz w:val="18"/>
              </w:rPr>
              <w:t>High</w:t>
            </w:r>
          </w:p>
        </w:tc>
        <w:tc>
          <w:tcPr>
            <w:tcW w:type="dxa" w:w="1800"/>
          </w:tcPr>
          <w:p>
            <w:pPr>
              <w:spacing w:after="0"/>
            </w:pPr>
            <w:r>
              <w:rPr>
                <w:sz w:val="18"/>
              </w:rPr>
            </w:r>
            <w:r>
              <w:rPr>
                <w:sz w:val="18"/>
              </w:rPr>
              <w:t>No</w:t>
            </w:r>
          </w:p>
        </w:tc>
      </w:tr>
      <w:tr>
        <w:tc>
          <w:tcPr>
            <w:tcW w:type="dxa" w:w="504"/>
          </w:tcPr>
          <w:p>
            <w:pPr>
              <w:spacing w:after="0"/>
            </w:pPr>
            <w:r>
              <w:rPr>
                <w:sz w:val="18"/>
              </w:rPr>
            </w:r>
            <w:r>
              <w:rPr>
                <w:sz w:val="18"/>
              </w:rPr>
              <w:t>20</w:t>
            </w:r>
          </w:p>
        </w:tc>
        <w:tc>
          <w:tcPr>
            <w:tcW w:type="dxa" w:w="5904"/>
          </w:tcPr>
          <w:p>
            <w:pPr>
              <w:spacing w:after="0"/>
            </w:pPr>
            <w:r>
              <w:rPr>
                <w:sz w:val="18"/>
              </w:rPr>
            </w:r>
            <w:r>
              <w:rPr>
                <w:sz w:val="18"/>
              </w:rPr>
              <w:t>EIN, titling and funding mechanics; no nominal pre-funding</w:t>
            </w:r>
          </w:p>
        </w:tc>
        <w:tc>
          <w:tcPr>
            <w:tcW w:type="dxa" w:w="1152"/>
          </w:tcPr>
          <w:p>
            <w:pPr>
              <w:spacing w:after="0"/>
            </w:pPr>
            <w:r>
              <w:rPr>
                <w:sz w:val="18"/>
              </w:rPr>
            </w:r>
            <w:r>
              <w:rPr>
                <w:sz w:val="18"/>
              </w:rPr>
              <w:t>Medium</w:t>
            </w:r>
          </w:p>
        </w:tc>
        <w:tc>
          <w:tcPr>
            <w:tcW w:type="dxa" w:w="1800"/>
          </w:tcPr>
          <w:p>
            <w:pPr>
              <w:spacing w:after="0"/>
            </w:pPr>
            <w:r>
              <w:rPr>
                <w:sz w:val="18"/>
              </w:rPr>
            </w:r>
            <w:r>
              <w:rPr>
                <w:sz w:val="18"/>
              </w:rPr>
              <w:t>Yes</w:t>
            </w:r>
          </w:p>
        </w:tc>
      </w:tr>
      <w:tr>
        <w:tc>
          <w:tcPr>
            <w:tcW w:type="dxa" w:w="504"/>
          </w:tcPr>
          <w:p>
            <w:pPr>
              <w:spacing w:after="0"/>
            </w:pPr>
            <w:r>
              <w:rPr>
                <w:sz w:val="18"/>
              </w:rPr>
            </w:r>
            <w:r>
              <w:rPr>
                <w:sz w:val="18"/>
              </w:rPr>
              <w:t>21</w:t>
            </w:r>
          </w:p>
        </w:tc>
        <w:tc>
          <w:tcPr>
            <w:tcW w:type="dxa" w:w="5904"/>
          </w:tcPr>
          <w:p>
            <w:pPr>
              <w:spacing w:after="0"/>
            </w:pPr>
            <w:r>
              <w:rPr>
                <w:sz w:val="18"/>
              </w:rPr>
            </w:r>
            <w:r>
              <w:rPr>
                <w:sz w:val="18"/>
              </w:rPr>
              <w:t>Death during term: estate inclusion, marital deduction option, §2207B apportionment</w:t>
            </w:r>
          </w:p>
        </w:tc>
        <w:tc>
          <w:tcPr>
            <w:tcW w:type="dxa" w:w="1152"/>
          </w:tcPr>
          <w:p>
            <w:pPr>
              <w:spacing w:after="0"/>
            </w:pPr>
            <w:r>
              <w:rPr>
                <w:sz w:val="18"/>
              </w:rPr>
            </w:r>
            <w:r>
              <w:rPr>
                <w:sz w:val="18"/>
              </w:rPr>
              <w:t>High</w:t>
            </w:r>
          </w:p>
        </w:tc>
        <w:tc>
          <w:tcPr>
            <w:tcW w:type="dxa" w:w="1800"/>
          </w:tcPr>
          <w:p>
            <w:pPr>
              <w:spacing w:after="0"/>
            </w:pPr>
            <w:r>
              <w:rPr>
                <w:sz w:val="18"/>
              </w:rPr>
            </w:r>
            <w:r>
              <w:rPr>
                <w:sz w:val="18"/>
              </w:rPr>
              <w:t>Client decision</w:t>
            </w:r>
          </w:p>
        </w:tc>
      </w:tr>
      <w:tr>
        <w:tc>
          <w:tcPr>
            <w:tcW w:type="dxa" w:w="504"/>
          </w:tcPr>
          <w:p>
            <w:pPr>
              <w:spacing w:after="0"/>
            </w:pPr>
            <w:r>
              <w:rPr>
                <w:sz w:val="18"/>
              </w:rPr>
            </w:r>
            <w:r>
              <w:rPr>
                <w:sz w:val="18"/>
              </w:rPr>
              <w:t>22</w:t>
            </w:r>
          </w:p>
        </w:tc>
        <w:tc>
          <w:tcPr>
            <w:tcW w:type="dxa" w:w="5904"/>
          </w:tcPr>
          <w:p>
            <w:pPr>
              <w:spacing w:after="0"/>
            </w:pPr>
            <w:r>
              <w:rPr>
                <w:sz w:val="18"/>
              </w:rPr>
            </w:r>
            <w:r>
              <w:rPr>
                <w:sz w:val="18"/>
              </w:rPr>
              <w:t>Per stirpes fallback language differs between intake and Revocable Trust</w:t>
            </w:r>
          </w:p>
        </w:tc>
        <w:tc>
          <w:tcPr>
            <w:tcW w:type="dxa" w:w="1152"/>
          </w:tcPr>
          <w:p>
            <w:pPr>
              <w:spacing w:after="0"/>
            </w:pPr>
            <w:r>
              <w:rPr>
                <w:sz w:val="18"/>
              </w:rPr>
            </w:r>
            <w:r>
              <w:rPr>
                <w:sz w:val="18"/>
              </w:rPr>
              <w:t>Medium</w:t>
            </w:r>
          </w:p>
        </w:tc>
        <w:tc>
          <w:tcPr>
            <w:tcW w:type="dxa" w:w="1800"/>
          </w:tcPr>
          <w:p>
            <w:pPr>
              <w:spacing w:after="0"/>
            </w:pPr>
            <w:r>
              <w:rPr>
                <w:sz w:val="18"/>
              </w:rPr>
            </w:r>
            <w:r>
              <w:rPr>
                <w:sz w:val="18"/>
              </w:rPr>
              <w:t>Client decision</w:t>
            </w:r>
          </w:p>
        </w:tc>
      </w:tr>
      <w:tr>
        <w:tc>
          <w:tcPr>
            <w:tcW w:type="dxa" w:w="504"/>
          </w:tcPr>
          <w:p>
            <w:pPr>
              <w:spacing w:after="0"/>
            </w:pPr>
            <w:r>
              <w:rPr>
                <w:sz w:val="18"/>
              </w:rPr>
            </w:r>
            <w:r>
              <w:rPr>
                <w:sz w:val="18"/>
              </w:rPr>
              <w:t>23</w:t>
            </w:r>
          </w:p>
        </w:tc>
        <w:tc>
          <w:tcPr>
            <w:tcW w:type="dxa" w:w="5904"/>
          </w:tcPr>
          <w:p>
            <w:pPr>
              <w:spacing w:after="0"/>
            </w:pPr>
            <w:r>
              <w:rPr>
                <w:sz w:val="18"/>
              </w:rPr>
            </w:r>
            <w:r>
              <w:rPr>
                <w:sz w:val="18"/>
              </w:rPr>
              <w:t>GST exposure from contingent gift to grandchildren; ETIP</w:t>
            </w:r>
          </w:p>
        </w:tc>
        <w:tc>
          <w:tcPr>
            <w:tcW w:type="dxa" w:w="1152"/>
          </w:tcPr>
          <w:p>
            <w:pPr>
              <w:spacing w:after="0"/>
            </w:pPr>
            <w:r>
              <w:rPr>
                <w:sz w:val="18"/>
              </w:rPr>
            </w:r>
            <w:r>
              <w:rPr>
                <w:sz w:val="18"/>
              </w:rPr>
              <w:t>Medium</w:t>
            </w:r>
          </w:p>
        </w:tc>
        <w:tc>
          <w:tcPr>
            <w:tcW w:type="dxa" w:w="1800"/>
          </w:tcPr>
          <w:p>
            <w:pPr>
              <w:spacing w:after="0"/>
            </w:pPr>
            <w:r>
              <w:rPr>
                <w:sz w:val="18"/>
              </w:rPr>
            </w:r>
            <w:r>
              <w:rPr>
                <w:sz w:val="18"/>
              </w:rPr>
              <w:t>No</w:t>
            </w:r>
          </w:p>
        </w:tc>
      </w:tr>
      <w:tr>
        <w:tc>
          <w:tcPr>
            <w:tcW w:type="dxa" w:w="504"/>
          </w:tcPr>
          <w:p>
            <w:pPr>
              <w:spacing w:after="0"/>
            </w:pPr>
            <w:r>
              <w:rPr>
                <w:sz w:val="18"/>
              </w:rPr>
            </w:r>
            <w:r>
              <w:rPr>
                <w:sz w:val="18"/>
              </w:rPr>
              <w:t>24</w:t>
            </w:r>
          </w:p>
        </w:tc>
        <w:tc>
          <w:tcPr>
            <w:tcW w:type="dxa" w:w="5904"/>
          </w:tcPr>
          <w:p>
            <w:pPr>
              <w:spacing w:after="0"/>
            </w:pPr>
            <w:r>
              <w:rPr>
                <w:sz w:val="18"/>
              </w:rPr>
            </w:r>
            <w:r>
              <w:rPr>
                <w:sz w:val="18"/>
              </w:rPr>
              <w:t>Outright remainder gives no post-term creditor or divorce protection</w:t>
            </w:r>
          </w:p>
        </w:tc>
        <w:tc>
          <w:tcPr>
            <w:tcW w:type="dxa" w:w="1152"/>
          </w:tcPr>
          <w:p>
            <w:pPr>
              <w:spacing w:after="0"/>
            </w:pPr>
            <w:r>
              <w:rPr>
                <w:sz w:val="18"/>
              </w:rPr>
            </w:r>
            <w:r>
              <w:rPr>
                <w:sz w:val="18"/>
              </w:rPr>
              <w:t>Medium</w:t>
            </w:r>
          </w:p>
        </w:tc>
        <w:tc>
          <w:tcPr>
            <w:tcW w:type="dxa" w:w="1800"/>
          </w:tcPr>
          <w:p>
            <w:pPr>
              <w:spacing w:after="0"/>
            </w:pPr>
            <w:r>
              <w:rPr>
                <w:sz w:val="18"/>
              </w:rPr>
            </w:r>
            <w:r>
              <w:rPr>
                <w:sz w:val="18"/>
              </w:rPr>
              <w:t>Client decision</w:t>
            </w:r>
          </w:p>
        </w:tc>
      </w:tr>
      <w:tr>
        <w:tc>
          <w:tcPr>
            <w:tcW w:type="dxa" w:w="504"/>
          </w:tcPr>
          <w:p>
            <w:pPr>
              <w:spacing w:after="0"/>
            </w:pPr>
            <w:r>
              <w:rPr>
                <w:sz w:val="18"/>
              </w:rPr>
            </w:r>
            <w:r>
              <w:rPr>
                <w:sz w:val="18"/>
              </w:rPr>
              <w:t>25</w:t>
            </w:r>
          </w:p>
        </w:tc>
        <w:tc>
          <w:tcPr>
            <w:tcW w:type="dxa" w:w="5904"/>
          </w:tcPr>
          <w:p>
            <w:pPr>
              <w:spacing w:after="0"/>
            </w:pPr>
            <w:r>
              <w:rPr>
                <w:sz w:val="18"/>
              </w:rPr>
            </w:r>
            <w:r>
              <w:rPr>
                <w:sz w:val="18"/>
              </w:rPr>
              <w:t>Distribution to a minor (Zara) and joinder by a minor</w:t>
            </w:r>
          </w:p>
        </w:tc>
        <w:tc>
          <w:tcPr>
            <w:tcW w:type="dxa" w:w="1152"/>
          </w:tcPr>
          <w:p>
            <w:pPr>
              <w:spacing w:after="0"/>
            </w:pPr>
            <w:r>
              <w:rPr>
                <w:sz w:val="18"/>
              </w:rPr>
            </w:r>
            <w:r>
              <w:rPr>
                <w:sz w:val="18"/>
              </w:rPr>
              <w:t>Low</w:t>
            </w:r>
          </w:p>
        </w:tc>
        <w:tc>
          <w:tcPr>
            <w:tcW w:type="dxa" w:w="1800"/>
          </w:tcPr>
          <w:p>
            <w:pPr>
              <w:spacing w:after="0"/>
            </w:pPr>
            <w:r>
              <w:rPr>
                <w:sz w:val="18"/>
              </w:rPr>
            </w:r>
            <w:r>
              <w:rPr>
                <w:sz w:val="18"/>
              </w:rPr>
              <w:t>No</w:t>
            </w:r>
          </w:p>
        </w:tc>
      </w:tr>
      <w:tr>
        <w:tc>
          <w:tcPr>
            <w:tcW w:type="dxa" w:w="504"/>
          </w:tcPr>
          <w:p>
            <w:pPr>
              <w:spacing w:after="0"/>
            </w:pPr>
            <w:r>
              <w:rPr>
                <w:sz w:val="18"/>
              </w:rPr>
            </w:r>
            <w:r>
              <w:rPr>
                <w:sz w:val="18"/>
              </w:rPr>
              <w:t>26</w:t>
            </w:r>
          </w:p>
        </w:tc>
        <w:tc>
          <w:tcPr>
            <w:tcW w:type="dxa" w:w="5904"/>
          </w:tcPr>
          <w:p>
            <w:pPr>
              <w:spacing w:after="0"/>
            </w:pPr>
            <w:r>
              <w:rPr>
                <w:sz w:val="18"/>
              </w:rPr>
            </w:r>
            <w:r>
              <w:rPr>
                <w:sz w:val="18"/>
              </w:rPr>
              <w:t>Durable power of attorney does not reach GRAT-related actions</w:t>
            </w:r>
          </w:p>
        </w:tc>
        <w:tc>
          <w:tcPr>
            <w:tcW w:type="dxa" w:w="1152"/>
          </w:tcPr>
          <w:p>
            <w:pPr>
              <w:spacing w:after="0"/>
            </w:pPr>
            <w:r>
              <w:rPr>
                <w:sz w:val="18"/>
              </w:rPr>
            </w:r>
            <w:r>
              <w:rPr>
                <w:sz w:val="18"/>
              </w:rPr>
              <w:t>Low</w:t>
            </w:r>
          </w:p>
        </w:tc>
        <w:tc>
          <w:tcPr>
            <w:tcW w:type="dxa" w:w="1800"/>
          </w:tcPr>
          <w:p>
            <w:pPr>
              <w:spacing w:after="0"/>
            </w:pPr>
            <w:r>
              <w:rPr>
                <w:sz w:val="18"/>
              </w:rPr>
            </w:r>
            <w:r>
              <w:rPr>
                <w:sz w:val="18"/>
              </w:rPr>
              <w:t>No</w:t>
            </w:r>
          </w:p>
        </w:tc>
      </w:tr>
      <w:tr>
        <w:tc>
          <w:tcPr>
            <w:tcW w:type="dxa" w:w="504"/>
          </w:tcPr>
          <w:p>
            <w:pPr>
              <w:spacing w:after="0"/>
            </w:pPr>
            <w:r>
              <w:rPr>
                <w:sz w:val="18"/>
              </w:rPr>
            </w:r>
            <w:r>
              <w:rPr>
                <w:sz w:val="18"/>
              </w:rPr>
              <w:t>27</w:t>
            </w:r>
          </w:p>
        </w:tc>
        <w:tc>
          <w:tcPr>
            <w:tcW w:type="dxa" w:w="5904"/>
          </w:tcPr>
          <w:p>
            <w:pPr>
              <w:spacing w:after="0"/>
            </w:pPr>
            <w:r>
              <w:rPr>
                <w:sz w:val="18"/>
              </w:rPr>
            </w:r>
            <w:r>
              <w:rPr>
                <w:sz w:val="18"/>
              </w:rPr>
              <w:t>Engagement letter unexecuted; scope gaps; unrepresented beneficiaries</w:t>
            </w:r>
          </w:p>
        </w:tc>
        <w:tc>
          <w:tcPr>
            <w:tcW w:type="dxa" w:w="1152"/>
          </w:tcPr>
          <w:p>
            <w:pPr>
              <w:spacing w:after="0"/>
            </w:pPr>
            <w:r>
              <w:rPr>
                <w:sz w:val="18"/>
              </w:rPr>
            </w:r>
            <w:r>
              <w:rPr>
                <w:sz w:val="18"/>
              </w:rPr>
              <w:t>High</w:t>
            </w:r>
          </w:p>
        </w:tc>
        <w:tc>
          <w:tcPr>
            <w:tcW w:type="dxa" w:w="1800"/>
          </w:tcPr>
          <w:p>
            <w:pPr>
              <w:spacing w:after="0"/>
            </w:pPr>
            <w:r>
              <w:rPr>
                <w:sz w:val="18"/>
              </w:rPr>
            </w:r>
            <w:r>
              <w:rPr>
                <w:sz w:val="18"/>
              </w:rPr>
              <w:t>Yes</w:t>
            </w:r>
          </w:p>
        </w:tc>
      </w:tr>
    </w:tbl>
    <w:p/>
    <w:p>
      <w:pPr>
        <w:pStyle w:val="Heading1"/>
      </w:pPr>
      <w:r>
        <w:t>IV. Detailed Analysis</w:t>
      </w:r>
    </w:p>
    <w:p>
      <w:pPr>
        <w:pStyle w:val="Heading2"/>
      </w:pPr>
      <w:r>
        <w:t>A. Valuation and Annuity Computation</w:t>
      </w:r>
    </w:p>
    <w:p>
      <w:pPr>
        <w:pStyle w:val="Heading2"/>
      </w:pPr>
      <w:r>
        <w:t>Issue 1: The funding value is overstated: $20.00 is a pre-discount figure</w:t>
      </w:r>
    </w:p>
    <w:p>
      <w:pPr>
        <w:jc w:val="both"/>
      </w:pPr>
      <w:r>
        <w:rPr>
          <w:b/>
        </w:rPr>
        <w:t>Priority:</w:t>
      </w:r>
      <w:r>
        <w:t xml:space="preserve"> Critical   |   </w:t>
      </w:r>
      <w:r>
        <w:rPr>
          <w:b/>
        </w:rPr>
        <w:t>Sources:</w:t>
      </w:r>
      <w:r>
        <w:t xml:space="preserve"> Ridgeline Summary §§6–8; Intake §§I, IV.C, V.C; Engagement Letter; Silveroak Summary rows 29–38 and Caveat 2; Estate Plan Summary §VIII</w:t>
      </w:r>
    </w:p>
    <w:p>
      <w:pPr>
        <w:jc w:val="both"/>
      </w:pPr>
      <w:r>
        <w:t xml:space="preserve">The intake memo, the engagement letter, the estate plan summary and the Silveroak workbook all treat $20.00 per share as "the per-share fair market value" and fix funding at $8,000,000. That is wrong. Ridgeline’s $20.00 is the equity value per share on a </w:t>
      </w:r>
      <w:r>
        <w:rPr>
          <w:b/>
        </w:rPr>
        <w:t>marketable, controlling-interest basis</w:t>
      </w:r>
      <w:r>
        <w:t xml:space="preserve"> ($172.7M equity / 8,635,000 fully diluted shares = $19.9942). Ridgeline then applies a 25% DLOM and a 10% DLOC and concludes that fair market value on a </w:t>
      </w:r>
      <w:r>
        <w:rPr>
          <w:b/>
        </w:rPr>
        <w:t>minority, non-marketable basis is $13.50</w:t>
      </w:r>
      <w:r>
        <w:t>. Section 8 of the report states that $20.00 "should not be used as a measure of the fair market value of minority shares without the application of appropriate discounts." A 400,000-share block (4.6% of fully diluted, 5.1% of outstanding) is a minority interest. Silveroak flagged the point ("confirm with counsel") but used $20.00 anyway.</w:t>
      </w:r>
    </w:p>
    <w:p>
      <w:pPr>
        <w:jc w:val="both"/>
      </w:pPr>
      <w:r>
        <w:t>Consequences: (a) on Ridgeline’s numbers the Initial Fair Market Value is $5,400,000, not $8,000,000; (b) a fixed $2,850,000 annuity sized to $8,000,000 would be about 53% of the true value each year (present value about $7.65M against a $5.4M contribution). The GRAT would almost certainly exhaust itself, return everything to the grantor and pass nothing to the children unless growth was extreme; (c) the net-worth figures ($31.2M of Helios equity; 64% concentration) are overstated on a fair-market-value basis ($21.06M at $13.50); (d) the Wheatley fee estimate ($28,000) is overstated (about $18,900 at $5.4M).</w:t>
      </w:r>
    </w:p>
    <w:p>
      <w:pPr>
        <w:jc w:val="both"/>
      </w:pPr>
      <w:r>
        <w:rPr>
          <w:b/>
        </w:rPr>
        <w:t>Recommended resolution:</w:t>
      </w:r>
    </w:p>
    <w:p>
      <w:pPr>
        <w:pStyle w:val="ListBullet"/>
        <w:spacing w:after="60"/>
        <w:jc w:val="both"/>
      </w:pPr>
      <w:r>
        <w:t>Do not put any dollar funding value in the trust instrument. The draft defines the annuity as a percentage of the Initial Fair Market Value "as finally determined for federal gift tax purposes" (Art. III), so it self-corrects to whatever value is finally reported or determined.</w:t>
      </w:r>
    </w:p>
    <w:p>
      <w:pPr>
        <w:pStyle w:val="ListBullet"/>
        <w:spacing w:after="60"/>
        <w:jc w:val="both"/>
      </w:pPr>
      <w:r>
        <w:t>Correct the intake memo, the Silveroak model and all client communications to use fair market value (subject to Issue 2), and tell the client the projected transfer is smaller than presented.</w:t>
      </w:r>
    </w:p>
    <w:p>
      <w:pPr>
        <w:pStyle w:val="ListBullet"/>
        <w:spacing w:after="60"/>
        <w:jc w:val="both"/>
      </w:pPr>
      <w:r>
        <w:t>Note that a lower funding value is not "bad" in a zeroed-out GRAT. It lowers the annuity and the hurdle in dollars. The risk lies in using inconsistent values: a fixed annuity sized to one value while another value is reported.</w:t>
      </w:r>
    </w:p>
    <w:p>
      <w:pPr>
        <w:jc w:val="both"/>
      </w:pPr>
      <w:r>
        <w:rPr>
          <w:b/>
        </w:rPr>
        <w:t>Owner:</w:t>
      </w:r>
      <w:r>
        <w:t xml:space="preserve"> Drafting team / Silveroak / Ridgeline</w:t>
      </w:r>
    </w:p>
    <w:p>
      <w:pPr>
        <w:pStyle w:val="Heading2"/>
      </w:pPr>
      <w:r>
        <w:t>Issue 2: The Ridgeline valuation is stale and was not prepared as a gift-tax appraisal</w:t>
      </w:r>
    </w:p>
    <w:p>
      <w:pPr>
        <w:jc w:val="both"/>
      </w:pPr>
      <w:r>
        <w:rPr>
          <w:b/>
        </w:rPr>
        <w:t>Priority:</w:t>
      </w:r>
      <w:r>
        <w:t xml:space="preserve"> Critical   |   </w:t>
      </w:r>
      <w:r>
        <w:rPr>
          <w:b/>
        </w:rPr>
        <w:t>Sources:</w:t>
      </w:r>
      <w:r>
        <w:t xml:space="preserve"> Ridgeline §§1, 7.1, 9(2)–(5); Intake §§III.2, IV.B; Silveroak Caveat 1; Wheatley email; Engagement Letter §§2.6, 5(g)</w:t>
      </w:r>
    </w:p>
    <w:p>
      <w:pPr>
        <w:jc w:val="both"/>
      </w:pPr>
      <w:r>
        <w:t>The valuation date is March 31, 2025. On May 8, 2025, Helios signed a $22 million licensing agreement with Paramount Therapeutics. The client calls it a "watershed moment", and it is about one-third of Helios’s $67M trailing revenue. Ridgeline’s DLOM is expressly premised on "the absence of any near-term anticipated liquidity event (such as an IPO or sale of the Company)." Yet the intake memo reports board discussions with two investment banks about a 2027–2028 IPO, and the client expects a liquidity event within 3–5 years at 4–6x current value. Ridgeline disclaims any obligation to update (§9(3)) and says its conclusion holds only as of March 31, 2025.</w:t>
      </w:r>
    </w:p>
    <w:p>
      <w:pPr>
        <w:jc w:val="both"/>
      </w:pPr>
      <w:r>
        <w:t>The report was commissioned by Helios for §409A option pricing. It is not a "qualified appraisal" prepared for gift tax purposes, so it may not satisfy the adequate disclosure rules of Treas. Reg. §301.6501(c)-1(f)(3). Without adequate disclosure, the statute of limitations on the gift will not start to run. The IRS could point to the grantor’s own 4–6x expectation, the undisclosed IPO discussions and the Paramount deal to argue undervaluation. Wheatley separately requires an independent valuation at least annually and on any material event, plus a valuation as of each in-kind distribution date.</w:t>
      </w:r>
    </w:p>
    <w:p>
      <w:pPr>
        <w:jc w:val="both"/>
      </w:pPr>
      <w:r>
        <w:rPr>
          <w:b/>
        </w:rPr>
        <w:t>Recommended resolution:</w:t>
      </w:r>
    </w:p>
    <w:p>
      <w:pPr>
        <w:pStyle w:val="ListBullet"/>
        <w:spacing w:after="60"/>
        <w:jc w:val="both"/>
      </w:pPr>
      <w:r>
        <w:t>Engage an independent qualified appraiser to deliver a gift-tax appraisal of the 400,000-share block as of the actual Funding Date. This can be Ridgeline under a new engagement, or a firm selected or approved by Wheatley. The appraiser must be told about the Paramount agreement, the IPO discussions and management’s current projections.</w:t>
      </w:r>
    </w:p>
    <w:p>
      <w:pPr>
        <w:pStyle w:val="ListBullet"/>
        <w:spacing w:after="60"/>
        <w:jc w:val="both"/>
      </w:pPr>
      <w:r>
        <w:t>Use the same appraisal, if possible, to support the Fair Market Value Per Share for the ROFR Transfer Notice (Stockholders’ Agreement §§4.2(c), 4.4(b)(i)), so that the transfer documents and the Form 709 report one consistent value.</w:t>
      </w:r>
    </w:p>
    <w:p>
      <w:pPr>
        <w:pStyle w:val="ListBullet"/>
        <w:spacing w:after="60"/>
        <w:jc w:val="both"/>
      </w:pPr>
      <w:r>
        <w:t>The percentage-based annuity (Issue 4) protects against later revaluation, but only if the instrument is drafted that way and the payments are adjusted under §3.7.</w:t>
      </w:r>
    </w:p>
    <w:p>
      <w:pPr>
        <w:jc w:val="both"/>
      </w:pPr>
      <w:r>
        <w:rPr>
          <w:b/>
        </w:rPr>
        <w:t>Owner:</w:t>
      </w:r>
      <w:r>
        <w:t xml:space="preserve"> Partner / client / Wheatley / appraiser</w:t>
      </w:r>
    </w:p>
    <w:p>
      <w:pPr>
        <w:pStyle w:val="Heading2"/>
      </w:pPr>
      <w:r>
        <w:t>Issue 3: Internal inconsistencies in the Ridgeline report</w:t>
      </w:r>
    </w:p>
    <w:p>
      <w:pPr>
        <w:jc w:val="both"/>
      </w:pPr>
      <w:r>
        <w:rPr>
          <w:b/>
        </w:rPr>
        <w:t>Priority:</w:t>
      </w:r>
      <w:r>
        <w:t xml:space="preserve"> High   |   </w:t>
      </w:r>
      <w:r>
        <w:rPr>
          <w:b/>
        </w:rPr>
        <w:t>Sources:</w:t>
      </w:r>
      <w:r>
        <w:t xml:space="preserve"> Ridgeline §§1–2, 7.1, 9(6); Intake §§I, IV.B; Stockholders’ Agreement §4.2(b)</w:t>
      </w:r>
    </w:p>
    <w:p>
      <w:pPr>
        <w:jc w:val="both"/>
      </w:pPr>
      <w:r>
        <w:t xml:space="preserve">(a) </w:t>
      </w:r>
      <w:r>
        <w:rPr>
          <w:b/>
        </w:rPr>
        <w:t>Line of business:</w:t>
      </w:r>
      <w:r>
        <w:t xml:space="preserve"> Ridgeline describes Helios as focused on "autoimmune and inflammatory diseases" and picked its guideline companies on that basis. The intake memo describes Helios as an "immuno-oncology" company. If the intake memo is right, the comparable-company set (40% of the weighting) may be wrong. (b) </w:t>
      </w:r>
      <w:r>
        <w:rPr>
          <w:b/>
        </w:rPr>
        <w:t>Revenue mix:</w:t>
      </w:r>
      <w:r>
        <w:t xml:space="preserve"> Ridgeline cites product sales, milestones and royalties. The intake memo says revenue comes "principally from licensing arrangements and milestone payments." (c) </w:t>
      </w:r>
      <w:r>
        <w:rPr>
          <w:b/>
        </w:rPr>
        <w:t>ROFR holders:</w:t>
      </w:r>
      <w:r>
        <w:t xml:space="preserve"> Ridgeline says the ROFR runs in favor of "the Company and certain existing shareholders." The Stockholders’ Agreement excerpt gives the ROFR to the Company only. (d) </w:t>
      </w:r>
      <w:r>
        <w:rPr>
          <w:b/>
        </w:rPr>
        <w:t>Ownership metric:</w:t>
      </w:r>
      <w:r>
        <w:t xml:space="preserve"> Ridgeline reports 18.1% of fully diluted shares. Measured against 7,800,000 outstanding voting shares, the client holds 20.0%, which matters for Issue 13. (e) Ridgeline’s market-approach reconciliation ($170.9M and $184.8M reconciled to $177.5M) implies about 54% weight on the EV/Revenue multiple. This is not explained, but it is within reason.</w:t>
      </w:r>
    </w:p>
    <w:p>
      <w:pPr>
        <w:jc w:val="both"/>
      </w:pPr>
      <w:r>
        <w:rPr>
          <w:b/>
        </w:rPr>
        <w:t>Recommended resolution:</w:t>
      </w:r>
    </w:p>
    <w:p>
      <w:pPr>
        <w:pStyle w:val="ListBullet"/>
        <w:spacing w:after="60"/>
        <w:jc w:val="both"/>
      </w:pPr>
      <w:r>
        <w:t>Ask Ridgeline (or the new appraiser) to confirm the business description and comparables, and to correct the ROFR description.</w:t>
      </w:r>
    </w:p>
    <w:p>
      <w:pPr>
        <w:pStyle w:val="ListBullet"/>
        <w:spacing w:after="60"/>
        <w:jc w:val="both"/>
      </w:pPr>
      <w:r>
        <w:t>Obtain the full Stockholders’ Agreement (Article I definitions, any shareholder ROFR or co-sale rights in other articles, §8.4 confidentiality, Exhibit C joinder form). We have only Article IV.</w:t>
      </w:r>
    </w:p>
    <w:p>
      <w:pPr>
        <w:jc w:val="both"/>
      </w:pPr>
      <w:r>
        <w:rPr>
          <w:b/>
        </w:rPr>
        <w:t>Owner:</w:t>
      </w:r>
      <w:r>
        <w:t xml:space="preserve"> Drafting team / appraiser / Bramwell</w:t>
      </w:r>
    </w:p>
    <w:p>
      <w:pPr>
        <w:pStyle w:val="Heading2"/>
      </w:pPr>
      <w:r>
        <w:t>Issue 4: The annuity factor and payment are miscalculated</w:t>
      </w:r>
    </w:p>
    <w:p>
      <w:pPr>
        <w:jc w:val="both"/>
      </w:pPr>
      <w:r>
        <w:rPr>
          <w:b/>
        </w:rPr>
        <w:t>Priority:</w:t>
      </w:r>
      <w:r>
        <w:t xml:space="preserve"> Critical   |   </w:t>
      </w:r>
      <w:r>
        <w:rPr>
          <w:b/>
        </w:rPr>
        <w:t>Sources:</w:t>
      </w:r>
      <w:r>
        <w:t xml:space="preserve"> Silveroak Summary rows 43–47, Annuity Schedule, Sensitivity note; Intake §V.E; Estate Plan Summary §§VI, VII.C</w:t>
      </w:r>
    </w:p>
    <w:p>
      <w:pPr>
        <w:jc w:val="both"/>
      </w:pPr>
      <w:r>
        <w:t xml:space="preserve">Silveroak uses an annuity factor of 2.807 "derived from internal PV tables." For a 3-year term with annual payments at the end of each year at 5.8%, the correct factor is (1 − 1.058^−3) / 0.058 = </w:t>
      </w:r>
      <w:r>
        <w:rPr>
          <w:b/>
        </w:rPr>
        <w:t>2.682934</w:t>
      </w:r>
      <w:r>
        <w:t>. Consequences:</w:t>
      </w:r>
    </w:p>
    <w:p>
      <w:pPr>
        <w:jc w:val="both"/>
      </w:pPr>
      <w:r>
        <w:t xml:space="preserve">• A $2,850,000 annuity has a present value of $7,646,362. On an $8,000,000 funding the taxable gift is about </w:t>
      </w:r>
      <w:r>
        <w:rPr>
          <w:b/>
        </w:rPr>
        <w:t>$353,638</w:t>
      </w:r>
      <w:r>
        <w:t>, not $0.72 (the "$0.72" in the workbook and the estate plan summary is a product of the wrong factor). The gift would be covered by remaining exemption, but the GRAT would not be "zeroed out" as represented to the client.</w:t>
      </w:r>
    </w:p>
    <w:p>
      <w:pPr>
        <w:jc w:val="both"/>
      </w:pPr>
      <w:r>
        <w:t xml:space="preserve">• The annuity that zeroes out an $8,000,000 funding at 5.8% is about </w:t>
      </w:r>
      <w:r>
        <w:rPr>
          <w:b/>
        </w:rPr>
        <w:t>$2,981,810</w:t>
      </w:r>
      <w:r>
        <w:t xml:space="preserve">, not $2,850,000. Silveroak’s own "correct annuity" of $2,981,276 (using a factor of 2.682915) is also slightly off. On $5,400,000 (Ridgeline FMV) the zeroing annuity is about </w:t>
      </w:r>
      <w:r>
        <w:rPr>
          <w:b/>
        </w:rPr>
        <w:t>$2,012,722</w:t>
      </w:r>
      <w:r>
        <w:t>.</w:t>
      </w:r>
    </w:p>
    <w:p>
      <w:pPr>
        <w:jc w:val="both"/>
      </w:pPr>
      <w:r>
        <w:t>• Any fixed-dollar annuity is fragile here. If the IRS later values the shares higher, a fixed amount produces an unexpected gift. If the value is lower, a fixed amount over-pays the grantor.</w:t>
      </w:r>
    </w:p>
    <w:p>
      <w:pPr>
        <w:jc w:val="both"/>
      </w:pPr>
      <w:r>
        <w:rPr>
          <w:b/>
        </w:rPr>
        <w:t>Recommended resolution:</w:t>
      </w:r>
    </w:p>
    <w:p>
      <w:pPr>
        <w:pStyle w:val="ListBullet"/>
        <w:spacing w:after="60"/>
        <w:jc w:val="both"/>
      </w:pPr>
      <w:r>
        <w:t>State the annuity as a fixed percentage of Initial Fair Market Value as finally determined (draft §3.1). At 5.8% the zeroing percentage is 37.2726% of initial value per year (Appendix A).</w:t>
      </w:r>
    </w:p>
    <w:p>
      <w:pPr>
        <w:pStyle w:val="ListBullet"/>
        <w:spacing w:after="60"/>
        <w:jc w:val="both"/>
      </w:pPr>
      <w:r>
        <w:t>Fix the percentage at signing using the lowest eligible Section 7520 rate, rounded down so that a small positive gift is reported. Elect that rate on Form 709.</w:t>
      </w:r>
    </w:p>
    <w:p>
      <w:pPr>
        <w:pStyle w:val="ListBullet"/>
        <w:spacing w:after="60"/>
        <w:jc w:val="both"/>
      </w:pPr>
      <w:r>
        <w:t>Ask Silveroak to rebuild the model using the correct factor, fair market value and actual payment timing.</w:t>
      </w:r>
    </w:p>
    <w:p>
      <w:pPr>
        <w:jc w:val="both"/>
      </w:pPr>
      <w:r>
        <w:rPr>
          <w:b/>
        </w:rPr>
        <w:t>Owner:</w:t>
      </w:r>
      <w:r>
        <w:t xml:space="preserve"> Silveroak / drafting team</w:t>
      </w:r>
    </w:p>
    <w:p>
      <w:pPr>
        <w:pStyle w:val="Heading2"/>
      </w:pPr>
      <w:r>
        <w:t>Issue 5: The Section 7520 rate is unverified and the election months will change</w:t>
      </w:r>
    </w:p>
    <w:p>
      <w:pPr>
        <w:jc w:val="both"/>
      </w:pPr>
      <w:r>
        <w:rPr>
          <w:b/>
        </w:rPr>
        <w:t>Priority:</w:t>
      </w:r>
      <w:r>
        <w:t xml:space="preserve"> High   |   </w:t>
      </w:r>
      <w:r>
        <w:rPr>
          <w:b/>
        </w:rPr>
        <w:t>Sources:</w:t>
      </w:r>
      <w:r>
        <w:t xml:space="preserve"> Intake §V.D; Engagement Letter §§2.1, 6; Silveroak row 42</w:t>
      </w:r>
    </w:p>
    <w:p>
      <w:pPr>
        <w:jc w:val="both"/>
      </w:pPr>
      <w:r>
        <w:t>The file assumes 5.8% as "the published rate for June 2025". We could not verify this against the IRS revenue ruling in this review, so it must be confirmed. Under §7520(a) the grantor may use the rate for the month of the transfer or either of the two preceding months. If funding slips to August or September 2025 (Issue 7), the eligible months become June–August or July–September, not May–July. The engagement letter’s statement that the rate will be optimized "at the time Form 709 is prepared" is only partly correct. The election is made on the return, but the annuity percentage in the instrument must be fixed at signing. With a percentage annuity, a different rate elected later would produce a small gift or a negative remainder, not a re-computed annuity.</w:t>
      </w:r>
    </w:p>
    <w:p>
      <w:pPr>
        <w:jc w:val="both"/>
      </w:pPr>
      <w:r>
        <w:rPr>
          <w:b/>
        </w:rPr>
        <w:t>Recommended resolution:</w:t>
      </w:r>
    </w:p>
    <w:p>
      <w:pPr>
        <w:pStyle w:val="ListBullet"/>
        <w:spacing w:after="60"/>
        <w:jc w:val="both"/>
      </w:pPr>
      <w:r>
        <w:t>Confirm the published rates for each candidate month. Recompute the percentage when the Funding Date is fixed, and complete §3.1 and Schedule B.</w:t>
      </w:r>
    </w:p>
    <w:p>
      <w:pPr>
        <w:pStyle w:val="ListBullet"/>
        <w:spacing w:after="60"/>
        <w:jc w:val="both"/>
      </w:pPr>
      <w:r>
        <w:t>A lower rate is better for a GRAT. Choose the lowest of the three eligible months.</w:t>
      </w:r>
    </w:p>
    <w:p>
      <w:pPr>
        <w:jc w:val="both"/>
      </w:pPr>
      <w:r>
        <w:rPr>
          <w:b/>
        </w:rPr>
        <w:t>Owner:</w:t>
      </w:r>
      <w:r>
        <w:t xml:space="preserve"> Drafting team / Silveroak</w:t>
      </w:r>
    </w:p>
    <w:p>
      <w:pPr>
        <w:pStyle w:val="Heading2"/>
      </w:pPr>
      <w:r>
        <w:t>Issue 6: The projections overstate the benefit; consider design alternatives</w:t>
      </w:r>
    </w:p>
    <w:p>
      <w:pPr>
        <w:jc w:val="both"/>
      </w:pPr>
      <w:r>
        <w:rPr>
          <w:b/>
        </w:rPr>
        <w:t>Priority:</w:t>
      </w:r>
      <w:r>
        <w:t xml:space="preserve"> Medium   |   </w:t>
      </w:r>
      <w:r>
        <w:rPr>
          <w:b/>
        </w:rPr>
        <w:t>Sources:</w:t>
      </w:r>
      <w:r>
        <w:t xml:space="preserve"> Silveroak Appreciation Scenarios and Annuity Schedule; Intake §III.2</w:t>
      </w:r>
    </w:p>
    <w:p>
      <w:pPr>
        <w:jc w:val="both"/>
      </w:pPr>
      <w:r>
        <w:t>The scenarios compute the remainder as ending value minus total nominal annuities. They ignore when growth occurs, use $20.00 and the wrong annuity, and assume cash payments that the trust cannot make. For example, at 15% annual growth the model shows a $2,270,375 remainder. With the correct zeroing annuity the remainder is about $1,812,664 on $8.0M, or about $1,223,548 on $5.4M. The 4x and 6x cases assume the liquidity event occurs and is valued within the 3-year term. The client’s IPO window (2027–2028) may fall after the July 2028 expiry. The column showing shares "at funding-date value" is not a permissible method (Silveroak acknowledges this).</w:t>
      </w:r>
    </w:p>
    <w:p>
      <w:pPr>
        <w:jc w:val="both"/>
      </w:pPr>
      <w:r>
        <w:rPr>
          <w:b/>
        </w:rPr>
        <w:t>Recommended resolution:</w:t>
      </w:r>
    </w:p>
    <w:p>
      <w:pPr>
        <w:pStyle w:val="ListBullet"/>
        <w:spacing w:after="60"/>
        <w:jc w:val="both"/>
      </w:pPr>
      <w:r>
        <w:t>Rebuild the scenarios. Discuss with the client: (a) a shorter term or rolling 2-year GRATs to reduce mortality risk and capture volatility; (b) an annuity that increases by up to 120% a year (Reg. §25.2702-3(b)(1)(ii)), which leaves more shares in the trust early; (c) whether 3 years matches the expected liquidity timing.</w:t>
      </w:r>
    </w:p>
    <w:p>
      <w:pPr>
        <w:pStyle w:val="ListBullet"/>
        <w:spacing w:after="60"/>
        <w:jc w:val="both"/>
      </w:pPr>
      <w:r>
        <w:t>Tell the client that the GRAT transfers only the return above the Section 7520 hurdle. If the shares do not out-perform that rate, the GRAT simply returns the shares to her.</w:t>
      </w:r>
    </w:p>
    <w:p>
      <w:pPr>
        <w:jc w:val="both"/>
      </w:pPr>
      <w:r>
        <w:rPr>
          <w:b/>
        </w:rPr>
        <w:t>Owner:</w:t>
      </w:r>
      <w:r>
        <w:t xml:space="preserve"> Silveroak / partner</w:t>
      </w:r>
    </w:p>
    <w:p>
      <w:pPr>
        <w:pStyle w:val="Heading2"/>
      </w:pPr>
      <w:r>
        <w:t>B. Helios Stockholders’ Agreement and Timeline</w:t>
      </w:r>
    </w:p>
    <w:p>
      <w:pPr>
        <w:pStyle w:val="Heading2"/>
      </w:pPr>
      <w:r>
        <w:t>Issue 7: The July 1, 2025 timeline cannot be met</w:t>
      </w:r>
    </w:p>
    <w:p>
      <w:pPr>
        <w:jc w:val="both"/>
      </w:pPr>
      <w:r>
        <w:rPr>
          <w:b/>
        </w:rPr>
        <w:t>Priority:</w:t>
      </w:r>
      <w:r>
        <w:t xml:space="preserve"> Critical   |   </w:t>
      </w:r>
      <w:r>
        <w:rPr>
          <w:b/>
        </w:rPr>
        <w:t>Sources:</w:t>
      </w:r>
      <w:r>
        <w:t xml:space="preserve"> Stockholders’ Agreement §§4.2(a)–(c), 4.4, 4.5(b); Intake §VII; Engagement Letter §§2.5, 6; Silveroak Caveat 6</w:t>
      </w:r>
    </w:p>
    <w:p>
      <w:pPr>
        <w:jc w:val="both"/>
      </w:pPr>
      <w:r>
        <w:t>The firm’s documents describe a single 30-day ROFR period running from a notice. The actual Article IV process is longer and sequential:</w:t>
      </w:r>
    </w:p>
    <w:p>
      <w:pPr>
        <w:jc w:val="both"/>
      </w:pPr>
      <w:r>
        <w:t xml:space="preserve">• </w:t>
      </w:r>
      <w:r>
        <w:rPr>
          <w:b/>
        </w:rPr>
        <w:t>§4.2(a):</w:t>
      </w:r>
      <w:r>
        <w:t xml:space="preserve"> a complete Trust Transfer Request must be submitted to the Company Secretary </w:t>
      </w:r>
      <w:r>
        <w:rPr>
          <w:b/>
        </w:rPr>
        <w:t>not less than 60 days before the proposed transfer date</w:t>
      </w:r>
      <w:r>
        <w:t>. 60 days before July 1 was May 2, 2025, before the intake meeting took place.</w:t>
      </w:r>
    </w:p>
    <w:p>
      <w:pPr>
        <w:jc w:val="both"/>
      </w:pPr>
      <w:r>
        <w:t xml:space="preserve">• </w:t>
      </w:r>
      <w:r>
        <w:rPr>
          <w:b/>
        </w:rPr>
        <w:t>Board Review Period:</w:t>
      </w:r>
      <w:r>
        <w:t xml:space="preserve"> 30 days from a complete request. The Board may declare the request incomplete within 10 business days, which restarts the clock. </w:t>
      </w:r>
      <w:r>
        <w:rPr>
          <w:b/>
        </w:rPr>
        <w:t>Failure to respond is a deemed denial.</w:t>
      </w:r>
      <w:r>
        <w:t xml:space="preserve"> Consent is in the Board’s "sole and absolute discretion."</w:t>
      </w:r>
    </w:p>
    <w:p>
      <w:pPr>
        <w:jc w:val="both"/>
      </w:pPr>
      <w:r>
        <w:t xml:space="preserve">• </w:t>
      </w:r>
      <w:r>
        <w:rPr>
          <w:b/>
        </w:rPr>
        <w:t>§4.2(b):</w:t>
      </w:r>
      <w:r>
        <w:t xml:space="preserve"> only after Board consent does the Transfer Notice go to the Company, opening a further </w:t>
      </w:r>
      <w:r>
        <w:rPr>
          <w:b/>
        </w:rPr>
        <w:t>30-day ROFR Exercise Period</w:t>
      </w:r>
      <w:r>
        <w:t>. Board consent to an irrevocable-trust transfer does not remove the ROFR (§4.5(b)). The Fair Market Value Per Share in the notice is fixed by a mutually agreed independent appraiser, with a three-appraiser fallback (§4.2(c)).</w:t>
      </w:r>
    </w:p>
    <w:p>
      <w:pPr>
        <w:jc w:val="both"/>
      </w:pPr>
      <w:r>
        <w:t xml:space="preserve">• </w:t>
      </w:r>
      <w:r>
        <w:rPr>
          <w:b/>
        </w:rPr>
        <w:t>Transfer Completion Period:</w:t>
      </w:r>
      <w:r>
        <w:t xml:space="preserve"> the transfer must close within 60 days after the ROFR lapses or is waived, or the process starts over.</w:t>
      </w:r>
    </w:p>
    <w:p>
      <w:pPr>
        <w:jc w:val="both"/>
      </w:pPr>
      <w:r>
        <w:t>Even if the request is filed by mid-June with a substantially final agreement, the earliest permissible transfer date is mid-August 2025, and later still if the ROFR is not waived together with the Board consent. The engagement letter recommends submission in the "first week of June" and the Silveroak workbook says "late May." Both assumed a 30-day process.</w:t>
      </w:r>
    </w:p>
    <w:p>
      <w:pPr>
        <w:jc w:val="both"/>
      </w:pPr>
      <w:r>
        <w:rPr>
          <w:b/>
        </w:rPr>
        <w:t>Recommended resolution:</w:t>
      </w:r>
    </w:p>
    <w:p>
      <w:pPr>
        <w:pStyle w:val="ListBullet"/>
        <w:spacing w:after="60"/>
        <w:jc w:val="both"/>
      </w:pPr>
      <w:r>
        <w:t>Tell the client now that funding will slip to no earlier than mid-August 2025; we recommend planning for September 2025. Confirm that the client accepts the corresponding change to the Section 7520 months (Issue 5).</w:t>
      </w:r>
    </w:p>
    <w:p>
      <w:pPr>
        <w:pStyle w:val="ListBullet"/>
        <w:spacing w:after="60"/>
        <w:jc w:val="both"/>
      </w:pPr>
      <w:r>
        <w:t>Through Bramwell, ask the Board to adopt one resolution that both consents under §4.2(a) and waives the ROFR under §4.4(e), to remove the second 30-day period.</w:t>
      </w:r>
    </w:p>
    <w:p>
      <w:pPr>
        <w:pStyle w:val="ListBullet"/>
        <w:spacing w:after="60"/>
        <w:jc w:val="both"/>
      </w:pPr>
      <w:r>
        <w:t>If the request was not already submitted the week of May 26 (engagement letter timetable), submit it immediately once the deliverables in Issue 8 are ready.</w:t>
      </w:r>
    </w:p>
    <w:p>
      <w:pPr>
        <w:jc w:val="both"/>
      </w:pPr>
      <w:r>
        <w:rPr>
          <w:b/>
        </w:rPr>
        <w:t>Owner:</w:t>
      </w:r>
      <w:r>
        <w:t xml:space="preserve"> Partner / Bramwell / client</w:t>
      </w:r>
    </w:p>
    <w:p>
      <w:pPr>
        <w:pStyle w:val="Heading2"/>
      </w:pPr>
      <w:r>
        <w:t>Issue 8: Trust Transfer Request deliverables are not arranged</w:t>
      </w:r>
    </w:p>
    <w:p>
      <w:pPr>
        <w:jc w:val="both"/>
      </w:pPr>
      <w:r>
        <w:rPr>
          <w:b/>
        </w:rPr>
        <w:t>Priority:</w:t>
      </w:r>
      <w:r>
        <w:t xml:space="preserve"> High   |   </w:t>
      </w:r>
      <w:r>
        <w:rPr>
          <w:b/>
        </w:rPr>
        <w:t>Sources:</w:t>
      </w:r>
      <w:r>
        <w:t xml:space="preserve"> Stockholders’ Agreement §§4.2(a)(i)–(vi), 4.4(b); Engagement Letter §§2.5, 3</w:t>
      </w:r>
    </w:p>
    <w:p>
      <w:pPr>
        <w:jc w:val="both"/>
      </w:pPr>
      <w:r>
        <w:t xml:space="preserve">The request must include: (i) the trust agreement in executed or substantially final form, which means Draft No. 1 must be finalized with Wheatley’s sign-off first; (ii) the identities of all trustees, successor trustees and current and contingent beneficiaries, including grandchildren; (iii) a share description; (iv) the proposed transfer date; (v) the grantor’s representation </w:t>
      </w:r>
      <w:r>
        <w:rPr>
          <w:b/>
        </w:rPr>
        <w:t>under penalty of perjury</w:t>
      </w:r>
      <w:r>
        <w:t xml:space="preserve"> about Exchange Act holder-of-record thresholds; and (vi) </w:t>
      </w:r>
      <w:r>
        <w:rPr>
          <w:b/>
        </w:rPr>
        <w:t>an opinion of counsel</w:t>
      </w:r>
      <w:r>
        <w:t xml:space="preserve"> acceptable to the Company that the transfer is exempt from Securities Act and state blue-sky registration. Nobody has been assigned to provide the securities opinion. It is not in our engagement scope, and Bramwell represents the Company.</w:t>
      </w:r>
    </w:p>
    <w:p>
      <w:pPr>
        <w:jc w:val="both"/>
      </w:pPr>
      <w:r>
        <w:rPr>
          <w:b/>
        </w:rPr>
        <w:t>Recommended resolution:</w:t>
      </w:r>
    </w:p>
    <w:p>
      <w:pPr>
        <w:pStyle w:val="ListBullet"/>
        <w:spacing w:after="60"/>
        <w:jc w:val="both"/>
      </w:pPr>
      <w:r>
        <w:t>Decide who gives the securities opinion: this firm (a scope change under engagement letter §4.3) or separate securities counsel. Prepare the perjury representation for client review.</w:t>
      </w:r>
    </w:p>
    <w:p>
      <w:pPr>
        <w:pStyle w:val="ListBullet"/>
        <w:spacing w:after="60"/>
        <w:jc w:val="both"/>
      </w:pPr>
      <w:r>
        <w:t>Name all contingent beneficiaries in the request. This should include "descendants of the Grantor’s children" generally, so that later per stirpes takers are covered.</w:t>
      </w:r>
    </w:p>
    <w:p>
      <w:pPr>
        <w:jc w:val="both"/>
      </w:pPr>
      <w:r>
        <w:rPr>
          <w:b/>
        </w:rPr>
        <w:t>Owner:</w:t>
      </w:r>
      <w:r>
        <w:t xml:space="preserve"> Partner / client</w:t>
      </w:r>
    </w:p>
    <w:p>
      <w:pPr>
        <w:pStyle w:val="Heading2"/>
      </w:pPr>
      <w:r>
        <w:t>Issue 9: The ROFR and Permitted Transferee rules apply to every share movement, and the grantor is an interested director</w:t>
      </w:r>
    </w:p>
    <w:p>
      <w:pPr>
        <w:jc w:val="both"/>
      </w:pPr>
      <w:r>
        <w:rPr>
          <w:b/>
        </w:rPr>
        <w:t>Priority:</w:t>
      </w:r>
      <w:r>
        <w:t xml:space="preserve"> Critical   |   </w:t>
      </w:r>
      <w:r>
        <w:rPr>
          <w:b/>
        </w:rPr>
        <w:t>Sources:</w:t>
      </w:r>
      <w:r>
        <w:t xml:space="preserve"> Stockholders’ Agreement §§4.1(b)–(d), 4.2, 4.3(c), 4.4(e), 4.5; Intake §§III.3, VII</w:t>
      </w:r>
    </w:p>
    <w:p>
      <w:pPr>
        <w:jc w:val="both"/>
      </w:pPr>
      <w:r>
        <w:t xml:space="preserve">"Transfer" includes any transfer "by a trustee" (§4.1(b)(iii)). Each of the following is therefore a separate Transfer: an in-kind annuity payment from the GRAT to Dr. Chandrasekaran, a swap under the substitution power, a distribution to her estate, and the final distribution to the children. Under §4.1(c), the only Permitted Transferees are a qualifying revocable trust, Immediate Family (spouse, children, grandchildren) and family trusts. </w:t>
      </w:r>
      <w:r>
        <w:rPr>
          <w:b/>
        </w:rPr>
        <w:t>The stockholder herself is not on the list</w:t>
      </w:r>
      <w:r>
        <w:t>, and every Transfer remains subject to the ROFR unless it is exempt under §4.5. A 30-day ROFR and an appraiser process for each annual payment could push a payment past the 105-day grace period. If a payment is not made in time, the retained interest is not a qualified interest and the full value is a taxable gift. If the Company exercises the ROFR on funding, it buys the 400,000 shares for cash and the GRAT is never created (the draft provides for this in §2.2).</w:t>
      </w:r>
    </w:p>
    <w:p>
      <w:pPr>
        <w:jc w:val="both"/>
      </w:pPr>
      <w:r>
        <w:t>Dr. Chandrasekaran is one of five directors and the transferor. She should recuse herself, and the consent should be approved by the disinterested directors (cf. 8 Del. C. §144). Each trustee, and later each distributee (including any minor’s custodian), must sign the Exhibit C Joinder (§4.1(d)). The trust instrument must expressly bind the trustees to the §4.3 drag-along (§4.3(c)), or the Board may refuse consent; the draft does this in Art. VIII.</w:t>
      </w:r>
    </w:p>
    <w:p>
      <w:pPr>
        <w:jc w:val="both"/>
      </w:pPr>
      <w:r>
        <w:rPr>
          <w:b/>
        </w:rPr>
        <w:t>Recommended resolution:</w:t>
      </w:r>
    </w:p>
    <w:p>
      <w:pPr>
        <w:pStyle w:val="ListBullet"/>
        <w:spacing w:after="60"/>
        <w:jc w:val="both"/>
      </w:pPr>
      <w:r>
        <w:t>Seek one comprehensive Board resolution that: (a) consents to the funding transfer; (b) waives the ROFR for it; (c) consents in advance to, and waives the ROFR for, all in-kind annuity distributions to the grantor or her estate, all substitutions under §9.1, and all term-end distributions to the remainder beneficiaries (or their custodians or trusts), in each case on delivery of a joinder; (d) delegates future waiver authority to the CEO or CFO under §4.4(e); and (e) confirms that the Article VIII language satisfies §4.3(c).</w:t>
      </w:r>
    </w:p>
    <w:p>
      <w:pPr>
        <w:pStyle w:val="ListBullet"/>
        <w:spacing w:after="60"/>
        <w:jc w:val="both"/>
      </w:pPr>
      <w:r>
        <w:t>If the Board will not give advance waivers, the Independent Trustee must start the ROFR process about 60–75 days before each Annuity Payment Date (draft §3.3).</w:t>
      </w:r>
    </w:p>
    <w:p>
      <w:pPr>
        <w:jc w:val="both"/>
      </w:pPr>
      <w:r>
        <w:rPr>
          <w:b/>
        </w:rPr>
        <w:t>Owner:</w:t>
      </w:r>
      <w:r>
        <w:t xml:space="preserve"> Partner / Bramwell / client</w:t>
      </w:r>
    </w:p>
    <w:p>
      <w:pPr>
        <w:pStyle w:val="Heading2"/>
      </w:pPr>
      <w:r>
        <w:t>C. Trustee Structure</w:t>
      </w:r>
    </w:p>
    <w:p>
      <w:pPr>
        <w:pStyle w:val="Heading2"/>
      </w:pPr>
      <w:r>
        <w:t>Issue 10: The client’s desired control conflicts with Wheatley’s conditions</w:t>
      </w:r>
    </w:p>
    <w:p>
      <w:pPr>
        <w:jc w:val="both"/>
      </w:pPr>
      <w:r>
        <w:rPr>
          <w:b/>
        </w:rPr>
        <w:t>Priority:</w:t>
      </w:r>
      <w:r>
        <w:t xml:space="preserve"> Critical   |   </w:t>
      </w:r>
      <w:r>
        <w:rPr>
          <w:b/>
        </w:rPr>
        <w:t>Sources:</w:t>
      </w:r>
      <w:r>
        <w:t xml:space="preserve"> Intake §§III.3–4, V.E, VI.A–B; Wheatley email</w:t>
      </w:r>
    </w:p>
    <w:p>
      <w:pPr>
        <w:jc w:val="both"/>
      </w:pPr>
      <w:r>
        <w:t>Dr. Chandrasekaran wants (a) day-to-day administrative control, including oversight of Helios corporate actions, Board consent processes and share transfers, and (b) the power "in her capacity as trustee" to decide whether the annuity is paid in cash or in shares. Wheatley requires exclusive authority over valuation for in-kind distributions, all retention, sale and reinvestment decisions, and any distribution discretion. It limits the individual trustee to ministerial tasks and states it "will not accept the co-trustee appointment" otherwise. The intake memo describes Wheatley’s position as consistent with the client’s wishes. It is not.</w:t>
      </w:r>
    </w:p>
    <w:p>
      <w:pPr>
        <w:jc w:val="both"/>
      </w:pPr>
      <w:r>
        <w:rPr>
          <w:b/>
        </w:rPr>
        <w:t>Recommended resolution:</w:t>
      </w:r>
    </w:p>
    <w:p>
      <w:pPr>
        <w:pStyle w:val="ListBullet"/>
        <w:spacing w:after="60"/>
        <w:jc w:val="both"/>
      </w:pPr>
      <w:r>
        <w:t>The draft follows Wheatley’s conditions and adds voting and the cash-or-in-kind decision to Wheatley’s Reserved Powers (Issue 13). Explain to the client in writing that this is necessary both for Wheatley’s acceptance and to protect the estate tax result, and get her approval before the draft goes to Wheatley.</w:t>
      </w:r>
    </w:p>
    <w:p>
      <w:pPr>
        <w:pStyle w:val="ListBullet"/>
        <w:spacing w:after="60"/>
        <w:jc w:val="both"/>
      </w:pPr>
      <w:r>
        <w:t>Note that Wheatley’s third requirement (discretionary distributions) is largely moot. §2702 prohibits any distribution during the term other than the annuity to the grantor, and the draft gives no such discretion (§3.8).</w:t>
      </w:r>
    </w:p>
    <w:p>
      <w:pPr>
        <w:jc w:val="both"/>
      </w:pPr>
      <w:r>
        <w:rPr>
          <w:b/>
        </w:rPr>
        <w:t>Owner:</w:t>
      </w:r>
      <w:r>
        <w:t xml:space="preserve"> Partner / client</w:t>
      </w:r>
    </w:p>
    <w:p>
      <w:pPr>
        <w:pStyle w:val="Heading2"/>
      </w:pPr>
      <w:r>
        <w:t>Issue 11: Wheatley acceptance logistics and confidentiality</w:t>
      </w:r>
    </w:p>
    <w:p>
      <w:pPr>
        <w:jc w:val="both"/>
      </w:pPr>
      <w:r>
        <w:rPr>
          <w:b/>
        </w:rPr>
        <w:t>Priority:</w:t>
      </w:r>
      <w:r>
        <w:t xml:space="preserve"> High   |   </w:t>
      </w:r>
      <w:r>
        <w:rPr>
          <w:b/>
        </w:rPr>
        <w:t>Sources:</w:t>
      </w:r>
      <w:r>
        <w:t xml:space="preserve"> Wheatley email; Ridgeline cover notice; Stockholders’ Agreement excerpt footer (§8.4); Engagement Letter §7</w:t>
      </w:r>
    </w:p>
    <w:p>
      <w:pPr>
        <w:jc w:val="both"/>
      </w:pPr>
      <w:r>
        <w:t xml:space="preserve">Wheatley wants the draft by </w:t>
      </w:r>
      <w:r>
        <w:rPr>
          <w:b/>
        </w:rPr>
        <w:t>June 10, 2025</w:t>
      </w:r>
      <w:r>
        <w:t>. It also wants the Stockholders’ Agreement provisions, the Ridgeline report, the EIN and an executed acceptance agreement, and its review takes 7–10 business days. We have not received Wheatley’s standard acceptance agreement. The Ridgeline report may not be passed to third parties without Ridgeline’s consent. The Stockholders’ Agreement excerpt is subject to its §8.4 confidentiality clause. The engagement letter authorizes the firm to share client information with Wheatley, but that does not override third-party confidentiality restrictions.</w:t>
      </w:r>
    </w:p>
    <w:p>
      <w:pPr>
        <w:jc w:val="both"/>
      </w:pPr>
      <w:r>
        <w:rPr>
          <w:b/>
        </w:rPr>
        <w:t>Recommended resolution:</w:t>
      </w:r>
    </w:p>
    <w:p>
      <w:pPr>
        <w:pStyle w:val="ListBullet"/>
        <w:spacing w:after="60"/>
        <w:jc w:val="both"/>
      </w:pPr>
      <w:r>
        <w:t>Obtain written consent from Ridgeline, and from the Company through Bramwell, before sending their documents to Wheatley.</w:t>
      </w:r>
    </w:p>
    <w:p>
      <w:pPr>
        <w:pStyle w:val="ListBullet"/>
        <w:spacing w:after="60"/>
        <w:jc w:val="both"/>
      </w:pPr>
      <w:r>
        <w:t>Request and review Wheatley’s acceptance agreement (indemnities, fee terms, valuation and appraisal cost allocation, resignation terms) and make sure it is consistent with §6.9 of the draft.</w:t>
      </w:r>
    </w:p>
    <w:p>
      <w:pPr>
        <w:jc w:val="both"/>
      </w:pPr>
      <w:r>
        <w:rPr>
          <w:b/>
        </w:rPr>
        <w:t>Owner:</w:t>
      </w:r>
      <w:r>
        <w:t xml:space="preserve"> Drafting team</w:t>
      </w:r>
    </w:p>
    <w:p>
      <w:pPr>
        <w:pStyle w:val="Heading2"/>
      </w:pPr>
      <w:r>
        <w:t>Issue 12: Successor trustee and Wheatley’s multiple roles</w:t>
      </w:r>
    </w:p>
    <w:p>
      <w:pPr>
        <w:jc w:val="both"/>
      </w:pPr>
      <w:r>
        <w:rPr>
          <w:b/>
        </w:rPr>
        <w:t>Priority:</w:t>
      </w:r>
      <w:r>
        <w:t xml:space="preserve"> Medium   |   </w:t>
      </w:r>
      <w:r>
        <w:rPr>
          <w:b/>
        </w:rPr>
        <w:t>Sources:</w:t>
      </w:r>
      <w:r>
        <w:t xml:space="preserve"> Intake §VI.C; Estate Plan Summary §§II–III</w:t>
      </w:r>
    </w:p>
    <w:p>
      <w:pPr>
        <w:jc w:val="both"/>
      </w:pPr>
      <w:r>
        <w:t>Vikram is to be the successor individual trustee. That is acceptable only with ministerial powers (he is a related or subordinate party, and under Alternative B he would also be a beneficiary). Wheatley also serves as successor trustee of the 2017 Revocable Trust, as successor executor and as a depository bank. If the grantor dies during the term, Wheatley could sit on both sides of a §2207B estate tax recovery claim against the GRAT. The intake memo says "Wheatley shall continue as the sole trustee" if Vikram cannot serve, which the draft follows.</w:t>
      </w:r>
    </w:p>
    <w:p>
      <w:pPr>
        <w:jc w:val="both"/>
      </w:pPr>
      <w:r>
        <w:rPr>
          <w:b/>
        </w:rPr>
        <w:t>Recommended resolution:</w:t>
      </w:r>
    </w:p>
    <w:p>
      <w:pPr>
        <w:pStyle w:val="ListBullet"/>
        <w:spacing w:after="60"/>
        <w:jc w:val="both"/>
      </w:pPr>
      <w:r>
        <w:t>Keep Vikram ministerial (draft §6.5). Ask the client whether she wants an independent successor individual trustee instead. Disclose Wheatley’s overlapping roles and add a conflict waiver in the acceptance agreement.</w:t>
      </w:r>
    </w:p>
    <w:p>
      <w:pPr>
        <w:jc w:val="both"/>
      </w:pPr>
      <w:r>
        <w:rPr>
          <w:b/>
        </w:rPr>
        <w:t>Owner:</w:t>
      </w:r>
      <w:r>
        <w:t xml:space="preserve"> Partner / client</w:t>
      </w:r>
    </w:p>
    <w:p>
      <w:pPr>
        <w:pStyle w:val="Heading2"/>
      </w:pPr>
      <w:r>
        <w:t>D. Tax Issues</w:t>
      </w:r>
    </w:p>
    <w:p>
      <w:pPr>
        <w:pStyle w:val="Heading2"/>
      </w:pPr>
      <w:r>
        <w:t>Issue 13: IRC §2036(b) controlled-corporation exposure</w:t>
      </w:r>
    </w:p>
    <w:p>
      <w:pPr>
        <w:jc w:val="both"/>
      </w:pPr>
      <w:r>
        <w:rPr>
          <w:b/>
        </w:rPr>
        <w:t>Priority:</w:t>
      </w:r>
      <w:r>
        <w:t xml:space="preserve"> Critical   |   </w:t>
      </w:r>
      <w:r>
        <w:rPr>
          <w:b/>
        </w:rPr>
        <w:t>Sources:</w:t>
      </w:r>
      <w:r>
        <w:t xml:space="preserve"> Ridgeline §2 and App. A (1,560,000 of 7,800,000 outstanding); Intake §§III.4, VI.A</w:t>
      </w:r>
    </w:p>
    <w:p>
      <w:pPr>
        <w:jc w:val="both"/>
      </w:pPr>
      <w:r>
        <w:t xml:space="preserve">Under §2036(b), a retained right to vote (directly or indirectly, including as trustee) shares of a "controlled corporation" that the decedent transferred is treated as retained enjoyment. A corporation is controlled if the decedent owned, with §318 attribution, or had the right to vote, stock with at least 20% of the combined voting power. Dr. Chandrasekaran holds 1,560,000 of 7,800,000 outstanding shares, </w:t>
      </w:r>
      <w:r>
        <w:rPr>
          <w:b/>
        </w:rPr>
        <w:t>exactly 20.0%</w:t>
      </w:r>
      <w:r>
        <w:t>, before attributing any shares held by her spouse or children. (The 18.1% figure in the file is on a fully diluted basis, which includes unexercised options that carry no vote.) If she votes the GRAT shares as trustee, the shares could be included in her estate beyond the §2036(a) formula amount. Releasing that vote when the term ends could bring the shares back into her estate under §2035 if she dies within three years afterward. The client’s wish to oversee "corporate actions" and "board consent processes" as trustee points directly at this risk.</w:t>
      </w:r>
    </w:p>
    <w:p>
      <w:pPr>
        <w:jc w:val="both"/>
      </w:pPr>
      <w:r>
        <w:rPr>
          <w:b/>
        </w:rPr>
        <w:t>Recommended resolution:</w:t>
      </w:r>
    </w:p>
    <w:p>
      <w:pPr>
        <w:pStyle w:val="ListBullet"/>
        <w:spacing w:after="60"/>
        <w:jc w:val="both"/>
      </w:pPr>
      <w:r>
        <w:t>Vest all voting, consent and stockholder rights in Wheatley alone (draft §6.2(c)). The grantor must not serve as a proxy or give voting directions.</w:t>
      </w:r>
    </w:p>
    <w:p>
      <w:pPr>
        <w:pStyle w:val="ListBullet"/>
        <w:spacing w:after="60"/>
        <w:jc w:val="both"/>
      </w:pPr>
      <w:r>
        <w:t>Confirm the current outstanding share count and any shares held by Vikram or the children, since §318 attribution only adds to the 20% figure.</w:t>
      </w:r>
    </w:p>
    <w:p>
      <w:pPr>
        <w:jc w:val="both"/>
      </w:pPr>
      <w:r>
        <w:rPr>
          <w:b/>
        </w:rPr>
        <w:t>Owner:</w:t>
      </w:r>
      <w:r>
        <w:t xml:space="preserve"> Drafting team / Bramwell</w:t>
      </w:r>
    </w:p>
    <w:p>
      <w:pPr>
        <w:pStyle w:val="Heading2"/>
      </w:pPr>
      <w:r>
        <w:t>Issue 14: Grantor trust status and the substitution power</w:t>
      </w:r>
    </w:p>
    <w:p>
      <w:pPr>
        <w:jc w:val="both"/>
      </w:pPr>
      <w:r>
        <w:rPr>
          <w:b/>
        </w:rPr>
        <w:t>Priority:</w:t>
      </w:r>
      <w:r>
        <w:t xml:space="preserve"> Medium   |   </w:t>
      </w:r>
      <w:r>
        <w:rPr>
          <w:b/>
        </w:rPr>
        <w:t>Sources:</w:t>
      </w:r>
      <w:r>
        <w:t xml:space="preserve"> Intake §V.G; Engagement Letter §2.3; Estate Plan Summary §IV</w:t>
      </w:r>
    </w:p>
    <w:p>
      <w:pPr>
        <w:jc w:val="both"/>
      </w:pPr>
      <w:r>
        <w:t>The file assumes grantor trust status without saying how it is achieved. Section 677(a) applies because income may be paid to the grantor, but it does not reliably reach all corpus items. The draft adds a non-fiduciary §675(4)(C) substitution power. Wheatley confirms equivalent value, which follows Rev. Rul. 2008-22 and Wheatley’s valuation condition. Any swap of Helios shares is itself a Transfer (Issue 9). The existing durable power of attorney limits gifts to annual-exclusion amounts and does not mention GRAT powers, so if the grantor becomes incapacitated nobody could exercise or release the swap power. The engagement letter says the GRAT "will not file a separate income tax return." That is correct for Form 1041 income reporting, but a grantor trust with an EIN must use a Treas. Reg. §1.671-4 reporting method, and Wheatley may require a grantor-trust information return.</w:t>
      </w:r>
    </w:p>
    <w:p>
      <w:pPr>
        <w:jc w:val="both"/>
      </w:pPr>
      <w:r>
        <w:rPr>
          <w:b/>
        </w:rPr>
        <w:t>Recommended resolution:</w:t>
      </w:r>
    </w:p>
    <w:p>
      <w:pPr>
        <w:pStyle w:val="ListBullet"/>
        <w:spacing w:after="60"/>
        <w:jc w:val="both"/>
      </w:pPr>
      <w:r>
        <w:t>Confirm the reporting method with Silveroak. If the client wants agent authority over the swap power, consider a power of attorney amendment (Issue 26).</w:t>
      </w:r>
    </w:p>
    <w:p>
      <w:pPr>
        <w:jc w:val="both"/>
      </w:pPr>
      <w:r>
        <w:rPr>
          <w:b/>
        </w:rPr>
        <w:t>Owner:</w:t>
      </w:r>
      <w:r>
        <w:t xml:space="preserve"> Silveroak / drafting team</w:t>
      </w:r>
    </w:p>
    <w:p>
      <w:pPr>
        <w:pStyle w:val="Heading2"/>
      </w:pPr>
      <w:r>
        <w:t>Issue 15: Exemption and annual exclusion figures use 2024 amounts</w:t>
      </w:r>
    </w:p>
    <w:p>
      <w:pPr>
        <w:jc w:val="both"/>
      </w:pPr>
      <w:r>
        <w:rPr>
          <w:b/>
        </w:rPr>
        <w:t>Priority:</w:t>
      </w:r>
      <w:r>
        <w:t xml:space="preserve"> High   |   </w:t>
      </w:r>
      <w:r>
        <w:rPr>
          <w:b/>
        </w:rPr>
        <w:t>Sources:</w:t>
      </w:r>
      <w:r>
        <w:t xml:space="preserve"> Intake §§II.B, III.1, IV.D; Estate Plan Summary §§IV, VI, VII; Silveroak rows 48–49</w:t>
      </w:r>
    </w:p>
    <w:p>
      <w:pPr>
        <w:jc w:val="both"/>
      </w:pPr>
      <w:r>
        <w:t xml:space="preserve">The file uses a "2025 basic exclusion amount of $13,610,000." That was the </w:t>
      </w:r>
      <w:r>
        <w:rPr>
          <w:b/>
        </w:rPr>
        <w:t>2024</w:t>
      </w:r>
      <w:r>
        <w:t xml:space="preserve"> figure. The 2025 amount is </w:t>
      </w:r>
      <w:r>
        <w:rPr>
          <w:b/>
        </w:rPr>
        <w:t>$13,990,000</w:t>
      </w:r>
      <w:r>
        <w:t xml:space="preserve"> (Rev. Proc. 2024-40). The estate plan summary also gives the 2025 annual exclusion as $18,000; it is </w:t>
      </w:r>
      <w:r>
        <w:rPr>
          <w:b/>
        </w:rPr>
        <w:t>$19,000</w:t>
      </w:r>
      <w:r>
        <w:t>. On the stated prior usage, Dr. Chandrasekaran’s remaining exemption is $5,790,000 (not $5,410,000), and Vikram’s is $10,890,000 (not $10,510,000), subject to Issue 16.</w:t>
      </w:r>
    </w:p>
    <w:p>
      <w:pPr>
        <w:jc w:val="both"/>
      </w:pPr>
      <w:r>
        <w:rPr>
          <w:b/>
        </w:rPr>
        <w:t>Recommended resolution:</w:t>
      </w:r>
    </w:p>
    <w:p>
      <w:pPr>
        <w:pStyle w:val="ListBullet"/>
        <w:spacing w:after="60"/>
        <w:jc w:val="both"/>
      </w:pPr>
      <w:r>
        <w:t>Correct the figures in the file and in client communications. Update them for the year the GRAT is actually funded.</w:t>
      </w:r>
    </w:p>
    <w:p>
      <w:pPr>
        <w:jc w:val="both"/>
      </w:pPr>
      <w:r>
        <w:rPr>
          <w:b/>
        </w:rPr>
        <w:t>Owner:</w:t>
      </w:r>
      <w:r>
        <w:t xml:space="preserve"> Drafting team / Silveroak</w:t>
      </w:r>
    </w:p>
    <w:p>
      <w:pPr>
        <w:pStyle w:val="Heading2"/>
      </w:pPr>
      <w:r>
        <w:t>Issue 16: Prior exemption usage conflicts with Vikram’s split-gift elections</w:t>
      </w:r>
    </w:p>
    <w:p>
      <w:pPr>
        <w:jc w:val="both"/>
      </w:pPr>
      <w:r>
        <w:rPr>
          <w:b/>
        </w:rPr>
        <w:t>Priority:</w:t>
      </w:r>
      <w:r>
        <w:t xml:space="preserve"> High   |   </w:t>
      </w:r>
      <w:r>
        <w:rPr>
          <w:b/>
        </w:rPr>
        <w:t>Sources:</w:t>
      </w:r>
      <w:r>
        <w:t xml:space="preserve"> Estate Plan Summary §VII.A–B</w:t>
      </w:r>
    </w:p>
    <w:p>
      <w:pPr>
        <w:jc w:val="both"/>
      </w:pPr>
      <w:r>
        <w:t>The summary says Vikram’s $3.1M of used exemption consists "primarily of split-gift elections on Dr. Chandrasekaran’s Forms 709 for the 2014 and 2021 ILIT premium payments." If those gifts were split under §2513, half of each is treated as Vikram’s gift. Yet Dr. Chandrasekaran’s $8.2M is computed by charging her with 100% of the 2014 gift (as adjusted on audit to $3.0M) and the 2021 gift ($1.5M). If both were split, her usage would be about $5.95M ($8.2M − $2.25M) and Vikram’s split share would be $2.25M. That is consistent with his $3.1M total once modest direct gifts are added. One of the two figures is wrong, and the IRS audit adjustment would also have been split.</w:t>
      </w:r>
    </w:p>
    <w:p>
      <w:pPr>
        <w:jc w:val="both"/>
      </w:pPr>
      <w:r>
        <w:rPr>
          <w:b/>
        </w:rPr>
        <w:t>Recommended resolution:</w:t>
      </w:r>
    </w:p>
    <w:p>
      <w:pPr>
        <w:pStyle w:val="ListBullet"/>
        <w:spacing w:after="60"/>
        <w:jc w:val="both"/>
      </w:pPr>
      <w:r>
        <w:t>Have Silveroak reconcile both spouses’ cumulative taxable gifts to the filed Forms 709 and IRS account transcripts, including GST exemption allocations to the ILIT, before the 2025 return is prepared.</w:t>
      </w:r>
    </w:p>
    <w:p>
      <w:pPr>
        <w:jc w:val="both"/>
      </w:pPr>
      <w:r>
        <w:rPr>
          <w:b/>
        </w:rPr>
        <w:t>Owner:</w:t>
      </w:r>
      <w:r>
        <w:t xml:space="preserve"> Silveroak</w:t>
      </w:r>
    </w:p>
    <w:p>
      <w:pPr>
        <w:pStyle w:val="Heading2"/>
      </w:pPr>
      <w:r>
        <w:t>Issue 17: Connecticut gift tax, Form 709 disclosure and GST elections</w:t>
      </w:r>
    </w:p>
    <w:p>
      <w:pPr>
        <w:jc w:val="both"/>
      </w:pPr>
      <w:r>
        <w:rPr>
          <w:b/>
        </w:rPr>
        <w:t>Priority:</w:t>
      </w:r>
      <w:r>
        <w:t xml:space="preserve"> High   |   </w:t>
      </w:r>
      <w:r>
        <w:rPr>
          <w:b/>
        </w:rPr>
        <w:t>Sources:</w:t>
      </w:r>
      <w:r>
        <w:t xml:space="preserve"> Intake §IX; Engagement Letter §2.3; Estate Plan Summary §VII.C</w:t>
      </w:r>
    </w:p>
    <w:p>
      <w:pPr>
        <w:jc w:val="both"/>
      </w:pPr>
      <w:r>
        <w:t>Connecticut is the only state with its own gift tax. A Connecticut domiciliary must file a Connecticut gift tax return (Form CT-706 GT) for a year in which she makes taxable gifts, and that return is not mentioned anywhere in the file. The Form 709 must meet the adequate disclosure requirements (Issue 2) and report the Section 7520 election. Because a grantor’s death during the term would cause estate inclusion, the GRAT is subject to an estate tax inclusion period (ETIP, §2642(f)). GST exemption cannot be allocated at funding, and the return should deal with any automatic allocation (Issue 23).</w:t>
      </w:r>
    </w:p>
    <w:p>
      <w:pPr>
        <w:jc w:val="both"/>
      </w:pPr>
      <w:r>
        <w:rPr>
          <w:b/>
        </w:rPr>
        <w:t>Recommended resolution:</w:t>
      </w:r>
    </w:p>
    <w:p>
      <w:pPr>
        <w:pStyle w:val="ListBullet"/>
        <w:spacing w:after="60"/>
        <w:jc w:val="both"/>
      </w:pPr>
      <w:r>
        <w:t>Add the CT-706 GT to the Silveroak and firm responsibilities list. Decide who prepares the Form 709 (engagement letter §2.3 leaves this open; preparation by the firm is billed hourly).</w:t>
      </w:r>
    </w:p>
    <w:p>
      <w:pPr>
        <w:jc w:val="both"/>
      </w:pPr>
      <w:r>
        <w:rPr>
          <w:b/>
        </w:rPr>
        <w:t>Owner:</w:t>
      </w:r>
      <w:r>
        <w:t xml:space="preserve"> Silveroak / partner</w:t>
      </w:r>
    </w:p>
    <w:p>
      <w:pPr>
        <w:pStyle w:val="Heading2"/>
      </w:pPr>
      <w:r>
        <w:t>E. Liquidity and Administration</w:t>
      </w:r>
    </w:p>
    <w:p>
      <w:pPr>
        <w:pStyle w:val="Heading2"/>
      </w:pPr>
      <w:r>
        <w:t>Issue 18: The trust has no cash for fees and appraisals</w:t>
      </w:r>
    </w:p>
    <w:p>
      <w:pPr>
        <w:jc w:val="both"/>
      </w:pPr>
      <w:r>
        <w:rPr>
          <w:b/>
        </w:rPr>
        <w:t>Priority:</w:t>
      </w:r>
      <w:r>
        <w:t xml:space="preserve"> High   |   </w:t>
      </w:r>
      <w:r>
        <w:rPr>
          <w:b/>
        </w:rPr>
        <w:t>Sources:</w:t>
      </w:r>
      <w:r>
        <w:t xml:space="preserve"> Wheatley email; Engagement Letter §2.2; Intake §§III.3, VI.B</w:t>
      </w:r>
    </w:p>
    <w:p>
      <w:pPr>
        <w:jc w:val="both"/>
      </w:pPr>
      <w:r>
        <w:t>The trust will hold only illiquid Helios shares, which pay no dividends. Wheatley bills quarterly in arrears (0.35% a year, minimum $8,500; about $18,900 at $5.4M), and requires annual and event-driven independent valuations plus an appraisal for each in-kind payment. The engagement letter says trustee fees are "the responsibility of the GRAT." The grantor cannot pay trust expenses directly without risking an additional contribution (Reg. §25.2702-3(b)(5)). Selling shares to raise cash is itself a Transfer subject to the ROFR.</w:t>
      </w:r>
    </w:p>
    <w:p>
      <w:pPr>
        <w:jc w:val="both"/>
      </w:pPr>
      <w:r>
        <w:rPr>
          <w:b/>
        </w:rPr>
        <w:t>Recommended resolution:</w:t>
      </w:r>
    </w:p>
    <w:p>
      <w:pPr>
        <w:pStyle w:val="ListBullet"/>
        <w:spacing w:after="60"/>
        <w:jc w:val="both"/>
      </w:pPr>
      <w:r>
        <w:t>Options: (a) contribute a modest cash reserve together with the shares as part of the single initial transfer (the annuity rises proportionally because it is a percentage of total initial value); (b) agree with Wheatley that fees accrue and are paid in kind or at term end; (c) use partial in-kind annuity payments and limit appraisal frequency in the acceptance agreement. Bracketed placeholders for (a) are in Schedule A and §1.3.</w:t>
      </w:r>
    </w:p>
    <w:p>
      <w:pPr>
        <w:jc w:val="both"/>
      </w:pPr>
      <w:r>
        <w:rPr>
          <w:b/>
        </w:rPr>
        <w:t>Owner:</w:t>
      </w:r>
      <w:r>
        <w:t xml:space="preserve"> Partner / Wheatley / client</w:t>
      </w:r>
    </w:p>
    <w:p>
      <w:pPr>
        <w:pStyle w:val="Heading2"/>
      </w:pPr>
      <w:r>
        <w:t>Issue 19: In-kind annuity mechanics</w:t>
      </w:r>
    </w:p>
    <w:p>
      <w:pPr>
        <w:jc w:val="both"/>
      </w:pPr>
      <w:r>
        <w:rPr>
          <w:b/>
        </w:rPr>
        <w:t>Priority:</w:t>
      </w:r>
      <w:r>
        <w:t xml:space="preserve"> High   |   </w:t>
      </w:r>
      <w:r>
        <w:rPr>
          <w:b/>
        </w:rPr>
        <w:t>Sources:</w:t>
      </w:r>
      <w:r>
        <w:t xml:space="preserve"> Intake §V.E; Silveroak Annuity Schedule note and Caveat 3; Wheatley email</w:t>
      </w:r>
    </w:p>
    <w:p>
      <w:pPr>
        <w:jc w:val="both"/>
      </w:pPr>
      <w:r>
        <w:t>In-kind payments must use fair market value on the payment date, not funding-date value. Payments are due on each anniversary and must be made within 105 days. Every payment requires an independent appraisal (Wheatley) and compliance with the Stockholders’ Agreement (Issue 9). Paying with appreciated shares returns more value per share to the grantor, which is correct GRAT behavior but reduces the remainder in share terms. If an IPO occurs during the term, the grantor is a Helios affiliate (director and CSO). Shares returned to her or distributed by the trust may be subject to underwriter lock-ups and Rule 144 volume and manner-of-sale limits, which affects valuation and timing.</w:t>
      </w:r>
    </w:p>
    <w:p>
      <w:pPr>
        <w:jc w:val="both"/>
      </w:pPr>
      <w:r>
        <w:rPr>
          <w:b/>
        </w:rPr>
        <w:t>Recommended resolution:</w:t>
      </w:r>
    </w:p>
    <w:p>
      <w:pPr>
        <w:pStyle w:val="ListBullet"/>
        <w:spacing w:after="60"/>
        <w:jc w:val="both"/>
      </w:pPr>
      <w:r>
        <w:t>Draft §§3.3–3.5 and 7.1(e) cover these points. Build a payment calendar: appraisal engagement about 90 days before each anniversary, and ROFR notice about 60–75 days before unless advance waivers are obtained.</w:t>
      </w:r>
    </w:p>
    <w:p>
      <w:pPr>
        <w:jc w:val="both"/>
      </w:pPr>
      <w:r>
        <w:rPr>
          <w:b/>
        </w:rPr>
        <w:t>Owner:</w:t>
      </w:r>
      <w:r>
        <w:t xml:space="preserve"> Wheatley / drafting team</w:t>
      </w:r>
    </w:p>
    <w:p>
      <w:pPr>
        <w:pStyle w:val="Heading2"/>
      </w:pPr>
      <w:r>
        <w:t>Issue 20: EIN, titling and funding mechanics</w:t>
      </w:r>
    </w:p>
    <w:p>
      <w:pPr>
        <w:jc w:val="both"/>
      </w:pPr>
      <w:r>
        <w:rPr>
          <w:b/>
        </w:rPr>
        <w:t>Priority:</w:t>
      </w:r>
      <w:r>
        <w:t xml:space="preserve"> Medium   |   </w:t>
      </w:r>
      <w:r>
        <w:rPr>
          <w:b/>
        </w:rPr>
        <w:t>Sources:</w:t>
      </w:r>
      <w:r>
        <w:t xml:space="preserve"> Intake §IX.2; Engagement Letter §2.4; Wheatley email</w:t>
      </w:r>
    </w:p>
    <w:p>
      <w:pPr>
        <w:jc w:val="both"/>
      </w:pPr>
      <w:r>
        <w:t>An EIN is needed before funding, and Wheatley requires it before acceptance. The usual practice of opening the trust with $10 and transferring the shares later would be a prohibited additional contribution. The draft therefore makes the trust effective only on a single transfer of the Initial Trust Property, recorded on the Company’s books. The Funding Date fixes the 3-year term, the payment dates and the Section 7520 months.</w:t>
      </w:r>
    </w:p>
    <w:p>
      <w:pPr>
        <w:jc w:val="both"/>
      </w:pPr>
      <w:r>
        <w:rPr>
          <w:b/>
        </w:rPr>
        <w:t>Recommended resolution:</w:t>
      </w:r>
    </w:p>
    <w:p>
      <w:pPr>
        <w:pStyle w:val="ListBullet"/>
        <w:spacing w:after="60"/>
        <w:jc w:val="both"/>
      </w:pPr>
      <w:r>
        <w:t>Obtain the EIN on Form SS-4 once the agreement is signed. Prepare a stock power and transfer instruction to the Company Secretary. Wheatley completes Schedule B on funding.</w:t>
      </w:r>
    </w:p>
    <w:p>
      <w:pPr>
        <w:jc w:val="both"/>
      </w:pPr>
      <w:r>
        <w:rPr>
          <w:b/>
        </w:rPr>
        <w:t>Owner:</w:t>
      </w:r>
      <w:r>
        <w:t xml:space="preserve"> Drafting team</w:t>
      </w:r>
    </w:p>
    <w:p>
      <w:pPr>
        <w:pStyle w:val="Heading2"/>
      </w:pPr>
      <w:r>
        <w:t>F. Dispositive Provisions and Estate Plan Coordination</w:t>
      </w:r>
    </w:p>
    <w:p>
      <w:pPr>
        <w:pStyle w:val="Heading2"/>
      </w:pPr>
      <w:r>
        <w:t>Issue 21: Death during the term</w:t>
      </w:r>
    </w:p>
    <w:p>
      <w:pPr>
        <w:jc w:val="both"/>
      </w:pPr>
      <w:r>
        <w:rPr>
          <w:b/>
        </w:rPr>
        <w:t>Priority:</w:t>
      </w:r>
      <w:r>
        <w:t xml:space="preserve"> High   |   </w:t>
      </w:r>
      <w:r>
        <w:rPr>
          <w:b/>
        </w:rPr>
        <w:t>Sources:</w:t>
      </w:r>
      <w:r>
        <w:t xml:space="preserve"> Estate Plan Summary §§II–III, V; Engagement Letter §11; Silveroak Caveat 5</w:t>
      </w:r>
    </w:p>
    <w:p>
      <w:pPr>
        <w:jc w:val="both"/>
      </w:pPr>
      <w:r>
        <w:t>If the grantor dies during the term, the portion of the trust needed to produce the annuity at the Section 7520 rate in effect at death is included in her estate (Treas. Reg. §20.2036-1(c)(2)). With Helios shares rising, that may be most of the trust. The intake memo does not say where the trust assets go in that case. The estate plan summary concluded that "no amendments" and "no conflict" exist, but it does not address: (a) whether the included amount should qualify for the marital deduction (Vikram is 64) to defer federal and Connecticut estate tax; (b) whether the will or Revocable Trust tax clause waives the estate’s §2207B right to recover estate tax from the GRAT. If it does not waive it and the GRAT does not pay, the tax falls on the Revocable Trust residue; (c) liquidity to pay estate tax on illiquid Helios shares.</w:t>
      </w:r>
    </w:p>
    <w:p>
      <w:pPr>
        <w:jc w:val="both"/>
      </w:pPr>
      <w:r>
        <w:rPr>
          <w:b/>
        </w:rPr>
        <w:t>Recommended resolution:</w:t>
      </w:r>
    </w:p>
    <w:p>
      <w:pPr>
        <w:pStyle w:val="ListBullet"/>
        <w:spacing w:after="60"/>
        <w:jc w:val="both"/>
      </w:pPr>
      <w:r>
        <w:t>Keep the annuity payable to the estate for the full 3-year term (draft §4.1). An annuity that stops at death would be valued as a shorter-of-term-or-life interest and produce a taxable gift.</w:t>
      </w:r>
    </w:p>
    <w:p>
      <w:pPr>
        <w:pStyle w:val="ListBullet"/>
        <w:spacing w:after="60"/>
        <w:jc w:val="both"/>
      </w:pPr>
      <w:r>
        <w:t>Client decision between Alternative A (to the children) and Alternative B (QTIP-eligible trust for Vikram) in draft §4.2. Review the actual 2017 will and Revocable Trust tax apportionment clauses; we have only the summary. Consider term life insurance (for example through the existing ILIT) to cover the 3-year mortality risk.</w:t>
      </w:r>
    </w:p>
    <w:p>
      <w:pPr>
        <w:jc w:val="both"/>
      </w:pPr>
      <w:r>
        <w:rPr>
          <w:b/>
        </w:rPr>
        <w:t>Owner:</w:t>
      </w:r>
      <w:r>
        <w:t xml:space="preserve"> Partner / client</w:t>
      </w:r>
    </w:p>
    <w:p>
      <w:pPr>
        <w:pStyle w:val="Heading2"/>
      </w:pPr>
      <w:r>
        <w:t>Issue 22: Inconsistent per stirpes fallback</w:t>
      </w:r>
    </w:p>
    <w:p>
      <w:pPr>
        <w:jc w:val="both"/>
      </w:pPr>
      <w:r>
        <w:rPr>
          <w:b/>
        </w:rPr>
        <w:t>Priority:</w:t>
      </w:r>
      <w:r>
        <w:t xml:space="preserve"> Medium   |   </w:t>
      </w:r>
      <w:r>
        <w:rPr>
          <w:b/>
        </w:rPr>
        <w:t>Sources:</w:t>
      </w:r>
      <w:r>
        <w:t xml:space="preserve"> Intake §§II.C, V.F; Estate Plan Summary §II</w:t>
      </w:r>
    </w:p>
    <w:p>
      <w:pPr>
        <w:jc w:val="both"/>
      </w:pPr>
      <w:r>
        <w:t>Under the intake memo, the share of a child who predeceases without descendants passes "to the surviving remainder beneficiaries in equal portions." Read literally, this could exclude the descendants (such as Zara) of another predeceased child. The 2017 Revocable Trust instead gives such a share to the surviving children AND the descendants of any other predeceased child, per stirpes. Neither document names an ultimate taker if no descendant survives.</w:t>
      </w:r>
    </w:p>
    <w:p>
      <w:pPr>
        <w:jc w:val="both"/>
      </w:pPr>
      <w:r>
        <w:rPr>
          <w:b/>
        </w:rPr>
        <w:t>Recommended resolution:</w:t>
      </w:r>
    </w:p>
    <w:p>
      <w:pPr>
        <w:pStyle w:val="ListBullet"/>
        <w:spacing w:after="60"/>
        <w:jc w:val="both"/>
      </w:pPr>
      <w:r>
        <w:t>The draft follows the Revocable Trust pattern (§§5.1–5.2, 12.2) and adds an heirs-at-law fallback (§5.3). Confirm with the client. Note the 30-day survivorship requirement (§12.3).</w:t>
      </w:r>
    </w:p>
    <w:p>
      <w:pPr>
        <w:jc w:val="both"/>
      </w:pPr>
      <w:r>
        <w:rPr>
          <w:b/>
        </w:rPr>
        <w:t>Owner:</w:t>
      </w:r>
      <w:r>
        <w:t xml:space="preserve"> Client</w:t>
      </w:r>
    </w:p>
    <w:p>
      <w:pPr>
        <w:pStyle w:val="Heading2"/>
      </w:pPr>
      <w:r>
        <w:t>Issue 23: GST exposure from the contingent gift to grandchildren</w:t>
      </w:r>
    </w:p>
    <w:p>
      <w:pPr>
        <w:jc w:val="both"/>
      </w:pPr>
      <w:r>
        <w:rPr>
          <w:b/>
        </w:rPr>
        <w:t>Priority:</w:t>
      </w:r>
      <w:r>
        <w:t xml:space="preserve"> Medium   |   </w:t>
      </w:r>
      <w:r>
        <w:rPr>
          <w:b/>
        </w:rPr>
        <w:t>Sources:</w:t>
      </w:r>
      <w:r>
        <w:t xml:space="preserve"> Intake §II.C</w:t>
      </w:r>
    </w:p>
    <w:p>
      <w:pPr>
        <w:jc w:val="both"/>
      </w:pPr>
      <w:r>
        <w:t>If a child dies during the term, that child’s share passes to grandchildren, who are skip persons. Because of the ETIP, GST exemption cannot be allocated until the term ends. Whether the predeceased-parent exception (§2651(e)) applies depends on when the parent’s death occurs relative to the end of the ETIP. Automatic allocation rules may also apply.</w:t>
      </w:r>
    </w:p>
    <w:p>
      <w:pPr>
        <w:jc w:val="both"/>
      </w:pPr>
      <w:r>
        <w:rPr>
          <w:b/>
        </w:rPr>
        <w:t>Recommended resolution:</w:t>
      </w:r>
    </w:p>
    <w:p>
      <w:pPr>
        <w:pStyle w:val="ListBullet"/>
        <w:spacing w:after="60"/>
        <w:jc w:val="both"/>
      </w:pPr>
      <w:r>
        <w:t>Address on Form 709 (elect out of or into automatic allocation as appropriate) and, at the end of the ETIP, allocate exemption to any skip-person share. Exposure is limited to the contingent case, but Silveroak should be told.</w:t>
      </w:r>
    </w:p>
    <w:p>
      <w:pPr>
        <w:jc w:val="both"/>
      </w:pPr>
      <w:r>
        <w:rPr>
          <w:b/>
        </w:rPr>
        <w:t>Owner:</w:t>
      </w:r>
      <w:r>
        <w:t xml:space="preserve"> Silveroak / drafting team</w:t>
      </w:r>
    </w:p>
    <w:p>
      <w:pPr>
        <w:pStyle w:val="Heading2"/>
      </w:pPr>
      <w:r>
        <w:t>Issue 24: Outright remainder gives no lasting creditor or divorce protection</w:t>
      </w:r>
    </w:p>
    <w:p>
      <w:pPr>
        <w:jc w:val="both"/>
      </w:pPr>
      <w:r>
        <w:rPr>
          <w:b/>
        </w:rPr>
        <w:t>Priority:</w:t>
      </w:r>
      <w:r>
        <w:t xml:space="preserve"> Medium   |   </w:t>
      </w:r>
      <w:r>
        <w:rPr>
          <w:b/>
        </w:rPr>
        <w:t>Sources:</w:t>
      </w:r>
      <w:r>
        <w:t xml:space="preserve"> Intake §III.5, V.F</w:t>
      </w:r>
    </w:p>
    <w:p>
      <w:pPr>
        <w:jc w:val="both"/>
      </w:pPr>
      <w:r>
        <w:t>The client wants the children’s interests protected from creditors and divorcing spouses. A spendthrift clause (draft Art. X) protects only until distribution on the Termination Date. After that, outright shares are fully exposed. Two children are unmarried, and Ananya is married.</w:t>
      </w:r>
    </w:p>
    <w:p>
      <w:pPr>
        <w:jc w:val="both"/>
      </w:pPr>
      <w:r>
        <w:rPr>
          <w:b/>
        </w:rPr>
        <w:t>Recommended resolution:</w:t>
      </w:r>
    </w:p>
    <w:p>
      <w:pPr>
        <w:pStyle w:val="ListBullet"/>
        <w:spacing w:after="60"/>
        <w:jc w:val="both"/>
      </w:pPr>
      <w:r>
        <w:t>Recommend that each child’s share continue in a separate discretionary trust (which could be a grantor trust for the client, extending the income-tax "burn"), possibly GST-exempt. The client asked for outright distribution, so the draft keeps that pending her decision.</w:t>
      </w:r>
    </w:p>
    <w:p>
      <w:pPr>
        <w:jc w:val="both"/>
      </w:pPr>
      <w:r>
        <w:rPr>
          <w:b/>
        </w:rPr>
        <w:t>Owner:</w:t>
      </w:r>
      <w:r>
        <w:t xml:space="preserve"> Partner / client</w:t>
      </w:r>
    </w:p>
    <w:p>
      <w:pPr>
        <w:pStyle w:val="Heading2"/>
      </w:pPr>
      <w:r>
        <w:t>Issue 25: Distributions to a minor</w:t>
      </w:r>
    </w:p>
    <w:p>
      <w:pPr>
        <w:jc w:val="both"/>
      </w:pPr>
      <w:r>
        <w:rPr>
          <w:b/>
        </w:rPr>
        <w:t>Priority:</w:t>
      </w:r>
      <w:r>
        <w:t xml:space="preserve"> Low   |   </w:t>
      </w:r>
      <w:r>
        <w:rPr>
          <w:b/>
        </w:rPr>
        <w:t>Sources:</w:t>
      </w:r>
      <w:r>
        <w:t xml:space="preserve"> Intake §II.C; Estate Plan Summary §III</w:t>
      </w:r>
    </w:p>
    <w:p>
      <w:pPr>
        <w:jc w:val="both"/>
      </w:pPr>
      <w:r>
        <w:t>Zara (age 4) could take under the per stirpes clause. An outright distribution of restricted Helios shares to a minor is impractical, and a minor cannot validly sign the Exhibit C joinder.</w:t>
      </w:r>
    </w:p>
    <w:p>
      <w:pPr>
        <w:jc w:val="both"/>
      </w:pPr>
      <w:r>
        <w:rPr>
          <w:b/>
        </w:rPr>
        <w:t>Recommended resolution:</w:t>
      </w:r>
    </w:p>
    <w:p>
      <w:pPr>
        <w:pStyle w:val="ListBullet"/>
        <w:spacing w:after="60"/>
        <w:jc w:val="both"/>
      </w:pPr>
      <w:r>
        <w:t>Draft §5.4 provides a CUTMA or trust holdback to age 25, and §5.5 requires joinder by the custodian or trustee. Confirm with Bramwell that a custodian or trust for a grandchild qualifies as a Permitted Transferee (§4.1(c)(ii)–(iii)).</w:t>
      </w:r>
    </w:p>
    <w:p>
      <w:pPr>
        <w:jc w:val="both"/>
      </w:pPr>
      <w:r>
        <w:rPr>
          <w:b/>
        </w:rPr>
        <w:t>Owner:</w:t>
      </w:r>
      <w:r>
        <w:t xml:space="preserve"> Drafting team / Bramwell</w:t>
      </w:r>
    </w:p>
    <w:p>
      <w:pPr>
        <w:pStyle w:val="Heading2"/>
      </w:pPr>
      <w:r>
        <w:t>Issue 26: The durable power of attorney does not cover GRAT actions</w:t>
      </w:r>
    </w:p>
    <w:p>
      <w:pPr>
        <w:jc w:val="both"/>
      </w:pPr>
      <w:r>
        <w:rPr>
          <w:b/>
        </w:rPr>
        <w:t>Priority:</w:t>
      </w:r>
      <w:r>
        <w:t xml:space="preserve"> Low   |   </w:t>
      </w:r>
      <w:r>
        <w:rPr>
          <w:b/>
        </w:rPr>
        <w:t>Sources:</w:t>
      </w:r>
      <w:r>
        <w:t xml:space="preserve"> Estate Plan Summary §IV; Engagement Letter §3</w:t>
      </w:r>
    </w:p>
    <w:p>
      <w:pPr>
        <w:jc w:val="both"/>
      </w:pPr>
      <w:r>
        <w:t>The 2017 power of attorney allows gifts only up to the annual exclusion and says nothing about irrevocable trusts, substitution powers or releasing a retained annuity. If the grantor becomes incapacitated, nobody could exercise the swap power (which is useful for swapping out high-basis assets before the term ends, or for reacquiring appreciated shares). Amending the power of attorney is outside the current engagement.</w:t>
      </w:r>
    </w:p>
    <w:p>
      <w:pPr>
        <w:jc w:val="both"/>
      </w:pPr>
      <w:r>
        <w:rPr>
          <w:b/>
        </w:rPr>
        <w:t>Recommended resolution:</w:t>
      </w:r>
    </w:p>
    <w:p>
      <w:pPr>
        <w:pStyle w:val="ListBullet"/>
        <w:spacing w:after="60"/>
        <w:jc w:val="both"/>
      </w:pPr>
      <w:r>
        <w:t>Raise this with the client. If she wants the change, do it under a separate engagement or a written scope amendment. The draft’s §9.1 bracket allows agent exercise only if the power of attorney expressly provides for it.</w:t>
      </w:r>
    </w:p>
    <w:p>
      <w:pPr>
        <w:jc w:val="both"/>
      </w:pPr>
      <w:r>
        <w:rPr>
          <w:b/>
        </w:rPr>
        <w:t>Owner:</w:t>
      </w:r>
      <w:r>
        <w:t xml:space="preserve"> Partner</w:t>
      </w:r>
    </w:p>
    <w:p>
      <w:pPr>
        <w:pStyle w:val="Heading2"/>
      </w:pPr>
      <w:r>
        <w:t>G. Engagement and Professional Responsibility</w:t>
      </w:r>
    </w:p>
    <w:p>
      <w:pPr>
        <w:pStyle w:val="Heading2"/>
      </w:pPr>
      <w:r>
        <w:t>Issue 27: The engagement letter is not executed; scope gaps; unrepresented parties</w:t>
      </w:r>
    </w:p>
    <w:p>
      <w:pPr>
        <w:jc w:val="both"/>
      </w:pPr>
      <w:r>
        <w:rPr>
          <w:b/>
        </w:rPr>
        <w:t>Priority:</w:t>
      </w:r>
      <w:r>
        <w:t xml:space="preserve"> High   |   </w:t>
      </w:r>
      <w:r>
        <w:rPr>
          <w:b/>
        </w:rPr>
        <w:t>Sources:</w:t>
      </w:r>
      <w:r>
        <w:t xml:space="preserve"> Engagement Letter §§3, 4, 8, 12; Intake §XI(5)</w:t>
      </w:r>
    </w:p>
    <w:p>
      <w:pPr>
        <w:jc w:val="both"/>
      </w:pPr>
      <w:r>
        <w:t>The intake memo lists the engagement letter as "to be finalized and executed," and our copy is unsigned by the client. The $15,000 second installment falls due when this draft is delivered. Several required tasks fall outside the defined scope: the securities opinion (Issue 8), Form 709 and CT-706 GT preparation, a power of attorney amendment, and post-funding administration (annual appraisal and ROFR calendaring). The children and Vikram are not represented. They will be named in Board submissions, will need to sign joinders at distribution, and Vikram will serve as a fiduciary. Engagement letter §8 recommends independent counsel for them. The firm takes direction only from Dr. Chandrasekaran, including on the Helios Board process where she is also a director.</w:t>
      </w:r>
    </w:p>
    <w:p>
      <w:pPr>
        <w:jc w:val="both"/>
      </w:pPr>
      <w:r>
        <w:rPr>
          <w:b/>
        </w:rPr>
        <w:t>Recommended resolution:</w:t>
      </w:r>
    </w:p>
    <w:p>
      <w:pPr>
        <w:pStyle w:val="ListBullet"/>
        <w:spacing w:after="60"/>
        <w:jc w:val="both"/>
      </w:pPr>
      <w:r>
        <w:t>Get the signed engagement letter before releasing the draft outside the firm. Send a scope addendum covering the items above. Send a short letter to the children and Vikram recommending independent counsel.</w:t>
      </w:r>
    </w:p>
    <w:p>
      <w:pPr>
        <w:jc w:val="both"/>
      </w:pPr>
      <w:r>
        <w:rPr>
          <w:b/>
        </w:rPr>
        <w:t>Owner:</w:t>
      </w:r>
      <w:r>
        <w:t xml:space="preserve"> Partner</w:t>
      </w:r>
    </w:p>
    <w:p>
      <w:pPr>
        <w:pStyle w:val="Heading1"/>
      </w:pPr>
      <w:r>
        <w:t>V. Document Discrepancies Noted</w:t>
      </w:r>
    </w:p>
    <w:tbl>
      <w:tblPr>
        <w:tblStyle w:val="TableGrid"/>
        <w:tblW w:type="auto" w:w="0"/>
        <w:tblLook w:firstColumn="1" w:firstRow="1" w:lastColumn="0" w:lastRow="0" w:noHBand="0" w:noVBand="1" w:val="04A0"/>
      </w:tblPr>
      <w:tblGrid>
        <w:gridCol w:w="2340"/>
        <w:gridCol w:w="2340"/>
        <w:gridCol w:w="2340"/>
        <w:gridCol w:w="2340"/>
      </w:tblGrid>
      <w:tr>
        <w:tc>
          <w:tcPr>
            <w:tcW w:type="dxa" w:w="1584"/>
            <w:shd w:val="clear" w:color="auto" w:fill="D9D9D9"/>
          </w:tcPr>
          <w:p>
            <w:pPr>
              <w:spacing w:after="0"/>
            </w:pPr>
            <w:r>
              <w:rPr>
                <w:b/>
                <w:sz w:val="17"/>
              </w:rPr>
            </w:r>
            <w:r>
              <w:rPr>
                <w:b/>
                <w:sz w:val="17"/>
              </w:rPr>
              <w:t>Item</w:t>
            </w:r>
          </w:p>
        </w:tc>
        <w:tc>
          <w:tcPr>
            <w:tcW w:type="dxa" w:w="2736"/>
            <w:shd w:val="clear" w:color="auto" w:fill="D9D9D9"/>
          </w:tcPr>
          <w:p>
            <w:pPr>
              <w:spacing w:after="0"/>
            </w:pPr>
            <w:r>
              <w:rPr>
                <w:b/>
                <w:sz w:val="17"/>
              </w:rPr>
            </w:r>
            <w:r>
              <w:rPr>
                <w:b/>
                <w:sz w:val="17"/>
              </w:rPr>
              <w:t>Source A</w:t>
            </w:r>
          </w:p>
        </w:tc>
        <w:tc>
          <w:tcPr>
            <w:tcW w:type="dxa" w:w="2880"/>
            <w:shd w:val="clear" w:color="auto" w:fill="D9D9D9"/>
          </w:tcPr>
          <w:p>
            <w:pPr>
              <w:spacing w:after="0"/>
            </w:pPr>
            <w:r>
              <w:rPr>
                <w:b/>
                <w:sz w:val="17"/>
              </w:rPr>
            </w:r>
            <w:r>
              <w:rPr>
                <w:b/>
                <w:sz w:val="17"/>
              </w:rPr>
              <w:t>Source B</w:t>
            </w:r>
          </w:p>
        </w:tc>
        <w:tc>
          <w:tcPr>
            <w:tcW w:type="dxa" w:w="2160"/>
            <w:shd w:val="clear" w:color="auto" w:fill="D9D9D9"/>
          </w:tcPr>
          <w:p>
            <w:pPr>
              <w:spacing w:after="0"/>
            </w:pPr>
            <w:r>
              <w:rPr>
                <w:b/>
                <w:sz w:val="17"/>
              </w:rPr>
            </w:r>
            <w:r>
              <w:rPr>
                <w:b/>
                <w:sz w:val="17"/>
              </w:rPr>
              <w:t>Resolution</w:t>
            </w:r>
          </w:p>
        </w:tc>
      </w:tr>
      <w:tr>
        <w:tc>
          <w:tcPr>
            <w:tcW w:type="dxa" w:w="1584"/>
          </w:tcPr>
          <w:p>
            <w:pPr>
              <w:spacing w:after="0"/>
            </w:pPr>
            <w:r>
              <w:rPr>
                <w:sz w:val="17"/>
              </w:rPr>
            </w:r>
            <w:r>
              <w:rPr>
                <w:sz w:val="17"/>
              </w:rPr>
              <w:t>Per-share value</w:t>
            </w:r>
          </w:p>
        </w:tc>
        <w:tc>
          <w:tcPr>
            <w:tcW w:type="dxa" w:w="2736"/>
          </w:tcPr>
          <w:p>
            <w:pPr>
              <w:spacing w:after="0"/>
            </w:pPr>
            <w:r>
              <w:rPr>
                <w:sz w:val="17"/>
              </w:rPr>
            </w:r>
            <w:r>
              <w:rPr>
                <w:sz w:val="17"/>
              </w:rPr>
              <w:t>Intake, engagement letter, estate plan summary, Silveroak: $20.00 = "FMV"</w:t>
            </w:r>
          </w:p>
        </w:tc>
        <w:tc>
          <w:tcPr>
            <w:tcW w:type="dxa" w:w="2880"/>
          </w:tcPr>
          <w:p>
            <w:pPr>
              <w:spacing w:after="0"/>
            </w:pPr>
            <w:r>
              <w:rPr>
                <w:sz w:val="17"/>
              </w:rPr>
            </w:r>
            <w:r>
              <w:rPr>
                <w:sz w:val="17"/>
              </w:rPr>
              <w:t>Ridgeline concluded FMV: $13.50</w:t>
            </w:r>
          </w:p>
        </w:tc>
        <w:tc>
          <w:tcPr>
            <w:tcW w:type="dxa" w:w="2160"/>
          </w:tcPr>
          <w:p>
            <w:pPr>
              <w:spacing w:after="0"/>
            </w:pPr>
            <w:r>
              <w:rPr>
                <w:sz w:val="17"/>
              </w:rPr>
            </w:r>
            <w:r>
              <w:rPr>
                <w:sz w:val="17"/>
              </w:rPr>
              <w:t>Use FMV from an updated appraisal (Issues 1–2)</w:t>
            </w:r>
          </w:p>
        </w:tc>
      </w:tr>
      <w:tr>
        <w:tc>
          <w:tcPr>
            <w:tcW w:type="dxa" w:w="1584"/>
          </w:tcPr>
          <w:p>
            <w:pPr>
              <w:spacing w:after="0"/>
            </w:pPr>
            <w:r>
              <w:rPr>
                <w:sz w:val="17"/>
              </w:rPr>
            </w:r>
            <w:r>
              <w:rPr>
                <w:sz w:val="17"/>
              </w:rPr>
              <w:t>Annuity factor / gift</w:t>
            </w:r>
          </w:p>
        </w:tc>
        <w:tc>
          <w:tcPr>
            <w:tcW w:type="dxa" w:w="2736"/>
          </w:tcPr>
          <w:p>
            <w:pPr>
              <w:spacing w:after="0"/>
            </w:pPr>
            <w:r>
              <w:rPr>
                <w:sz w:val="17"/>
              </w:rPr>
            </w:r>
            <w:r>
              <w:rPr>
                <w:sz w:val="17"/>
              </w:rPr>
              <w:t>Silveroak: 2.807; $2,850,000; gift $0.72</w:t>
            </w:r>
          </w:p>
        </w:tc>
        <w:tc>
          <w:tcPr>
            <w:tcW w:type="dxa" w:w="2880"/>
          </w:tcPr>
          <w:p>
            <w:pPr>
              <w:spacing w:after="0"/>
            </w:pPr>
            <w:r>
              <w:rPr>
                <w:sz w:val="17"/>
              </w:rPr>
            </w:r>
            <w:r>
              <w:rPr>
                <w:sz w:val="17"/>
              </w:rPr>
              <w:t>Correct factor 2.682934; gift about $353,638 at $2.85M; zeroing annuity about $2,981,810 ($8M) or $2,012,722 ($5.4M)</w:t>
            </w:r>
          </w:p>
        </w:tc>
        <w:tc>
          <w:tcPr>
            <w:tcW w:type="dxa" w:w="2160"/>
          </w:tcPr>
          <w:p>
            <w:pPr>
              <w:spacing w:after="0"/>
            </w:pPr>
            <w:r>
              <w:rPr>
                <w:sz w:val="17"/>
              </w:rPr>
            </w:r>
            <w:r>
              <w:rPr>
                <w:sz w:val="17"/>
              </w:rPr>
              <w:t>Percentage annuity (Issue 4)</w:t>
            </w:r>
          </w:p>
        </w:tc>
      </w:tr>
      <w:tr>
        <w:tc>
          <w:tcPr>
            <w:tcW w:type="dxa" w:w="1584"/>
          </w:tcPr>
          <w:p>
            <w:pPr>
              <w:spacing w:after="0"/>
            </w:pPr>
            <w:r>
              <w:rPr>
                <w:sz w:val="17"/>
              </w:rPr>
            </w:r>
            <w:r>
              <w:rPr>
                <w:sz w:val="17"/>
              </w:rPr>
              <w:t>Transfer timeline</w:t>
            </w:r>
          </w:p>
        </w:tc>
        <w:tc>
          <w:tcPr>
            <w:tcW w:type="dxa" w:w="2736"/>
          </w:tcPr>
          <w:p>
            <w:pPr>
              <w:spacing w:after="0"/>
            </w:pPr>
            <w:r>
              <w:rPr>
                <w:sz w:val="17"/>
              </w:rPr>
            </w:r>
            <w:r>
              <w:rPr>
                <w:sz w:val="17"/>
              </w:rPr>
              <w:t>Intake / engagement letter / Silveroak: 30-day ROFR; submit late May or first week of June</w:t>
            </w:r>
          </w:p>
        </w:tc>
        <w:tc>
          <w:tcPr>
            <w:tcW w:type="dxa" w:w="2880"/>
          </w:tcPr>
          <w:p>
            <w:pPr>
              <w:spacing w:after="0"/>
            </w:pPr>
            <w:r>
              <w:rPr>
                <w:sz w:val="17"/>
              </w:rPr>
            </w:r>
            <w:r>
              <w:rPr>
                <w:sz w:val="17"/>
              </w:rPr>
              <w:t>Stockholders’ Agreement: 60-day advance request + 30-day Board review + 30-day ROFR</w:t>
            </w:r>
          </w:p>
        </w:tc>
        <w:tc>
          <w:tcPr>
            <w:tcW w:type="dxa" w:w="2160"/>
          </w:tcPr>
          <w:p>
            <w:pPr>
              <w:spacing w:after="0"/>
            </w:pPr>
            <w:r>
              <w:rPr>
                <w:sz w:val="17"/>
              </w:rPr>
            </w:r>
            <w:r>
              <w:rPr>
                <w:sz w:val="17"/>
              </w:rPr>
              <w:t>Re-plan for Aug.–Sept. 2025 (Issue 7)</w:t>
            </w:r>
          </w:p>
        </w:tc>
      </w:tr>
      <w:tr>
        <w:tc>
          <w:tcPr>
            <w:tcW w:type="dxa" w:w="1584"/>
          </w:tcPr>
          <w:p>
            <w:pPr>
              <w:spacing w:after="0"/>
            </w:pPr>
            <w:r>
              <w:rPr>
                <w:sz w:val="17"/>
              </w:rPr>
            </w:r>
            <w:r>
              <w:rPr>
                <w:sz w:val="17"/>
              </w:rPr>
              <w:t>ROFR holder</w:t>
            </w:r>
          </w:p>
        </w:tc>
        <w:tc>
          <w:tcPr>
            <w:tcW w:type="dxa" w:w="2736"/>
          </w:tcPr>
          <w:p>
            <w:pPr>
              <w:spacing w:after="0"/>
            </w:pPr>
            <w:r>
              <w:rPr>
                <w:sz w:val="17"/>
              </w:rPr>
            </w:r>
            <w:r>
              <w:rPr>
                <w:sz w:val="17"/>
              </w:rPr>
              <w:t>Ridgeline: Company "and certain existing shareholders"</w:t>
            </w:r>
          </w:p>
        </w:tc>
        <w:tc>
          <w:tcPr>
            <w:tcW w:type="dxa" w:w="2880"/>
          </w:tcPr>
          <w:p>
            <w:pPr>
              <w:spacing w:after="0"/>
            </w:pPr>
            <w:r>
              <w:rPr>
                <w:sz w:val="17"/>
              </w:rPr>
            </w:r>
            <w:r>
              <w:rPr>
                <w:sz w:val="17"/>
              </w:rPr>
              <w:t>Stockholders’ Agreement: Company only</w:t>
            </w:r>
          </w:p>
        </w:tc>
        <w:tc>
          <w:tcPr>
            <w:tcW w:type="dxa" w:w="2160"/>
          </w:tcPr>
          <w:p>
            <w:pPr>
              <w:spacing w:after="0"/>
            </w:pPr>
            <w:r>
              <w:rPr>
                <w:sz w:val="17"/>
              </w:rPr>
            </w:r>
            <w:r>
              <w:rPr>
                <w:sz w:val="17"/>
              </w:rPr>
              <w:t>Confirm with Bramwell</w:t>
            </w:r>
          </w:p>
        </w:tc>
      </w:tr>
      <w:tr>
        <w:tc>
          <w:tcPr>
            <w:tcW w:type="dxa" w:w="1584"/>
          </w:tcPr>
          <w:p>
            <w:pPr>
              <w:spacing w:after="0"/>
            </w:pPr>
            <w:r>
              <w:rPr>
                <w:sz w:val="17"/>
              </w:rPr>
            </w:r>
            <w:r>
              <w:rPr>
                <w:sz w:val="17"/>
              </w:rPr>
              <w:t>Business line</w:t>
            </w:r>
          </w:p>
        </w:tc>
        <w:tc>
          <w:tcPr>
            <w:tcW w:type="dxa" w:w="2736"/>
          </w:tcPr>
          <w:p>
            <w:pPr>
              <w:spacing w:after="0"/>
            </w:pPr>
            <w:r>
              <w:rPr>
                <w:sz w:val="17"/>
              </w:rPr>
            </w:r>
            <w:r>
              <w:rPr>
                <w:sz w:val="17"/>
              </w:rPr>
              <w:t>Intake: immuno-oncology</w:t>
            </w:r>
          </w:p>
        </w:tc>
        <w:tc>
          <w:tcPr>
            <w:tcW w:type="dxa" w:w="2880"/>
          </w:tcPr>
          <w:p>
            <w:pPr>
              <w:spacing w:after="0"/>
            </w:pPr>
            <w:r>
              <w:rPr>
                <w:sz w:val="17"/>
              </w:rPr>
            </w:r>
            <w:r>
              <w:rPr>
                <w:sz w:val="17"/>
              </w:rPr>
              <w:t>Ridgeline: autoimmune and inflammatory</w:t>
            </w:r>
          </w:p>
        </w:tc>
        <w:tc>
          <w:tcPr>
            <w:tcW w:type="dxa" w:w="2160"/>
          </w:tcPr>
          <w:p>
            <w:pPr>
              <w:spacing w:after="0"/>
            </w:pPr>
            <w:r>
              <w:rPr>
                <w:sz w:val="17"/>
              </w:rPr>
            </w:r>
            <w:r>
              <w:rPr>
                <w:sz w:val="17"/>
              </w:rPr>
              <w:t>Confirm; check comparables</w:t>
            </w:r>
          </w:p>
        </w:tc>
      </w:tr>
      <w:tr>
        <w:tc>
          <w:tcPr>
            <w:tcW w:type="dxa" w:w="1584"/>
          </w:tcPr>
          <w:p>
            <w:pPr>
              <w:spacing w:after="0"/>
            </w:pPr>
            <w:r>
              <w:rPr>
                <w:sz w:val="17"/>
              </w:rPr>
            </w:r>
            <w:r>
              <w:rPr>
                <w:sz w:val="17"/>
              </w:rPr>
              <w:t>Ownership</w:t>
            </w:r>
          </w:p>
        </w:tc>
        <w:tc>
          <w:tcPr>
            <w:tcW w:type="dxa" w:w="2736"/>
          </w:tcPr>
          <w:p>
            <w:pPr>
              <w:spacing w:after="0"/>
            </w:pPr>
            <w:r>
              <w:rPr>
                <w:sz w:val="17"/>
              </w:rPr>
            </w:r>
            <w:r>
              <w:rPr>
                <w:sz w:val="17"/>
              </w:rPr>
              <w:t>Ridgeline: 18.1% (fully diluted)</w:t>
            </w:r>
          </w:p>
        </w:tc>
        <w:tc>
          <w:tcPr>
            <w:tcW w:type="dxa" w:w="2880"/>
          </w:tcPr>
          <w:p>
            <w:pPr>
              <w:spacing w:after="0"/>
            </w:pPr>
            <w:r>
              <w:rPr>
                <w:sz w:val="17"/>
              </w:rPr>
            </w:r>
            <w:r>
              <w:rPr>
                <w:sz w:val="17"/>
              </w:rPr>
              <w:t>20.0% of 7,800,000 outstanding</w:t>
            </w:r>
          </w:p>
        </w:tc>
        <w:tc>
          <w:tcPr>
            <w:tcW w:type="dxa" w:w="2160"/>
          </w:tcPr>
          <w:p>
            <w:pPr>
              <w:spacing w:after="0"/>
            </w:pPr>
            <w:r>
              <w:rPr>
                <w:sz w:val="17"/>
              </w:rPr>
            </w:r>
            <w:r>
              <w:rPr>
                <w:sz w:val="17"/>
              </w:rPr>
              <w:t>Use outstanding for §2036(b)</w:t>
            </w:r>
          </w:p>
        </w:tc>
      </w:tr>
      <w:tr>
        <w:tc>
          <w:tcPr>
            <w:tcW w:type="dxa" w:w="1584"/>
          </w:tcPr>
          <w:p>
            <w:pPr>
              <w:spacing w:after="0"/>
            </w:pPr>
            <w:r>
              <w:rPr>
                <w:sz w:val="17"/>
              </w:rPr>
            </w:r>
            <w:r>
              <w:rPr>
                <w:sz w:val="17"/>
              </w:rPr>
              <w:t>2025 exemption / exclusion</w:t>
            </w:r>
          </w:p>
        </w:tc>
        <w:tc>
          <w:tcPr>
            <w:tcW w:type="dxa" w:w="2736"/>
          </w:tcPr>
          <w:p>
            <w:pPr>
              <w:spacing w:after="0"/>
            </w:pPr>
            <w:r>
              <w:rPr>
                <w:sz w:val="17"/>
              </w:rPr>
            </w:r>
            <w:r>
              <w:rPr>
                <w:sz w:val="17"/>
              </w:rPr>
              <w:t>$13,610,000 / $18,000</w:t>
            </w:r>
          </w:p>
        </w:tc>
        <w:tc>
          <w:tcPr>
            <w:tcW w:type="dxa" w:w="2880"/>
          </w:tcPr>
          <w:p>
            <w:pPr>
              <w:spacing w:after="0"/>
            </w:pPr>
            <w:r>
              <w:rPr>
                <w:sz w:val="17"/>
              </w:rPr>
            </w:r>
            <w:r>
              <w:rPr>
                <w:sz w:val="17"/>
              </w:rPr>
              <w:t>$13,990,000 / $19,000</w:t>
            </w:r>
          </w:p>
        </w:tc>
        <w:tc>
          <w:tcPr>
            <w:tcW w:type="dxa" w:w="2160"/>
          </w:tcPr>
          <w:p>
            <w:pPr>
              <w:spacing w:after="0"/>
            </w:pPr>
            <w:r>
              <w:rPr>
                <w:sz w:val="17"/>
              </w:rPr>
            </w:r>
            <w:r>
              <w:rPr>
                <w:sz w:val="17"/>
              </w:rPr>
              <w:t>Correct (Issue 15)</w:t>
            </w:r>
          </w:p>
        </w:tc>
      </w:tr>
      <w:tr>
        <w:tc>
          <w:tcPr>
            <w:tcW w:type="dxa" w:w="1584"/>
          </w:tcPr>
          <w:p>
            <w:pPr>
              <w:spacing w:after="0"/>
            </w:pPr>
            <w:r>
              <w:rPr>
                <w:sz w:val="17"/>
              </w:rPr>
            </w:r>
            <w:r>
              <w:rPr>
                <w:sz w:val="17"/>
              </w:rPr>
              <w:t>Priya prior usage</w:t>
            </w:r>
          </w:p>
        </w:tc>
        <w:tc>
          <w:tcPr>
            <w:tcW w:type="dxa" w:w="2736"/>
          </w:tcPr>
          <w:p>
            <w:pPr>
              <w:spacing w:after="0"/>
            </w:pPr>
            <w:r>
              <w:rPr>
                <w:sz w:val="17"/>
              </w:rPr>
            </w:r>
            <w:r>
              <w:rPr>
                <w:sz w:val="17"/>
              </w:rPr>
              <w:t>$8,200,000 (100% of ILIT gifts)</w:t>
            </w:r>
          </w:p>
        </w:tc>
        <w:tc>
          <w:tcPr>
            <w:tcW w:type="dxa" w:w="2880"/>
          </w:tcPr>
          <w:p>
            <w:pPr>
              <w:spacing w:after="0"/>
            </w:pPr>
            <w:r>
              <w:rPr>
                <w:sz w:val="17"/>
              </w:rPr>
            </w:r>
            <w:r>
              <w:rPr>
                <w:sz w:val="17"/>
              </w:rPr>
              <w:t>Vikram’s $3.1M includes splits of the same gifts</w:t>
            </w:r>
          </w:p>
        </w:tc>
        <w:tc>
          <w:tcPr>
            <w:tcW w:type="dxa" w:w="2160"/>
          </w:tcPr>
          <w:p>
            <w:pPr>
              <w:spacing w:after="0"/>
            </w:pPr>
            <w:r>
              <w:rPr>
                <w:sz w:val="17"/>
              </w:rPr>
            </w:r>
            <w:r>
              <w:rPr>
                <w:sz w:val="17"/>
              </w:rPr>
              <w:t>Reconcile (Issue 16)</w:t>
            </w:r>
          </w:p>
        </w:tc>
      </w:tr>
      <w:tr>
        <w:tc>
          <w:tcPr>
            <w:tcW w:type="dxa" w:w="1584"/>
          </w:tcPr>
          <w:p>
            <w:pPr>
              <w:spacing w:after="0"/>
            </w:pPr>
            <w:r>
              <w:rPr>
                <w:sz w:val="17"/>
              </w:rPr>
            </w:r>
            <w:r>
              <w:rPr>
                <w:sz w:val="17"/>
              </w:rPr>
              <w:t>Net worth detail</w:t>
            </w:r>
          </w:p>
        </w:tc>
        <w:tc>
          <w:tcPr>
            <w:tcW w:type="dxa" w:w="2736"/>
          </w:tcPr>
          <w:p>
            <w:pPr>
              <w:spacing w:after="0"/>
            </w:pPr>
            <w:r>
              <w:rPr>
                <w:sz w:val="17"/>
              </w:rPr>
            </w:r>
            <w:r>
              <w:rPr>
                <w:sz w:val="17"/>
              </w:rPr>
              <w:t>Intake: retirement $3.2M; residence + investments + cash = $14.1M</w:t>
            </w:r>
          </w:p>
        </w:tc>
        <w:tc>
          <w:tcPr>
            <w:tcW w:type="dxa" w:w="2880"/>
          </w:tcPr>
          <w:p>
            <w:pPr>
              <w:spacing w:after="0"/>
            </w:pPr>
            <w:r>
              <w:rPr>
                <w:sz w:val="17"/>
              </w:rPr>
            </w:r>
            <w:r>
              <w:rPr>
                <w:sz w:val="17"/>
              </w:rPr>
              <w:t>Estate plan summary: retirement $2.8M; other assets in Revocable Trust $14.5M</w:t>
            </w:r>
          </w:p>
        </w:tc>
        <w:tc>
          <w:tcPr>
            <w:tcW w:type="dxa" w:w="2160"/>
          </w:tcPr>
          <w:p>
            <w:pPr>
              <w:spacing w:after="0"/>
            </w:pPr>
            <w:r>
              <w:rPr>
                <w:sz w:val="17"/>
              </w:rPr>
            </w:r>
            <w:r>
              <w:rPr>
                <w:sz w:val="17"/>
              </w:rPr>
              <w:t>Confirm with client and Silveroak</w:t>
            </w:r>
          </w:p>
        </w:tc>
      </w:tr>
      <w:tr>
        <w:tc>
          <w:tcPr>
            <w:tcW w:type="dxa" w:w="1584"/>
          </w:tcPr>
          <w:p>
            <w:pPr>
              <w:spacing w:after="0"/>
            </w:pPr>
            <w:r>
              <w:rPr>
                <w:sz w:val="17"/>
              </w:rPr>
            </w:r>
            <w:r>
              <w:rPr>
                <w:sz w:val="17"/>
              </w:rPr>
              <w:t>Per stirpes fallback</w:t>
            </w:r>
          </w:p>
        </w:tc>
        <w:tc>
          <w:tcPr>
            <w:tcW w:type="dxa" w:w="2736"/>
          </w:tcPr>
          <w:p>
            <w:pPr>
              <w:spacing w:after="0"/>
            </w:pPr>
            <w:r>
              <w:rPr>
                <w:sz w:val="17"/>
              </w:rPr>
            </w:r>
            <w:r>
              <w:rPr>
                <w:sz w:val="17"/>
              </w:rPr>
              <w:t>Intake: "surviving remainder beneficiaries"</w:t>
            </w:r>
          </w:p>
        </w:tc>
        <w:tc>
          <w:tcPr>
            <w:tcW w:type="dxa" w:w="2880"/>
          </w:tcPr>
          <w:p>
            <w:pPr>
              <w:spacing w:after="0"/>
            </w:pPr>
            <w:r>
              <w:rPr>
                <w:sz w:val="17"/>
              </w:rPr>
            </w:r>
            <w:r>
              <w:rPr>
                <w:sz w:val="17"/>
              </w:rPr>
              <w:t>Revocable Trust: surviving children and descendants of a predeceased child</w:t>
            </w:r>
          </w:p>
        </w:tc>
        <w:tc>
          <w:tcPr>
            <w:tcW w:type="dxa" w:w="2160"/>
          </w:tcPr>
          <w:p>
            <w:pPr>
              <w:spacing w:after="0"/>
            </w:pPr>
            <w:r>
              <w:rPr>
                <w:sz w:val="17"/>
              </w:rPr>
            </w:r>
            <w:r>
              <w:rPr>
                <w:sz w:val="17"/>
              </w:rPr>
              <w:t>Confirm (Issue 22)</w:t>
            </w:r>
          </w:p>
        </w:tc>
      </w:tr>
      <w:tr>
        <w:tc>
          <w:tcPr>
            <w:tcW w:type="dxa" w:w="1584"/>
          </w:tcPr>
          <w:p>
            <w:pPr>
              <w:spacing w:after="0"/>
            </w:pPr>
            <w:r>
              <w:rPr>
                <w:sz w:val="17"/>
              </w:rPr>
            </w:r>
            <w:r>
              <w:rPr>
                <w:sz w:val="17"/>
              </w:rPr>
              <w:t>Wheatley position</w:t>
            </w:r>
          </w:p>
        </w:tc>
        <w:tc>
          <w:tcPr>
            <w:tcW w:type="dxa" w:w="2736"/>
          </w:tcPr>
          <w:p>
            <w:pPr>
              <w:spacing w:after="0"/>
            </w:pPr>
            <w:r>
              <w:rPr>
                <w:sz w:val="17"/>
              </w:rPr>
            </w:r>
            <w:r>
              <w:rPr>
                <w:sz w:val="17"/>
              </w:rPr>
              <w:t>Intake: Wheatley policy "consistent with" client’s wishes</w:t>
            </w:r>
          </w:p>
        </w:tc>
        <w:tc>
          <w:tcPr>
            <w:tcW w:type="dxa" w:w="2880"/>
          </w:tcPr>
          <w:p>
            <w:pPr>
              <w:spacing w:after="0"/>
            </w:pPr>
            <w:r>
              <w:rPr>
                <w:sz w:val="17"/>
              </w:rPr>
            </w:r>
            <w:r>
              <w:rPr>
                <w:sz w:val="17"/>
              </w:rPr>
              <w:t>Wheatley: individual trustee ministerial only, or no acceptance</w:t>
            </w:r>
          </w:p>
        </w:tc>
        <w:tc>
          <w:tcPr>
            <w:tcW w:type="dxa" w:w="2160"/>
          </w:tcPr>
          <w:p>
            <w:pPr>
              <w:spacing w:after="0"/>
            </w:pPr>
            <w:r>
              <w:rPr>
                <w:sz w:val="17"/>
              </w:rPr>
            </w:r>
            <w:r>
              <w:rPr>
                <w:sz w:val="17"/>
              </w:rPr>
              <w:t>Client decision (Issue 10)</w:t>
            </w:r>
          </w:p>
        </w:tc>
      </w:tr>
      <w:tr>
        <w:tc>
          <w:tcPr>
            <w:tcW w:type="dxa" w:w="1584"/>
          </w:tcPr>
          <w:p>
            <w:pPr>
              <w:spacing w:after="0"/>
            </w:pPr>
            <w:r>
              <w:rPr>
                <w:sz w:val="17"/>
              </w:rPr>
            </w:r>
            <w:r>
              <w:rPr>
                <w:sz w:val="17"/>
              </w:rPr>
              <w:t>Estate plan conflicts</w:t>
            </w:r>
          </w:p>
        </w:tc>
        <w:tc>
          <w:tcPr>
            <w:tcW w:type="dxa" w:w="2736"/>
          </w:tcPr>
          <w:p>
            <w:pPr>
              <w:spacing w:after="0"/>
            </w:pPr>
            <w:r>
              <w:rPr>
                <w:sz w:val="17"/>
              </w:rPr>
            </w:r>
            <w:r>
              <w:rPr>
                <w:sz w:val="17"/>
              </w:rPr>
              <w:t>Estate plan summary: "no conflict", no amendments needed</w:t>
            </w:r>
          </w:p>
        </w:tc>
        <w:tc>
          <w:tcPr>
            <w:tcW w:type="dxa" w:w="2880"/>
          </w:tcPr>
          <w:p>
            <w:pPr>
              <w:spacing w:after="0"/>
            </w:pPr>
            <w:r>
              <w:rPr>
                <w:sz w:val="17"/>
              </w:rPr>
            </w:r>
            <w:r>
              <w:rPr>
                <w:sz w:val="17"/>
              </w:rPr>
              <w:t>Death-during-term disposition, §2207B apportionment, power of attorney gaps</w:t>
            </w:r>
          </w:p>
        </w:tc>
        <w:tc>
          <w:tcPr>
            <w:tcW w:type="dxa" w:w="2160"/>
          </w:tcPr>
          <w:p>
            <w:pPr>
              <w:spacing w:after="0"/>
            </w:pPr>
            <w:r>
              <w:rPr>
                <w:sz w:val="17"/>
              </w:rPr>
            </w:r>
            <w:r>
              <w:rPr>
                <w:sz w:val="17"/>
              </w:rPr>
              <w:t>Issues 21, 26</w:t>
            </w:r>
          </w:p>
        </w:tc>
      </w:tr>
    </w:tbl>
    <w:p/>
    <w:p>
      <w:pPr>
        <w:pStyle w:val="Heading1"/>
      </w:pPr>
      <w:r>
        <w:t>VI. Revised Timeline (Proposed)</w:t>
      </w:r>
    </w:p>
    <w:tbl>
      <w:tblPr>
        <w:tblStyle w:val="TableGrid"/>
        <w:tblW w:type="auto" w:w="0"/>
        <w:tblLook w:firstColumn="1" w:firstRow="1" w:lastColumn="0" w:lastRow="0" w:noHBand="0" w:noVBand="1" w:val="04A0"/>
      </w:tblPr>
      <w:tblGrid>
        <w:gridCol w:w="3120"/>
        <w:gridCol w:w="3120"/>
        <w:gridCol w:w="3120"/>
      </w:tblGrid>
      <w:tr>
        <w:tc>
          <w:tcPr>
            <w:tcW w:type="dxa" w:w="2304"/>
            <w:shd w:val="clear" w:color="auto" w:fill="D9D9D9"/>
          </w:tcPr>
          <w:p>
            <w:pPr>
              <w:spacing w:after="0"/>
            </w:pPr>
            <w:r>
              <w:rPr>
                <w:b/>
                <w:sz w:val="18"/>
              </w:rPr>
            </w:r>
            <w:r>
              <w:rPr>
                <w:b/>
                <w:sz w:val="18"/>
              </w:rPr>
              <w:t>Target</w:t>
            </w:r>
          </w:p>
        </w:tc>
        <w:tc>
          <w:tcPr>
            <w:tcW w:type="dxa" w:w="5328"/>
            <w:shd w:val="clear" w:color="auto" w:fill="D9D9D9"/>
          </w:tcPr>
          <w:p>
            <w:pPr>
              <w:spacing w:after="0"/>
            </w:pPr>
            <w:r>
              <w:rPr>
                <w:b/>
                <w:sz w:val="18"/>
              </w:rPr>
            </w:r>
            <w:r>
              <w:rPr>
                <w:b/>
                <w:sz w:val="18"/>
              </w:rPr>
              <w:t>Action</w:t>
            </w:r>
          </w:p>
        </w:tc>
        <w:tc>
          <w:tcPr>
            <w:tcW w:type="dxa" w:w="1728"/>
            <w:shd w:val="clear" w:color="auto" w:fill="D9D9D9"/>
          </w:tcPr>
          <w:p>
            <w:pPr>
              <w:spacing w:after="0"/>
            </w:pPr>
            <w:r>
              <w:rPr>
                <w:b/>
                <w:sz w:val="18"/>
              </w:rPr>
            </w:r>
            <w:r>
              <w:rPr>
                <w:b/>
                <w:sz w:val="18"/>
              </w:rPr>
              <w:t>Responsible</w:t>
            </w:r>
          </w:p>
        </w:tc>
      </w:tr>
      <w:tr>
        <w:tc>
          <w:tcPr>
            <w:tcW w:type="dxa" w:w="2304"/>
          </w:tcPr>
          <w:p>
            <w:pPr>
              <w:spacing w:after="0"/>
            </w:pPr>
            <w:r>
              <w:rPr>
                <w:sz w:val="18"/>
              </w:rPr>
            </w:r>
            <w:r>
              <w:rPr>
                <w:sz w:val="18"/>
              </w:rPr>
              <w:t>June 3–6, 2025</w:t>
            </w:r>
          </w:p>
        </w:tc>
        <w:tc>
          <w:tcPr>
            <w:tcW w:type="dxa" w:w="5328"/>
          </w:tcPr>
          <w:p>
            <w:pPr>
              <w:spacing w:after="0"/>
            </w:pPr>
            <w:r>
              <w:rPr>
                <w:sz w:val="18"/>
              </w:rPr>
            </w:r>
            <w:r>
              <w:rPr>
                <w:sz w:val="18"/>
              </w:rPr>
              <w:t>Partner review of Draft No. 1; client meeting on Issues 1, 4, 7, 10, 21, 22, 24; obtain executed engagement letter and scope addendum</w:t>
            </w:r>
          </w:p>
        </w:tc>
        <w:tc>
          <w:tcPr>
            <w:tcW w:type="dxa" w:w="1728"/>
          </w:tcPr>
          <w:p>
            <w:pPr>
              <w:spacing w:after="0"/>
            </w:pPr>
            <w:r>
              <w:rPr>
                <w:sz w:val="18"/>
              </w:rPr>
            </w:r>
            <w:r>
              <w:rPr>
                <w:sz w:val="18"/>
              </w:rPr>
              <w:t>Partner / client</w:t>
            </w:r>
          </w:p>
        </w:tc>
      </w:tr>
      <w:tr>
        <w:tc>
          <w:tcPr>
            <w:tcW w:type="dxa" w:w="2304"/>
          </w:tcPr>
          <w:p>
            <w:pPr>
              <w:spacing w:after="0"/>
            </w:pPr>
            <w:r>
              <w:rPr>
                <w:sz w:val="18"/>
              </w:rPr>
            </w:r>
            <w:r>
              <w:rPr>
                <w:sz w:val="18"/>
              </w:rPr>
              <w:t>By June 6</w:t>
            </w:r>
          </w:p>
        </w:tc>
        <w:tc>
          <w:tcPr>
            <w:tcW w:type="dxa" w:w="5328"/>
          </w:tcPr>
          <w:p>
            <w:pPr>
              <w:spacing w:after="0"/>
            </w:pPr>
            <w:r>
              <w:rPr>
                <w:sz w:val="18"/>
              </w:rPr>
            </w:r>
            <w:r>
              <w:rPr>
                <w:sz w:val="18"/>
              </w:rPr>
              <w:t>Engage gift-tax appraiser (with Paramount and IPO disclosure); Silveroak re-runs model; confirm Section 7520 rates</w:t>
            </w:r>
          </w:p>
        </w:tc>
        <w:tc>
          <w:tcPr>
            <w:tcW w:type="dxa" w:w="1728"/>
          </w:tcPr>
          <w:p>
            <w:pPr>
              <w:spacing w:after="0"/>
            </w:pPr>
            <w:r>
              <w:rPr>
                <w:sz w:val="18"/>
              </w:rPr>
            </w:r>
            <w:r>
              <w:rPr>
                <w:sz w:val="18"/>
              </w:rPr>
              <w:t>Client / Silveroak</w:t>
            </w:r>
          </w:p>
        </w:tc>
      </w:tr>
      <w:tr>
        <w:tc>
          <w:tcPr>
            <w:tcW w:type="dxa" w:w="2304"/>
          </w:tcPr>
          <w:p>
            <w:pPr>
              <w:spacing w:after="0"/>
            </w:pPr>
            <w:r>
              <w:rPr>
                <w:sz w:val="18"/>
              </w:rPr>
            </w:r>
            <w:r>
              <w:rPr>
                <w:sz w:val="18"/>
              </w:rPr>
              <w:t>By June 10</w:t>
            </w:r>
          </w:p>
        </w:tc>
        <w:tc>
          <w:tcPr>
            <w:tcW w:type="dxa" w:w="5328"/>
          </w:tcPr>
          <w:p>
            <w:pPr>
              <w:spacing w:after="0"/>
            </w:pPr>
            <w:r>
              <w:rPr>
                <w:sz w:val="18"/>
              </w:rPr>
            </w:r>
            <w:r>
              <w:rPr>
                <w:sz w:val="18"/>
              </w:rPr>
              <w:t>Draft to Wheatley (after Ridgeline and Company confidentiality consents); request acceptance agreement</w:t>
            </w:r>
          </w:p>
        </w:tc>
        <w:tc>
          <w:tcPr>
            <w:tcW w:type="dxa" w:w="1728"/>
          </w:tcPr>
          <w:p>
            <w:pPr>
              <w:spacing w:after="0"/>
            </w:pPr>
            <w:r>
              <w:rPr>
                <w:sz w:val="18"/>
              </w:rPr>
            </w:r>
            <w:r>
              <w:rPr>
                <w:sz w:val="18"/>
              </w:rPr>
              <w:t>Drafting team</w:t>
            </w:r>
          </w:p>
        </w:tc>
      </w:tr>
      <w:tr>
        <w:tc>
          <w:tcPr>
            <w:tcW w:type="dxa" w:w="2304"/>
          </w:tcPr>
          <w:p>
            <w:pPr>
              <w:spacing w:after="0"/>
            </w:pPr>
            <w:r>
              <w:rPr>
                <w:sz w:val="18"/>
              </w:rPr>
            </w:r>
            <w:r>
              <w:rPr>
                <w:sz w:val="18"/>
              </w:rPr>
              <w:t>By ~June 13</w:t>
            </w:r>
          </w:p>
        </w:tc>
        <w:tc>
          <w:tcPr>
            <w:tcW w:type="dxa" w:w="5328"/>
          </w:tcPr>
          <w:p>
            <w:pPr>
              <w:spacing w:after="0"/>
            </w:pPr>
            <w:r>
              <w:rPr>
                <w:sz w:val="18"/>
              </w:rPr>
            </w:r>
            <w:r>
              <w:rPr>
                <w:sz w:val="18"/>
              </w:rPr>
              <w:t>Complete Trust Transfer Request to the Company Secretary with substantially final agreement, perjury representation and securities opinion; request combined consent, ROFR waiver and advance-waiver resolution</w:t>
            </w:r>
          </w:p>
        </w:tc>
        <w:tc>
          <w:tcPr>
            <w:tcW w:type="dxa" w:w="1728"/>
          </w:tcPr>
          <w:p>
            <w:pPr>
              <w:spacing w:after="0"/>
            </w:pPr>
            <w:r>
              <w:rPr>
                <w:sz w:val="18"/>
              </w:rPr>
            </w:r>
            <w:r>
              <w:rPr>
                <w:sz w:val="18"/>
              </w:rPr>
              <w:t>Firm / Bramwell / client</w:t>
            </w:r>
          </w:p>
        </w:tc>
      </w:tr>
      <w:tr>
        <w:tc>
          <w:tcPr>
            <w:tcW w:type="dxa" w:w="2304"/>
          </w:tcPr>
          <w:p>
            <w:pPr>
              <w:spacing w:after="0"/>
            </w:pPr>
            <w:r>
              <w:rPr>
                <w:sz w:val="18"/>
              </w:rPr>
            </w:r>
            <w:r>
              <w:rPr>
                <w:sz w:val="18"/>
              </w:rPr>
              <w:t>~July 14</w:t>
            </w:r>
          </w:p>
        </w:tc>
        <w:tc>
          <w:tcPr>
            <w:tcW w:type="dxa" w:w="5328"/>
          </w:tcPr>
          <w:p>
            <w:pPr>
              <w:spacing w:after="0"/>
            </w:pPr>
            <w:r>
              <w:rPr>
                <w:sz w:val="18"/>
              </w:rPr>
            </w:r>
            <w:r>
              <w:rPr>
                <w:sz w:val="18"/>
              </w:rPr>
              <w:t>End of 30-day Board Review Period (silence = denial; follow up in advance)</w:t>
            </w:r>
          </w:p>
        </w:tc>
        <w:tc>
          <w:tcPr>
            <w:tcW w:type="dxa" w:w="1728"/>
          </w:tcPr>
          <w:p>
            <w:pPr>
              <w:spacing w:after="0"/>
            </w:pPr>
            <w:r>
              <w:rPr>
                <w:sz w:val="18"/>
              </w:rPr>
            </w:r>
            <w:r>
              <w:rPr>
                <w:sz w:val="18"/>
              </w:rPr>
              <w:t>Bramwell</w:t>
            </w:r>
          </w:p>
        </w:tc>
      </w:tr>
      <w:tr>
        <w:tc>
          <w:tcPr>
            <w:tcW w:type="dxa" w:w="2304"/>
          </w:tcPr>
          <w:p>
            <w:pPr>
              <w:spacing w:after="0"/>
            </w:pPr>
            <w:r>
              <w:rPr>
                <w:sz w:val="18"/>
              </w:rPr>
            </w:r>
            <w:r>
              <w:rPr>
                <w:sz w:val="18"/>
              </w:rPr>
              <w:t>Mid-July to mid-Aug.</w:t>
            </w:r>
          </w:p>
        </w:tc>
        <w:tc>
          <w:tcPr>
            <w:tcW w:type="dxa" w:w="5328"/>
          </w:tcPr>
          <w:p>
            <w:pPr>
              <w:spacing w:after="0"/>
            </w:pPr>
            <w:r>
              <w:rPr>
                <w:sz w:val="18"/>
              </w:rPr>
            </w:r>
            <w:r>
              <w:rPr>
                <w:sz w:val="18"/>
              </w:rPr>
              <w:t>ROFR period (unless waived with consent); appraisal finalized; EIN; trustee joinders; Wheatley acceptance</w:t>
            </w:r>
          </w:p>
        </w:tc>
        <w:tc>
          <w:tcPr>
            <w:tcW w:type="dxa" w:w="1728"/>
          </w:tcPr>
          <w:p>
            <w:pPr>
              <w:spacing w:after="0"/>
            </w:pPr>
            <w:r>
              <w:rPr>
                <w:sz w:val="18"/>
              </w:rPr>
            </w:r>
            <w:r>
              <w:rPr>
                <w:sz w:val="18"/>
              </w:rPr>
              <w:t>All</w:t>
            </w:r>
          </w:p>
        </w:tc>
      </w:tr>
      <w:tr>
        <w:tc>
          <w:tcPr>
            <w:tcW w:type="dxa" w:w="2304"/>
          </w:tcPr>
          <w:p>
            <w:pPr>
              <w:spacing w:after="0"/>
            </w:pPr>
            <w:r>
              <w:rPr>
                <w:sz w:val="18"/>
              </w:rPr>
            </w:r>
            <w:r>
              <w:rPr>
                <w:sz w:val="18"/>
              </w:rPr>
              <w:t>No earlier than ~Aug. 12, 2025 (60 days after a complete request); plan for Sept. 2025</w:t>
            </w:r>
          </w:p>
        </w:tc>
        <w:tc>
          <w:tcPr>
            <w:tcW w:type="dxa" w:w="5328"/>
          </w:tcPr>
          <w:p>
            <w:pPr>
              <w:spacing w:after="0"/>
            </w:pPr>
            <w:r>
              <w:rPr>
                <w:sz w:val="18"/>
              </w:rPr>
            </w:r>
            <w:r>
              <w:rPr>
                <w:sz w:val="18"/>
              </w:rPr>
              <w:t>Execute agreement; single funding transfer; Schedule B certificate; fix annuity percentage at lowest eligible rate</w:t>
            </w:r>
          </w:p>
        </w:tc>
        <w:tc>
          <w:tcPr>
            <w:tcW w:type="dxa" w:w="1728"/>
          </w:tcPr>
          <w:p>
            <w:pPr>
              <w:spacing w:after="0"/>
            </w:pPr>
            <w:r>
              <w:rPr>
                <w:sz w:val="18"/>
              </w:rPr>
            </w:r>
            <w:r>
              <w:rPr>
                <w:sz w:val="18"/>
              </w:rPr>
              <w:t>Client / Wheatley</w:t>
            </w:r>
          </w:p>
        </w:tc>
      </w:tr>
      <w:tr>
        <w:tc>
          <w:tcPr>
            <w:tcW w:type="dxa" w:w="2304"/>
          </w:tcPr>
          <w:p>
            <w:pPr>
              <w:spacing w:after="0"/>
            </w:pPr>
            <w:r>
              <w:rPr>
                <w:sz w:val="18"/>
              </w:rPr>
            </w:r>
            <w:r>
              <w:rPr>
                <w:sz w:val="18"/>
              </w:rPr>
              <w:t>April 15, 2026 (Oct. 15 on extension)</w:t>
            </w:r>
          </w:p>
        </w:tc>
        <w:tc>
          <w:tcPr>
            <w:tcW w:type="dxa" w:w="5328"/>
          </w:tcPr>
          <w:p>
            <w:pPr>
              <w:spacing w:after="0"/>
            </w:pPr>
            <w:r>
              <w:rPr>
                <w:sz w:val="18"/>
              </w:rPr>
            </w:r>
            <w:r>
              <w:rPr>
                <w:sz w:val="18"/>
              </w:rPr>
              <w:t>Form 709 (Section 7520 election, adequate disclosure, GST elections) and CT-706 GT</w:t>
            </w:r>
          </w:p>
        </w:tc>
        <w:tc>
          <w:tcPr>
            <w:tcW w:type="dxa" w:w="1728"/>
          </w:tcPr>
          <w:p>
            <w:pPr>
              <w:spacing w:after="0"/>
            </w:pPr>
            <w:r>
              <w:rPr>
                <w:sz w:val="18"/>
              </w:rPr>
            </w:r>
            <w:r>
              <w:rPr>
                <w:sz w:val="18"/>
              </w:rPr>
              <w:t>Silveroak / firm</w:t>
            </w:r>
          </w:p>
        </w:tc>
      </w:tr>
    </w:tbl>
    <w:p/>
    <w:p>
      <w:pPr>
        <w:pStyle w:val="Heading1"/>
      </w:pPr>
      <w:r>
        <w:t>VII. Pre-Funding Checklist</w:t>
      </w:r>
    </w:p>
    <w:p>
      <w:pPr>
        <w:pStyle w:val="ListBullet"/>
        <w:spacing w:after="60"/>
        <w:jc w:val="both"/>
      </w:pPr>
      <w:r>
        <w:t>Executed engagement letter and scope addendum (securities opinion, Form 709 / CT-706 GT).</w:t>
      </w:r>
    </w:p>
    <w:p>
      <w:pPr>
        <w:pStyle w:val="ListBullet"/>
        <w:spacing w:after="60"/>
        <w:jc w:val="both"/>
      </w:pPr>
      <w:r>
        <w:t>Updated qualified appraisal as of the Funding Date; consistent value used for the ROFR notice.</w:t>
      </w:r>
    </w:p>
    <w:p>
      <w:pPr>
        <w:pStyle w:val="ListBullet"/>
        <w:spacing w:after="60"/>
        <w:jc w:val="both"/>
      </w:pPr>
      <w:r>
        <w:t>Client decisions: control limits (Wheatley Reserved Powers), death-during-term alternative, per stirpes fallback, outright vs. continuing trusts, cash reserve.</w:t>
      </w:r>
    </w:p>
    <w:p>
      <w:pPr>
        <w:pStyle w:val="ListBullet"/>
        <w:spacing w:after="60"/>
        <w:jc w:val="both"/>
      </w:pPr>
      <w:r>
        <w:t>Section 7520 rates confirmed; annuity percentage fixed in §3.1.</w:t>
      </w:r>
    </w:p>
    <w:p>
      <w:pPr>
        <w:pStyle w:val="ListBullet"/>
        <w:spacing w:after="60"/>
        <w:jc w:val="both"/>
      </w:pPr>
      <w:r>
        <w:t>Board resolution: consent, ROFR waiver, advance consents and waivers for in-kind payments, swaps and distributions; disinterested-director approval; confirmation that Art. VIII satisfies §4.3(c).</w:t>
      </w:r>
    </w:p>
    <w:p>
      <w:pPr>
        <w:pStyle w:val="ListBullet"/>
        <w:spacing w:after="60"/>
        <w:jc w:val="both"/>
      </w:pPr>
      <w:r>
        <w:t>Joinder Agreements (Exhibit C) signed by both trustees.</w:t>
      </w:r>
    </w:p>
    <w:p>
      <w:pPr>
        <w:pStyle w:val="ListBullet"/>
        <w:spacing w:after="60"/>
        <w:jc w:val="both"/>
      </w:pPr>
      <w:r>
        <w:t>Wheatley acceptance agreement signed; fee and appraisal-cost arrangements; liquidity solution.</w:t>
      </w:r>
    </w:p>
    <w:p>
      <w:pPr>
        <w:pStyle w:val="ListBullet"/>
        <w:spacing w:after="60"/>
        <w:jc w:val="both"/>
      </w:pPr>
      <w:r>
        <w:t>EIN obtained; stock power and transfer instruction; transfer recorded on Company books; Schedule B completed.</w:t>
      </w:r>
    </w:p>
    <w:p>
      <w:pPr>
        <w:pStyle w:val="ListBullet"/>
        <w:spacing w:after="60"/>
        <w:jc w:val="both"/>
      </w:pPr>
      <w:r>
        <w:t>Silveroak reconciliation of prior gifts and exemption (both spouses); reporting method under §1.671-4.</w:t>
      </w:r>
    </w:p>
    <w:p>
      <w:pPr>
        <w:pStyle w:val="ListBullet"/>
        <w:spacing w:after="60"/>
        <w:jc w:val="both"/>
      </w:pPr>
      <w:r>
        <w:t>Review of the actual 2017 will and Revocable Trust tax apportionment clauses; consider life insurance for mortality risk.</w:t>
      </w:r>
    </w:p>
    <w:p>
      <w:pPr>
        <w:pStyle w:val="ListBullet"/>
        <w:spacing w:after="60"/>
        <w:jc w:val="both"/>
      </w:pPr>
      <w:r>
        <w:t>Independent-counsel letters to the children and Vikram.</w:t>
      </w:r>
    </w:p>
    <w:p>
      <w:r>
        <w:br w:type="page"/>
      </w:r>
    </w:p>
    <w:p>
      <w:pPr>
        <w:pStyle w:val="Heading1"/>
      </w:pPr>
      <w:r>
        <w:t>Appendix A — Zeroing Annuity by Section 7520 Rate (3-Year Term, Annual Payments in Arrears)</w:t>
      </w:r>
    </w:p>
    <w:p>
      <w:pPr>
        <w:jc w:val="both"/>
      </w:pPr>
      <w:r>
        <w:t>Annuity factor = (1 − (1 + i)^−3) / i. Zeroing percentage = 1 / factor. In practice, round the percentage down slightly so that a small positive gift results.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440"/>
            <w:shd w:val="clear" w:color="auto" w:fill="D9D9D9"/>
          </w:tcPr>
          <w:p>
            <w:pPr>
              <w:spacing w:after="0"/>
            </w:pPr>
            <w:r>
              <w:rPr>
                <w:b/>
                <w:sz w:val="18"/>
              </w:rPr>
            </w:r>
            <w:r>
              <w:rPr>
                <w:b/>
                <w:sz w:val="18"/>
              </w:rPr>
              <w:t>Section 7520 rate</w:t>
            </w:r>
          </w:p>
        </w:tc>
        <w:tc>
          <w:tcPr>
            <w:tcW w:type="dxa" w:w="1440"/>
            <w:shd w:val="clear" w:color="auto" w:fill="D9D9D9"/>
          </w:tcPr>
          <w:p>
            <w:pPr>
              <w:spacing w:after="0"/>
            </w:pPr>
            <w:r>
              <w:rPr>
                <w:b/>
                <w:sz w:val="18"/>
              </w:rPr>
            </w:r>
            <w:r>
              <w:rPr>
                <w:b/>
                <w:sz w:val="18"/>
              </w:rPr>
              <w:t>Annuity factor</w:t>
            </w:r>
          </w:p>
        </w:tc>
        <w:tc>
          <w:tcPr>
            <w:tcW w:type="dxa" w:w="2160"/>
            <w:shd w:val="clear" w:color="auto" w:fill="D9D9D9"/>
          </w:tcPr>
          <w:p>
            <w:pPr>
              <w:spacing w:after="0"/>
            </w:pPr>
            <w:r>
              <w:rPr>
                <w:b/>
                <w:sz w:val="18"/>
              </w:rPr>
            </w:r>
            <w:r>
              <w:rPr>
                <w:b/>
                <w:sz w:val="18"/>
              </w:rPr>
              <w:t>Annual payout (% of initial value)</w:t>
            </w:r>
          </w:p>
        </w:tc>
        <w:tc>
          <w:tcPr>
            <w:tcW w:type="dxa" w:w="2160"/>
            <w:shd w:val="clear" w:color="auto" w:fill="D9D9D9"/>
          </w:tcPr>
          <w:p>
            <w:pPr>
              <w:spacing w:after="0"/>
            </w:pPr>
            <w:r>
              <w:rPr>
                <w:b/>
                <w:sz w:val="18"/>
              </w:rPr>
            </w:r>
            <w:r>
              <w:rPr>
                <w:b/>
                <w:sz w:val="18"/>
              </w:rPr>
              <w:t>Annuity on $5,400,000 ($13.50/sh)</w:t>
            </w:r>
          </w:p>
        </w:tc>
        <w:tc>
          <w:tcPr>
            <w:tcW w:type="dxa" w:w="2160"/>
            <w:shd w:val="clear" w:color="auto" w:fill="D9D9D9"/>
          </w:tcPr>
          <w:p>
            <w:pPr>
              <w:spacing w:after="0"/>
            </w:pPr>
            <w:r>
              <w:rPr>
                <w:b/>
                <w:sz w:val="18"/>
              </w:rPr>
            </w:r>
            <w:r>
              <w:rPr>
                <w:b/>
                <w:sz w:val="18"/>
              </w:rPr>
              <w:t>Annuity on $8,000,000 ($20.00/sh)</w:t>
            </w:r>
          </w:p>
        </w:tc>
      </w:tr>
      <w:tr>
        <w:tc>
          <w:tcPr>
            <w:tcW w:type="dxa" w:w="1440"/>
          </w:tcPr>
          <w:p>
            <w:pPr>
              <w:spacing w:after="0"/>
            </w:pPr>
            <w:r>
              <w:rPr>
                <w:sz w:val="18"/>
              </w:rPr>
            </w:r>
            <w:r>
              <w:rPr>
                <w:sz w:val="18"/>
              </w:rPr>
              <w:t>4.6%</w:t>
            </w:r>
          </w:p>
        </w:tc>
        <w:tc>
          <w:tcPr>
            <w:tcW w:type="dxa" w:w="1440"/>
          </w:tcPr>
          <w:p>
            <w:pPr>
              <w:spacing w:after="0"/>
            </w:pPr>
            <w:r>
              <w:rPr>
                <w:sz w:val="18"/>
              </w:rPr>
            </w:r>
            <w:r>
              <w:rPr>
                <w:sz w:val="18"/>
              </w:rPr>
              <w:t>2.743789</w:t>
            </w:r>
          </w:p>
        </w:tc>
        <w:tc>
          <w:tcPr>
            <w:tcW w:type="dxa" w:w="2160"/>
          </w:tcPr>
          <w:p>
            <w:pPr>
              <w:spacing w:after="0"/>
            </w:pPr>
            <w:r>
              <w:rPr>
                <w:sz w:val="18"/>
              </w:rPr>
            </w:r>
            <w:r>
              <w:rPr>
                <w:sz w:val="18"/>
              </w:rPr>
              <w:t>36.4460%</w:t>
            </w:r>
          </w:p>
        </w:tc>
        <w:tc>
          <w:tcPr>
            <w:tcW w:type="dxa" w:w="2160"/>
          </w:tcPr>
          <w:p>
            <w:pPr>
              <w:spacing w:after="0"/>
            </w:pPr>
            <w:r>
              <w:rPr>
                <w:sz w:val="18"/>
              </w:rPr>
            </w:r>
            <w:r>
              <w:rPr>
                <w:sz w:val="18"/>
              </w:rPr>
              <w:t>$1,968,082</w:t>
            </w:r>
          </w:p>
        </w:tc>
        <w:tc>
          <w:tcPr>
            <w:tcW w:type="dxa" w:w="2160"/>
          </w:tcPr>
          <w:p>
            <w:pPr>
              <w:spacing w:after="0"/>
            </w:pPr>
            <w:r>
              <w:rPr>
                <w:sz w:val="18"/>
              </w:rPr>
            </w:r>
            <w:r>
              <w:rPr>
                <w:sz w:val="18"/>
              </w:rPr>
              <w:t>$2,915,677</w:t>
            </w:r>
          </w:p>
        </w:tc>
      </w:tr>
      <w:tr>
        <w:tc>
          <w:tcPr>
            <w:tcW w:type="dxa" w:w="1440"/>
          </w:tcPr>
          <w:p>
            <w:pPr>
              <w:spacing w:after="0"/>
            </w:pPr>
            <w:r>
              <w:rPr>
                <w:sz w:val="18"/>
              </w:rPr>
            </w:r>
            <w:r>
              <w:rPr>
                <w:sz w:val="18"/>
              </w:rPr>
              <w:t>4.8%</w:t>
            </w:r>
          </w:p>
        </w:tc>
        <w:tc>
          <w:tcPr>
            <w:tcW w:type="dxa" w:w="1440"/>
          </w:tcPr>
          <w:p>
            <w:pPr>
              <w:spacing w:after="0"/>
            </w:pPr>
            <w:r>
              <w:rPr>
                <w:sz w:val="18"/>
              </w:rPr>
            </w:r>
            <w:r>
              <w:rPr>
                <w:sz w:val="18"/>
              </w:rPr>
              <w:t>2.733486</w:t>
            </w:r>
          </w:p>
        </w:tc>
        <w:tc>
          <w:tcPr>
            <w:tcW w:type="dxa" w:w="2160"/>
          </w:tcPr>
          <w:p>
            <w:pPr>
              <w:spacing w:after="0"/>
            </w:pPr>
            <w:r>
              <w:rPr>
                <w:sz w:val="18"/>
              </w:rPr>
            </w:r>
            <w:r>
              <w:rPr>
                <w:sz w:val="18"/>
              </w:rPr>
              <w:t>36.5833%</w:t>
            </w:r>
          </w:p>
        </w:tc>
        <w:tc>
          <w:tcPr>
            <w:tcW w:type="dxa" w:w="2160"/>
          </w:tcPr>
          <w:p>
            <w:pPr>
              <w:spacing w:after="0"/>
            </w:pPr>
            <w:r>
              <w:rPr>
                <w:sz w:val="18"/>
              </w:rPr>
            </w:r>
            <w:r>
              <w:rPr>
                <w:sz w:val="18"/>
              </w:rPr>
              <w:t>$1,975,500</w:t>
            </w:r>
          </w:p>
        </w:tc>
        <w:tc>
          <w:tcPr>
            <w:tcW w:type="dxa" w:w="2160"/>
          </w:tcPr>
          <w:p>
            <w:pPr>
              <w:spacing w:after="0"/>
            </w:pPr>
            <w:r>
              <w:rPr>
                <w:sz w:val="18"/>
              </w:rPr>
            </w:r>
            <w:r>
              <w:rPr>
                <w:sz w:val="18"/>
              </w:rPr>
              <w:t>$2,926,666</w:t>
            </w:r>
          </w:p>
        </w:tc>
      </w:tr>
      <w:tr>
        <w:tc>
          <w:tcPr>
            <w:tcW w:type="dxa" w:w="1440"/>
          </w:tcPr>
          <w:p>
            <w:pPr>
              <w:spacing w:after="0"/>
            </w:pPr>
            <w:r>
              <w:rPr>
                <w:sz w:val="18"/>
              </w:rPr>
            </w:r>
            <w:r>
              <w:rPr>
                <w:sz w:val="18"/>
              </w:rPr>
              <w:t>5.0%</w:t>
            </w:r>
          </w:p>
        </w:tc>
        <w:tc>
          <w:tcPr>
            <w:tcW w:type="dxa" w:w="1440"/>
          </w:tcPr>
          <w:p>
            <w:pPr>
              <w:spacing w:after="0"/>
            </w:pPr>
            <w:r>
              <w:rPr>
                <w:sz w:val="18"/>
              </w:rPr>
            </w:r>
            <w:r>
              <w:rPr>
                <w:sz w:val="18"/>
              </w:rPr>
              <w:t>2.723248</w:t>
            </w:r>
          </w:p>
        </w:tc>
        <w:tc>
          <w:tcPr>
            <w:tcW w:type="dxa" w:w="2160"/>
          </w:tcPr>
          <w:p>
            <w:pPr>
              <w:spacing w:after="0"/>
            </w:pPr>
            <w:r>
              <w:rPr>
                <w:sz w:val="18"/>
              </w:rPr>
            </w:r>
            <w:r>
              <w:rPr>
                <w:sz w:val="18"/>
              </w:rPr>
              <w:t>36.7209%</w:t>
            </w:r>
          </w:p>
        </w:tc>
        <w:tc>
          <w:tcPr>
            <w:tcW w:type="dxa" w:w="2160"/>
          </w:tcPr>
          <w:p>
            <w:pPr>
              <w:spacing w:after="0"/>
            </w:pPr>
            <w:r>
              <w:rPr>
                <w:sz w:val="18"/>
              </w:rPr>
            </w:r>
            <w:r>
              <w:rPr>
                <w:sz w:val="18"/>
              </w:rPr>
              <w:t>$1,982,926</w:t>
            </w:r>
          </w:p>
        </w:tc>
        <w:tc>
          <w:tcPr>
            <w:tcW w:type="dxa" w:w="2160"/>
          </w:tcPr>
          <w:p>
            <w:pPr>
              <w:spacing w:after="0"/>
            </w:pPr>
            <w:r>
              <w:rPr>
                <w:sz w:val="18"/>
              </w:rPr>
            </w:r>
            <w:r>
              <w:rPr>
                <w:sz w:val="18"/>
              </w:rPr>
              <w:t>$2,937,669</w:t>
            </w:r>
          </w:p>
        </w:tc>
      </w:tr>
      <w:tr>
        <w:tc>
          <w:tcPr>
            <w:tcW w:type="dxa" w:w="1440"/>
          </w:tcPr>
          <w:p>
            <w:pPr>
              <w:spacing w:after="0"/>
            </w:pPr>
            <w:r>
              <w:rPr>
                <w:sz w:val="18"/>
              </w:rPr>
            </w:r>
            <w:r>
              <w:rPr>
                <w:sz w:val="18"/>
              </w:rPr>
              <w:t>5.2%</w:t>
            </w:r>
          </w:p>
        </w:tc>
        <w:tc>
          <w:tcPr>
            <w:tcW w:type="dxa" w:w="1440"/>
          </w:tcPr>
          <w:p>
            <w:pPr>
              <w:spacing w:after="0"/>
            </w:pPr>
            <w:r>
              <w:rPr>
                <w:sz w:val="18"/>
              </w:rPr>
            </w:r>
            <w:r>
              <w:rPr>
                <w:sz w:val="18"/>
              </w:rPr>
              <w:t>2.713074</w:t>
            </w:r>
          </w:p>
        </w:tc>
        <w:tc>
          <w:tcPr>
            <w:tcW w:type="dxa" w:w="2160"/>
          </w:tcPr>
          <w:p>
            <w:pPr>
              <w:spacing w:after="0"/>
            </w:pPr>
            <w:r>
              <w:rPr>
                <w:sz w:val="18"/>
              </w:rPr>
            </w:r>
            <w:r>
              <w:rPr>
                <w:sz w:val="18"/>
              </w:rPr>
              <w:t>36.8586%</w:t>
            </w:r>
          </w:p>
        </w:tc>
        <w:tc>
          <w:tcPr>
            <w:tcW w:type="dxa" w:w="2160"/>
          </w:tcPr>
          <w:p>
            <w:pPr>
              <w:spacing w:after="0"/>
            </w:pPr>
            <w:r>
              <w:rPr>
                <w:sz w:val="18"/>
              </w:rPr>
            </w:r>
            <w:r>
              <w:rPr>
                <w:sz w:val="18"/>
              </w:rPr>
              <w:t>$1,990,362</w:t>
            </w:r>
          </w:p>
        </w:tc>
        <w:tc>
          <w:tcPr>
            <w:tcW w:type="dxa" w:w="2160"/>
          </w:tcPr>
          <w:p>
            <w:pPr>
              <w:spacing w:after="0"/>
            </w:pPr>
            <w:r>
              <w:rPr>
                <w:sz w:val="18"/>
              </w:rPr>
            </w:r>
            <w:r>
              <w:rPr>
                <w:sz w:val="18"/>
              </w:rPr>
              <w:t>$2,948,684</w:t>
            </w:r>
          </w:p>
        </w:tc>
      </w:tr>
      <w:tr>
        <w:tc>
          <w:tcPr>
            <w:tcW w:type="dxa" w:w="1440"/>
          </w:tcPr>
          <w:p>
            <w:pPr>
              <w:spacing w:after="0"/>
            </w:pPr>
            <w:r>
              <w:rPr>
                <w:sz w:val="18"/>
              </w:rPr>
            </w:r>
            <w:r>
              <w:rPr>
                <w:sz w:val="18"/>
              </w:rPr>
              <w:t>5.4%</w:t>
            </w:r>
          </w:p>
        </w:tc>
        <w:tc>
          <w:tcPr>
            <w:tcW w:type="dxa" w:w="1440"/>
          </w:tcPr>
          <w:p>
            <w:pPr>
              <w:spacing w:after="0"/>
            </w:pPr>
            <w:r>
              <w:rPr>
                <w:sz w:val="18"/>
              </w:rPr>
            </w:r>
            <w:r>
              <w:rPr>
                <w:sz w:val="18"/>
              </w:rPr>
              <w:t>2.702965</w:t>
            </w:r>
          </w:p>
        </w:tc>
        <w:tc>
          <w:tcPr>
            <w:tcW w:type="dxa" w:w="2160"/>
          </w:tcPr>
          <w:p>
            <w:pPr>
              <w:spacing w:after="0"/>
            </w:pPr>
            <w:r>
              <w:rPr>
                <w:sz w:val="18"/>
              </w:rPr>
            </w:r>
            <w:r>
              <w:rPr>
                <w:sz w:val="18"/>
              </w:rPr>
              <w:t>36.9964%</w:t>
            </w:r>
          </w:p>
        </w:tc>
        <w:tc>
          <w:tcPr>
            <w:tcW w:type="dxa" w:w="2160"/>
          </w:tcPr>
          <w:p>
            <w:pPr>
              <w:spacing w:after="0"/>
            </w:pPr>
            <w:r>
              <w:rPr>
                <w:sz w:val="18"/>
              </w:rPr>
            </w:r>
            <w:r>
              <w:rPr>
                <w:sz w:val="18"/>
              </w:rPr>
              <w:t>$1,997,806</w:t>
            </w:r>
          </w:p>
        </w:tc>
        <w:tc>
          <w:tcPr>
            <w:tcW w:type="dxa" w:w="2160"/>
          </w:tcPr>
          <w:p>
            <w:pPr>
              <w:spacing w:after="0"/>
            </w:pPr>
            <w:r>
              <w:rPr>
                <w:sz w:val="18"/>
              </w:rPr>
            </w:r>
            <w:r>
              <w:rPr>
                <w:sz w:val="18"/>
              </w:rPr>
              <w:t>$2,959,713</w:t>
            </w:r>
          </w:p>
        </w:tc>
      </w:tr>
      <w:tr>
        <w:tc>
          <w:tcPr>
            <w:tcW w:type="dxa" w:w="1440"/>
          </w:tcPr>
          <w:p>
            <w:pPr>
              <w:spacing w:after="0"/>
            </w:pPr>
            <w:r>
              <w:rPr>
                <w:sz w:val="18"/>
              </w:rPr>
            </w:r>
            <w:r>
              <w:rPr>
                <w:sz w:val="18"/>
              </w:rPr>
              <w:t>5.6%</w:t>
            </w:r>
          </w:p>
        </w:tc>
        <w:tc>
          <w:tcPr>
            <w:tcW w:type="dxa" w:w="1440"/>
          </w:tcPr>
          <w:p>
            <w:pPr>
              <w:spacing w:after="0"/>
            </w:pPr>
            <w:r>
              <w:rPr>
                <w:sz w:val="18"/>
              </w:rPr>
            </w:r>
            <w:r>
              <w:rPr>
                <w:sz w:val="18"/>
              </w:rPr>
              <w:t>2.692918</w:t>
            </w:r>
          </w:p>
        </w:tc>
        <w:tc>
          <w:tcPr>
            <w:tcW w:type="dxa" w:w="2160"/>
          </w:tcPr>
          <w:p>
            <w:pPr>
              <w:spacing w:after="0"/>
            </w:pPr>
            <w:r>
              <w:rPr>
                <w:sz w:val="18"/>
              </w:rPr>
            </w:r>
            <w:r>
              <w:rPr>
                <w:sz w:val="18"/>
              </w:rPr>
              <w:t>37.1344%</w:t>
            </w:r>
          </w:p>
        </w:tc>
        <w:tc>
          <w:tcPr>
            <w:tcW w:type="dxa" w:w="2160"/>
          </w:tcPr>
          <w:p>
            <w:pPr>
              <w:spacing w:after="0"/>
            </w:pPr>
            <w:r>
              <w:rPr>
                <w:sz w:val="18"/>
              </w:rPr>
            </w:r>
            <w:r>
              <w:rPr>
                <w:sz w:val="18"/>
              </w:rPr>
              <w:t>$2,005,260</w:t>
            </w:r>
          </w:p>
        </w:tc>
        <w:tc>
          <w:tcPr>
            <w:tcW w:type="dxa" w:w="2160"/>
          </w:tcPr>
          <w:p>
            <w:pPr>
              <w:spacing w:after="0"/>
            </w:pPr>
            <w:r>
              <w:rPr>
                <w:sz w:val="18"/>
              </w:rPr>
            </w:r>
            <w:r>
              <w:rPr>
                <w:sz w:val="18"/>
              </w:rPr>
              <w:t>$2,970,755</w:t>
            </w:r>
          </w:p>
        </w:tc>
      </w:tr>
      <w:tr>
        <w:tc>
          <w:tcPr>
            <w:tcW w:type="dxa" w:w="1440"/>
          </w:tcPr>
          <w:p>
            <w:pPr>
              <w:spacing w:after="0"/>
            </w:pPr>
            <w:r>
              <w:rPr>
                <w:sz w:val="18"/>
              </w:rPr>
            </w:r>
            <w:r>
              <w:rPr>
                <w:sz w:val="18"/>
              </w:rPr>
              <w:t>5.8%</w:t>
            </w:r>
          </w:p>
        </w:tc>
        <w:tc>
          <w:tcPr>
            <w:tcW w:type="dxa" w:w="1440"/>
          </w:tcPr>
          <w:p>
            <w:pPr>
              <w:spacing w:after="0"/>
            </w:pPr>
            <w:r>
              <w:rPr>
                <w:sz w:val="18"/>
              </w:rPr>
            </w:r>
            <w:r>
              <w:rPr>
                <w:sz w:val="18"/>
              </w:rPr>
              <w:t>2.682934</w:t>
            </w:r>
          </w:p>
        </w:tc>
        <w:tc>
          <w:tcPr>
            <w:tcW w:type="dxa" w:w="2160"/>
          </w:tcPr>
          <w:p>
            <w:pPr>
              <w:spacing w:after="0"/>
            </w:pPr>
            <w:r>
              <w:rPr>
                <w:sz w:val="18"/>
              </w:rPr>
            </w:r>
            <w:r>
              <w:rPr>
                <w:sz w:val="18"/>
              </w:rPr>
              <w:t>37.2726%</w:t>
            </w:r>
          </w:p>
        </w:tc>
        <w:tc>
          <w:tcPr>
            <w:tcW w:type="dxa" w:w="2160"/>
          </w:tcPr>
          <w:p>
            <w:pPr>
              <w:spacing w:after="0"/>
            </w:pPr>
            <w:r>
              <w:rPr>
                <w:sz w:val="18"/>
              </w:rPr>
            </w:r>
            <w:r>
              <w:rPr>
                <w:sz w:val="18"/>
              </w:rPr>
              <w:t>$2,012,722</w:t>
            </w:r>
          </w:p>
        </w:tc>
        <w:tc>
          <w:tcPr>
            <w:tcW w:type="dxa" w:w="2160"/>
          </w:tcPr>
          <w:p>
            <w:pPr>
              <w:spacing w:after="0"/>
            </w:pPr>
            <w:r>
              <w:rPr>
                <w:sz w:val="18"/>
              </w:rPr>
            </w:r>
            <w:r>
              <w:rPr>
                <w:sz w:val="18"/>
              </w:rPr>
              <w:t>$2,981,810</w:t>
            </w:r>
          </w:p>
        </w:tc>
      </w:tr>
      <w:tr>
        <w:tc>
          <w:tcPr>
            <w:tcW w:type="dxa" w:w="1440"/>
          </w:tcPr>
          <w:p>
            <w:pPr>
              <w:spacing w:after="0"/>
            </w:pPr>
            <w:r>
              <w:rPr>
                <w:sz w:val="18"/>
              </w:rPr>
            </w:r>
            <w:r>
              <w:rPr>
                <w:sz w:val="18"/>
              </w:rPr>
              <w:t>6.0%</w:t>
            </w:r>
          </w:p>
        </w:tc>
        <w:tc>
          <w:tcPr>
            <w:tcW w:type="dxa" w:w="1440"/>
          </w:tcPr>
          <w:p>
            <w:pPr>
              <w:spacing w:after="0"/>
            </w:pPr>
            <w:r>
              <w:rPr>
                <w:sz w:val="18"/>
              </w:rPr>
            </w:r>
            <w:r>
              <w:rPr>
                <w:sz w:val="18"/>
              </w:rPr>
              <w:t>2.673012</w:t>
            </w:r>
          </w:p>
        </w:tc>
        <w:tc>
          <w:tcPr>
            <w:tcW w:type="dxa" w:w="2160"/>
          </w:tcPr>
          <w:p>
            <w:pPr>
              <w:spacing w:after="0"/>
            </w:pPr>
            <w:r>
              <w:rPr>
                <w:sz w:val="18"/>
              </w:rPr>
            </w:r>
            <w:r>
              <w:rPr>
                <w:sz w:val="18"/>
              </w:rPr>
              <w:t>37.4110%</w:t>
            </w:r>
          </w:p>
        </w:tc>
        <w:tc>
          <w:tcPr>
            <w:tcW w:type="dxa" w:w="2160"/>
          </w:tcPr>
          <w:p>
            <w:pPr>
              <w:spacing w:after="0"/>
            </w:pPr>
            <w:r>
              <w:rPr>
                <w:sz w:val="18"/>
              </w:rPr>
            </w:r>
            <w:r>
              <w:rPr>
                <w:sz w:val="18"/>
              </w:rPr>
              <w:t>$2,020,193</w:t>
            </w:r>
          </w:p>
        </w:tc>
        <w:tc>
          <w:tcPr>
            <w:tcW w:type="dxa" w:w="2160"/>
          </w:tcPr>
          <w:p>
            <w:pPr>
              <w:spacing w:after="0"/>
            </w:pPr>
            <w:r>
              <w:rPr>
                <w:sz w:val="18"/>
              </w:rPr>
            </w:r>
            <w:r>
              <w:rPr>
                <w:sz w:val="18"/>
              </w:rPr>
              <w:t>$2,992,879</w:t>
            </w:r>
          </w:p>
        </w:tc>
      </w:tr>
    </w:tbl>
    <w:p/>
    <w:p>
      <w:pPr>
        <w:pStyle w:val="Heading1"/>
      </w:pPr>
      <w:r>
        <w:t>Appendix B — Corrected Illustrations</w:t>
      </w:r>
    </w:p>
    <w:tbl>
      <w:tblPr>
        <w:tblStyle w:val="TableGrid"/>
        <w:tblW w:type="auto" w:w="0"/>
        <w:tblLook w:firstColumn="1" w:firstRow="1" w:lastColumn="0" w:lastRow="0" w:noHBand="0" w:noVBand="1" w:val="04A0"/>
      </w:tblPr>
      <w:tblGrid>
        <w:gridCol w:w="2340"/>
        <w:gridCol w:w="2340"/>
        <w:gridCol w:w="2340"/>
        <w:gridCol w:w="2340"/>
      </w:tblGrid>
      <w:tr>
        <w:tc>
          <w:tcPr>
            <w:tcW w:type="dxa" w:w="2880"/>
            <w:shd w:val="clear" w:color="auto" w:fill="D9D9D9"/>
          </w:tcPr>
          <w:p>
            <w:pPr>
              <w:spacing w:after="0"/>
            </w:pPr>
            <w:r>
              <w:rPr>
                <w:b/>
                <w:sz w:val="18"/>
              </w:rPr>
            </w:r>
            <w:r>
              <w:rPr>
                <w:b/>
                <w:sz w:val="18"/>
              </w:rPr>
              <w:t>Measure</w:t>
            </w:r>
          </w:p>
        </w:tc>
        <w:tc>
          <w:tcPr>
            <w:tcW w:type="dxa" w:w="2160"/>
            <w:shd w:val="clear" w:color="auto" w:fill="D9D9D9"/>
          </w:tcPr>
          <w:p>
            <w:pPr>
              <w:spacing w:after="0"/>
            </w:pPr>
            <w:r>
              <w:rPr>
                <w:b/>
                <w:sz w:val="18"/>
              </w:rPr>
            </w:r>
            <w:r>
              <w:rPr>
                <w:b/>
                <w:sz w:val="18"/>
              </w:rPr>
              <w:t>Silveroak model</w:t>
            </w:r>
          </w:p>
        </w:tc>
        <w:tc>
          <w:tcPr>
            <w:tcW w:type="dxa" w:w="2160"/>
            <w:shd w:val="clear" w:color="auto" w:fill="D9D9D9"/>
          </w:tcPr>
          <w:p>
            <w:pPr>
              <w:spacing w:after="0"/>
            </w:pPr>
            <w:r>
              <w:rPr>
                <w:b/>
                <w:sz w:val="18"/>
              </w:rPr>
            </w:r>
            <w:r>
              <w:rPr>
                <w:b/>
                <w:sz w:val="18"/>
              </w:rPr>
              <w:t>Corrected ($8.0M)</w:t>
            </w:r>
          </w:p>
        </w:tc>
        <w:tc>
          <w:tcPr>
            <w:tcW w:type="dxa" w:w="2160"/>
            <w:shd w:val="clear" w:color="auto" w:fill="D9D9D9"/>
          </w:tcPr>
          <w:p>
            <w:pPr>
              <w:spacing w:after="0"/>
            </w:pPr>
            <w:r>
              <w:rPr>
                <w:b/>
                <w:sz w:val="18"/>
              </w:rPr>
            </w:r>
            <w:r>
              <w:rPr>
                <w:b/>
                <w:sz w:val="18"/>
              </w:rPr>
              <w:t>Corrected ($5.4M FMV)</w:t>
            </w:r>
          </w:p>
        </w:tc>
      </w:tr>
      <w:tr>
        <w:tc>
          <w:tcPr>
            <w:tcW w:type="dxa" w:w="2880"/>
          </w:tcPr>
          <w:p>
            <w:pPr>
              <w:spacing w:after="0"/>
            </w:pPr>
            <w:r>
              <w:rPr>
                <w:sz w:val="18"/>
              </w:rPr>
            </w:r>
            <w:r>
              <w:rPr>
                <w:sz w:val="18"/>
              </w:rPr>
              <w:t>Annuity factor at 5.8%</w:t>
            </w:r>
          </w:p>
        </w:tc>
        <w:tc>
          <w:tcPr>
            <w:tcW w:type="dxa" w:w="2160"/>
          </w:tcPr>
          <w:p>
            <w:pPr>
              <w:spacing w:after="0"/>
            </w:pPr>
            <w:r>
              <w:rPr>
                <w:sz w:val="18"/>
              </w:rPr>
            </w:r>
            <w:r>
              <w:rPr>
                <w:sz w:val="18"/>
              </w:rPr>
              <w:t>2.807</w:t>
            </w:r>
          </w:p>
        </w:tc>
        <w:tc>
          <w:tcPr>
            <w:tcW w:type="dxa" w:w="2160"/>
          </w:tcPr>
          <w:p>
            <w:pPr>
              <w:spacing w:after="0"/>
            </w:pPr>
            <w:r>
              <w:rPr>
                <w:sz w:val="18"/>
              </w:rPr>
            </w:r>
            <w:r>
              <w:rPr>
                <w:sz w:val="18"/>
              </w:rPr>
              <w:t>2.682934</w:t>
            </w:r>
          </w:p>
        </w:tc>
        <w:tc>
          <w:tcPr>
            <w:tcW w:type="dxa" w:w="2160"/>
          </w:tcPr>
          <w:p>
            <w:pPr>
              <w:spacing w:after="0"/>
            </w:pPr>
            <w:r>
              <w:rPr>
                <w:sz w:val="18"/>
              </w:rPr>
            </w:r>
            <w:r>
              <w:rPr>
                <w:sz w:val="18"/>
              </w:rPr>
              <w:t>2.682934</w:t>
            </w:r>
          </w:p>
        </w:tc>
      </w:tr>
      <w:tr>
        <w:tc>
          <w:tcPr>
            <w:tcW w:type="dxa" w:w="2880"/>
          </w:tcPr>
          <w:p>
            <w:pPr>
              <w:spacing w:after="0"/>
            </w:pPr>
            <w:r>
              <w:rPr>
                <w:sz w:val="18"/>
              </w:rPr>
            </w:r>
            <w:r>
              <w:rPr>
                <w:sz w:val="18"/>
              </w:rPr>
              <w:t>Annual annuity</w:t>
            </w:r>
          </w:p>
        </w:tc>
        <w:tc>
          <w:tcPr>
            <w:tcW w:type="dxa" w:w="2160"/>
          </w:tcPr>
          <w:p>
            <w:pPr>
              <w:spacing w:after="0"/>
            </w:pPr>
            <w:r>
              <w:rPr>
                <w:sz w:val="18"/>
              </w:rPr>
            </w:r>
            <w:r>
              <w:rPr>
                <w:sz w:val="18"/>
              </w:rPr>
              <w:t>$2,850,000</w:t>
            </w:r>
          </w:p>
        </w:tc>
        <w:tc>
          <w:tcPr>
            <w:tcW w:type="dxa" w:w="2160"/>
          </w:tcPr>
          <w:p>
            <w:pPr>
              <w:spacing w:after="0"/>
            </w:pPr>
            <w:r>
              <w:rPr>
                <w:sz w:val="18"/>
              </w:rPr>
            </w:r>
            <w:r>
              <w:rPr>
                <w:sz w:val="18"/>
              </w:rPr>
              <w:t>$2,981,810</w:t>
            </w:r>
          </w:p>
        </w:tc>
        <w:tc>
          <w:tcPr>
            <w:tcW w:type="dxa" w:w="2160"/>
          </w:tcPr>
          <w:p>
            <w:pPr>
              <w:spacing w:after="0"/>
            </w:pPr>
            <w:r>
              <w:rPr>
                <w:sz w:val="18"/>
              </w:rPr>
            </w:r>
            <w:r>
              <w:rPr>
                <w:sz w:val="18"/>
              </w:rPr>
              <w:t>$2,012,722</w:t>
            </w:r>
          </w:p>
        </w:tc>
      </w:tr>
      <w:tr>
        <w:tc>
          <w:tcPr>
            <w:tcW w:type="dxa" w:w="2880"/>
          </w:tcPr>
          <w:p>
            <w:pPr>
              <w:spacing w:after="0"/>
            </w:pPr>
            <w:r>
              <w:rPr>
                <w:sz w:val="18"/>
              </w:rPr>
            </w:r>
            <w:r>
              <w:rPr>
                <w:sz w:val="18"/>
              </w:rPr>
              <w:t>Total nominal annuity</w:t>
            </w:r>
          </w:p>
        </w:tc>
        <w:tc>
          <w:tcPr>
            <w:tcW w:type="dxa" w:w="2160"/>
          </w:tcPr>
          <w:p>
            <w:pPr>
              <w:spacing w:after="0"/>
            </w:pPr>
            <w:r>
              <w:rPr>
                <w:sz w:val="18"/>
              </w:rPr>
            </w:r>
            <w:r>
              <w:rPr>
                <w:sz w:val="18"/>
              </w:rPr>
              <w:t>$8,550,000</w:t>
            </w:r>
          </w:p>
        </w:tc>
        <w:tc>
          <w:tcPr>
            <w:tcW w:type="dxa" w:w="2160"/>
          </w:tcPr>
          <w:p>
            <w:pPr>
              <w:spacing w:after="0"/>
            </w:pPr>
            <w:r>
              <w:rPr>
                <w:sz w:val="18"/>
              </w:rPr>
            </w:r>
            <w:r>
              <w:rPr>
                <w:sz w:val="18"/>
              </w:rPr>
              <w:t>$8,945,431</w:t>
            </w:r>
          </w:p>
        </w:tc>
        <w:tc>
          <w:tcPr>
            <w:tcW w:type="dxa" w:w="2160"/>
          </w:tcPr>
          <w:p>
            <w:pPr>
              <w:spacing w:after="0"/>
            </w:pPr>
            <w:r>
              <w:rPr>
                <w:sz w:val="18"/>
              </w:rPr>
            </w:r>
            <w:r>
              <w:rPr>
                <w:sz w:val="18"/>
              </w:rPr>
              <w:t>$6,038,166</w:t>
            </w:r>
          </w:p>
        </w:tc>
      </w:tr>
      <w:tr>
        <w:tc>
          <w:tcPr>
            <w:tcW w:type="dxa" w:w="2880"/>
          </w:tcPr>
          <w:p>
            <w:pPr>
              <w:spacing w:after="0"/>
            </w:pPr>
            <w:r>
              <w:rPr>
                <w:sz w:val="18"/>
              </w:rPr>
            </w:r>
            <w:r>
              <w:rPr>
                <w:sz w:val="18"/>
              </w:rPr>
              <w:t>Taxable gift (remainder value)</w:t>
            </w:r>
          </w:p>
        </w:tc>
        <w:tc>
          <w:tcPr>
            <w:tcW w:type="dxa" w:w="2160"/>
          </w:tcPr>
          <w:p>
            <w:pPr>
              <w:spacing w:after="0"/>
            </w:pPr>
            <w:r>
              <w:rPr>
                <w:sz w:val="18"/>
              </w:rPr>
            </w:r>
            <w:r>
              <w:rPr>
                <w:sz w:val="18"/>
              </w:rPr>
              <w:t>$0.72 (claimed)</w:t>
            </w:r>
          </w:p>
        </w:tc>
        <w:tc>
          <w:tcPr>
            <w:tcW w:type="dxa" w:w="2160"/>
          </w:tcPr>
          <w:p>
            <w:pPr>
              <w:spacing w:after="0"/>
            </w:pPr>
            <w:r>
              <w:rPr>
                <w:sz w:val="18"/>
              </w:rPr>
            </w:r>
            <w:r>
              <w:rPr>
                <w:sz w:val="18"/>
              </w:rPr>
              <w:t>about $0 (actual on $2.85M: $353,638)</w:t>
            </w:r>
          </w:p>
        </w:tc>
        <w:tc>
          <w:tcPr>
            <w:tcW w:type="dxa" w:w="2160"/>
          </w:tcPr>
          <w:p>
            <w:pPr>
              <w:spacing w:after="0"/>
            </w:pPr>
            <w:r>
              <w:rPr>
                <w:sz w:val="18"/>
              </w:rPr>
            </w:r>
            <w:r>
              <w:rPr>
                <w:sz w:val="18"/>
              </w:rPr>
              <w:t>about $0</w:t>
            </w:r>
          </w:p>
        </w:tc>
      </w:tr>
      <w:tr>
        <w:tc>
          <w:tcPr>
            <w:tcW w:type="dxa" w:w="2880"/>
          </w:tcPr>
          <w:p>
            <w:pPr>
              <w:spacing w:after="0"/>
            </w:pPr>
            <w:r>
              <w:rPr>
                <w:sz w:val="18"/>
              </w:rPr>
            </w:r>
            <w:r>
              <w:rPr>
                <w:sz w:val="18"/>
              </w:rPr>
              <w:t>Remainder at 15% annual growth</w:t>
            </w:r>
          </w:p>
        </w:tc>
        <w:tc>
          <w:tcPr>
            <w:tcW w:type="dxa" w:w="2160"/>
          </w:tcPr>
          <w:p>
            <w:pPr>
              <w:spacing w:after="0"/>
            </w:pPr>
            <w:r>
              <w:rPr>
                <w:sz w:val="18"/>
              </w:rPr>
            </w:r>
            <w:r>
              <w:rPr>
                <w:sz w:val="18"/>
              </w:rPr>
              <w:t>$2,270,375</w:t>
            </w:r>
          </w:p>
        </w:tc>
        <w:tc>
          <w:tcPr>
            <w:tcW w:type="dxa" w:w="2160"/>
          </w:tcPr>
          <w:p>
            <w:pPr>
              <w:spacing w:after="0"/>
            </w:pPr>
            <w:r>
              <w:rPr>
                <w:sz w:val="18"/>
              </w:rPr>
            </w:r>
            <w:r>
              <w:rPr>
                <w:sz w:val="18"/>
              </w:rPr>
              <w:t>$1,812,664</w:t>
            </w:r>
          </w:p>
        </w:tc>
        <w:tc>
          <w:tcPr>
            <w:tcW w:type="dxa" w:w="2160"/>
          </w:tcPr>
          <w:p>
            <w:pPr>
              <w:spacing w:after="0"/>
            </w:pPr>
            <w:r>
              <w:rPr>
                <w:sz w:val="18"/>
              </w:rPr>
            </w:r>
            <w:r>
              <w:rPr>
                <w:sz w:val="18"/>
              </w:rPr>
              <w:t>$1,223,548</w:t>
            </w:r>
          </w:p>
        </w:tc>
      </w:tr>
      <w:tr>
        <w:tc>
          <w:tcPr>
            <w:tcW w:type="dxa" w:w="2880"/>
          </w:tcPr>
          <w:p>
            <w:pPr>
              <w:spacing w:after="0"/>
            </w:pPr>
            <w:r>
              <w:rPr>
                <w:sz w:val="18"/>
              </w:rPr>
            </w:r>
            <w:r>
              <w:rPr>
                <w:sz w:val="18"/>
              </w:rPr>
              <w:t>Remainder at 0% growth</w:t>
            </w:r>
          </w:p>
        </w:tc>
        <w:tc>
          <w:tcPr>
            <w:tcW w:type="dxa" w:w="2160"/>
          </w:tcPr>
          <w:p>
            <w:pPr>
              <w:spacing w:after="0"/>
            </w:pPr>
            <w:r>
              <w:rPr>
                <w:sz w:val="18"/>
              </w:rPr>
            </w:r>
            <w:r>
              <w:rPr>
                <w:sz w:val="18"/>
              </w:rPr>
              <w:t>Shortfall $550,000</w:t>
            </w:r>
          </w:p>
        </w:tc>
        <w:tc>
          <w:tcPr>
            <w:tcW w:type="dxa" w:w="2160"/>
          </w:tcPr>
          <w:p>
            <w:pPr>
              <w:spacing w:after="0"/>
            </w:pPr>
            <w:r>
              <w:rPr>
                <w:sz w:val="18"/>
              </w:rPr>
            </w:r>
            <w:r>
              <w:rPr>
                <w:sz w:val="18"/>
              </w:rPr>
              <w:t>Shortfall $945,431</w:t>
            </w:r>
          </w:p>
        </w:tc>
        <w:tc>
          <w:tcPr>
            <w:tcW w:type="dxa" w:w="2160"/>
          </w:tcPr>
          <w:p>
            <w:pPr>
              <w:spacing w:after="0"/>
            </w:pPr>
            <w:r>
              <w:rPr>
                <w:sz w:val="18"/>
              </w:rPr>
            </w:r>
            <w:r>
              <w:rPr>
                <w:sz w:val="18"/>
              </w:rPr>
              <w:t>Shortfall $638,166</w:t>
            </w:r>
          </w:p>
        </w:tc>
      </w:tr>
    </w:tbl>
    <w:p/>
    <w:p>
      <w:pPr>
        <w:jc w:val="both"/>
      </w:pPr>
      <w:r>
        <w:rPr>
          <w:sz w:val="20"/>
        </w:rPr>
        <w:t>At zero growth a zeroed-out GRAT runs out of assets before the last payment. The trustee simply distributes everything to the grantor and the GRAT ends with nothing passing to the children. This is the expected downside, not a defect. The annuity cannot be satisfied with notes (Reg. §25.2702-3(d)(6)).</w:t>
      </w:r>
    </w:p>
    <w:p/>
    <w:p>
      <w:pPr>
        <w:jc w:val="both"/>
      </w:pPr>
      <w:r>
        <w:rPr>
          <w:i/>
          <w:sz w:val="18"/>
        </w:rPr>
        <w:t>This memorandum is based solely on the documents in the file as of its date and has not been verified against primary sources outside the file except as noted. Rates, exemption amounts and published Section 7520 rates must be confirmed before reliance.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