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BELLMORE &amp; ASSOCIATES, P.C.</w:t>
      </w:r>
    </w:p>
    <w:p>
      <w:pPr>
        <w:jc w:val="center"/>
      </w:pPr>
      <w:r>
        <w:rPr>
          <w:b/>
          <w:color w:val="A01010"/>
          <w:sz w:val="18"/>
        </w:rPr>
        <w:t>PRIVILEGED &amp; CONFIDENTIAL — ATTORNEY-CLIENT COMMUNICATION / ATTORNEY WORK PRODUCT</w:t>
      </w:r>
    </w:p>
    <w:p>
      <w:pPr>
        <w:jc w:val="center"/>
      </w:pPr>
      <w:r>
        <w:rPr>
          <w:b/>
          <w:sz w:val="28"/>
        </w:rPr>
        <w:t>MEMORANDUM — KEY FACTS FROM CLIENT INTAKE</w:t>
      </w:r>
    </w:p>
    <w:tbl>
      <w:tblPr>
        <w:tblW w:type="auto" w:w="0"/>
        <w:tblLook w:firstColumn="1" w:firstRow="1" w:lastColumn="0" w:lastRow="0" w:noHBand="0" w:noVBand="1" w:val="04A0"/>
      </w:tblPr>
      <w:tblGrid>
        <w:gridCol w:w="4824"/>
        <w:gridCol w:w="4824"/>
      </w:tblGrid>
      <w:tr>
        <w:tc>
          <w:tcPr>
            <w:tcW w:type="dxa" w:w="1440"/>
          </w:tcPr>
          <w:p>
            <w:r>
              <w:rPr>
                <w:b/>
              </w:rPr>
              <w:t>TO:</w:t>
            </w:r>
          </w:p>
        </w:tc>
        <w:tc>
          <w:tcPr>
            <w:tcW w:type="dxa" w:w="8208"/>
          </w:tcPr>
          <w:p>
            <w:r>
              <w:t>Margaret T. Bellmore, Esq.</w:t>
            </w:r>
          </w:p>
        </w:tc>
      </w:tr>
      <w:tr>
        <w:tc>
          <w:tcPr>
            <w:tcW w:type="dxa" w:w="1440"/>
          </w:tcPr>
          <w:p>
            <w:r>
              <w:rPr>
                <w:b/>
              </w:rPr>
              <w:t>FROM:</w:t>
            </w:r>
          </w:p>
        </w:tc>
        <w:tc>
          <w:tcPr>
            <w:tcW w:type="dxa" w:w="8208"/>
          </w:tcPr>
          <w:p>
            <w:r>
              <w:t>[Associate]</w:t>
            </w:r>
          </w:p>
        </w:tc>
      </w:tr>
      <w:tr>
        <w:tc>
          <w:tcPr>
            <w:tcW w:type="dxa" w:w="1440"/>
          </w:tcPr>
          <w:p>
            <w:r>
              <w:rPr>
                <w:b/>
              </w:rPr>
              <w:t>DATE:</w:t>
            </w:r>
          </w:p>
        </w:tc>
        <w:tc>
          <w:tcPr>
            <w:tcW w:type="dxa" w:w="8208"/>
          </w:tcPr>
          <w:p>
            <w:r>
              <w:t>[Insert date]</w:t>
            </w:r>
          </w:p>
        </w:tc>
      </w:tr>
      <w:tr>
        <w:tc>
          <w:tcPr>
            <w:tcW w:type="dxa" w:w="1440"/>
          </w:tcPr>
          <w:p>
            <w:r>
              <w:rPr>
                <w:b/>
              </w:rPr>
              <w:t>RE:</w:t>
            </w:r>
          </w:p>
        </w:tc>
        <w:tc>
          <w:tcPr>
            <w:tcW w:type="dxa" w:w="8208"/>
          </w:tcPr>
          <w:p>
            <w:r>
              <w:t>Rachel Min-Ji Huang-Whitfield — In re Marriage of Huang-Whitfield and Whitfield, DuPage County Circuit Court Case No. 2025-D-000347 (as reported by client) — Key Facts, Discrepancies, and Open Issues</w:t>
            </w:r>
          </w:p>
        </w:tc>
      </w:tr>
      <w:tr>
        <w:tc>
          <w:tcPr>
            <w:tcW w:type="dxa" w:w="1440"/>
          </w:tcPr>
          <w:p>
            <w:r>
              <w:rPr>
                <w:b/>
              </w:rPr>
              <w:t>FILE NO.:</w:t>
            </w:r>
          </w:p>
        </w:tc>
        <w:tc>
          <w:tcPr>
            <w:tcW w:type="dxa" w:w="8208"/>
          </w:tcPr>
          <w:p>
            <w:r>
              <w:t>[Not yet assigned — blank on intake form]</w:t>
            </w:r>
          </w:p>
        </w:tc>
      </w:tr>
    </w:tbl>
    <w:p>
      <w:pPr>
        <w:spacing w:after="80"/>
      </w:pPr>
      <w:r>
        <w:t>__________________________________________________________________________________________________</w:t>
      </w:r>
    </w:p>
    <w:p>
      <w:pPr>
        <w:pStyle w:val="Heading2"/>
      </w:pPr>
      <w:r>
        <w:t>Sources Reviewed</w:t>
      </w:r>
    </w:p>
    <w:tbl>
      <w:tblPr>
        <w:tblStyle w:val="TableGrid"/>
        <w:tblW w:type="auto" w:w="0"/>
        <w:jc w:val="center"/>
        <w:tblLook w:firstColumn="1" w:firstRow="1" w:lastColumn="0" w:lastRow="0" w:noHBand="0" w:noVBand="1" w:val="04A0"/>
      </w:tblPr>
      <w:tblGrid>
        <w:gridCol w:w="3216"/>
        <w:gridCol w:w="3216"/>
        <w:gridCol w:w="3216"/>
      </w:tblGrid>
      <w:tr>
        <w:tc>
          <w:tcPr>
            <w:tcW w:type="dxa" w:w="720"/>
            <w:shd w:val="clear" w:color="auto" w:fill="1F3A5F"/>
          </w:tcPr>
          <w:p>
            <w:r/>
            <w:r>
              <w:rPr>
                <w:b/>
                <w:color w:val="FFFFFF"/>
                <w:sz w:val="18"/>
              </w:rPr>
              <w:t>Ref.</w:t>
            </w:r>
          </w:p>
        </w:tc>
        <w:tc>
          <w:tcPr>
            <w:tcW w:type="dxa" w:w="5760"/>
            <w:shd w:val="clear" w:color="auto" w:fill="1F3A5F"/>
          </w:tcPr>
          <w:p>
            <w:r/>
            <w:r>
              <w:rPr>
                <w:b/>
                <w:color w:val="FFFFFF"/>
                <w:sz w:val="18"/>
              </w:rPr>
              <w:t>Document</w:t>
            </w:r>
          </w:p>
        </w:tc>
        <w:tc>
          <w:tcPr>
            <w:tcW w:type="dxa" w:w="3168"/>
            <w:shd w:val="clear" w:color="auto" w:fill="1F3A5F"/>
          </w:tcPr>
          <w:p>
            <w:r/>
            <w:r>
              <w:rPr>
                <w:b/>
                <w:color w:val="FFFFFF"/>
                <w:sz w:val="18"/>
              </w:rPr>
              <w:t>Date / Notes</w:t>
            </w:r>
          </w:p>
        </w:tc>
      </w:tr>
      <w:tr>
        <w:tc>
          <w:tcPr>
            <w:tcW w:type="dxa" w:w="720"/>
          </w:tcPr>
          <w:p>
            <w:r/>
            <w:r>
              <w:rPr>
                <w:sz w:val="18"/>
              </w:rPr>
              <w:t>[Q]</w:t>
            </w:r>
          </w:p>
        </w:tc>
        <w:tc>
          <w:tcPr>
            <w:tcW w:type="dxa" w:w="5760"/>
          </w:tcPr>
          <w:p>
            <w:r/>
            <w:r>
              <w:rPr>
                <w:sz w:val="18"/>
              </w:rPr>
              <w:t>Confidential Client Intake Questionnaire — Dissolution of Marriage (16 sections, signed by client)</w:t>
            </w:r>
          </w:p>
        </w:tc>
        <w:tc>
          <w:tcPr>
            <w:tcW w:type="dxa" w:w="3168"/>
          </w:tcPr>
          <w:p>
            <w:r/>
            <w:r>
              <w:rPr>
                <w:sz w:val="18"/>
              </w:rPr>
              <w:t>Completed Feb. 10, 2025 (Monday)</w:t>
            </w:r>
          </w:p>
        </w:tc>
      </w:tr>
      <w:tr>
        <w:tc>
          <w:tcPr>
            <w:tcW w:type="dxa" w:w="720"/>
          </w:tcPr>
          <w:p>
            <w:r/>
            <w:r>
              <w:rPr>
                <w:sz w:val="18"/>
              </w:rPr>
              <w:t>[E]</w:t>
            </w:r>
          </w:p>
        </w:tc>
        <w:tc>
          <w:tcPr>
            <w:tcW w:type="dxa" w:w="5760"/>
          </w:tcPr>
          <w:p>
            <w:r/>
            <w:r>
              <w:rPr>
                <w:sz w:val="18"/>
              </w:rPr>
              <w:t>Client email to M. Bellmore, "Re: Additional Financial Information — Huang-Whitfield Matter," from rachel.huangwhitfield@gmail.com</w:t>
            </w:r>
          </w:p>
        </w:tc>
        <w:tc>
          <w:tcPr>
            <w:tcW w:type="dxa" w:w="3168"/>
          </w:tcPr>
          <w:p>
            <w:r/>
            <w:r>
              <w:rPr>
                <w:sz w:val="18"/>
              </w:rPr>
              <w:t>Header: Mon., Feb. 17, 2025, 09:43 UTC; body says written "almost 10 o'clock on a Monday night"</w:t>
            </w:r>
          </w:p>
        </w:tc>
      </w:tr>
      <w:tr>
        <w:tc>
          <w:tcPr>
            <w:tcW w:type="dxa" w:w="720"/>
          </w:tcPr>
          <w:p>
            <w:r/>
            <w:r>
              <w:rPr>
                <w:sz w:val="18"/>
              </w:rPr>
              <w:t>[P]</w:t>
            </w:r>
          </w:p>
        </w:tc>
        <w:tc>
          <w:tcPr>
            <w:tcW w:type="dxa" w:w="5760"/>
          </w:tcPr>
          <w:p>
            <w:r/>
            <w:r>
              <w:rPr>
                <w:sz w:val="18"/>
              </w:rPr>
              <w:t>Prenuptial Agreement — scanned excerpt (partial; poor scan quality)</w:t>
            </w:r>
          </w:p>
        </w:tc>
        <w:tc>
          <w:tcPr>
            <w:tcW w:type="dxa" w:w="3168"/>
          </w:tcPr>
          <w:p>
            <w:r/>
            <w:r>
              <w:rPr>
                <w:sz w:val="18"/>
              </w:rPr>
              <w:t>Executed Aug. 2, 2011; pp. 1–3 and 7–8 (and possibly 9) missing; Schedules A and B missing; multiple illegible passages</w:t>
            </w:r>
          </w:p>
        </w:tc>
      </w:tr>
    </w:tbl>
    <w:p>
      <w:pPr>
        <w:spacing w:after="40"/>
      </w:pPr>
    </w:p>
    <w:p>
      <w:pPr>
        <w:spacing w:after="80"/>
      </w:pPr>
      <w:r>
        <w:rPr>
          <w:i/>
          <w:sz w:val="18"/>
        </w:rPr>
        <w:t>All facts below are as reported by the client and are unverified unless stated otherwise. Values are client estimates; no appraisals, statements, tax returns, or court filings have been reviewed. Statutory references are to the Illinois Marriage and Dissolution of Marriage Act (750 ILCS 5/) and the Illinois Uniform Premarital Agreement Act (750 ILCS 10/) and are flagged for confirmation of current text before reliance.</w:t>
      </w:r>
    </w:p>
    <w:p>
      <w:pPr>
        <w:pStyle w:val="Heading1"/>
      </w:pPr>
      <w:r>
        <w:t>1. Executive Summary — Issues Requiring Immediate Attention</w:t>
      </w:r>
    </w:p>
    <w:p>
      <w:pPr>
        <w:pStyle w:val="ListBullet"/>
        <w:spacing w:after="40"/>
      </w:pPr>
      <w:r>
        <w:rPr>
          <w:b/>
        </w:rPr>
        <w:t xml:space="preserve">Crypto transfer / asset preservation (urgent). </w:t>
      </w:r>
      <w:r>
        <w:t>Client saw Derek's Coinbase balance at ~$85,000 in late Nov. 2024 and a "wallet transfer" notification in Dec. 2024 (after the Nov. 4, 2024 in-home separation and after the marriage was plainly breaking down). Derek also has full access to the joint checking (~$14,200) and joint savings (~$62,000). Consider an immediate 750 ILCS 5/501 motion for temporary restraining order / preliminary injunction against transfer or concealment of assets, a preservation letter to opposing counsel, and a Coinbase subpoena; preserve a potential dissipation claim (503(d)(2) notice).</w:t>
      </w:r>
    </w:p>
    <w:p>
      <w:pPr>
        <w:pStyle w:val="ListBullet"/>
        <w:spacing w:after="40"/>
      </w:pPr>
      <w:r>
        <w:rPr>
          <w:b/>
        </w:rPr>
        <w:t xml:space="preserve">Maintenance goal is likely unrealistic and may create exposure. </w:t>
      </w:r>
      <w:r>
        <w:t>Client is the higher reported earner ($287,000 W-2 vs. Derek's $195,000 Schedule C). Even crediting her full ~$102,500 of claimed add-backs, incomes are near parity (~$297,500 vs. ~$287,000 plus cabin rent), and on a gross-income proxy the guideline 40% cap would yield little or no guideline maintenance to her. The prenup does not bar maintenance (Sec. 5.2 — marriage exceeds 10 years), which cuts both ways: Derek may seek maintenance from her. Client expectations must be managed early.</w:t>
      </w:r>
    </w:p>
    <w:p>
      <w:pPr>
        <w:pStyle w:val="ListBullet"/>
        <w:spacing w:after="40"/>
      </w:pPr>
      <w:r>
        <w:rPr>
          <w:b/>
        </w:rPr>
        <w:t xml:space="preserve">Inheritance tracing gap of ~$78,500. </w:t>
      </w:r>
      <w:r>
        <w:t>Client says she deposited a $175,000 inheritance (Feb. 2020) into her individual Heartland savings and used ~$58,000 for the 2021 kitchen renovation of the jointly-titled marital home. That leaves ~$117,000 expected, but the account balance is only $38,500. The difference is unexplained, and the $58,000 spent on joint property is likely not recoverable as separate property (see Sec. 6).</w:t>
      </w:r>
    </w:p>
    <w:p>
      <w:pPr>
        <w:pStyle w:val="ListBullet"/>
        <w:spacing w:after="40"/>
      </w:pPr>
      <w:r>
        <w:rPr>
          <w:b/>
        </w:rPr>
        <w:t xml:space="preserve">Galena cabin is not clearly separate property. </w:t>
      </w:r>
      <w:r>
        <w:t>Acquired June 2019 — eight years into the marriage — so it is presumptively marital regardless of title (503(b)(1)); it carries a $148,000 mortgage that has presumably been paid from marital income; it produces rental income through her management. The prenup's Sec. 3.1 protects only assets owned at signing and listed on the missing Schedules. Client must trace the "pre-marital savings" by clear and convincing evidence.</w:t>
      </w:r>
    </w:p>
    <w:p>
      <w:pPr>
        <w:pStyle w:val="ListBullet"/>
        <w:spacing w:after="40"/>
      </w:pPr>
      <w:r>
        <w:rPr>
          <w:b/>
        </w:rPr>
        <w:t xml:space="preserve">Prenup is incomplete; enforceability and business provisions unknown. </w:t>
      </w:r>
      <w:r>
        <w:t>We have only part of the agreement: definitions, financial-disclosure representations, a possible Sec. 4.3 (possibly addressing business interests), Articles VI–VIII (modification, governing law, severability), and Schedules A and B are missing. Execution facts (drafted by Derek's counsel, signed 16 days before the wedding, no independent counsel for client, drafting attorney deceased) bear on validity under 750 ILCS 10/7 — but invalidating the agreement may not help the client, who benefits from its separate-property provisions.</w:t>
      </w:r>
    </w:p>
    <w:p>
      <w:pPr>
        <w:pStyle w:val="ListBullet"/>
        <w:spacing w:after="40"/>
      </w:pPr>
      <w:r>
        <w:rPr>
          <w:b/>
        </w:rPr>
        <w:t xml:space="preserve">Material inconsistencies between the questionnaire and email </w:t>
      </w:r>
      <w:r>
        <w:t>(down-payment gift $80,000 vs. $90,000; contact phone numbers; PSLF timeline; T&amp;E trips; nature of Derek's business; Ethan's age; who-filed-first timing). These must be reconciled before any sworn Financial Affidavit or testimony. See Sec. 11.</w:t>
      </w:r>
    </w:p>
    <w:p>
      <w:pPr>
        <w:pStyle w:val="ListBullet"/>
        <w:spacing w:after="40"/>
      </w:pPr>
      <w:r>
        <w:rPr>
          <w:b/>
        </w:rPr>
        <w:t xml:space="preserve">Pending request from opposing counsel. </w:t>
      </w:r>
      <w:r>
        <w:t>Sean P. Calder (Calder &amp; Rourke, LLP) sent client a letter requesting informal financial disclosures. Client should not respond directly; all communications should go through this office.</w:t>
      </w:r>
    </w:p>
    <w:p>
      <w:pPr>
        <w:pStyle w:val="Heading1"/>
      </w:pPr>
      <w:r>
        <w:t>2. Parties, Counsel, and Contact Information</w:t>
      </w:r>
    </w:p>
    <w:tbl>
      <w:tblPr>
        <w:tblStyle w:val="TableGrid"/>
        <w:tblW w:type="auto" w:w="0"/>
        <w:jc w:val="center"/>
        <w:tblLook w:firstColumn="1" w:firstRow="1" w:lastColumn="0" w:lastRow="0" w:noHBand="0" w:noVBand="1" w:val="04A0"/>
      </w:tblPr>
      <w:tblGrid>
        <w:gridCol w:w="3216"/>
        <w:gridCol w:w="3216"/>
        <w:gridCol w:w="3216"/>
      </w:tblGrid>
      <w:tr>
        <w:tc>
          <w:tcPr>
            <w:tcW w:type="dxa" w:w="1584"/>
            <w:shd w:val="clear" w:color="auto" w:fill="1F3A5F"/>
          </w:tcPr>
          <w:p>
            <w:r/>
            <w:r>
              <w:rPr>
                <w:b/>
                <w:color w:val="FFFFFF"/>
                <w:sz w:val="18"/>
              </w:rPr>
              <w:t>Item</w:t>
            </w:r>
          </w:p>
        </w:tc>
        <w:tc>
          <w:tcPr>
            <w:tcW w:type="dxa" w:w="4176"/>
            <w:shd w:val="clear" w:color="auto" w:fill="1F3A5F"/>
          </w:tcPr>
          <w:p>
            <w:r/>
            <w:r>
              <w:rPr>
                <w:b/>
                <w:color w:val="FFFFFF"/>
                <w:sz w:val="18"/>
              </w:rPr>
              <w:t>Client — Rachel Min-Ji Huang-Whitfield</w:t>
            </w:r>
          </w:p>
        </w:tc>
        <w:tc>
          <w:tcPr>
            <w:tcW w:type="dxa" w:w="3888"/>
            <w:shd w:val="clear" w:color="auto" w:fill="1F3A5F"/>
          </w:tcPr>
          <w:p>
            <w:r/>
            <w:r>
              <w:rPr>
                <w:b/>
                <w:color w:val="FFFFFF"/>
                <w:sz w:val="18"/>
              </w:rPr>
              <w:t>Spouse — Derek James Whitfield</w:t>
            </w:r>
          </w:p>
        </w:tc>
      </w:tr>
      <w:tr>
        <w:tc>
          <w:tcPr>
            <w:tcW w:type="dxa" w:w="1584"/>
          </w:tcPr>
          <w:p>
            <w:r/>
            <w:r>
              <w:rPr>
                <w:sz w:val="18"/>
              </w:rPr>
              <w:t>Name at prenup</w:t>
            </w:r>
          </w:p>
        </w:tc>
        <w:tc>
          <w:tcPr>
            <w:tcW w:type="dxa" w:w="4176"/>
          </w:tcPr>
          <w:p>
            <w:r/>
            <w:r>
              <w:rPr>
                <w:sz w:val="18"/>
              </w:rPr>
              <w:t>Rachel Min-Ji Huang (Cook County resident in 2011)</w:t>
            </w:r>
          </w:p>
        </w:tc>
        <w:tc>
          <w:tcPr>
            <w:tcW w:type="dxa" w:w="3888"/>
          </w:tcPr>
          <w:p>
            <w:r/>
            <w:r>
              <w:rPr>
                <w:sz w:val="18"/>
              </w:rPr>
              <w:t>Derek James Whitfield (Lake County resident in 2011)</w:t>
            </w:r>
          </w:p>
        </w:tc>
      </w:tr>
      <w:tr>
        <w:tc>
          <w:tcPr>
            <w:tcW w:type="dxa" w:w="1584"/>
          </w:tcPr>
          <w:p>
            <w:r/>
            <w:r>
              <w:rPr>
                <w:sz w:val="18"/>
              </w:rPr>
              <w:t>DOB / age</w:t>
            </w:r>
          </w:p>
        </w:tc>
        <w:tc>
          <w:tcPr>
            <w:tcW w:type="dxa" w:w="4176"/>
          </w:tcPr>
          <w:p>
            <w:r/>
            <w:r>
              <w:rPr>
                <w:sz w:val="18"/>
              </w:rPr>
              <w:t>Mar. 14, 1984 — age 40 at intake (form says 41; she turns 41 on Mar. 14, 2025)</w:t>
            </w:r>
          </w:p>
        </w:tc>
        <w:tc>
          <w:tcPr>
            <w:tcW w:type="dxa" w:w="3888"/>
          </w:tcPr>
          <w:p>
            <w:r/>
            <w:r>
              <w:rPr>
                <w:sz w:val="18"/>
              </w:rPr>
              <w:t>Nov. 2, 1982 — age 42</w:t>
            </w:r>
          </w:p>
        </w:tc>
      </w:tr>
      <w:tr>
        <w:tc>
          <w:tcPr>
            <w:tcW w:type="dxa" w:w="1584"/>
          </w:tcPr>
          <w:p>
            <w:r/>
            <w:r>
              <w:rPr>
                <w:sz w:val="18"/>
              </w:rPr>
              <w:t>SSN</w:t>
            </w:r>
          </w:p>
        </w:tc>
        <w:tc>
          <w:tcPr>
            <w:tcW w:type="dxa" w:w="4176"/>
          </w:tcPr>
          <w:p>
            <w:r/>
            <w:r>
              <w:rPr>
                <w:sz w:val="18"/>
              </w:rPr>
              <w:t>Last four 7823 (full number withheld by client)</w:t>
            </w:r>
          </w:p>
        </w:tc>
        <w:tc>
          <w:tcPr>
            <w:tcW w:type="dxa" w:w="3888"/>
          </w:tcPr>
          <w:p>
            <w:r/>
            <w:r>
              <w:rPr>
                <w:sz w:val="18"/>
              </w:rPr>
              <w:t>Unknown to client</w:t>
            </w:r>
          </w:p>
        </w:tc>
      </w:tr>
      <w:tr>
        <w:tc>
          <w:tcPr>
            <w:tcW w:type="dxa" w:w="1584"/>
          </w:tcPr>
          <w:p>
            <w:r/>
            <w:r>
              <w:rPr>
                <w:sz w:val="18"/>
              </w:rPr>
              <w:t>Residence</w:t>
            </w:r>
          </w:p>
        </w:tc>
        <w:tc>
          <w:tcPr>
            <w:tcW w:type="dxa" w:w="4176"/>
          </w:tcPr>
          <w:p>
            <w:r/>
            <w:r>
              <w:rPr>
                <w:sz w:val="18"/>
              </w:rPr>
              <w:t>2918 Ridgeview Terrace, Naperville, IL 60540 (guest bedroom since Nov. 4, 2024)</w:t>
            </w:r>
          </w:p>
        </w:tc>
        <w:tc>
          <w:tcPr>
            <w:tcW w:type="dxa" w:w="3888"/>
          </w:tcPr>
          <w:p>
            <w:r/>
            <w:r>
              <w:rPr>
                <w:sz w:val="18"/>
              </w:rPr>
              <w:t>Same — remains in marital home; client does not believe he plans to leave</w:t>
            </w:r>
          </w:p>
        </w:tc>
      </w:tr>
      <w:tr>
        <w:tc>
          <w:tcPr>
            <w:tcW w:type="dxa" w:w="1584"/>
          </w:tcPr>
          <w:p>
            <w:r/>
            <w:r>
              <w:rPr>
                <w:sz w:val="18"/>
              </w:rPr>
              <w:t>Citizenship</w:t>
            </w:r>
          </w:p>
        </w:tc>
        <w:tc>
          <w:tcPr>
            <w:tcW w:type="dxa" w:w="4176"/>
          </w:tcPr>
          <w:p>
            <w:r/>
            <w:r>
              <w:rPr>
                <w:sz w:val="18"/>
              </w:rPr>
              <w:t>U.S. citizen (born Evanston, IL)</w:t>
            </w:r>
          </w:p>
        </w:tc>
        <w:tc>
          <w:tcPr>
            <w:tcW w:type="dxa" w:w="3888"/>
          </w:tcPr>
          <w:p>
            <w:r/>
            <w:r>
              <w:rPr>
                <w:sz w:val="18"/>
              </w:rPr>
              <w:t>U.S. citizen (to client's knowledge)</w:t>
            </w:r>
          </w:p>
        </w:tc>
      </w:tr>
      <w:tr>
        <w:tc>
          <w:tcPr>
            <w:tcW w:type="dxa" w:w="1584"/>
          </w:tcPr>
          <w:p>
            <w:r/>
            <w:r>
              <w:rPr>
                <w:sz w:val="18"/>
              </w:rPr>
              <w:t>Education</w:t>
            </w:r>
          </w:p>
        </w:tc>
        <w:tc>
          <w:tcPr>
            <w:tcW w:type="dxa" w:w="4176"/>
          </w:tcPr>
          <w:p>
            <w:r/>
            <w:r>
              <w:rPr>
                <w:sz w:val="18"/>
              </w:rPr>
              <w:t>M.D., Loyola Univ. Chicago Stritch School of Medicine, 2012</w:t>
            </w:r>
          </w:p>
        </w:tc>
        <w:tc>
          <w:tcPr>
            <w:tcW w:type="dxa" w:w="3888"/>
          </w:tcPr>
          <w:p>
            <w:r/>
            <w:r>
              <w:rPr>
                <w:sz w:val="18"/>
              </w:rPr>
              <w:t>MBA, Kellogg School of Management, 2009</w:t>
            </w:r>
          </w:p>
        </w:tc>
      </w:tr>
      <w:tr>
        <w:tc>
          <w:tcPr>
            <w:tcW w:type="dxa" w:w="1584"/>
          </w:tcPr>
          <w:p>
            <w:r/>
            <w:r>
              <w:rPr>
                <w:sz w:val="18"/>
              </w:rPr>
              <w:t>Employment</w:t>
            </w:r>
          </w:p>
        </w:tc>
        <w:tc>
          <w:tcPr>
            <w:tcW w:type="dxa" w:w="4176"/>
          </w:tcPr>
          <w:p>
            <w:r/>
            <w:r>
              <w:rPr>
                <w:sz w:val="18"/>
              </w:rPr>
              <w:t>Staff Psychiatrist, Lakeshore Medical Group, S.C., since 2014 (~11 yrs); M–F 8–5 plus ~12 on-call Saturdays/yr</w:t>
            </w:r>
          </w:p>
        </w:tc>
        <w:tc>
          <w:tcPr>
            <w:tcW w:type="dxa" w:w="3888"/>
          </w:tcPr>
          <w:p>
            <w:r/>
            <w:r>
              <w:rPr>
                <w:sz w:val="18"/>
              </w:rPr>
              <w:t>Self-employed; sole member, Whitfield Digital Consulting, LLC (IL LLC, formed Sept. 2018)</w:t>
            </w:r>
          </w:p>
        </w:tc>
      </w:tr>
      <w:tr>
        <w:tc>
          <w:tcPr>
            <w:tcW w:type="dxa" w:w="1584"/>
          </w:tcPr>
          <w:p>
            <w:r/>
            <w:r>
              <w:rPr>
                <w:sz w:val="18"/>
              </w:rPr>
              <w:t>2024 income</w:t>
            </w:r>
          </w:p>
        </w:tc>
        <w:tc>
          <w:tcPr>
            <w:tcW w:type="dxa" w:w="4176"/>
          </w:tcPr>
          <w:p>
            <w:r/>
            <w:r>
              <w:rPr>
                <w:sz w:val="18"/>
              </w:rPr>
              <w:t>$287,000 W-2</w:t>
            </w:r>
          </w:p>
        </w:tc>
        <w:tc>
          <w:tcPr>
            <w:tcW w:type="dxa" w:w="3888"/>
          </w:tcPr>
          <w:p>
            <w:r/>
            <w:r>
              <w:rPr>
                <w:sz w:val="18"/>
              </w:rPr>
              <w:t>$195,000 net per Schedule C (as he reports); gross revenue ~$640,000</w:t>
            </w:r>
          </w:p>
        </w:tc>
      </w:tr>
      <w:tr>
        <w:tc>
          <w:tcPr>
            <w:tcW w:type="dxa" w:w="1584"/>
          </w:tcPr>
          <w:p>
            <w:r/>
            <w:r>
              <w:rPr>
                <w:sz w:val="18"/>
              </w:rPr>
              <w:t>Health insurance</w:t>
            </w:r>
          </w:p>
        </w:tc>
        <w:tc>
          <w:tcPr>
            <w:tcW w:type="dxa" w:w="4176"/>
          </w:tcPr>
          <w:p>
            <w:r/>
            <w:r>
              <w:rPr>
                <w:sz w:val="18"/>
              </w:rPr>
              <w:t>Employer plan (Lakeshore) covers client and all three children</w:t>
            </w:r>
          </w:p>
        </w:tc>
        <w:tc>
          <w:tcPr>
            <w:tcW w:type="dxa" w:w="3888"/>
          </w:tcPr>
          <w:p>
            <w:r/>
            <w:r>
              <w:rPr>
                <w:sz w:val="18"/>
              </w:rPr>
              <w:t>Individual ACA Marketplace plan, ~$620/month</w:t>
            </w:r>
          </w:p>
        </w:tc>
      </w:tr>
      <w:tr>
        <w:tc>
          <w:tcPr>
            <w:tcW w:type="dxa" w:w="1584"/>
          </w:tcPr>
          <w:p>
            <w:r/>
            <w:r>
              <w:rPr>
                <w:sz w:val="18"/>
              </w:rPr>
              <w:t>Counsel</w:t>
            </w:r>
          </w:p>
        </w:tc>
        <w:tc>
          <w:tcPr>
            <w:tcW w:type="dxa" w:w="4176"/>
          </w:tcPr>
          <w:p>
            <w:r/>
            <w:r>
              <w:rPr>
                <w:sz w:val="18"/>
              </w:rPr>
              <w:t>Bellmore &amp; Associates, P.C. (attorney assigned: blank on form; email addressed to M. Bellmore)</w:t>
            </w:r>
          </w:p>
        </w:tc>
        <w:tc>
          <w:tcPr>
            <w:tcW w:type="dxa" w:w="3888"/>
          </w:tcPr>
          <w:p>
            <w:r/>
            <w:r>
              <w:rPr>
                <w:sz w:val="18"/>
              </w:rPr>
              <w:t>Sean P. Calder, Esq., Calder &amp; Rourke, LLP, 155 N. Wacker Dr., Ste. 800, Chicago, IL 60606 — appearance filed ~3 weeks before Feb. 10, 2025 (per client)</w:t>
            </w:r>
          </w:p>
        </w:tc>
      </w:tr>
      <w:tr>
        <w:tc>
          <w:tcPr>
            <w:tcW w:type="dxa" w:w="1584"/>
          </w:tcPr>
          <w:p>
            <w:r/>
            <w:r>
              <w:rPr>
                <w:sz w:val="18"/>
              </w:rPr>
              <w:t>Contact</w:t>
            </w:r>
          </w:p>
        </w:tc>
        <w:tc>
          <w:tcPr>
            <w:tcW w:type="dxa" w:w="4176"/>
          </w:tcPr>
          <w:p>
            <w:r/>
            <w:r>
              <w:rPr>
                <w:sz w:val="18"/>
              </w:rPr>
              <w:t>Home (630) 555-2194; cell per [Q] (630) 555-8371; email signature [E] lists (630) 555-8214. Email on [Q]: rhuangwhitfield@lakeshoremedgroup.com (employer); [E] sent from rachel.huangwhitfield@gmail.com</w:t>
            </w:r>
          </w:p>
        </w:tc>
        <w:tc>
          <w:tcPr>
            <w:tcW w:type="dxa" w:w="3888"/>
          </w:tcPr>
          <w:p>
            <w:r/>
            <w:r>
              <w:rPr>
                <w:sz w:val="18"/>
              </w:rPr>
              <w:t>—</w:t>
            </w:r>
          </w:p>
        </w:tc>
      </w:tr>
    </w:tbl>
    <w:p>
      <w:pPr>
        <w:spacing w:after="40"/>
      </w:pPr>
    </w:p>
    <w:p>
      <w:pPr>
        <w:spacing w:after="80"/>
      </w:pPr>
      <w:r>
        <w:rPr>
          <w:b/>
          <w:i w:val="0"/>
        </w:rPr>
        <w:t xml:space="preserve">Communications note: </w:t>
      </w:r>
      <w:r>
        <w:t>Client listed her employer email on the questionnaire. Because the parties share a residence and a home-office desk area, confirm a secure, private channel (personal email on a device Derek cannot access; confirm the correct cell number) and instruct client not to use employer systems for privileged communications.</w:t>
      </w:r>
    </w:p>
    <w:p>
      <w:pPr>
        <w:pStyle w:val="Heading1"/>
      </w:pPr>
      <w:r>
        <w:t>3. Marriage and Case Status</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color="auto" w:fill="1F3A5F"/>
          </w:tcPr>
          <w:p>
            <w:r/>
            <w:r>
              <w:rPr>
                <w:b/>
                <w:color w:val="FFFFFF"/>
                <w:sz w:val="18"/>
              </w:rPr>
              <w:t>Fact</w:t>
            </w:r>
          </w:p>
        </w:tc>
        <w:tc>
          <w:tcPr>
            <w:tcW w:type="dxa" w:w="4032"/>
            <w:shd w:val="clear" w:color="auto" w:fill="1F3A5F"/>
          </w:tcPr>
          <w:p>
            <w:r/>
            <w:r>
              <w:rPr>
                <w:b/>
                <w:color w:val="FFFFFF"/>
                <w:sz w:val="18"/>
              </w:rPr>
              <w:t>Detail</w:t>
            </w:r>
          </w:p>
        </w:tc>
        <w:tc>
          <w:tcPr>
            <w:tcW w:type="dxa" w:w="3600"/>
            <w:shd w:val="clear" w:color="auto" w:fill="1F3A5F"/>
          </w:tcPr>
          <w:p>
            <w:r/>
            <w:r>
              <w:rPr>
                <w:b/>
                <w:color w:val="FFFFFF"/>
                <w:sz w:val="18"/>
              </w:rPr>
              <w:t>Comment</w:t>
            </w:r>
          </w:p>
        </w:tc>
      </w:tr>
      <w:tr>
        <w:tc>
          <w:tcPr>
            <w:tcW w:type="dxa" w:w="2016"/>
          </w:tcPr>
          <w:p>
            <w:r/>
            <w:r>
              <w:rPr>
                <w:sz w:val="18"/>
              </w:rPr>
              <w:t>Date / place of marriage</w:t>
            </w:r>
          </w:p>
        </w:tc>
        <w:tc>
          <w:tcPr>
            <w:tcW w:type="dxa" w:w="4032"/>
          </w:tcPr>
          <w:p>
            <w:r/>
            <w:r>
              <w:rPr>
                <w:sz w:val="18"/>
              </w:rPr>
              <w:t>Aug. 18, 2011 — Lake Forest, Illinois</w:t>
            </w:r>
          </w:p>
        </w:tc>
        <w:tc>
          <w:tcPr>
            <w:tcW w:type="dxa" w:w="3600"/>
          </w:tcPr>
          <w:p>
            <w:r/>
            <w:r>
              <w:rPr>
                <w:sz w:val="18"/>
              </w:rPr>
              <w:t>Matches prenup recital ("on or about August 18, 2011")</w:t>
            </w:r>
          </w:p>
        </w:tc>
      </w:tr>
      <w:tr>
        <w:tc>
          <w:tcPr>
            <w:tcW w:type="dxa" w:w="2016"/>
          </w:tcPr>
          <w:p>
            <w:r/>
            <w:r>
              <w:rPr>
                <w:sz w:val="18"/>
              </w:rPr>
              <w:t>Prenup executed</w:t>
            </w:r>
          </w:p>
        </w:tc>
        <w:tc>
          <w:tcPr>
            <w:tcW w:type="dxa" w:w="4032"/>
          </w:tcPr>
          <w:p>
            <w:r/>
            <w:r>
              <w:rPr>
                <w:sz w:val="18"/>
              </w:rPr>
              <w:t>Aug. 2, 2011 (16 days before wedding); notarized, County of Lake</w:t>
            </w:r>
          </w:p>
        </w:tc>
        <w:tc>
          <w:tcPr>
            <w:tcW w:type="dxa" w:w="3600"/>
          </w:tcPr>
          <w:p>
            <w:r/>
            <w:r>
              <w:rPr>
                <w:sz w:val="18"/>
              </w:rPr>
              <w:t>See Sec. 5</w:t>
            </w:r>
          </w:p>
        </w:tc>
      </w:tr>
      <w:tr>
        <w:tc>
          <w:tcPr>
            <w:tcW w:type="dxa" w:w="2016"/>
          </w:tcPr>
          <w:p>
            <w:r/>
            <w:r>
              <w:rPr>
                <w:sz w:val="18"/>
              </w:rPr>
              <w:t>Separation</w:t>
            </w:r>
          </w:p>
        </w:tc>
        <w:tc>
          <w:tcPr>
            <w:tcW w:type="dxa" w:w="4032"/>
          </w:tcPr>
          <w:p>
            <w:r/>
            <w:r>
              <w:rPr>
                <w:sz w:val="18"/>
              </w:rPr>
              <w:t>In-home; client moved to guest bedroom Nov. 4, 2024; Derek remains in home</w:t>
            </w:r>
          </w:p>
        </w:tc>
        <w:tc>
          <w:tcPr>
            <w:tcW w:type="dxa" w:w="3600"/>
          </w:tcPr>
          <w:p>
            <w:r/>
            <w:r>
              <w:rPr>
                <w:sz w:val="18"/>
              </w:rPr>
              <w:t>Six months of living separate and apart (if continuous) would be reached ~May 4, 2025 — relevant to irrebuttable presumption of irreconcilable differences, 750 ILCS 5/401(a-5)</w:t>
            </w:r>
          </w:p>
        </w:tc>
      </w:tr>
      <w:tr>
        <w:tc>
          <w:tcPr>
            <w:tcW w:type="dxa" w:w="2016"/>
          </w:tcPr>
          <w:p>
            <w:r/>
            <w:r>
              <w:rPr>
                <w:sz w:val="18"/>
              </w:rPr>
              <w:t>Petition filed</w:t>
            </w:r>
          </w:p>
        </w:tc>
        <w:tc>
          <w:tcPr>
            <w:tcW w:type="dxa" w:w="4032"/>
          </w:tcPr>
          <w:p>
            <w:r/>
            <w:r>
              <w:rPr>
                <w:sz w:val="18"/>
              </w:rPr>
              <w:t>Feb. 7, 2025 — DuPage County Circuit Court, No. 2025-D-000347; grounds: irreconcilable differences</w:t>
            </w:r>
          </w:p>
        </w:tc>
        <w:tc>
          <w:tcPr>
            <w:tcW w:type="dxa" w:w="3600"/>
          </w:tcPr>
          <w:p>
            <w:r/>
            <w:r>
              <w:rPr>
                <w:sz w:val="18"/>
              </w:rPr>
              <w:t>Who filed is unclear (see discrepancy re: Calder appearance ~Jan. 20, 2025, i.e., before the petition date). Confirm docket, petitioner, service date, and whether client filed pro se.</w:t>
            </w:r>
          </w:p>
        </w:tc>
      </w:tr>
      <w:tr>
        <w:tc>
          <w:tcPr>
            <w:tcW w:type="dxa" w:w="2016"/>
          </w:tcPr>
          <w:p>
            <w:r/>
            <w:r>
              <w:rPr>
                <w:sz w:val="18"/>
              </w:rPr>
              <w:t>Length of marriage</w:t>
            </w:r>
          </w:p>
        </w:tc>
        <w:tc>
          <w:tcPr>
            <w:tcW w:type="dxa" w:w="4032"/>
          </w:tcPr>
          <w:p>
            <w:r/>
            <w:r>
              <w:rPr>
                <w:sz w:val="18"/>
              </w:rPr>
              <w:t>~13.5 years from marriage to filing (Aug. 18, 2011 – Feb. 7, 2025)</w:t>
            </w:r>
          </w:p>
        </w:tc>
        <w:tc>
          <w:tcPr>
            <w:tcW w:type="dxa" w:w="3600"/>
          </w:tcPr>
          <w:p>
            <w:r/>
            <w:r>
              <w:rPr>
                <w:sz w:val="18"/>
              </w:rPr>
              <w:t>Form says "approximately 14 years." Correct figure matters for guideline maintenance duration: 13–14 years → 0.56 multiplier (≈ 7.5 years) under 504(b-1)(1)(B), if guidelines apply</w:t>
            </w:r>
          </w:p>
        </w:tc>
      </w:tr>
      <w:tr>
        <w:tc>
          <w:tcPr>
            <w:tcW w:type="dxa" w:w="2016"/>
          </w:tcPr>
          <w:p>
            <w:r/>
            <w:r>
              <w:rPr>
                <w:sz w:val="18"/>
              </w:rPr>
              <w:t>Legal separation</w:t>
            </w:r>
          </w:p>
        </w:tc>
        <w:tc>
          <w:tcPr>
            <w:tcW w:type="dxa" w:w="4032"/>
          </w:tcPr>
          <w:p>
            <w:r/>
            <w:r>
              <w:rPr>
                <w:sz w:val="18"/>
              </w:rPr>
              <w:t>None filed</w:t>
            </w:r>
          </w:p>
        </w:tc>
        <w:tc>
          <w:tcPr>
            <w:tcW w:type="dxa" w:w="3600"/>
          </w:tcPr>
          <w:p>
            <w:r/>
            <w:r>
              <w:rPr>
                <w:sz w:val="18"/>
              </w:rPr>
            </w:r>
          </w:p>
        </w:tc>
      </w:tr>
      <w:tr>
        <w:tc>
          <w:tcPr>
            <w:tcW w:type="dxa" w:w="2016"/>
          </w:tcPr>
          <w:p>
            <w:r/>
            <w:r>
              <w:rPr>
                <w:sz w:val="18"/>
              </w:rPr>
              <w:t>Counseling</w:t>
            </w:r>
          </w:p>
        </w:tc>
        <w:tc>
          <w:tcPr>
            <w:tcW w:type="dxa" w:w="4032"/>
          </w:tcPr>
          <w:p>
            <w:r/>
            <w:r>
              <w:rPr>
                <w:sz w:val="18"/>
              </w:rPr>
              <w:t>Marriage counseling in 2023; Derek stopped after three sessions</w:t>
            </w:r>
          </w:p>
        </w:tc>
        <w:tc>
          <w:tcPr>
            <w:tcW w:type="dxa" w:w="3600"/>
          </w:tcPr>
          <w:p>
            <w:r/>
            <w:r>
              <w:rPr>
                <w:sz w:val="18"/>
              </w:rPr>
              <w:t>Relevant to timing of irretrievable breakdown (dissipation period)</w:t>
            </w:r>
          </w:p>
        </w:tc>
      </w:tr>
      <w:tr>
        <w:tc>
          <w:tcPr>
            <w:tcW w:type="dxa" w:w="2016"/>
          </w:tcPr>
          <w:p>
            <w:r/>
            <w:r>
              <w:rPr>
                <w:sz w:val="18"/>
              </w:rPr>
              <w:t>Reasons given</w:t>
            </w:r>
          </w:p>
        </w:tc>
        <w:tc>
          <w:tcPr>
            <w:tcW w:type="dxa" w:w="4032"/>
          </w:tcPr>
          <w:p>
            <w:r/>
            <w:r>
              <w:rPr>
                <w:sz w:val="18"/>
              </w:rPr>
              <w:t>Drifting apart; Derek's focus on business; weekend drinking; suspected hiding of money (crypto, inflated business expenses). Client considered filing from summer 2024; decided after financial discoveries in Nov.–Dec. 2024</w:t>
            </w:r>
          </w:p>
        </w:tc>
        <w:tc>
          <w:tcPr>
            <w:tcW w:type="dxa" w:w="3600"/>
          </w:tcPr>
          <w:p>
            <w:r/>
            <w:r>
              <w:rPr>
                <w:sz w:val="18"/>
              </w:rPr>
            </w:r>
          </w:p>
        </w:tc>
      </w:tr>
    </w:tbl>
    <w:p>
      <w:pPr>
        <w:spacing w:after="40"/>
      </w:pPr>
    </w:p>
    <w:p>
      <w:pPr>
        <w:pStyle w:val="Heading1"/>
      </w:pPr>
      <w:r>
        <w:t>4. Children and Parenting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val="clear" w:color="auto" w:fill="1F3A5F"/>
          </w:tcPr>
          <w:p>
            <w:r/>
            <w:r>
              <w:rPr>
                <w:b/>
                <w:color w:val="FFFFFF"/>
                <w:sz w:val="18"/>
              </w:rPr>
              <w:t>Child</w:t>
            </w:r>
          </w:p>
        </w:tc>
        <w:tc>
          <w:tcPr>
            <w:tcW w:type="dxa" w:w="3168"/>
            <w:shd w:val="clear" w:color="auto" w:fill="1F3A5F"/>
          </w:tcPr>
          <w:p>
            <w:r/>
            <w:r>
              <w:rPr>
                <w:b/>
                <w:color w:val="FFFFFF"/>
                <w:sz w:val="18"/>
              </w:rPr>
              <w:t>DOB / Age (Feb. 2025)</w:t>
            </w:r>
          </w:p>
        </w:tc>
        <w:tc>
          <w:tcPr>
            <w:tcW w:type="dxa" w:w="2160"/>
            <w:shd w:val="clear" w:color="auto" w:fill="1F3A5F"/>
          </w:tcPr>
          <w:p>
            <w:r/>
            <w:r>
              <w:rPr>
                <w:b/>
                <w:color w:val="FFFFFF"/>
                <w:sz w:val="18"/>
              </w:rPr>
              <w:t>School</w:t>
            </w:r>
          </w:p>
        </w:tc>
        <w:tc>
          <w:tcPr>
            <w:tcW w:type="dxa" w:w="2304"/>
            <w:shd w:val="clear" w:color="auto" w:fill="1F3A5F"/>
          </w:tcPr>
          <w:p>
            <w:r/>
            <w:r>
              <w:rPr>
                <w:b/>
                <w:color w:val="FFFFFF"/>
                <w:sz w:val="18"/>
              </w:rPr>
              <w:t>Needs / Activities</w:t>
            </w:r>
          </w:p>
        </w:tc>
      </w:tr>
      <w:tr>
        <w:tc>
          <w:tcPr>
            <w:tcW w:type="dxa" w:w="2016"/>
          </w:tcPr>
          <w:p>
            <w:r/>
            <w:r>
              <w:rPr>
                <w:sz w:val="18"/>
              </w:rPr>
              <w:t>Ethan James Whitfield</w:t>
            </w:r>
          </w:p>
        </w:tc>
        <w:tc>
          <w:tcPr>
            <w:tcW w:type="dxa" w:w="3168"/>
          </w:tcPr>
          <w:p>
            <w:r/>
            <w:r>
              <w:rPr>
                <w:sz w:val="18"/>
              </w:rPr>
              <w:t>June 11, 2014 — age 10 (form states "11 (will turn 11 in June 2025)" — internally inconsistent; he is 10 until June 11, 2025)</w:t>
            </w:r>
          </w:p>
        </w:tc>
        <w:tc>
          <w:tcPr>
            <w:tcW w:type="dxa" w:w="2160"/>
          </w:tcPr>
          <w:p>
            <w:r/>
            <w:r>
              <w:rPr>
                <w:sz w:val="18"/>
              </w:rPr>
              <w:t>Meadow Creek Elementary, 5th grade</w:t>
            </w:r>
          </w:p>
        </w:tc>
        <w:tc>
          <w:tcPr>
            <w:tcW w:type="dxa" w:w="2304"/>
          </w:tcPr>
          <w:p>
            <w:r/>
            <w:r>
              <w:rPr>
                <w:sz w:val="18"/>
              </w:rPr>
              <w:t>Travel soccer Tue./Thu. evenings — Derek takes him; ~$300/mo fees &amp; travel</w:t>
            </w:r>
          </w:p>
        </w:tc>
      </w:tr>
      <w:tr>
        <w:tc>
          <w:tcPr>
            <w:tcW w:type="dxa" w:w="2016"/>
          </w:tcPr>
          <w:p>
            <w:r/>
            <w:r>
              <w:rPr>
                <w:sz w:val="18"/>
              </w:rPr>
              <w:t>Lily Huang Whitfield</w:t>
            </w:r>
          </w:p>
        </w:tc>
        <w:tc>
          <w:tcPr>
            <w:tcW w:type="dxa" w:w="3168"/>
          </w:tcPr>
          <w:p>
            <w:r/>
            <w:r>
              <w:rPr>
                <w:sz w:val="18"/>
              </w:rPr>
              <w:t>Sept. 3, 2017 — age 7</w:t>
            </w:r>
          </w:p>
        </w:tc>
        <w:tc>
          <w:tcPr>
            <w:tcW w:type="dxa" w:w="2160"/>
          </w:tcPr>
          <w:p>
            <w:r/>
            <w:r>
              <w:rPr>
                <w:sz w:val="18"/>
              </w:rPr>
              <w:t>Meadow Creek Elementary, 2nd grade</w:t>
            </w:r>
          </w:p>
        </w:tc>
        <w:tc>
          <w:tcPr>
            <w:tcW w:type="dxa" w:w="2304"/>
          </w:tcPr>
          <w:p>
            <w:r/>
            <w:r>
              <w:rPr>
                <w:sz w:val="18"/>
              </w:rPr>
              <w:t>Ballet $150/mo; no special needs</w:t>
            </w:r>
          </w:p>
        </w:tc>
      </w:tr>
      <w:tr>
        <w:tc>
          <w:tcPr>
            <w:tcW w:type="dxa" w:w="2016"/>
          </w:tcPr>
          <w:p>
            <w:r/>
            <w:r>
              <w:rPr>
                <w:sz w:val="18"/>
              </w:rPr>
              <w:t>Owen Derek Whitfield</w:t>
            </w:r>
          </w:p>
        </w:tc>
        <w:tc>
          <w:tcPr>
            <w:tcW w:type="dxa" w:w="3168"/>
          </w:tcPr>
          <w:p>
            <w:r/>
            <w:r>
              <w:rPr>
                <w:sz w:val="18"/>
              </w:rPr>
              <w:t>Jan. 20, 2021 — age 4</w:t>
            </w:r>
          </w:p>
        </w:tc>
        <w:tc>
          <w:tcPr>
            <w:tcW w:type="dxa" w:w="2160"/>
          </w:tcPr>
          <w:p>
            <w:r/>
            <w:r>
              <w:rPr>
                <w:sz w:val="18"/>
              </w:rPr>
              <w:t>Bright Horizons Preschool, Naperville ($1,800/mo)</w:t>
            </w:r>
          </w:p>
        </w:tc>
        <w:tc>
          <w:tcPr>
            <w:tcW w:type="dxa" w:w="2304"/>
          </w:tcPr>
          <w:p>
            <w:r/>
            <w:r>
              <w:rPr>
                <w:sz w:val="18"/>
              </w:rPr>
              <w:t>Speech delay; speech therapy 2x/week at DuPage Easter Seals, $40 copay/session (client's insurance); client attends all sessions</w:t>
            </w:r>
          </w:p>
        </w:tc>
      </w:tr>
    </w:tbl>
    <w:p>
      <w:pPr>
        <w:spacing w:after="40"/>
      </w:pPr>
    </w:p>
    <w:p>
      <w:pPr>
        <w:spacing w:after="80"/>
      </w:pPr>
      <w:r>
        <w:rPr>
          <w:b/>
        </w:rPr>
        <w:t xml:space="preserve">Current informal arrangement: </w:t>
      </w:r>
      <w:r>
        <w:rPr>
          <w:i w:val="0"/>
        </w:rPr>
      </w:r>
      <w:r>
        <w:t>Derek does school drop-off and pickup for Ethan and Lily Mon./Wed./Fri. and attends all of Ethan's Tue./Thu. soccer practices; he has some weekend care time. Client handles medical appointments, Owen's therapy, homework, bedtime, meal planning, and "mental load." After-school care is used on days client works late (~$200/mo).</w:t>
      </w:r>
    </w:p>
    <w:p>
      <w:pPr>
        <w:spacing w:after="80"/>
      </w:pPr>
      <w:r>
        <w:rPr>
          <w:b/>
        </w:rPr>
        <w:t xml:space="preserve">Client's concerns: </w:t>
      </w:r>
      <w:r>
        <w:rPr>
          <w:i w:val="0"/>
        </w:rPr>
      </w:r>
      <w:r>
        <w:t>Weekend drinking (never seen incapacitated around children; no DUIs); one incident of yelling at Ethan in Sept. 2024 (details not recalled); Derek on laptop/couch with a beer during weekend care. No DCFS involvement; no orders of protection.</w:t>
      </w:r>
    </w:p>
    <w:p>
      <w:pPr>
        <w:spacing w:after="80"/>
      </w:pPr>
      <w:r>
        <w:rPr>
          <w:b/>
        </w:rPr>
        <w:t xml:space="preserve">Client's objective: </w:t>
      </w:r>
      <w:r>
        <w:rPr>
          <w:i w:val="0"/>
        </w:rPr>
      </w:r>
      <w:r>
        <w:t>"Primary residential custody" of all three children (in current Illinois terms: majority parenting time and allocation of significant decision-making responsibilities, 750 ILCS 5/602.5, 602.7). Email signals flexibility on Derek's M/W/F school routine.</w:t>
      </w:r>
    </w:p>
    <w:p>
      <w:pPr>
        <w:spacing w:after="80"/>
      </w:pPr>
      <w:r>
        <w:rPr>
          <w:b/>
        </w:rPr>
        <w:t xml:space="preserve">Preliminary assessment: </w:t>
      </w:r>
      <w:r>
        <w:rPr>
          <w:i w:val="0"/>
        </w:rPr>
      </w:r>
      <w:r>
        <w:t>Client's own account documents substantial, regular caretaking by Derek (five weekday touchpoints per week), which a court will weigh under the 602.7(b) factors, including caretaking during the prior 24 months. The alcohol and yelling allegations are presently thin and uncorroborated. Owen's therapy continuity and the children's school stability are client's strongest themes. Note: Illinois Early Intervention generally serves children from birth to age 3; Owen (age 4) should have transitioned out of EI — confirm the current program, provider, and funding (e.g., school-district early childhood services or private therapy). A proposed parenting plan is generally due within 120 days of filing or service (750 ILCS 5/602.10) — calendar approx. June 7, 2025, subject to confirming the service date; confirm DuPage parenting-education requirements.</w:t>
      </w:r>
    </w:p>
    <w:p>
      <w:pPr>
        <w:pStyle w:val="Heading1"/>
      </w:pPr>
      <w:r>
        <w:t>5. Prenuptial Agreement (Aug. 2, 2011)</w:t>
      </w:r>
    </w:p>
    <w:p>
      <w:pPr>
        <w:pStyle w:val="Heading2"/>
      </w:pPr>
      <w:r>
        <w:t>5.1 Terms in the excerpt</w:t>
      </w:r>
    </w:p>
    <w:tbl>
      <w:tblPr>
        <w:tblStyle w:val="TableGrid"/>
        <w:tblW w:type="auto" w:w="0"/>
        <w:jc w:val="center"/>
        <w:tblLook w:firstColumn="1" w:firstRow="1" w:lastColumn="0" w:lastRow="0" w:noHBand="0" w:noVBand="1" w:val="04A0"/>
      </w:tblPr>
      <w:tblGrid>
        <w:gridCol w:w="3216"/>
        <w:gridCol w:w="3216"/>
        <w:gridCol w:w="3216"/>
      </w:tblGrid>
      <w:tr>
        <w:tc>
          <w:tcPr>
            <w:tcW w:type="dxa" w:w="2088"/>
            <w:shd w:val="clear" w:color="auto" w:fill="1F3A5F"/>
          </w:tcPr>
          <w:p>
            <w:r/>
            <w:r>
              <w:rPr>
                <w:b/>
                <w:color w:val="FFFFFF"/>
                <w:sz w:val="18"/>
              </w:rPr>
              <w:t>Provision</w:t>
            </w:r>
          </w:p>
        </w:tc>
        <w:tc>
          <w:tcPr>
            <w:tcW w:type="dxa" w:w="4104"/>
            <w:shd w:val="clear" w:color="auto" w:fill="1F3A5F"/>
          </w:tcPr>
          <w:p>
            <w:r/>
            <w:r>
              <w:rPr>
                <w:b/>
                <w:color w:val="FFFFFF"/>
                <w:sz w:val="18"/>
              </w:rPr>
              <w:t>Text / substance (excerpt)</w:t>
            </w:r>
          </w:p>
        </w:tc>
        <w:tc>
          <w:tcPr>
            <w:tcW w:type="dxa" w:w="3456"/>
            <w:shd w:val="clear" w:color="auto" w:fill="1F3A5F"/>
          </w:tcPr>
          <w:p>
            <w:r/>
            <w:r>
              <w:rPr>
                <w:b/>
                <w:color w:val="FFFFFF"/>
                <w:sz w:val="18"/>
              </w:rPr>
              <w:t>Effect for this matter</w:t>
            </w:r>
          </w:p>
        </w:tc>
      </w:tr>
      <w:tr>
        <w:tc>
          <w:tcPr>
            <w:tcW w:type="dxa" w:w="2088"/>
          </w:tcPr>
          <w:p>
            <w:r/>
            <w:r>
              <w:rPr>
                <w:sz w:val="18"/>
              </w:rPr>
              <w:t>Art. III, Sec. 3.1 — Pre-Marital Assets</w:t>
            </w:r>
          </w:p>
        </w:tc>
        <w:tc>
          <w:tcPr>
            <w:tcW w:type="dxa" w:w="4104"/>
          </w:tcPr>
          <w:p>
            <w:r/>
            <w:r>
              <w:rPr>
                <w:sz w:val="18"/>
              </w:rPr>
              <w:t>Assets owned by either party as of the agreement date, "as listed in the Schedules attached hereto," remain separate</w:t>
            </w:r>
          </w:p>
        </w:tc>
        <w:tc>
          <w:tcPr>
            <w:tcW w:type="dxa" w:w="3456"/>
          </w:tcPr>
          <w:p>
            <w:r/>
            <w:r>
              <w:rPr>
                <w:sz w:val="18"/>
              </w:rPr>
              <w:t>Protection depends on Schedules A/B, which are missing. Whitcroft brokerage (opened 2008, ~$45,000 at marriage) and any premarital savings must appear on client's schedule</w:t>
            </w:r>
          </w:p>
        </w:tc>
      </w:tr>
      <w:tr>
        <w:tc>
          <w:tcPr>
            <w:tcW w:type="dxa" w:w="2088"/>
          </w:tcPr>
          <w:p>
            <w:r/>
            <w:r>
              <w:rPr>
                <w:sz w:val="18"/>
              </w:rPr>
              <w:t>Sec. 3.2 — Inheritances and Gifts</w:t>
            </w:r>
          </w:p>
        </w:tc>
        <w:tc>
          <w:tcPr>
            <w:tcW w:type="dxa" w:w="4104"/>
          </w:tcPr>
          <w:p>
            <w:r/>
            <w:r>
              <w:rPr>
                <w:sz w:val="18"/>
              </w:rPr>
              <w:t>Inheritances and third-party gifts to either party are separate if kept in a separate account and not commingled; if deposited in a joint account or otherwise commingled, presumed converted to marital property unless traced by clear and convincing evidence</w:t>
            </w:r>
          </w:p>
        </w:tc>
        <w:tc>
          <w:tcPr>
            <w:tcW w:type="dxa" w:w="3456"/>
          </w:tcPr>
          <w:p>
            <w:r/>
            <w:r>
              <w:rPr>
                <w:sz w:val="18"/>
              </w:rPr>
              <w:t>Governs the $175,000 inheritance and the parents' down-payment gift. The $58,000 used on the jointly-titled home is very likely "otherwise commingled"; the down-payment gift went into a jointly-titled home</w:t>
            </w:r>
          </w:p>
        </w:tc>
      </w:tr>
      <w:tr>
        <w:tc>
          <w:tcPr>
            <w:tcW w:type="dxa" w:w="2088"/>
          </w:tcPr>
          <w:p>
            <w:r/>
            <w:r>
              <w:rPr>
                <w:sz w:val="18"/>
              </w:rPr>
              <w:t>Sec. 3.3 — Appreciation</w:t>
            </w:r>
          </w:p>
        </w:tc>
        <w:tc>
          <w:tcPr>
            <w:tcW w:type="dxa" w:w="4104"/>
          </w:tcPr>
          <w:p>
            <w:r/>
            <w:r>
              <w:rPr>
                <w:sz w:val="18"/>
              </w:rPr>
              <w:t>Appreciation of separate property [illegible] ... "to the extent such appreciation is passive in nature and not attributable to the efforts of [illegible] ... or the contribution of marital funds"; remainder illegible</w:t>
            </w:r>
          </w:p>
        </w:tc>
        <w:tc>
          <w:tcPr>
            <w:tcW w:type="dxa" w:w="3456"/>
          </w:tcPr>
          <w:p>
            <w:r/>
            <w:r>
              <w:rPr>
                <w:sz w:val="18"/>
              </w:rPr>
              <w:t>Likely keeps passive appreciation separate — relevant to Whitcroft account growth; operative text must be obtained</w:t>
            </w:r>
          </w:p>
        </w:tc>
      </w:tr>
      <w:tr>
        <w:tc>
          <w:tcPr>
            <w:tcW w:type="dxa" w:w="2088"/>
          </w:tcPr>
          <w:p>
            <w:r/>
            <w:r>
              <w:rPr>
                <w:sz w:val="18"/>
              </w:rPr>
              <w:t>Art. IV, Sec. 4.1 — Marital Property</w:t>
            </w:r>
          </w:p>
        </w:tc>
        <w:tc>
          <w:tcPr>
            <w:tcW w:type="dxa" w:w="4104"/>
          </w:tcPr>
          <w:p>
            <w:r/>
            <w:r>
              <w:rPr>
                <w:sz w:val="18"/>
              </w:rPr>
              <w:t>Property acquired during marriage (except Art. III) [illegible] ... per Illinois law; subject to equitable distribution under the IMDMA</w:t>
            </w:r>
          </w:p>
        </w:tc>
        <w:tc>
          <w:tcPr>
            <w:tcW w:type="dxa" w:w="3456"/>
          </w:tcPr>
          <w:p>
            <w:r/>
            <w:r>
              <w:rPr>
                <w:sz w:val="18"/>
              </w:rPr>
              <w:t>Whitfield Digital Consulting (formed 2018), both retirement accounts, crypto, and the Galena cabin (acquired 2019) default to Illinois law</w:t>
            </w:r>
          </w:p>
        </w:tc>
      </w:tr>
      <w:tr>
        <w:tc>
          <w:tcPr>
            <w:tcW w:type="dxa" w:w="2088"/>
          </w:tcPr>
          <w:p>
            <w:r/>
            <w:r>
              <w:rPr>
                <w:sz w:val="18"/>
              </w:rPr>
              <w:t>Sec. 4.2 — Marital Income</w:t>
            </w:r>
          </w:p>
        </w:tc>
        <w:tc>
          <w:tcPr>
            <w:tcW w:type="dxa" w:w="4104"/>
          </w:tcPr>
          <w:p>
            <w:r/>
            <w:r>
              <w:rPr>
                <w:sz w:val="18"/>
              </w:rPr>
              <w:t>Income earned during marriage is marital, "except to the extent such income is used to maintain or preserve separate property"; each party manages own income</w:t>
            </w:r>
          </w:p>
        </w:tc>
        <w:tc>
          <w:tcPr>
            <w:tcW w:type="dxa" w:w="3456"/>
          </w:tcPr>
          <w:p>
            <w:r/>
            <w:r>
              <w:rPr>
                <w:sz w:val="18"/>
              </w:rPr>
              <w:t>Ambiguous; could be argued by client re: cabin mortgage payments, but cuts against client on the student-loan paydown and could be used by Derek; partly illegible</w:t>
            </w:r>
          </w:p>
        </w:tc>
      </w:tr>
      <w:tr>
        <w:tc>
          <w:tcPr>
            <w:tcW w:type="dxa" w:w="2088"/>
          </w:tcPr>
          <w:p>
            <w:r/>
            <w:r>
              <w:rPr>
                <w:sz w:val="18"/>
              </w:rPr>
              <w:t>Sec. 4.3</w:t>
            </w:r>
          </w:p>
        </w:tc>
        <w:tc>
          <w:tcPr>
            <w:tcW w:type="dxa" w:w="4104"/>
          </w:tcPr>
          <w:p>
            <w:r/>
            <w:r>
              <w:rPr>
                <w:sz w:val="18"/>
              </w:rPr>
              <w:t>Missing — excerpt skips from 4.2 to Art. V</w:t>
            </w:r>
          </w:p>
        </w:tc>
        <w:tc>
          <w:tcPr>
            <w:tcW w:type="dxa" w:w="3456"/>
          </w:tcPr>
          <w:p>
            <w:r/>
            <w:r>
              <w:rPr>
                <w:sz w:val="18"/>
              </w:rPr>
              <w:t>Could address business interests; client's belief that the prenup is silent on businesses is unverified</w:t>
            </w:r>
          </w:p>
        </w:tc>
      </w:tr>
      <w:tr>
        <w:tc>
          <w:tcPr>
            <w:tcW w:type="dxa" w:w="2088"/>
          </w:tcPr>
          <w:p>
            <w:r/>
            <w:r>
              <w:rPr>
                <w:sz w:val="18"/>
              </w:rPr>
              <w:t>Art. V, Sec. 5.1 / 5.2 — Maintenance</w:t>
            </w:r>
          </w:p>
        </w:tc>
        <w:tc>
          <w:tcPr>
            <w:tcW w:type="dxa" w:w="4104"/>
          </w:tcPr>
          <w:p>
            <w:r/>
            <w:r>
              <w:rPr>
                <w:sz w:val="18"/>
              </w:rPr>
              <w:t>Mutual waiver if marriage dissolved within 10 years (subject to an unconscionability carve-out, partly illegible); Sec. 5.2: if marriage continues beyond 10 years, Sec. 5.1 has no force and maintenance is determined under Illinois law</w:t>
            </w:r>
          </w:p>
        </w:tc>
        <w:tc>
          <w:tcPr>
            <w:tcW w:type="dxa" w:w="3456"/>
          </w:tcPr>
          <w:p>
            <w:r/>
            <w:r>
              <w:rPr>
                <w:sz w:val="18"/>
              </w:rPr>
              <w:t>Marriage ~13.5 years at filing — waiver inoperative. Client's recollection is accurate. Either party may seek maintenance</w:t>
            </w:r>
          </w:p>
        </w:tc>
      </w:tr>
      <w:tr>
        <w:tc>
          <w:tcPr>
            <w:tcW w:type="dxa" w:w="2088"/>
          </w:tcPr>
          <w:p>
            <w:r/>
            <w:r>
              <w:rPr>
                <w:sz w:val="18"/>
              </w:rPr>
              <w:t>Arts. VI–VIII</w:t>
            </w:r>
          </w:p>
        </w:tc>
        <w:tc>
          <w:tcPr>
            <w:tcW w:type="dxa" w:w="4104"/>
          </w:tcPr>
          <w:p>
            <w:r/>
            <w:r>
              <w:rPr>
                <w:sz w:val="18"/>
              </w:rPr>
              <w:t>Missing (believed: modification, governing law, severability)</w:t>
            </w:r>
          </w:p>
        </w:tc>
        <w:tc>
          <w:tcPr>
            <w:tcW w:type="dxa" w:w="3456"/>
          </w:tcPr>
          <w:p>
            <w:r/>
            <w:r>
              <w:rPr>
                <w:sz w:val="18"/>
              </w:rPr>
              <w:t>Need full copy</w:t>
            </w:r>
          </w:p>
        </w:tc>
      </w:tr>
      <w:tr>
        <w:tc>
          <w:tcPr>
            <w:tcW w:type="dxa" w:w="2088"/>
          </w:tcPr>
          <w:p>
            <w:r/>
            <w:r>
              <w:rPr>
                <w:sz w:val="18"/>
              </w:rPr>
              <w:t>Sec. 9.2 — Voluntary execution</w:t>
            </w:r>
          </w:p>
        </w:tc>
        <w:tc>
          <w:tcPr>
            <w:tcW w:type="dxa" w:w="4104"/>
          </w:tcPr>
          <w:p>
            <w:r/>
            <w:r>
              <w:rPr>
                <w:sz w:val="18"/>
              </w:rPr>
              <w:t>Each party represents voluntary execution, free from duress, with adequate time</w:t>
            </w:r>
          </w:p>
        </w:tc>
        <w:tc>
          <w:tcPr>
            <w:tcW w:type="dxa" w:w="3456"/>
          </w:tcPr>
          <w:p>
            <w:r/>
            <w:r>
              <w:rPr>
                <w:sz w:val="18"/>
              </w:rPr>
              <w:t>Contractual recital; not conclusive</w:t>
            </w:r>
          </w:p>
        </w:tc>
      </w:tr>
      <w:tr>
        <w:tc>
          <w:tcPr>
            <w:tcW w:type="dxa" w:w="2088"/>
          </w:tcPr>
          <w:p>
            <w:r/>
            <w:r>
              <w:rPr>
                <w:sz w:val="18"/>
              </w:rPr>
              <w:t>Sec. 9.3 — Legal representation</w:t>
            </w:r>
          </w:p>
        </w:tc>
        <w:tc>
          <w:tcPr>
            <w:tcW w:type="dxa" w:w="4104"/>
          </w:tcPr>
          <w:p>
            <w:r/>
            <w:r>
              <w:rPr>
                <w:sz w:val="18"/>
              </w:rPr>
              <w:t>Derek represented by Harold Finch, Esq. (Lake Forest); Rachel "advised to seek independent legal counsel and has had the opportunity to do so"</w:t>
            </w:r>
          </w:p>
        </w:tc>
        <w:tc>
          <w:tcPr>
            <w:tcW w:type="dxa" w:w="3456"/>
          </w:tcPr>
          <w:p>
            <w:r/>
            <w:r>
              <w:rPr>
                <w:sz w:val="18"/>
              </w:rPr>
              <w:t>Confirms client was unrepresented (she consulted a friend, Jessica, then a 2L law student, who called it "standard"). Finch is deceased per client</w:t>
            </w:r>
          </w:p>
        </w:tc>
      </w:tr>
      <w:tr>
        <w:tc>
          <w:tcPr>
            <w:tcW w:type="dxa" w:w="2088"/>
          </w:tcPr>
          <w:p>
            <w:r/>
            <w:r>
              <w:rPr>
                <w:sz w:val="18"/>
              </w:rPr>
              <w:t>Sec. 9.4 — Financial disclosure</w:t>
            </w:r>
          </w:p>
        </w:tc>
        <w:tc>
          <w:tcPr>
            <w:tcW w:type="dxa" w:w="4104"/>
          </w:tcPr>
          <w:p>
            <w:r/>
            <w:r>
              <w:rPr>
                <w:sz w:val="18"/>
              </w:rPr>
              <w:t>[illegible] ... each party acknowledges receipt of a summary of the other's financial [illegible] "or has voluntarily waived the right to such disclosure"; Schedules A and B referenced</w:t>
            </w:r>
          </w:p>
        </w:tc>
        <w:tc>
          <w:tcPr>
            <w:tcW w:type="dxa" w:w="3456"/>
          </w:tcPr>
          <w:p>
            <w:r/>
            <w:r>
              <w:rPr>
                <w:sz w:val="18"/>
              </w:rPr>
              <w:t>Key to enforceability under 750 ILCS 10/7(a)(2); Schedules missing</w:t>
            </w:r>
          </w:p>
        </w:tc>
      </w:tr>
      <w:tr>
        <w:tc>
          <w:tcPr>
            <w:tcW w:type="dxa" w:w="2088"/>
          </w:tcPr>
          <w:p>
            <w:r/>
            <w:r>
              <w:rPr>
                <w:sz w:val="18"/>
              </w:rPr>
              <w:t>Execution</w:t>
            </w:r>
          </w:p>
        </w:tc>
        <w:tc>
          <w:tcPr>
            <w:tcW w:type="dxa" w:w="4104"/>
          </w:tcPr>
          <w:p>
            <w:r/>
            <w:r>
              <w:rPr>
                <w:sz w:val="18"/>
              </w:rPr>
              <w:t>Signed by both Aug. 2, 2011; approved as to form by Finch (Suite 400, Lake Forest, IL 60045); notarized, County of Lake; notary name/commission and two witness names illegible</w:t>
            </w:r>
          </w:p>
        </w:tc>
        <w:tc>
          <w:tcPr>
            <w:tcW w:type="dxa" w:w="3456"/>
          </w:tcPr>
          <w:p>
            <w:r/>
            <w:r>
              <w:rPr>
                <w:sz w:val="18"/>
              </w:rPr>
            </w:r>
          </w:p>
        </w:tc>
      </w:tr>
    </w:tbl>
    <w:p>
      <w:pPr>
        <w:spacing w:after="40"/>
      </w:pPr>
    </w:p>
    <w:p>
      <w:pPr>
        <w:pStyle w:val="Heading2"/>
      </w:pPr>
      <w:r>
        <w:t>5.2 Enforceability considerations and strategy</w:t>
      </w:r>
    </w:p>
    <w:p>
      <w:pPr>
        <w:pStyle w:val="ListBullet"/>
        <w:spacing w:after="40"/>
      </w:pPr>
      <w:r>
        <w:t>Agreement post-dates 1990 and appears governed by the Illinois Uniform Premarital Agreement Act. Under 750 ILCS 10/7, the challenger must show involuntary execution, or unconscionability at execution coupled with inadequate disclosure, no voluntary/express waiver of disclosure, and no adequate knowledge of the other's finances (confirm current statutory text).</w:t>
      </w:r>
    </w:p>
    <w:p>
      <w:pPr>
        <w:pStyle w:val="ListBullet"/>
        <w:spacing w:after="40"/>
      </w:pPr>
      <w:r>
        <w:t>Facts potentially supporting a challenge: drafted by Derek's counsel; signed 16 days before the wedding during wedding planning; client had no independent counsel; disclosure clause partly illegible and Schedules missing. Facts against: client was a medical student/adult professional, the agreement recites advice to seek counsel and adequate time, it is mutual, and it was notarized.</w:t>
      </w:r>
    </w:p>
    <w:p>
      <w:pPr>
        <w:pStyle w:val="ListBullet"/>
        <w:spacing w:after="40"/>
      </w:pPr>
      <w:r>
        <w:t>Strategic caution: the excerpted terms largely favor the client (separate treatment of her premarital brokerage, her inheritance, passive appreciation) and the maintenance waiver is already inoperative. A validity challenge may be of little benefit and could undercut her separate-property claims. Evaluate only after the complete agreement and schedules are obtained.</w:t>
      </w:r>
    </w:p>
    <w:p>
      <w:pPr>
        <w:pStyle w:val="ListBullet"/>
        <w:spacing w:after="40"/>
      </w:pPr>
      <w:r>
        <w:t>Sources for a complete copy: Derek/Calder &amp; Rourke (request in discovery); Finch's successor firm or the custodian of his files; any recorded or notarial record; client's own records (better scan promised in [E]).</w:t>
      </w:r>
    </w:p>
    <w:p>
      <w:pPr>
        <w:pStyle w:val="Heading1"/>
      </w:pPr>
      <w:r>
        <w:t>6. Assets — Values, Title, and Preliminary Characterization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584"/>
            <w:shd w:val="clear" w:color="auto" w:fill="1F3A5F"/>
          </w:tcPr>
          <w:p>
            <w:r/>
            <w:r>
              <w:rPr>
                <w:b/>
                <w:color w:val="FFFFFF"/>
                <w:sz w:val="16"/>
              </w:rPr>
              <w:t>Asset</w:t>
            </w:r>
          </w:p>
        </w:tc>
        <w:tc>
          <w:tcPr>
            <w:tcW w:type="dxa" w:w="1944"/>
            <w:shd w:val="clear" w:color="auto" w:fill="1F3A5F"/>
          </w:tcPr>
          <w:p>
            <w:r/>
            <w:r>
              <w:rPr>
                <w:b/>
                <w:color w:val="FFFFFF"/>
                <w:sz w:val="16"/>
              </w:rPr>
              <w:t>Client-reported value / debt</w:t>
            </w:r>
          </w:p>
        </w:tc>
        <w:tc>
          <w:tcPr>
            <w:tcW w:type="dxa" w:w="1152"/>
            <w:shd w:val="clear" w:color="auto" w:fill="1F3A5F"/>
          </w:tcPr>
          <w:p>
            <w:r/>
            <w:r>
              <w:rPr>
                <w:b/>
                <w:color w:val="FFFFFF"/>
                <w:sz w:val="16"/>
              </w:rPr>
              <w:t>Title / holder</w:t>
            </w:r>
          </w:p>
        </w:tc>
        <w:tc>
          <w:tcPr>
            <w:tcW w:type="dxa" w:w="1584"/>
            <w:shd w:val="clear" w:color="auto" w:fill="1F3A5F"/>
          </w:tcPr>
          <w:p>
            <w:r/>
            <w:r>
              <w:rPr>
                <w:b/>
                <w:color w:val="FFFFFF"/>
                <w:sz w:val="16"/>
              </w:rPr>
              <w:t>Client's position</w:t>
            </w:r>
          </w:p>
        </w:tc>
        <w:tc>
          <w:tcPr>
            <w:tcW w:type="dxa" w:w="3384"/>
            <w:shd w:val="clear" w:color="auto" w:fill="1F3A5F"/>
          </w:tcPr>
          <w:p>
            <w:r/>
            <w:r>
              <w:rPr>
                <w:b/>
                <w:color w:val="FFFFFF"/>
                <w:sz w:val="16"/>
              </w:rPr>
              <w:t>Preliminary assessment &amp; open issues</w:t>
            </w:r>
          </w:p>
        </w:tc>
      </w:tr>
      <w:tr>
        <w:tc>
          <w:tcPr>
            <w:tcW w:type="dxa" w:w="1584"/>
          </w:tcPr>
          <w:p>
            <w:r/>
            <w:r>
              <w:rPr>
                <w:sz w:val="16"/>
              </w:rPr>
              <w:t>Marital home, 2918 Ridgeview Terrace, Naperville</w:t>
            </w:r>
          </w:p>
        </w:tc>
        <w:tc>
          <w:tcPr>
            <w:tcW w:type="dxa" w:w="1944"/>
          </w:tcPr>
          <w:p>
            <w:r/>
            <w:r>
              <w:rPr>
                <w:sz w:val="16"/>
              </w:rPr>
              <w:t>Est. FMV $910,000 (client estimate from comps; no appraisal); mortgage $412,000 (Heartland National Bank, 30-yr fixed 3.75%); equity ≈ $498,000. Purchased Mar. 15, 2016 for $685,000; down payment $137,000; 2021 kitchen renovation ~$58,000</w:t>
            </w:r>
          </w:p>
        </w:tc>
        <w:tc>
          <w:tcPr>
            <w:tcW w:type="dxa" w:w="1152"/>
          </w:tcPr>
          <w:p>
            <w:r/>
            <w:r>
              <w:rPr>
                <w:sz w:val="16"/>
              </w:rPr>
              <w:t>Joint tenants with right of survivorship</w:t>
            </w:r>
          </w:p>
        </w:tc>
        <w:tc>
          <w:tcPr>
            <w:tcW w:type="dxa" w:w="1584"/>
          </w:tcPr>
          <w:p>
            <w:r/>
            <w:r>
              <w:rPr>
                <w:sz w:val="16"/>
              </w:rPr>
              <w:t>Keep the home; willing to buy out Derek's equity. Parents' gift and inheritance-funded renovation should count in her favor</w:t>
            </w:r>
          </w:p>
        </w:tc>
        <w:tc>
          <w:tcPr>
            <w:tcW w:type="dxa" w:w="3384"/>
          </w:tcPr>
          <w:p>
            <w:r/>
            <w:r>
              <w:rPr>
                <w:sz w:val="16"/>
              </w:rPr>
              <w:t>Marital. Joint-tenancy titling raises presumption of gift to the marital estate; parents' gift was described as to "us." Reimbursement claims (503(c)(2)) require clear-and-convincing tracing and are doubtful. Buyout of ~$249,000 (half of est. equity) plus refinancing out of Derek's name (likely losing the 3.75% rate) — assess affordability. Balance ($412,000) is well below a standard amortization of a $548,000 loan (~$443,000) and client's ~$2,400/mo payment is below the ~$2,538 P&amp;I implied — confirm refinance/prepayment history and actual rate. Order appraisal</w:t>
            </w:r>
          </w:p>
        </w:tc>
      </w:tr>
      <w:tr>
        <w:tc>
          <w:tcPr>
            <w:tcW w:type="dxa" w:w="1584"/>
          </w:tcPr>
          <w:p>
            <w:r/>
            <w:r>
              <w:rPr>
                <w:sz w:val="16"/>
              </w:rPr>
              <w:t>Galena cabin, 7742 Pine Bluff Road, Galena, IL 61036</w:t>
            </w:r>
          </w:p>
        </w:tc>
        <w:tc>
          <w:tcPr>
            <w:tcW w:type="dxa" w:w="1944"/>
          </w:tcPr>
          <w:p>
            <w:r/>
            <w:r>
              <w:rPr>
                <w:sz w:val="16"/>
              </w:rPr>
              <w:t>Est. FMV $265,000 (client estimate); mortgage $148,000 (Heartland), ~$950/mo; equity ≈ $117,000. Purchased June 2019 for $220,000. Short-term rental ~$1,800/mo May–Oct (≈ $10,800/yr); off-season roughly break-even</w:t>
            </w:r>
          </w:p>
        </w:tc>
        <w:tc>
          <w:tcPr>
            <w:tcW w:type="dxa" w:w="1152"/>
          </w:tcPr>
          <w:p>
            <w:r/>
            <w:r>
              <w:rPr>
                <w:sz w:val="16"/>
              </w:rPr>
              <w:t>Rachel only</w:t>
            </w:r>
          </w:p>
        </w:tc>
        <w:tc>
          <w:tcPr>
            <w:tcW w:type="dxa" w:w="1584"/>
          </w:tcPr>
          <w:p>
            <w:r/>
            <w:r>
              <w:rPr>
                <w:sz w:val="16"/>
              </w:rPr>
              <w:t>Separate — bought with pre-marital savings; keep it</w:t>
            </w:r>
          </w:p>
        </w:tc>
        <w:tc>
          <w:tcPr>
            <w:tcW w:type="dxa" w:w="3384"/>
          </w:tcPr>
          <w:p>
            <w:r/>
            <w:r>
              <w:rPr>
                <w:sz w:val="16"/>
              </w:rPr>
              <w:t>Presumptively marital (acquired during marriage, 503(b)(1)); title not controlling. Client must trace the down payment to premarital funds — where were those savings held 2011–2019, and were they on prenup Schedule A? Mortgage financed most of the price; payments presumably from marital income → marital contribution claim. Rental income derived from client's personal management effort may be marital and is income for support purposes. Obtain closing statement, loan file, source-of-funds records, rental records, tax returns (Sched. E)</w:t>
            </w:r>
          </w:p>
        </w:tc>
      </w:tr>
      <w:tr>
        <w:tc>
          <w:tcPr>
            <w:tcW w:type="dxa" w:w="1584"/>
          </w:tcPr>
          <w:p>
            <w:r/>
            <w:r>
              <w:rPr>
                <w:sz w:val="16"/>
              </w:rPr>
              <w:t>401(k) — Saxonbrook (Lakeshore Medical Group)</w:t>
            </w:r>
          </w:p>
        </w:tc>
        <w:tc>
          <w:tcPr>
            <w:tcW w:type="dxa" w:w="1944"/>
          </w:tcPr>
          <w:p>
            <w:r/>
            <w:r>
              <w:rPr>
                <w:sz w:val="16"/>
              </w:rPr>
              <w:t>~$523,000; client contributes ~$23,000/yr (max)</w:t>
            </w:r>
          </w:p>
        </w:tc>
        <w:tc>
          <w:tcPr>
            <w:tcW w:type="dxa" w:w="1152"/>
          </w:tcPr>
          <w:p>
            <w:r/>
            <w:r>
              <w:rPr>
                <w:sz w:val="16"/>
              </w:rPr>
              <w:t>Rachel</w:t>
            </w:r>
          </w:p>
        </w:tc>
        <w:tc>
          <w:tcPr>
            <w:tcW w:type="dxa" w:w="1584"/>
          </w:tcPr>
          <w:p>
            <w:r/>
            <w:r>
              <w:rPr>
                <w:sz w:val="16"/>
              </w:rPr>
              <w:t>Her biggest asset; "worked hard for that"</w:t>
            </w:r>
          </w:p>
        </w:tc>
        <w:tc>
          <w:tcPr>
            <w:tcW w:type="dxa" w:w="3384"/>
          </w:tcPr>
          <w:p>
            <w:r/>
            <w:r>
              <w:rPr>
                <w:sz w:val="16"/>
              </w:rPr>
              <w:t>Entirely marital (contributions began 2014, after the 2011 marriage) — client concedes. Divisible by QDRO. Confirm start date (M.D. 2012; psychiatry residency is typically 4 years, so "staff psychiatrist since 2014" should be confirmed)</w:t>
            </w:r>
          </w:p>
        </w:tc>
      </w:tr>
      <w:tr>
        <w:tc>
          <w:tcPr>
            <w:tcW w:type="dxa" w:w="1584"/>
          </w:tcPr>
          <w:p>
            <w:r/>
            <w:r>
              <w:rPr>
                <w:sz w:val="16"/>
              </w:rPr>
              <w:t>SEP-IRA — Hartleigh</w:t>
            </w:r>
          </w:p>
        </w:tc>
        <w:tc>
          <w:tcPr>
            <w:tcW w:type="dxa" w:w="1944"/>
          </w:tcPr>
          <w:p>
            <w:r/>
            <w:r>
              <w:rPr>
                <w:sz w:val="16"/>
              </w:rPr>
              <w:t>~$189,000 (client's belief)</w:t>
            </w:r>
          </w:p>
        </w:tc>
        <w:tc>
          <w:tcPr>
            <w:tcW w:type="dxa" w:w="1152"/>
          </w:tcPr>
          <w:p>
            <w:r/>
            <w:r>
              <w:rPr>
                <w:sz w:val="16"/>
              </w:rPr>
              <w:t>Derek</w:t>
            </w:r>
          </w:p>
        </w:tc>
        <w:tc>
          <w:tcPr>
            <w:tcW w:type="dxa" w:w="1584"/>
          </w:tcPr>
          <w:p>
            <w:r/>
            <w:r>
              <w:rPr>
                <w:sz w:val="16"/>
              </w:rPr>
              <w:t>—</w:t>
            </w:r>
          </w:p>
        </w:tc>
        <w:tc>
          <w:tcPr>
            <w:tcW w:type="dxa" w:w="3384"/>
          </w:tcPr>
          <w:p>
            <w:r/>
            <w:r>
              <w:rPr>
                <w:sz w:val="16"/>
              </w:rPr>
              <w:t>Presumptively marital (SEP tied to self-employment; business formed 2018). Confirm whether any pre-marital funds or rollovers. Obtain statements</w:t>
            </w:r>
          </w:p>
        </w:tc>
      </w:tr>
      <w:tr>
        <w:tc>
          <w:tcPr>
            <w:tcW w:type="dxa" w:w="1584"/>
          </w:tcPr>
          <w:p>
            <w:r/>
            <w:r>
              <w:rPr>
                <w:sz w:val="16"/>
              </w:rPr>
              <w:t>Joint checking — Heartland</w:t>
            </w:r>
          </w:p>
        </w:tc>
        <w:tc>
          <w:tcPr>
            <w:tcW w:type="dxa" w:w="1944"/>
          </w:tcPr>
          <w:p>
            <w:r/>
            <w:r>
              <w:rPr>
                <w:sz w:val="16"/>
              </w:rPr>
              <w:t>~$14,200</w:t>
            </w:r>
          </w:p>
        </w:tc>
        <w:tc>
          <w:tcPr>
            <w:tcW w:type="dxa" w:w="1152"/>
          </w:tcPr>
          <w:p>
            <w:r/>
            <w:r>
              <w:rPr>
                <w:sz w:val="16"/>
              </w:rPr>
              <w:t>Joint</w:t>
            </w:r>
          </w:p>
        </w:tc>
        <w:tc>
          <w:tcPr>
            <w:tcW w:type="dxa" w:w="1584"/>
          </w:tcPr>
          <w:p>
            <w:r/>
            <w:r>
              <w:rPr>
                <w:sz w:val="16"/>
              </w:rPr>
              <w:t>Concerned Derek will drain</w:t>
            </w:r>
          </w:p>
        </w:tc>
        <w:tc>
          <w:tcPr>
            <w:tcW w:type="dxa" w:w="3384"/>
          </w:tcPr>
          <w:p>
            <w:r/>
            <w:r>
              <w:rPr>
                <w:sz w:val="16"/>
              </w:rPr>
              <w:t>Marital. Consider agreed order or 501 injunction; advise client against unilateral withdrawals beyond ordinary expenses</w:t>
            </w:r>
          </w:p>
        </w:tc>
      </w:tr>
      <w:tr>
        <w:tc>
          <w:tcPr>
            <w:tcW w:type="dxa" w:w="1584"/>
          </w:tcPr>
          <w:p>
            <w:r/>
            <w:r>
              <w:rPr>
                <w:sz w:val="16"/>
              </w:rPr>
              <w:t>Joint savings — Heartland</w:t>
            </w:r>
          </w:p>
        </w:tc>
        <w:tc>
          <w:tcPr>
            <w:tcW w:type="dxa" w:w="1944"/>
          </w:tcPr>
          <w:p>
            <w:r/>
            <w:r>
              <w:rPr>
                <w:sz w:val="16"/>
              </w:rPr>
              <w:t>~$62,000</w:t>
            </w:r>
          </w:p>
        </w:tc>
        <w:tc>
          <w:tcPr>
            <w:tcW w:type="dxa" w:w="1152"/>
          </w:tcPr>
          <w:p>
            <w:r/>
            <w:r>
              <w:rPr>
                <w:sz w:val="16"/>
              </w:rPr>
              <w:t>Joint</w:t>
            </w:r>
          </w:p>
        </w:tc>
        <w:tc>
          <w:tcPr>
            <w:tcW w:type="dxa" w:w="1584"/>
          </w:tcPr>
          <w:p>
            <w:r/>
            <w:r>
              <w:rPr>
                <w:sz w:val="16"/>
              </w:rPr>
              <w:t>Same</w:t>
            </w:r>
          </w:p>
        </w:tc>
        <w:tc>
          <w:tcPr>
            <w:tcW w:type="dxa" w:w="3384"/>
          </w:tcPr>
          <w:p>
            <w:r/>
            <w:r>
              <w:rPr>
                <w:sz w:val="16"/>
              </w:rPr>
              <w:t>Marital. Same as above</w:t>
            </w:r>
          </w:p>
        </w:tc>
      </w:tr>
      <w:tr>
        <w:tc>
          <w:tcPr>
            <w:tcW w:type="dxa" w:w="1584"/>
          </w:tcPr>
          <w:p>
            <w:r/>
            <w:r>
              <w:rPr>
                <w:sz w:val="16"/>
              </w:rPr>
              <w:t>Individual savings — Heartland (inheritance account)</w:t>
            </w:r>
          </w:p>
        </w:tc>
        <w:tc>
          <w:tcPr>
            <w:tcW w:type="dxa" w:w="1944"/>
          </w:tcPr>
          <w:p>
            <w:r/>
            <w:r>
              <w:rPr>
                <w:sz w:val="16"/>
              </w:rPr>
              <w:t>$38,500</w:t>
            </w:r>
          </w:p>
        </w:tc>
        <w:tc>
          <w:tcPr>
            <w:tcW w:type="dxa" w:w="1152"/>
          </w:tcPr>
          <w:p>
            <w:r/>
            <w:r>
              <w:rPr>
                <w:sz w:val="16"/>
              </w:rPr>
              <w:t>Rachel</w:t>
            </w:r>
          </w:p>
        </w:tc>
        <w:tc>
          <w:tcPr>
            <w:tcW w:type="dxa" w:w="1584"/>
          </w:tcPr>
          <w:p>
            <w:r/>
            <w:r>
              <w:rPr>
                <w:sz w:val="16"/>
              </w:rPr>
              <w:t>Separate (inheritance)</w:t>
            </w:r>
          </w:p>
        </w:tc>
        <w:tc>
          <w:tcPr>
            <w:tcW w:type="dxa" w:w="3384"/>
          </w:tcPr>
          <w:p>
            <w:r/>
            <w:r>
              <w:rPr>
                <w:sz w:val="16"/>
              </w:rPr>
              <w:t>Possibly separate if no marital deposits (prenup 3.2; 503(a)(1)). BUT $175,000 deposited less ~$58,000 renovation = ~$117,000 expected vs. $38,500 actual — ~$78,500 unaccounted for. Need complete statements Feb. 2020–present</w:t>
            </w:r>
          </w:p>
        </w:tc>
      </w:tr>
      <w:tr>
        <w:tc>
          <w:tcPr>
            <w:tcW w:type="dxa" w:w="1584"/>
          </w:tcPr>
          <w:p>
            <w:r/>
            <w:r>
              <w:rPr>
                <w:sz w:val="16"/>
              </w:rPr>
              <w:t>Inheritance from grandmother Soo-Jin Park</w:t>
            </w:r>
          </w:p>
        </w:tc>
        <w:tc>
          <w:tcPr>
            <w:tcW w:type="dxa" w:w="1944"/>
          </w:tcPr>
          <w:p>
            <w:r/>
            <w:r>
              <w:rPr>
                <w:sz w:val="16"/>
              </w:rPr>
              <w:t>$175,000 (decedent died Feb. 2020)</w:t>
            </w:r>
          </w:p>
        </w:tc>
        <w:tc>
          <w:tcPr>
            <w:tcW w:type="dxa" w:w="1152"/>
          </w:tcPr>
          <w:p>
            <w:r/>
            <w:r>
              <w:rPr>
                <w:sz w:val="16"/>
              </w:rPr>
              <w:t>Received by Rachel</w:t>
            </w:r>
          </w:p>
        </w:tc>
        <w:tc>
          <w:tcPr>
            <w:tcW w:type="dxa" w:w="1584"/>
          </w:tcPr>
          <w:p>
            <w:r/>
            <w:r>
              <w:rPr>
                <w:sz w:val="16"/>
              </w:rPr>
              <w:t>Remainder is separate</w:t>
            </w:r>
          </w:p>
        </w:tc>
        <w:tc>
          <w:tcPr>
            <w:tcW w:type="dxa" w:w="3384"/>
          </w:tcPr>
          <w:p>
            <w:r/>
            <w:r>
              <w:rPr>
                <w:sz w:val="16"/>
              </w:rPr>
              <w:t>~$58,000 used on jointly-titled home is likely transmuted/contributed to marital estate; prenup 3.2 presumption of conversion on commingling. Obtain estate/probate distribution records</w:t>
            </w:r>
          </w:p>
        </w:tc>
      </w:tr>
      <w:tr>
        <w:tc>
          <w:tcPr>
            <w:tcW w:type="dxa" w:w="1584"/>
          </w:tcPr>
          <w:p>
            <w:r/>
            <w:r>
              <w:rPr>
                <w:sz w:val="16"/>
              </w:rPr>
              <w:t>Brokerage — Whitcroft</w:t>
            </w:r>
          </w:p>
        </w:tc>
        <w:tc>
          <w:tcPr>
            <w:tcW w:type="dxa" w:w="1944"/>
          </w:tcPr>
          <w:p>
            <w:r/>
            <w:r>
              <w:rPr>
                <w:sz w:val="16"/>
              </w:rPr>
              <w:t>~$112,000 now; ~$45,000 at marriage (opened 2008)</w:t>
            </w:r>
          </w:p>
        </w:tc>
        <w:tc>
          <w:tcPr>
            <w:tcW w:type="dxa" w:w="1152"/>
          </w:tcPr>
          <w:p>
            <w:r/>
            <w:r>
              <w:rPr>
                <w:sz w:val="16"/>
              </w:rPr>
              <w:t>Rachel</w:t>
            </w:r>
          </w:p>
        </w:tc>
        <w:tc>
          <w:tcPr>
            <w:tcW w:type="dxa" w:w="1584"/>
          </w:tcPr>
          <w:p>
            <w:r/>
            <w:r>
              <w:rPr>
                <w:sz w:val="16"/>
              </w:rPr>
              <w:t>Partly premarital; "treated fairly"</w:t>
            </w:r>
          </w:p>
        </w:tc>
        <w:tc>
          <w:tcPr>
            <w:tcW w:type="dxa" w:w="3384"/>
          </w:tcPr>
          <w:p>
            <w:r/>
            <w:r>
              <w:rPr>
                <w:sz w:val="16"/>
              </w:rPr>
              <w:t>Mixed. Premarital basis (if on Schedule A) and passive appreciation thereon may be separate (prenup 3.1/3.3); marital-period contributions and their growth marital; commingling risk (503(c)(1)). Need statements from 2011 (ideally account-opening) to present for tracing</w:t>
            </w:r>
          </w:p>
        </w:tc>
      </w:tr>
      <w:tr>
        <w:tc>
          <w:tcPr>
            <w:tcW w:type="dxa" w:w="1584"/>
          </w:tcPr>
          <w:p>
            <w:r/>
            <w:r>
              <w:rPr>
                <w:sz w:val="16"/>
              </w:rPr>
              <w:t>529 plans — Bright Future College Savings (IL)</w:t>
            </w:r>
          </w:p>
        </w:tc>
        <w:tc>
          <w:tcPr>
            <w:tcW w:type="dxa" w:w="1944"/>
          </w:tcPr>
          <w:p>
            <w:r/>
            <w:r>
              <w:rPr>
                <w:sz w:val="16"/>
              </w:rPr>
              <w:t>Ethan ~$47,000; Lily ~$31,000; Owen ~$18,000 (total ~$96,000)</w:t>
            </w:r>
          </w:p>
        </w:tc>
        <w:tc>
          <w:tcPr>
            <w:tcW w:type="dxa" w:w="1152"/>
          </w:tcPr>
          <w:p>
            <w:r/>
            <w:r>
              <w:rPr>
                <w:sz w:val="16"/>
              </w:rPr>
              <w:t>Rachel listed as owner on all three</w:t>
            </w:r>
          </w:p>
        </w:tc>
        <w:tc>
          <w:tcPr>
            <w:tcW w:type="dxa" w:w="1584"/>
          </w:tcPr>
          <w:p>
            <w:r/>
            <w:r>
              <w:rPr>
                <w:sz w:val="16"/>
              </w:rPr>
              <w:t>Both contributed</w:t>
            </w:r>
          </w:p>
        </w:tc>
        <w:tc>
          <w:tcPr>
            <w:tcW w:type="dxa" w:w="3384"/>
          </w:tcPr>
          <w:p>
            <w:r/>
            <w:r>
              <w:rPr>
                <w:sz w:val="16"/>
              </w:rPr>
              <w:t>Funded with marital funds; treatment (allocation as marital asset vs. preserved for children / credit toward 513 college expenses) to be negotiated. Consider whether Derek seeks joint control</w:t>
            </w:r>
          </w:p>
        </w:tc>
      </w:tr>
      <w:tr>
        <w:tc>
          <w:tcPr>
            <w:tcW w:type="dxa" w:w="1584"/>
          </w:tcPr>
          <w:p>
            <w:r/>
            <w:r>
              <w:rPr>
                <w:sz w:val="16"/>
              </w:rPr>
              <w:t>Cryptocurrency — Coinbase (BTC, ETH)</w:t>
            </w:r>
          </w:p>
        </w:tc>
        <w:tc>
          <w:tcPr>
            <w:tcW w:type="dxa" w:w="1944"/>
          </w:tcPr>
          <w:p>
            <w:r/>
            <w:r>
              <w:rPr>
                <w:sz w:val="16"/>
              </w:rPr>
              <w:t>~$85,000 seen on dashboard late Nov. 2024 (no screenshot)</w:t>
            </w:r>
          </w:p>
        </w:tc>
        <w:tc>
          <w:tcPr>
            <w:tcW w:type="dxa" w:w="1152"/>
          </w:tcPr>
          <w:p>
            <w:r/>
            <w:r>
              <w:rPr>
                <w:sz w:val="16"/>
              </w:rPr>
              <w:t>Derek</w:t>
            </w:r>
          </w:p>
        </w:tc>
        <w:tc>
          <w:tcPr>
            <w:tcW w:type="dxa" w:w="1584"/>
          </w:tcPr>
          <w:p>
            <w:r/>
            <w:r>
              <w:rPr>
                <w:sz w:val="16"/>
              </w:rPr>
              <w:t>Derek is hiding it</w:t>
            </w:r>
          </w:p>
        </w:tc>
        <w:tc>
          <w:tcPr>
            <w:tcW w:type="dxa" w:w="3384"/>
          </w:tcPr>
          <w:p>
            <w:r/>
            <w:r>
              <w:rPr>
                <w:sz w:val="16"/>
              </w:rPr>
              <w:t>Marital (presumptively). Dec. 2024 "wallet transfer" — destination and amount unknown. Discovery: Coinbase subpoena (account statements, transaction history, withdrawal addresses), interrogatories/admissions re: all wallets; blockchain tracing if needed. Moving to self-custody is concealment risk, not by itself dissipation unless value is used for non-marital purposes</w:t>
            </w:r>
          </w:p>
        </w:tc>
      </w:tr>
      <w:tr>
        <w:tc>
          <w:tcPr>
            <w:tcW w:type="dxa" w:w="1584"/>
          </w:tcPr>
          <w:p>
            <w:r/>
            <w:r>
              <w:rPr>
                <w:sz w:val="16"/>
              </w:rPr>
              <w:t>Whitfield Digital Consulting, LLC</w:t>
            </w:r>
          </w:p>
        </w:tc>
        <w:tc>
          <w:tcPr>
            <w:tcW w:type="dxa" w:w="1944"/>
          </w:tcPr>
          <w:p>
            <w:r/>
            <w:r>
              <w:rPr>
                <w:sz w:val="16"/>
              </w:rPr>
              <w:t>Value unknown; no valuation; 2024 revenue ~$640,000; reported net ~$195,000; business LOC ~$45,000</w:t>
            </w:r>
          </w:p>
        </w:tc>
        <w:tc>
          <w:tcPr>
            <w:tcW w:type="dxa" w:w="1152"/>
          </w:tcPr>
          <w:p>
            <w:r/>
            <w:r>
              <w:rPr>
                <w:sz w:val="16"/>
              </w:rPr>
              <w:t>Derek (sole member)</w:t>
            </w:r>
          </w:p>
        </w:tc>
        <w:tc>
          <w:tcPr>
            <w:tcW w:type="dxa" w:w="1584"/>
          </w:tcPr>
          <w:p>
            <w:r/>
            <w:r>
              <w:rPr>
                <w:sz w:val="16"/>
              </w:rPr>
              <w:t>Marital — built during marriage; wants valuation and share</w:t>
            </w:r>
          </w:p>
        </w:tc>
        <w:tc>
          <w:tcPr>
            <w:tcW w:type="dxa" w:w="3384"/>
          </w:tcPr>
          <w:p>
            <w:r/>
            <w:r>
              <w:rPr>
                <w:sz w:val="16"/>
              </w:rPr>
              <w:t>Marital (formed Sept. 2018), subject to any missing prenup Sec. 4.3. Retain forensic accountant / business valuator; consider income normalization and goodwill (personal vs. enterprise) issues</w:t>
            </w:r>
          </w:p>
        </w:tc>
      </w:tr>
    </w:tbl>
    <w:p>
      <w:pPr>
        <w:spacing w:after="40"/>
      </w:pPr>
    </w:p>
    <w:p>
      <w:pPr>
        <w:spacing w:after="80"/>
      </w:pPr>
      <w:r>
        <w:rPr>
          <w:i/>
          <w:sz w:val="18"/>
        </w:rPr>
        <w:t>Rough gross asset total (client figures, before business value, taxes, and costs of sale): ≈ $1.73 million (home equity $498,000; cabin equity $117,000; 401(k) $523,000; SEP-IRA $189,000; bank accounts $114,700; Whitcroft $112,000; 529s $96,000; crypto $85,000). Illustrative only.</w:t>
      </w:r>
    </w:p>
    <w:p>
      <w:pPr>
        <w:pStyle w:val="Heading1"/>
      </w:pPr>
      <w:r>
        <w:t>7. Debts and Liabilities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728"/>
            <w:shd w:val="clear" w:color="auto" w:fill="1F3A5F"/>
          </w:tcPr>
          <w:p>
            <w:r/>
            <w:r>
              <w:rPr>
                <w:b/>
                <w:color w:val="FFFFFF"/>
                <w:sz w:val="17"/>
              </w:rPr>
              <w:t>Debt</w:t>
            </w:r>
          </w:p>
        </w:tc>
        <w:tc>
          <w:tcPr>
            <w:tcW w:type="dxa" w:w="1584"/>
            <w:shd w:val="clear" w:color="auto" w:fill="1F3A5F"/>
          </w:tcPr>
          <w:p>
            <w:r/>
            <w:r>
              <w:rPr>
                <w:b/>
                <w:color w:val="FFFFFF"/>
                <w:sz w:val="17"/>
              </w:rPr>
              <w:t>Creditor</w:t>
            </w:r>
          </w:p>
        </w:tc>
        <w:tc>
          <w:tcPr>
            <w:tcW w:type="dxa" w:w="1008"/>
            <w:shd w:val="clear" w:color="auto" w:fill="1F3A5F"/>
          </w:tcPr>
          <w:p>
            <w:r/>
            <w:r>
              <w:rPr>
                <w:b/>
                <w:color w:val="FFFFFF"/>
                <w:sz w:val="17"/>
              </w:rPr>
              <w:t>Balance</w:t>
            </w:r>
          </w:p>
        </w:tc>
        <w:tc>
          <w:tcPr>
            <w:tcW w:type="dxa" w:w="1440"/>
            <w:shd w:val="clear" w:color="auto" w:fill="1F3A5F"/>
          </w:tcPr>
          <w:p>
            <w:r/>
            <w:r>
              <w:rPr>
                <w:b/>
                <w:color w:val="FFFFFF"/>
                <w:sz w:val="17"/>
              </w:rPr>
              <w:t>Obligor</w:t>
            </w:r>
          </w:p>
        </w:tc>
        <w:tc>
          <w:tcPr>
            <w:tcW w:type="dxa" w:w="3888"/>
            <w:shd w:val="clear" w:color="auto" w:fill="1F3A5F"/>
          </w:tcPr>
          <w:p>
            <w:r/>
            <w:r>
              <w:rPr>
                <w:b/>
                <w:color w:val="FFFFFF"/>
                <w:sz w:val="17"/>
              </w:rPr>
              <w:t>Notes</w:t>
            </w:r>
          </w:p>
        </w:tc>
      </w:tr>
      <w:tr>
        <w:tc>
          <w:tcPr>
            <w:tcW w:type="dxa" w:w="1728"/>
          </w:tcPr>
          <w:p>
            <w:r/>
            <w:r>
              <w:rPr>
                <w:sz w:val="17"/>
              </w:rPr>
              <w:t>Mortgage — marital home</w:t>
            </w:r>
          </w:p>
        </w:tc>
        <w:tc>
          <w:tcPr>
            <w:tcW w:type="dxa" w:w="1584"/>
          </w:tcPr>
          <w:p>
            <w:r/>
            <w:r>
              <w:rPr>
                <w:sz w:val="17"/>
              </w:rPr>
              <w:t>Heartland National Bank</w:t>
            </w:r>
          </w:p>
        </w:tc>
        <w:tc>
          <w:tcPr>
            <w:tcW w:type="dxa" w:w="1008"/>
          </w:tcPr>
          <w:p>
            <w:r/>
            <w:r>
              <w:rPr>
                <w:sz w:val="17"/>
              </w:rPr>
              <w:t>$412,000</w:t>
            </w:r>
          </w:p>
        </w:tc>
        <w:tc>
          <w:tcPr>
            <w:tcW w:type="dxa" w:w="1440"/>
          </w:tcPr>
          <w:p>
            <w:r/>
            <w:r>
              <w:rPr>
                <w:sz w:val="17"/>
              </w:rPr>
              <w:t>Joint</w:t>
            </w:r>
          </w:p>
        </w:tc>
        <w:tc>
          <w:tcPr>
            <w:tcW w:type="dxa" w:w="3888"/>
          </w:tcPr>
          <w:p>
            <w:r/>
            <w:r>
              <w:rPr>
                <w:sz w:val="17"/>
              </w:rPr>
              <w:t>~$2,400/mo per [E]; confirm terms (see Sec. 6)</w:t>
            </w:r>
          </w:p>
        </w:tc>
      </w:tr>
      <w:tr>
        <w:tc>
          <w:tcPr>
            <w:tcW w:type="dxa" w:w="1728"/>
          </w:tcPr>
          <w:p>
            <w:r/>
            <w:r>
              <w:rPr>
                <w:sz w:val="17"/>
              </w:rPr>
              <w:t>Mortgage — Galena cabin</w:t>
            </w:r>
          </w:p>
        </w:tc>
        <w:tc>
          <w:tcPr>
            <w:tcW w:type="dxa" w:w="1584"/>
          </w:tcPr>
          <w:p>
            <w:r/>
            <w:r>
              <w:rPr>
                <w:sz w:val="17"/>
              </w:rPr>
              <w:t>Heartland National Bank</w:t>
            </w:r>
          </w:p>
        </w:tc>
        <w:tc>
          <w:tcPr>
            <w:tcW w:type="dxa" w:w="1008"/>
          </w:tcPr>
          <w:p>
            <w:r/>
            <w:r>
              <w:rPr>
                <w:sz w:val="17"/>
              </w:rPr>
              <w:t>$148,000</w:t>
            </w:r>
          </w:p>
        </w:tc>
        <w:tc>
          <w:tcPr>
            <w:tcW w:type="dxa" w:w="1440"/>
          </w:tcPr>
          <w:p>
            <w:r/>
            <w:r>
              <w:rPr>
                <w:sz w:val="17"/>
              </w:rPr>
              <w:t>Rachel</w:t>
            </w:r>
          </w:p>
        </w:tc>
        <w:tc>
          <w:tcPr>
            <w:tcW w:type="dxa" w:w="3888"/>
          </w:tcPr>
          <w:p>
            <w:r/>
            <w:r>
              <w:rPr>
                <w:sz w:val="17"/>
              </w:rPr>
              <w:t>~$950/mo per [E]; paid during marriage presumably from marital income</w:t>
            </w:r>
          </w:p>
        </w:tc>
      </w:tr>
      <w:tr>
        <w:tc>
          <w:tcPr>
            <w:tcW w:type="dxa" w:w="1728"/>
          </w:tcPr>
          <w:p>
            <w:r/>
            <w:r>
              <w:rPr>
                <w:sz w:val="17"/>
              </w:rPr>
              <w:t>Federal student loans</w:t>
            </w:r>
          </w:p>
        </w:tc>
        <w:tc>
          <w:tcPr>
            <w:tcW w:type="dxa" w:w="1584"/>
          </w:tcPr>
          <w:p>
            <w:r/>
            <w:r>
              <w:rPr>
                <w:sz w:val="17"/>
              </w:rPr>
              <w:t>U.S. Dept. of Education</w:t>
            </w:r>
          </w:p>
        </w:tc>
        <w:tc>
          <w:tcPr>
            <w:tcW w:type="dxa" w:w="1008"/>
          </w:tcPr>
          <w:p>
            <w:r/>
            <w:r>
              <w:rPr>
                <w:sz w:val="17"/>
              </w:rPr>
              <w:t>$34,000</w:t>
            </w:r>
          </w:p>
        </w:tc>
        <w:tc>
          <w:tcPr>
            <w:tcW w:type="dxa" w:w="1440"/>
          </w:tcPr>
          <w:p>
            <w:r/>
            <w:r>
              <w:rPr>
                <w:sz w:val="17"/>
              </w:rPr>
              <w:t>Rachel</w:t>
            </w:r>
          </w:p>
        </w:tc>
        <w:tc>
          <w:tcPr>
            <w:tcW w:type="dxa" w:w="3888"/>
          </w:tcPr>
          <w:p>
            <w:r/>
            <w:r>
              <w:rPr>
                <w:sz w:val="17"/>
              </w:rPr>
              <w:t>Originally ~$180,000 from medical school (M.D. 2012; much incurred before the Aug. 2011 marriage). ~$146,000 paid down during marriage likely with marital funds — Derek may claim contribution/offset. IDR payment ~$400/mo. PSLF: client believes forgiveness is imminent "since I work in healthcare" — PSLF requires a qualifying employer (government or 501(c)(3) nonprofit) and 120 qualifying payments; Lakeshore Medical Group, S.C. appears to be a service corporation and may not qualify — verify. Timeline inconsistent ([Q] "within the next year or so" vs. [E] "about two more years")</w:t>
            </w:r>
          </w:p>
        </w:tc>
      </w:tr>
      <w:tr>
        <w:tc>
          <w:tcPr>
            <w:tcW w:type="dxa" w:w="1728"/>
          </w:tcPr>
          <w:p>
            <w:r/>
            <w:r>
              <w:rPr>
                <w:sz w:val="17"/>
              </w:rPr>
              <w:t>Credit card — Chase Sapphire</w:t>
            </w:r>
          </w:p>
        </w:tc>
        <w:tc>
          <w:tcPr>
            <w:tcW w:type="dxa" w:w="1584"/>
          </w:tcPr>
          <w:p>
            <w:r/>
            <w:r>
              <w:rPr>
                <w:sz w:val="17"/>
              </w:rPr>
              <w:t>Chase</w:t>
            </w:r>
          </w:p>
        </w:tc>
        <w:tc>
          <w:tcPr>
            <w:tcW w:type="dxa" w:w="1008"/>
          </w:tcPr>
          <w:p>
            <w:r/>
            <w:r>
              <w:rPr>
                <w:sz w:val="17"/>
              </w:rPr>
              <w:t>$8,700</w:t>
            </w:r>
          </w:p>
        </w:tc>
        <w:tc>
          <w:tcPr>
            <w:tcW w:type="dxa" w:w="1440"/>
          </w:tcPr>
          <w:p>
            <w:r/>
            <w:r>
              <w:rPr>
                <w:sz w:val="17"/>
              </w:rPr>
              <w:t>Joint</w:t>
            </w:r>
          </w:p>
        </w:tc>
        <w:tc>
          <w:tcPr>
            <w:tcW w:type="dxa" w:w="3888"/>
          </w:tcPr>
          <w:p>
            <w:r/>
            <w:r>
              <w:rPr>
                <w:sz w:val="17"/>
              </w:rPr>
              <w:t>Partly holiday expenses and partly client's retainer payment to this firm; ~$250/mo minimum. Fee payment from marital credit may be raised by Derek (interim-fee / advance-on-distribution issues)</w:t>
            </w:r>
          </w:p>
        </w:tc>
      </w:tr>
      <w:tr>
        <w:tc>
          <w:tcPr>
            <w:tcW w:type="dxa" w:w="1728"/>
          </w:tcPr>
          <w:p>
            <w:r/>
            <w:r>
              <w:rPr>
                <w:sz w:val="17"/>
              </w:rPr>
              <w:t>Business line of credit</w:t>
            </w:r>
          </w:p>
        </w:tc>
        <w:tc>
          <w:tcPr>
            <w:tcW w:type="dxa" w:w="1584"/>
          </w:tcPr>
          <w:p>
            <w:r/>
            <w:r>
              <w:rPr>
                <w:sz w:val="17"/>
              </w:rPr>
              <w:t>Unknown lender</w:t>
            </w:r>
          </w:p>
        </w:tc>
        <w:tc>
          <w:tcPr>
            <w:tcW w:type="dxa" w:w="1008"/>
          </w:tcPr>
          <w:p>
            <w:r/>
            <w:r>
              <w:rPr>
                <w:sz w:val="17"/>
              </w:rPr>
              <w:t>~$45,000</w:t>
            </w:r>
          </w:p>
        </w:tc>
        <w:tc>
          <w:tcPr>
            <w:tcW w:type="dxa" w:w="1440"/>
          </w:tcPr>
          <w:p>
            <w:r/>
            <w:r>
              <w:rPr>
                <w:sz w:val="17"/>
              </w:rPr>
              <w:t>Derek / Whitfield Digital Consulting, LLC</w:t>
            </w:r>
          </w:p>
        </w:tc>
        <w:tc>
          <w:tcPr>
            <w:tcW w:type="dxa" w:w="3888"/>
          </w:tcPr>
          <w:p>
            <w:r/>
            <w:r>
              <w:rPr>
                <w:sz w:val="17"/>
              </w:rPr>
              <w:t>Terms, lender, guaranty, and use of proceeds unknown</w:t>
            </w:r>
          </w:p>
        </w:tc>
      </w:tr>
      <w:tr>
        <w:tc>
          <w:tcPr>
            <w:tcW w:type="dxa" w:w="1728"/>
          </w:tcPr>
          <w:p>
            <w:r/>
            <w:r>
              <w:rPr>
                <w:sz w:val="17"/>
              </w:rPr>
              <w:t>Derek's student loans</w:t>
            </w:r>
          </w:p>
        </w:tc>
        <w:tc>
          <w:tcPr>
            <w:tcW w:type="dxa" w:w="1584"/>
          </w:tcPr>
          <w:p>
            <w:r/>
            <w:r>
              <w:rPr>
                <w:sz w:val="17"/>
              </w:rPr>
              <w:t>—</w:t>
            </w:r>
          </w:p>
        </w:tc>
        <w:tc>
          <w:tcPr>
            <w:tcW w:type="dxa" w:w="1008"/>
          </w:tcPr>
          <w:p>
            <w:r/>
            <w:r>
              <w:rPr>
                <w:sz w:val="17"/>
              </w:rPr>
              <w:t>$0</w:t>
            </w:r>
          </w:p>
        </w:tc>
        <w:tc>
          <w:tcPr>
            <w:tcW w:type="dxa" w:w="1440"/>
          </w:tcPr>
          <w:p>
            <w:r/>
            <w:r>
              <w:rPr>
                <w:sz w:val="17"/>
              </w:rPr>
              <w:t>Derek</w:t>
            </w:r>
          </w:p>
        </w:tc>
        <w:tc>
          <w:tcPr>
            <w:tcW w:type="dxa" w:w="3888"/>
          </w:tcPr>
          <w:p>
            <w:r/>
            <w:r>
              <w:rPr>
                <w:sz w:val="17"/>
              </w:rPr>
              <w:t>Paid off in 2017 (during marriage) — potential offset to any claim regarding client's loan paydown</w:t>
            </w:r>
          </w:p>
        </w:tc>
      </w:tr>
    </w:tbl>
    <w:p>
      <w:pPr>
        <w:spacing w:after="40"/>
      </w:pPr>
    </w:p>
    <w:p>
      <w:pPr>
        <w:pStyle w:val="Heading1"/>
      </w:pPr>
      <w:r>
        <w:t>8. Income, Business Expenses, and Support</w:t>
      </w:r>
    </w:p>
    <w:p>
      <w:pPr>
        <w:pStyle w:val="Heading2"/>
      </w:pPr>
      <w:r>
        <w:t>8.1 Derek's business — client's challenged 2024 expenses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728"/>
            <w:shd w:val="clear" w:color="auto" w:fill="1F3A5F"/>
          </w:tcPr>
          <w:p>
            <w:r/>
            <w:r>
              <w:rPr>
                <w:b/>
                <w:color w:val="FFFFFF"/>
                <w:sz w:val="16"/>
              </w:rPr>
              <w:t>Category (2024)</w:t>
            </w:r>
          </w:p>
        </w:tc>
        <w:tc>
          <w:tcPr>
            <w:tcW w:type="dxa" w:w="1008"/>
            <w:shd w:val="clear" w:color="auto" w:fill="1F3A5F"/>
          </w:tcPr>
          <w:p>
            <w:r/>
            <w:r>
              <w:rPr>
                <w:b/>
                <w:color w:val="FFFFFF"/>
                <w:sz w:val="16"/>
              </w:rPr>
              <w:t>Amount claimed</w:t>
            </w:r>
          </w:p>
        </w:tc>
        <w:tc>
          <w:tcPr>
            <w:tcW w:type="dxa" w:w="2736"/>
            <w:shd w:val="clear" w:color="auto" w:fill="1F3A5F"/>
          </w:tcPr>
          <w:p>
            <w:r/>
            <w:r>
              <w:rPr>
                <w:b/>
                <w:color w:val="FFFFFF"/>
                <w:sz w:val="16"/>
              </w:rPr>
              <w:t>Client's allegation</w:t>
            </w:r>
          </w:p>
        </w:tc>
        <w:tc>
          <w:tcPr>
            <w:tcW w:type="dxa" w:w="1872"/>
            <w:shd w:val="clear" w:color="auto" w:fill="1F3A5F"/>
          </w:tcPr>
          <w:p>
            <w:r/>
            <w:r>
              <w:rPr>
                <w:b/>
                <w:color w:val="FFFFFF"/>
                <w:sz w:val="16"/>
              </w:rPr>
              <w:t>Client's estimate of personal/fake portion</w:t>
            </w:r>
          </w:p>
        </w:tc>
        <w:tc>
          <w:tcPr>
            <w:tcW w:type="dxa" w:w="2304"/>
            <w:shd w:val="clear" w:color="auto" w:fill="1F3A5F"/>
          </w:tcPr>
          <w:p>
            <w:r/>
            <w:r>
              <w:rPr>
                <w:b/>
                <w:color w:val="FFFFFF"/>
                <w:sz w:val="16"/>
              </w:rPr>
              <w:t>Evidence / follow-up</w:t>
            </w:r>
          </w:p>
        </w:tc>
      </w:tr>
      <w:tr>
        <w:tc>
          <w:tcPr>
            <w:tcW w:type="dxa" w:w="1728"/>
          </w:tcPr>
          <w:p>
            <w:r/>
            <w:r>
              <w:rPr>
                <w:sz w:val="16"/>
              </w:rPr>
              <w:t>Contractor payments — Voss Creative Partners (Marcus Voss)</w:t>
            </w:r>
          </w:p>
        </w:tc>
        <w:tc>
          <w:tcPr>
            <w:tcW w:type="dxa" w:w="1008"/>
          </w:tcPr>
          <w:p>
            <w:r/>
            <w:r>
              <w:rPr>
                <w:sz w:val="16"/>
              </w:rPr>
              <w:t>$48,000</w:t>
            </w:r>
          </w:p>
        </w:tc>
        <w:tc>
          <w:tcPr>
            <w:tcW w:type="dxa" w:w="2736"/>
          </w:tcPr>
          <w:p>
            <w:r/>
            <w:r>
              <w:rPr>
                <w:sz w:val="16"/>
              </w:rPr>
              <w:t>Inflated or fabricated invoices; possible kickback. Voss is Derek's friend ([Q]: "college friend"; [E]: Kellogg MBA classmate) who does freelance graphic design</w:t>
            </w:r>
          </w:p>
        </w:tc>
        <w:tc>
          <w:tcPr>
            <w:tcW w:type="dxa" w:w="1872"/>
          </w:tcPr>
          <w:p>
            <w:r/>
            <w:r>
              <w:rPr>
                <w:sz w:val="16"/>
              </w:rPr>
              <w:t>Up to $48,000</w:t>
            </w:r>
          </w:p>
        </w:tc>
        <w:tc>
          <w:tcPr>
            <w:tcW w:type="dxa" w:w="2304"/>
          </w:tcPr>
          <w:p>
            <w:r/>
            <w:r>
              <w:rPr>
                <w:sz w:val="16"/>
              </w:rPr>
              <w:t>Invoices, 1099s, payment records, work product; Voss entity records; possible deposition/subpoena. Scottsdale golf trip with Voss (Oct. 2024) may also be expensed</w:t>
            </w:r>
          </w:p>
        </w:tc>
      </w:tr>
      <w:tr>
        <w:tc>
          <w:tcPr>
            <w:tcW w:type="dxa" w:w="1728"/>
          </w:tcPr>
          <w:p>
            <w:r/>
            <w:r>
              <w:rPr>
                <w:sz w:val="16"/>
              </w:rPr>
              <w:t>Travel &amp; Entertainment</w:t>
            </w:r>
          </w:p>
        </w:tc>
        <w:tc>
          <w:tcPr>
            <w:tcW w:type="dxa" w:w="1008"/>
          </w:tcPr>
          <w:p>
            <w:r/>
            <w:r>
              <w:rPr>
                <w:sz w:val="16"/>
              </w:rPr>
              <w:t>$36,000</w:t>
            </w:r>
          </w:p>
        </w:tc>
        <w:tc>
          <w:tcPr>
            <w:tcW w:type="dxa" w:w="2736"/>
          </w:tcPr>
          <w:p>
            <w:r/>
            <w:r>
              <w:rPr>
                <w:sz w:val="16"/>
              </w:rPr>
              <w:t>[Q]: two Las Vegas trips claimed as client meetings. [E]: Miami (Mar. 2024, nightclub photos on social media) and Austin (July 2024, unverified "conference"); possibly Scottsdale golf trip</w:t>
            </w:r>
          </w:p>
        </w:tc>
        <w:tc>
          <w:tcPr>
            <w:tcW w:type="dxa" w:w="1872"/>
          </w:tcPr>
          <w:p>
            <w:r/>
            <w:r>
              <w:rPr>
                <w:sz w:val="16"/>
              </w:rPr>
              <w:t>[Q] implies all $36,000; [E] estimates $15,000–$20,000</w:t>
            </w:r>
          </w:p>
        </w:tc>
        <w:tc>
          <w:tcPr>
            <w:tcW w:type="dxa" w:w="2304"/>
          </w:tcPr>
          <w:p>
            <w:r/>
            <w:r>
              <w:rPr>
                <w:sz w:val="16"/>
              </w:rPr>
              <w:t>Preserve social-media posts (lawfully viewable only); credit card and travel records; calendars</w:t>
            </w:r>
          </w:p>
        </w:tc>
      </w:tr>
      <w:tr>
        <w:tc>
          <w:tcPr>
            <w:tcW w:type="dxa" w:w="1728"/>
          </w:tcPr>
          <w:p>
            <w:r/>
            <w:r>
              <w:rPr>
                <w:sz w:val="16"/>
              </w:rPr>
              <w:t>Equipment &amp; Software</w:t>
            </w:r>
          </w:p>
        </w:tc>
        <w:tc>
          <w:tcPr>
            <w:tcW w:type="dxa" w:w="1008"/>
          </w:tcPr>
          <w:p>
            <w:r/>
            <w:r>
              <w:rPr>
                <w:sz w:val="16"/>
              </w:rPr>
              <w:t>$18,500</w:t>
            </w:r>
          </w:p>
        </w:tc>
        <w:tc>
          <w:tcPr>
            <w:tcW w:type="dxa" w:w="2736"/>
          </w:tcPr>
          <w:p>
            <w:r/>
            <w:r>
              <w:rPr>
                <w:sz w:val="16"/>
              </w:rPr>
              <w:t>Includes $7,200 custom gaming PC bought June 2024 as Ethan's birthday gift, kept in Ethan's bedroom; other software subscriptions questioned (no specifics)</w:t>
            </w:r>
          </w:p>
        </w:tc>
        <w:tc>
          <w:tcPr>
            <w:tcW w:type="dxa" w:w="1872"/>
          </w:tcPr>
          <w:p>
            <w:r/>
            <w:r>
              <w:rPr>
                <w:sz w:val="16"/>
              </w:rPr>
              <w:t>$7,200 documented; remainder unknown</w:t>
            </w:r>
          </w:p>
        </w:tc>
        <w:tc>
          <w:tcPr>
            <w:tcW w:type="dxa" w:w="2304"/>
          </w:tcPr>
          <w:p>
            <w:r/>
            <w:r>
              <w:rPr>
                <w:sz w:val="16"/>
              </w:rPr>
              <w:t>Client found receipt; preserve it. Photograph the computer in the home</w:t>
            </w:r>
          </w:p>
        </w:tc>
      </w:tr>
      <w:tr>
        <w:tc>
          <w:tcPr>
            <w:tcW w:type="dxa" w:w="1728"/>
          </w:tcPr>
          <w:p>
            <w:r/>
            <w:r>
              <w:rPr>
                <w:sz w:val="16"/>
              </w:rPr>
              <w:t>Totals</w:t>
            </w:r>
          </w:p>
        </w:tc>
        <w:tc>
          <w:tcPr>
            <w:tcW w:type="dxa" w:w="1008"/>
          </w:tcPr>
          <w:p>
            <w:r/>
            <w:r>
              <w:rPr>
                <w:sz w:val="16"/>
              </w:rPr>
              <w:t>$102,500</w:t>
            </w:r>
          </w:p>
        </w:tc>
        <w:tc>
          <w:tcPr>
            <w:tcW w:type="dxa" w:w="2736"/>
          </w:tcPr>
          <w:p>
            <w:r/>
            <w:r>
              <w:rPr>
                <w:sz w:val="16"/>
              </w:rPr>
              <w:t>Client says "almost $103,000" is fake or personal</w:t>
            </w:r>
          </w:p>
        </w:tc>
        <w:tc>
          <w:tcPr>
            <w:tcW w:type="dxa" w:w="1872"/>
          </w:tcPr>
          <w:p>
            <w:r/>
            <w:r>
              <w:rPr>
                <w:sz w:val="16"/>
              </w:rPr>
              <w:t>Supportable on current facts: ~$70,200–$75,200 ($48,000 + $15,000–$20,000 + $7,200) — and the Voss figure is speculative</w:t>
            </w:r>
          </w:p>
        </w:tc>
        <w:tc>
          <w:tcPr>
            <w:tcW w:type="dxa" w:w="2304"/>
          </w:tcPr>
          <w:p>
            <w:r/>
            <w:r>
              <w:rPr>
                <w:sz w:val="16"/>
              </w:rPr>
              <w:t>Forensic accountant review of general ledger, bank and card statements, tax returns (3–5 years)</w:t>
            </w:r>
          </w:p>
        </w:tc>
      </w:tr>
    </w:tbl>
    <w:p>
      <w:pPr>
        <w:spacing w:after="40"/>
      </w:pPr>
    </w:p>
    <w:p>
      <w:pPr>
        <w:spacing w:after="80"/>
      </w:pPr>
      <w:r>
        <w:rPr>
          <w:i w:val="0"/>
        </w:rPr>
        <w:t>Revenue $640,000 less reported net $195,000 implies ~$445,000 in total deductions. Client believes Derek's true income is "well over $250,000." Discrepancy on nature of business: [Q] "digital marketing and SEO consulting"; [E] "IT strategy and digital transformation consulting" — confirm.</w:t>
      </w:r>
    </w:p>
    <w:p>
      <w:pPr>
        <w:spacing w:after="80"/>
      </w:pPr>
      <w:r>
        <w:rPr>
          <w:b/>
          <w:i w:val="0"/>
        </w:rPr>
        <w:t xml:space="preserve">Evidence-gathering caution: </w:t>
      </w:r>
      <w:r>
        <w:t>Client reviewed papers Derek left in a shared home-office area and observed his laptop screen and phone notifications. Advise client not to access Derek's devices, accounts, passwords, or sealed/private papers (risk of eavesdropping, computer-tampering, or privacy claims and evidentiary exclusion); preserve what she lawfully has and let us obtain the rest through formal discovery.</w:t>
      </w:r>
    </w:p>
    <w:p>
      <w:pPr>
        <w:pStyle w:val="Heading2"/>
      </w:pPr>
      <w:r>
        <w:t>8.2 Maintenance — preliminary analysis</w:t>
      </w:r>
    </w:p>
    <w:p>
      <w:pPr>
        <w:pStyle w:val="ListBullet"/>
        <w:spacing w:after="40"/>
      </w:pPr>
      <w:r>
        <w:t>Prenup Sec. 5.2 removes the 10-year waiver; maintenance is governed by Illinois law. Court first decides whether maintenance is appropriate under 504(a) factors; guideline amounts and duration apply only if combined gross annual income is under $500,000 (and no multiple-family situation) (504(b-1)).</w:t>
      </w:r>
    </w:p>
    <w:p>
      <w:pPr>
        <w:pStyle w:val="ListBullet"/>
        <w:spacing w:after="40"/>
      </w:pPr>
      <w:r>
        <w:t>Reported combined gross ≈ $482,000 ($287,000 + $195,000), or ≈ $492,800 with cabin rent. Any income add-back for Derek above roughly $7,000–$18,000 pushes the combined figure over $500,000, taking the case out of the guidelines and into court discretion.</w:t>
      </w:r>
    </w:p>
    <w:p>
      <w:pPr>
        <w:pStyle w:val="ListBullet"/>
        <w:spacing w:after="40"/>
      </w:pPr>
      <w:r>
        <w:t>Guideline formula: 33⅓% of payor's net income minus 25% of payee's net income, capped so that payee's net income plus maintenance does not exceed 40% of combined net income. Using gross figures as a rough proxy: even if Derek's income were $297,500 (full add-backs), client's own income would be ~49% of the combined total — above the 40% cap — producing no guideline maintenance to client. On reported figures, Derek's income (~40% of combined) would likewise produce little or no guideline maintenance to him. A net-income calculation is required.</w:t>
      </w:r>
    </w:p>
    <w:p>
      <w:pPr>
        <w:pStyle w:val="ListBullet"/>
        <w:spacing w:after="40"/>
      </w:pPr>
      <w:r>
        <w:t>Duration if awarded under guidelines: ~13.5-year marriage × 0.56 ≈ 7.5 years. Client seeks "at least 5 years."</w:t>
      </w:r>
    </w:p>
    <w:p>
      <w:pPr>
        <w:pStyle w:val="ListBullet"/>
        <w:spacing w:after="40"/>
      </w:pPr>
      <w:r>
        <w:t>Bottom line for client counseling: client is the higher or comparable earner; a maintenance award in her favor is unlikely, and her goal should be reframed (e.g., defending against any claim by Derek; using income findings for child support and property allocation).</w:t>
      </w:r>
    </w:p>
    <w:p>
      <w:pPr>
        <w:pStyle w:val="Heading2"/>
      </w:pPr>
      <w:r>
        <w:t>8.3 Child support and children's expenses</w:t>
      </w:r>
    </w:p>
    <w:p>
      <w:pPr>
        <w:pStyle w:val="ListBullet"/>
        <w:spacing w:after="40"/>
      </w:pPr>
      <w:r>
        <w:t>Illinois income-shares model (750 ILCS 5/505): combined net incomes; shared-parenting adjustment if each parent has 146 or more overnights per year. Derek's true income (business add-backs) and client's cabin rental income both affect the calculation; any maintenance is calculated first.</w:t>
      </w:r>
    </w:p>
    <w:p>
      <w:pPr>
        <w:pStyle w:val="ListBullet"/>
        <w:spacing w:after="40"/>
      </w:pPr>
      <w:r>
        <w:t>Add-ons to be apportioned: children's share of health insurance premiums (client carries), uncovered medical costs (Owen's therapy copays), child care (Bright Horizons $1,800/mo; after-school care ~$200/mo), and extracurriculars (soccer, ballet).</w:t>
      </w:r>
    </w:p>
    <w:tbl>
      <w:tblPr>
        <w:tblStyle w:val="TableGrid"/>
        <w:tblW w:type="auto" w:w="0"/>
        <w:jc w:val="center"/>
        <w:tblLook w:firstColumn="1" w:firstRow="1" w:lastColumn="0" w:lastRow="0" w:noHBand="0" w:noVBand="1" w:val="04A0"/>
      </w:tblPr>
      <w:tblGrid>
        <w:gridCol w:w="4824"/>
        <w:gridCol w:w="4824"/>
      </w:tblGrid>
      <w:tr>
        <w:tc>
          <w:tcPr>
            <w:tcW w:type="dxa" w:w="6624"/>
            <w:shd w:val="clear" w:color="auto" w:fill="1F3A5F"/>
          </w:tcPr>
          <w:p>
            <w:r/>
            <w:r>
              <w:rPr>
                <w:b/>
                <w:color w:val="FFFFFF"/>
                <w:sz w:val="18"/>
              </w:rPr>
              <w:t>Monthly children's expense (client estimate)</w:t>
            </w:r>
          </w:p>
        </w:tc>
        <w:tc>
          <w:tcPr>
            <w:tcW w:type="dxa" w:w="2880"/>
            <w:shd w:val="clear" w:color="auto" w:fill="1F3A5F"/>
          </w:tcPr>
          <w:p>
            <w:r/>
            <w:r>
              <w:rPr>
                <w:b/>
                <w:color w:val="FFFFFF"/>
                <w:sz w:val="18"/>
              </w:rPr>
              <w:t>Amount</w:t>
            </w:r>
          </w:p>
        </w:tc>
      </w:tr>
      <w:tr>
        <w:tc>
          <w:tcPr>
            <w:tcW w:type="dxa" w:w="6624"/>
          </w:tcPr>
          <w:p>
            <w:r/>
            <w:r>
              <w:rPr>
                <w:sz w:val="18"/>
              </w:rPr>
              <w:t>Ethan — travel soccer fees and travel</w:t>
            </w:r>
          </w:p>
        </w:tc>
        <w:tc>
          <w:tcPr>
            <w:tcW w:type="dxa" w:w="2880"/>
          </w:tcPr>
          <w:p>
            <w:r/>
            <w:r>
              <w:rPr>
                <w:sz w:val="18"/>
              </w:rPr>
              <w:t>$300</w:t>
            </w:r>
          </w:p>
        </w:tc>
      </w:tr>
      <w:tr>
        <w:tc>
          <w:tcPr>
            <w:tcW w:type="dxa" w:w="6624"/>
          </w:tcPr>
          <w:p>
            <w:r/>
            <w:r>
              <w:rPr>
                <w:sz w:val="18"/>
              </w:rPr>
              <w:t>Lily — ballet</w:t>
            </w:r>
          </w:p>
        </w:tc>
        <w:tc>
          <w:tcPr>
            <w:tcW w:type="dxa" w:w="2880"/>
          </w:tcPr>
          <w:p>
            <w:r/>
            <w:r>
              <w:rPr>
                <w:sz w:val="18"/>
              </w:rPr>
              <w:t>$150</w:t>
            </w:r>
          </w:p>
        </w:tc>
      </w:tr>
      <w:tr>
        <w:tc>
          <w:tcPr>
            <w:tcW w:type="dxa" w:w="6624"/>
          </w:tcPr>
          <w:p>
            <w:r/>
            <w:r>
              <w:rPr>
                <w:sz w:val="18"/>
              </w:rPr>
              <w:t>Owen — Bright Horizons preschool</w:t>
            </w:r>
          </w:p>
        </w:tc>
        <w:tc>
          <w:tcPr>
            <w:tcW w:type="dxa" w:w="2880"/>
          </w:tcPr>
          <w:p>
            <w:r/>
            <w:r>
              <w:rPr>
                <w:sz w:val="18"/>
              </w:rPr>
              <w:t>$1,800</w:t>
            </w:r>
          </w:p>
        </w:tc>
      </w:tr>
      <w:tr>
        <w:tc>
          <w:tcPr>
            <w:tcW w:type="dxa" w:w="6624"/>
          </w:tcPr>
          <w:p>
            <w:r/>
            <w:r>
              <w:rPr>
                <w:sz w:val="18"/>
              </w:rPr>
              <w:t>Owen — speech therapy copays ($40 × 2/week; ~$80/week)</w:t>
            </w:r>
          </w:p>
        </w:tc>
        <w:tc>
          <w:tcPr>
            <w:tcW w:type="dxa" w:w="2880"/>
          </w:tcPr>
          <w:p>
            <w:r/>
            <w:r>
              <w:rPr>
                <w:sz w:val="18"/>
              </w:rPr>
              <w:t>$320 (≈ $347 at 4.33 weeks/month)</w:t>
            </w:r>
          </w:p>
        </w:tc>
      </w:tr>
      <w:tr>
        <w:tc>
          <w:tcPr>
            <w:tcW w:type="dxa" w:w="6624"/>
          </w:tcPr>
          <w:p>
            <w:r/>
            <w:r>
              <w:rPr>
                <w:sz w:val="18"/>
              </w:rPr>
              <w:t>After-school care (Ethan and Lily, days client works late)</w:t>
            </w:r>
          </w:p>
        </w:tc>
        <w:tc>
          <w:tcPr>
            <w:tcW w:type="dxa" w:w="2880"/>
          </w:tcPr>
          <w:p>
            <w:r/>
            <w:r>
              <w:rPr>
                <w:sz w:val="18"/>
              </w:rPr>
              <w:t>$200</w:t>
            </w:r>
          </w:p>
        </w:tc>
      </w:tr>
      <w:tr>
        <w:tc>
          <w:tcPr>
            <w:tcW w:type="dxa" w:w="6624"/>
          </w:tcPr>
          <w:p>
            <w:r/>
            <w:r>
              <w:rPr>
                <w:sz w:val="18"/>
              </w:rPr>
              <w:t>General (clothes, food, school supplies) — client unsure</w:t>
            </w:r>
          </w:p>
        </w:tc>
        <w:tc>
          <w:tcPr>
            <w:tcW w:type="dxa" w:w="2880"/>
          </w:tcPr>
          <w:p>
            <w:r/>
            <w:r>
              <w:rPr>
                <w:sz w:val="18"/>
              </w:rPr>
              <w:t>~$1,500</w:t>
            </w:r>
          </w:p>
        </w:tc>
      </w:tr>
      <w:tr>
        <w:tc>
          <w:tcPr>
            <w:tcW w:type="dxa" w:w="6624"/>
          </w:tcPr>
          <w:p>
            <w:r/>
            <w:r>
              <w:rPr>
                <w:sz w:val="18"/>
              </w:rPr>
              <w:t>Total (arithmetic confirmed)</w:t>
            </w:r>
          </w:p>
        </w:tc>
        <w:tc>
          <w:tcPr>
            <w:tcW w:type="dxa" w:w="2880"/>
          </w:tcPr>
          <w:p>
            <w:r/>
            <w:r>
              <w:rPr>
                <w:sz w:val="18"/>
              </w:rPr>
              <w:t>$4,270</w:t>
            </w:r>
          </w:p>
        </w:tc>
      </w:tr>
    </w:tbl>
    <w:p>
      <w:pPr>
        <w:spacing w:after="40"/>
      </w:pPr>
    </w:p>
    <w:p>
      <w:pPr>
        <w:pStyle w:val="Heading2"/>
      </w:pPr>
      <w:r>
        <w:t>8.4 Client's monthly obligations reported in [E]</w:t>
      </w:r>
    </w:p>
    <w:p>
      <w:pPr>
        <w:spacing w:after="80"/>
      </w:pPr>
      <w:r>
        <w:rPr>
          <w:i w:val="0"/>
        </w:rPr>
        <w:t>Marital-home mortgage ~$2,400; cabin mortgage ~$950; Owen's therapy copays ~$320; Chase minimum ~$250; student loan (IDR) ~$400; 401(k) contributions ~$23,000/yr (~$1,917/mo, pre-tax). Client describes cash flow as "tight." A complete Illinois Financial Affidavit with supporting documents will be required.</w:t>
      </w:r>
    </w:p>
    <w:p>
      <w:pPr>
        <w:pStyle w:val="Heading1"/>
      </w:pPr>
      <w:r>
        <w:t>9. Cryptocurrency and Potential Dissipation — Timeline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A5F"/>
          </w:tcPr>
          <w:p>
            <w:r/>
            <w:r>
              <w:rPr>
                <w:b/>
                <w:color w:val="FFFFFF"/>
                <w:sz w:val="18"/>
              </w:rPr>
              <w:t>Date</w:t>
            </w:r>
          </w:p>
        </w:tc>
        <w:tc>
          <w:tcPr>
            <w:tcW w:type="dxa" w:w="3216"/>
            <w:shd w:val="clear" w:color="auto" w:fill="1F3A5F"/>
          </w:tcPr>
          <w:p>
            <w:r/>
            <w:r>
              <w:rPr>
                <w:b/>
                <w:color w:val="FFFFFF"/>
                <w:sz w:val="18"/>
              </w:rPr>
              <w:t>Event (as reported)</w:t>
            </w:r>
          </w:p>
        </w:tc>
        <w:tc>
          <w:tcPr>
            <w:tcW w:type="dxa" w:w="3216"/>
            <w:shd w:val="clear" w:color="auto" w:fill="1F3A5F"/>
          </w:tcPr>
          <w:p>
            <w:r/>
            <w:r>
              <w:rPr>
                <w:b/>
                <w:color w:val="FFFFFF"/>
                <w:sz w:val="18"/>
              </w:rPr>
              <w:t>Source</w:t>
            </w:r>
          </w:p>
        </w:tc>
      </w:tr>
      <w:tr>
        <w:tc>
          <w:tcPr>
            <w:tcW w:type="dxa" w:w="3216"/>
          </w:tcPr>
          <w:p>
            <w:r/>
            <w:r>
              <w:rPr>
                <w:sz w:val="18"/>
              </w:rPr>
              <w:t>2023</w:t>
            </w:r>
          </w:p>
        </w:tc>
        <w:tc>
          <w:tcPr>
            <w:tcW w:type="dxa" w:w="3216"/>
          </w:tcPr>
          <w:p>
            <w:r/>
            <w:r>
              <w:rPr>
                <w:sz w:val="18"/>
              </w:rPr>
              <w:t>Marriage counseling; Derek quits after three sessions</w:t>
            </w:r>
          </w:p>
        </w:tc>
        <w:tc>
          <w:tcPr>
            <w:tcW w:type="dxa" w:w="3216"/>
          </w:tcPr>
          <w:p>
            <w:r/>
            <w:r>
              <w:rPr>
                <w:sz w:val="18"/>
              </w:rPr>
              <w:t>[Q]</w:t>
            </w:r>
          </w:p>
        </w:tc>
      </w:tr>
      <w:tr>
        <w:tc>
          <w:tcPr>
            <w:tcW w:type="dxa" w:w="3216"/>
          </w:tcPr>
          <w:p>
            <w:r/>
            <w:r>
              <w:rPr>
                <w:sz w:val="18"/>
              </w:rPr>
              <w:t>Summer 2024</w:t>
            </w:r>
          </w:p>
        </w:tc>
        <w:tc>
          <w:tcPr>
            <w:tcW w:type="dxa" w:w="3216"/>
          </w:tcPr>
          <w:p>
            <w:r/>
            <w:r>
              <w:rPr>
                <w:sz w:val="18"/>
              </w:rPr>
              <w:t>Client begins considering divorce</w:t>
            </w:r>
          </w:p>
        </w:tc>
        <w:tc>
          <w:tcPr>
            <w:tcW w:type="dxa" w:w="3216"/>
          </w:tcPr>
          <w:p>
            <w:r/>
            <w:r>
              <w:rPr>
                <w:sz w:val="18"/>
              </w:rPr>
              <w:t>[Q]</w:t>
            </w:r>
          </w:p>
        </w:tc>
      </w:tr>
      <w:tr>
        <w:tc>
          <w:tcPr>
            <w:tcW w:type="dxa" w:w="3216"/>
          </w:tcPr>
          <w:p>
            <w:r/>
            <w:r>
              <w:rPr>
                <w:sz w:val="18"/>
              </w:rPr>
              <w:t>Nov. 4, 2024</w:t>
            </w:r>
          </w:p>
        </w:tc>
        <w:tc>
          <w:tcPr>
            <w:tcW w:type="dxa" w:w="3216"/>
          </w:tcPr>
          <w:p>
            <w:r/>
            <w:r>
              <w:rPr>
                <w:sz w:val="18"/>
              </w:rPr>
              <w:t>Client moves to guest bedroom (in-home separation)</w:t>
            </w:r>
          </w:p>
        </w:tc>
        <w:tc>
          <w:tcPr>
            <w:tcW w:type="dxa" w:w="3216"/>
          </w:tcPr>
          <w:p>
            <w:r/>
            <w:r>
              <w:rPr>
                <w:sz w:val="18"/>
              </w:rPr>
              <w:t>[Q]</w:t>
            </w:r>
          </w:p>
        </w:tc>
      </w:tr>
      <w:tr>
        <w:tc>
          <w:tcPr>
            <w:tcW w:type="dxa" w:w="3216"/>
          </w:tcPr>
          <w:p>
            <w:r/>
            <w:r>
              <w:rPr>
                <w:sz w:val="18"/>
              </w:rPr>
              <w:t>Late Nov. 2024 (~Thanksgiving)</w:t>
            </w:r>
          </w:p>
        </w:tc>
        <w:tc>
          <w:tcPr>
            <w:tcW w:type="dxa" w:w="3216"/>
          </w:tcPr>
          <w:p>
            <w:r/>
            <w:r>
              <w:rPr>
                <w:sz w:val="18"/>
              </w:rPr>
              <w:t>Client sees Derek's Coinbase dashboard showing ~$85,000 (no screenshot)</w:t>
            </w:r>
          </w:p>
        </w:tc>
        <w:tc>
          <w:tcPr>
            <w:tcW w:type="dxa" w:w="3216"/>
          </w:tcPr>
          <w:p>
            <w:r/>
            <w:r>
              <w:rPr>
                <w:sz w:val="18"/>
              </w:rPr>
              <w:t>[E]</w:t>
            </w:r>
          </w:p>
        </w:tc>
      </w:tr>
      <w:tr>
        <w:tc>
          <w:tcPr>
            <w:tcW w:type="dxa" w:w="3216"/>
          </w:tcPr>
          <w:p>
            <w:r/>
            <w:r>
              <w:rPr>
                <w:sz w:val="18"/>
              </w:rPr>
              <w:t>Dec. 2024</w:t>
            </w:r>
          </w:p>
        </w:tc>
        <w:tc>
          <w:tcPr>
            <w:tcW w:type="dxa" w:w="3216"/>
          </w:tcPr>
          <w:p>
            <w:r/>
            <w:r>
              <w:rPr>
                <w:sz w:val="18"/>
              </w:rPr>
              <w:t>Client sees "wallet transfer" notification on Derek's phone; Derek says he was "just reorganizing" accounts. [E] places this "when he came to pick up the kids," although both parties live in the home</w:t>
            </w:r>
          </w:p>
        </w:tc>
        <w:tc>
          <w:tcPr>
            <w:tcW w:type="dxa" w:w="3216"/>
          </w:tcPr>
          <w:p>
            <w:r/>
            <w:r>
              <w:rPr>
                <w:sz w:val="18"/>
              </w:rPr>
              <w:t>[Q], [E]</w:t>
            </w:r>
          </w:p>
        </w:tc>
      </w:tr>
      <w:tr>
        <w:tc>
          <w:tcPr>
            <w:tcW w:type="dxa" w:w="3216"/>
          </w:tcPr>
          <w:p>
            <w:r/>
            <w:r>
              <w:rPr>
                <w:sz w:val="18"/>
              </w:rPr>
              <w:t>~Jan. 20, 2025</w:t>
            </w:r>
          </w:p>
        </w:tc>
        <w:tc>
          <w:tcPr>
            <w:tcW w:type="dxa" w:w="3216"/>
          </w:tcPr>
          <w:p>
            <w:r/>
            <w:r>
              <w:rPr>
                <w:sz w:val="18"/>
              </w:rPr>
              <w:t>Calder appearance filed ("about 3 weeks" before Feb. 10)</w:t>
            </w:r>
          </w:p>
        </w:tc>
        <w:tc>
          <w:tcPr>
            <w:tcW w:type="dxa" w:w="3216"/>
          </w:tcPr>
          <w:p>
            <w:r/>
            <w:r>
              <w:rPr>
                <w:sz w:val="18"/>
              </w:rPr>
              <w:t>[Q]</w:t>
            </w:r>
          </w:p>
        </w:tc>
      </w:tr>
      <w:tr>
        <w:tc>
          <w:tcPr>
            <w:tcW w:type="dxa" w:w="3216"/>
          </w:tcPr>
          <w:p>
            <w:r/>
            <w:r>
              <w:rPr>
                <w:sz w:val="18"/>
              </w:rPr>
              <w:t>Feb. 7, 2025</w:t>
            </w:r>
          </w:p>
        </w:tc>
        <w:tc>
          <w:tcPr>
            <w:tcW w:type="dxa" w:w="3216"/>
          </w:tcPr>
          <w:p>
            <w:r/>
            <w:r>
              <w:rPr>
                <w:sz w:val="18"/>
              </w:rPr>
              <w:t>Petition for dissolution filed</w:t>
            </w:r>
          </w:p>
        </w:tc>
        <w:tc>
          <w:tcPr>
            <w:tcW w:type="dxa" w:w="3216"/>
          </w:tcPr>
          <w:p>
            <w:r/>
            <w:r>
              <w:rPr>
                <w:sz w:val="18"/>
              </w:rPr>
              <w:t>[Q]</w:t>
            </w:r>
          </w:p>
        </w:tc>
      </w:tr>
    </w:tbl>
    <w:p>
      <w:pPr>
        <w:spacing w:after="40"/>
      </w:pPr>
    </w:p>
    <w:p>
      <w:pPr>
        <w:pStyle w:val="ListBullet"/>
        <w:spacing w:after="40"/>
      </w:pPr>
      <w:r>
        <w:t>Recommended steps: preservation demand to opposing counsel; 501 motion for temporary injunction barring transfer, encumbrance, or concealment of assets (including digital assets and joint accounts); Coinbase subpoena; targeted interrogatories and requests to produce (all wallets, keys, exchanges, transaction hashes); consider forensic crypto tracing.</w:t>
      </w:r>
    </w:p>
    <w:p>
      <w:pPr>
        <w:pStyle w:val="ListBullet"/>
        <w:spacing w:after="40"/>
      </w:pPr>
      <w:r>
        <w:t>Dissipation (503(d)(2)) requires use of marital property for a purpose unrelated to the marriage while the marriage is undergoing an irretrievable breakdown; written notice of intent to claim dissipation must be timely served (no later than 60 days before trial or 30 days after discovery closes, whichever is later — confirm). A transfer to a private wallet is concealment risk; dissipation depends on what happened to the value.</w:t>
      </w:r>
    </w:p>
    <w:p>
      <w:pPr>
        <w:pStyle w:val="ListBullet"/>
        <w:spacing w:after="40"/>
      </w:pPr>
      <w:r>
        <w:t>Client also asked whether joint accounts can be frozen unilaterally. Advise: do not unilaterally withdraw or freeze beyond ordinary expenses; seek an agreed order or court order.</w:t>
      </w:r>
    </w:p>
    <w:p>
      <w:pPr>
        <w:pStyle w:val="Heading1"/>
      </w:pPr>
      <w:r>
        <w:t>10. Client Goals (in client's priority order) and Preliminary Assessment</w:t>
      </w:r>
    </w:p>
    <w:tbl>
      <w:tblPr>
        <w:tblStyle w:val="TableGrid"/>
        <w:tblW w:type="auto" w:w="0"/>
        <w:jc w:val="center"/>
        <w:tblLook w:firstColumn="1" w:firstRow="1" w:lastColumn="0" w:lastRow="0" w:noHBand="0" w:noVBand="1" w:val="04A0"/>
      </w:tblPr>
      <w:tblGrid>
        <w:gridCol w:w="3216"/>
        <w:gridCol w:w="3216"/>
        <w:gridCol w:w="3216"/>
      </w:tblGrid>
      <w:tr>
        <w:tc>
          <w:tcPr>
            <w:tcW w:type="dxa" w:w="432"/>
            <w:shd w:val="clear" w:color="auto" w:fill="1F3A5F"/>
          </w:tcPr>
          <w:p>
            <w:r/>
            <w:r>
              <w:rPr>
                <w:b/>
                <w:color w:val="FFFFFF"/>
                <w:sz w:val="18"/>
              </w:rPr>
              <w:t>#</w:t>
            </w:r>
          </w:p>
        </w:tc>
        <w:tc>
          <w:tcPr>
            <w:tcW w:type="dxa" w:w="3168"/>
            <w:shd w:val="clear" w:color="auto" w:fill="1F3A5F"/>
          </w:tcPr>
          <w:p>
            <w:r/>
            <w:r>
              <w:rPr>
                <w:b/>
                <w:color w:val="FFFFFF"/>
                <w:sz w:val="18"/>
              </w:rPr>
              <w:t>Goal</w:t>
            </w:r>
          </w:p>
        </w:tc>
        <w:tc>
          <w:tcPr>
            <w:tcW w:type="dxa" w:w="6048"/>
            <w:shd w:val="clear" w:color="auto" w:fill="1F3A5F"/>
          </w:tcPr>
          <w:p>
            <w:r/>
            <w:r>
              <w:rPr>
                <w:b/>
                <w:color w:val="FFFFFF"/>
                <w:sz w:val="18"/>
              </w:rPr>
              <w:t>Preliminary assessment</w:t>
            </w:r>
          </w:p>
        </w:tc>
      </w:tr>
      <w:tr>
        <w:tc>
          <w:tcPr>
            <w:tcW w:type="dxa" w:w="432"/>
          </w:tcPr>
          <w:p>
            <w:r/>
            <w:r>
              <w:rPr>
                <w:sz w:val="18"/>
              </w:rPr>
              <w:t>1</w:t>
            </w:r>
          </w:p>
        </w:tc>
        <w:tc>
          <w:tcPr>
            <w:tcW w:type="dxa" w:w="3168"/>
          </w:tcPr>
          <w:p>
            <w:r/>
            <w:r>
              <w:rPr>
                <w:sz w:val="18"/>
              </w:rPr>
              <w:t>Majority parenting time ("primary residential custody") of all three children</w:t>
            </w:r>
          </w:p>
        </w:tc>
        <w:tc>
          <w:tcPr>
            <w:tcW w:type="dxa" w:w="6048"/>
          </w:tcPr>
          <w:p>
            <w:r/>
            <w:r>
              <w:rPr>
                <w:sz w:val="18"/>
              </w:rPr>
              <w:t>Reasonable to pursue, but Derek's documented weekday involvement is significant; build record on caretaking history, Owen's therapy continuity, school stability. Alcohol concerns need corroboration before being raised aggressively</w:t>
            </w:r>
          </w:p>
        </w:tc>
      </w:tr>
      <w:tr>
        <w:tc>
          <w:tcPr>
            <w:tcW w:type="dxa" w:w="432"/>
          </w:tcPr>
          <w:p>
            <w:r/>
            <w:r>
              <w:rPr>
                <w:sz w:val="18"/>
              </w:rPr>
              <w:t>2</w:t>
            </w:r>
          </w:p>
        </w:tc>
        <w:tc>
          <w:tcPr>
            <w:tcW w:type="dxa" w:w="3168"/>
          </w:tcPr>
          <w:p>
            <w:r/>
            <w:r>
              <w:rPr>
                <w:sz w:val="18"/>
              </w:rPr>
              <w:t>Keep marital home; willing to buy out Derek</w:t>
            </w:r>
          </w:p>
        </w:tc>
        <w:tc>
          <w:tcPr>
            <w:tcW w:type="dxa" w:w="6048"/>
          </w:tcPr>
          <w:p>
            <w:r/>
            <w:r>
              <w:rPr>
                <w:sz w:val="18"/>
              </w:rPr>
              <w:t>Feasible only with refinance and/or offset against other assets (e.g., her 401(k)); requires appraisal and affordability analysis. Pairs with goal 1</w:t>
            </w:r>
          </w:p>
        </w:tc>
      </w:tr>
      <w:tr>
        <w:tc>
          <w:tcPr>
            <w:tcW w:type="dxa" w:w="432"/>
          </w:tcPr>
          <w:p>
            <w:r/>
            <w:r>
              <w:rPr>
                <w:sz w:val="18"/>
              </w:rPr>
              <w:t>3</w:t>
            </w:r>
          </w:p>
        </w:tc>
        <w:tc>
          <w:tcPr>
            <w:tcW w:type="dxa" w:w="3168"/>
          </w:tcPr>
          <w:p>
            <w:r/>
            <w:r>
              <w:rPr>
                <w:sz w:val="18"/>
              </w:rPr>
              <w:t>Spousal maintenance from Derek</w:t>
            </w:r>
          </w:p>
        </w:tc>
        <w:tc>
          <w:tcPr>
            <w:tcW w:type="dxa" w:w="6048"/>
          </w:tcPr>
          <w:p>
            <w:r/>
            <w:r>
              <w:rPr>
                <w:sz w:val="18"/>
              </w:rPr>
              <w:t>Unlikely on current facts (see Sec. 8.2); reset expectations</w:t>
            </w:r>
          </w:p>
        </w:tc>
      </w:tr>
      <w:tr>
        <w:tc>
          <w:tcPr>
            <w:tcW w:type="dxa" w:w="432"/>
          </w:tcPr>
          <w:p>
            <w:r/>
            <w:r>
              <w:rPr>
                <w:sz w:val="18"/>
              </w:rPr>
              <w:t>4</w:t>
            </w:r>
          </w:p>
        </w:tc>
        <w:tc>
          <w:tcPr>
            <w:tcW w:type="dxa" w:w="3168"/>
          </w:tcPr>
          <w:p>
            <w:r/>
            <w:r>
              <w:rPr>
                <w:sz w:val="18"/>
              </w:rPr>
              <w:t>Valuation of Whitfield Digital Consulting and her share</w:t>
            </w:r>
          </w:p>
        </w:tc>
        <w:tc>
          <w:tcPr>
            <w:tcW w:type="dxa" w:w="6048"/>
          </w:tcPr>
          <w:p>
            <w:r/>
            <w:r>
              <w:rPr>
                <w:sz w:val="18"/>
              </w:rPr>
              <w:t>Strong — business formed during marriage; retain forensic accountant/valuator; subject to missing prenup Sec. 4.3</w:t>
            </w:r>
          </w:p>
        </w:tc>
      </w:tr>
      <w:tr>
        <w:tc>
          <w:tcPr>
            <w:tcW w:type="dxa" w:w="432"/>
          </w:tcPr>
          <w:p>
            <w:r/>
            <w:r>
              <w:rPr>
                <w:sz w:val="18"/>
              </w:rPr>
              <w:t>5</w:t>
            </w:r>
          </w:p>
        </w:tc>
        <w:tc>
          <w:tcPr>
            <w:tcW w:type="dxa" w:w="3168"/>
          </w:tcPr>
          <w:p>
            <w:r/>
            <w:r>
              <w:rPr>
                <w:sz w:val="18"/>
              </w:rPr>
              <w:t>Guideline child support</w:t>
            </w:r>
          </w:p>
        </w:tc>
        <w:tc>
          <w:tcPr>
            <w:tcW w:type="dxa" w:w="6048"/>
          </w:tcPr>
          <w:p>
            <w:r/>
            <w:r>
              <w:rPr>
                <w:sz w:val="18"/>
              </w:rPr>
              <w:t>Achievable; outcome depends on income findings and parenting-time allocation; add-ons apportioned</w:t>
            </w:r>
          </w:p>
        </w:tc>
      </w:tr>
      <w:tr>
        <w:tc>
          <w:tcPr>
            <w:tcW w:type="dxa" w:w="432"/>
          </w:tcPr>
          <w:p>
            <w:r/>
            <w:r>
              <w:rPr>
                <w:sz w:val="18"/>
              </w:rPr>
              <w:t>6</w:t>
            </w:r>
          </w:p>
        </w:tc>
        <w:tc>
          <w:tcPr>
            <w:tcW w:type="dxa" w:w="3168"/>
          </w:tcPr>
          <w:p>
            <w:r/>
            <w:r>
              <w:rPr>
                <w:sz w:val="18"/>
              </w:rPr>
              <w:t>Keep Galena cabin as separate property</w:t>
            </w:r>
          </w:p>
        </w:tc>
        <w:tc>
          <w:tcPr>
            <w:tcW w:type="dxa" w:w="6048"/>
          </w:tcPr>
          <w:p>
            <w:r/>
            <w:r>
              <w:rPr>
                <w:sz w:val="18"/>
              </w:rPr>
              <w:t>Uncertain — presumptively marital; tracing burden on client; marital mortgage payments complicate</w:t>
            </w:r>
          </w:p>
        </w:tc>
      </w:tr>
      <w:tr>
        <w:tc>
          <w:tcPr>
            <w:tcW w:type="dxa" w:w="432"/>
          </w:tcPr>
          <w:p>
            <w:r/>
            <w:r>
              <w:rPr>
                <w:sz w:val="18"/>
              </w:rPr>
              <w:t>7</w:t>
            </w:r>
          </w:p>
        </w:tc>
        <w:tc>
          <w:tcPr>
            <w:tcW w:type="dxa" w:w="3168"/>
          </w:tcPr>
          <w:p>
            <w:r/>
            <w:r>
              <w:rPr>
                <w:sz w:val="18"/>
              </w:rPr>
              <w:t>Accountability for the December 2024 crypto transfer</w:t>
            </w:r>
          </w:p>
        </w:tc>
        <w:tc>
          <w:tcPr>
            <w:tcW w:type="dxa" w:w="6048"/>
          </w:tcPr>
          <w:p>
            <w:r/>
            <w:r>
              <w:rPr>
                <w:sz w:val="18"/>
              </w:rPr>
              <w:t>Act immediately (Sec. 9)</w:t>
            </w:r>
          </w:p>
        </w:tc>
      </w:tr>
    </w:tbl>
    <w:p>
      <w:pPr>
        <w:spacing w:after="40"/>
      </w:pPr>
    </w:p>
    <w:p>
      <w:pPr>
        <w:pStyle w:val="Heading1"/>
      </w:pPr>
      <w:r>
        <w:t>11. Discrepancies and Inconsistencies to Resolve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432"/>
            <w:shd w:val="clear" w:color="auto" w:fill="1F3A5F"/>
          </w:tcPr>
          <w:p>
            <w:r/>
            <w:r>
              <w:rPr>
                <w:b/>
                <w:color w:val="FFFFFF"/>
                <w:sz w:val="16"/>
              </w:rPr>
              <w:t>#</w:t>
            </w:r>
          </w:p>
        </w:tc>
        <w:tc>
          <w:tcPr>
            <w:tcW w:type="dxa" w:w="1584"/>
            <w:shd w:val="clear" w:color="auto" w:fill="1F3A5F"/>
          </w:tcPr>
          <w:p>
            <w:r/>
            <w:r>
              <w:rPr>
                <w:b/>
                <w:color w:val="FFFFFF"/>
                <w:sz w:val="16"/>
              </w:rPr>
              <w:t>Topic</w:t>
            </w:r>
          </w:p>
        </w:tc>
        <w:tc>
          <w:tcPr>
            <w:tcW w:type="dxa" w:w="2520"/>
            <w:shd w:val="clear" w:color="auto" w:fill="1F3A5F"/>
          </w:tcPr>
          <w:p>
            <w:r/>
            <w:r>
              <w:rPr>
                <w:b/>
                <w:color w:val="FFFFFF"/>
                <w:sz w:val="16"/>
              </w:rPr>
              <w:t>Questionnaire [Q] / Prenup [P]</w:t>
            </w:r>
          </w:p>
        </w:tc>
        <w:tc>
          <w:tcPr>
            <w:tcW w:type="dxa" w:w="2520"/>
            <w:shd w:val="clear" w:color="auto" w:fill="1F3A5F"/>
          </w:tcPr>
          <w:p>
            <w:r/>
            <w:r>
              <w:rPr>
                <w:b/>
                <w:color w:val="FFFFFF"/>
                <w:sz w:val="16"/>
              </w:rPr>
              <w:t>Email [E] / Other</w:t>
            </w:r>
          </w:p>
        </w:tc>
        <w:tc>
          <w:tcPr>
            <w:tcW w:type="dxa" w:w="2592"/>
            <w:shd w:val="clear" w:color="auto" w:fill="1F3A5F"/>
          </w:tcPr>
          <w:p>
            <w:r/>
            <w:r>
              <w:rPr>
                <w:b/>
                <w:color w:val="FFFFFF"/>
                <w:sz w:val="16"/>
              </w:rPr>
              <w:t>Why it matters / action</w:t>
            </w:r>
          </w:p>
        </w:tc>
      </w:tr>
      <w:tr>
        <w:tc>
          <w:tcPr>
            <w:tcW w:type="dxa" w:w="432"/>
          </w:tcPr>
          <w:p>
            <w:r/>
            <w:r>
              <w:rPr>
                <w:sz w:val="16"/>
              </w:rPr>
              <w:t>1</w:t>
            </w:r>
          </w:p>
        </w:tc>
        <w:tc>
          <w:tcPr>
            <w:tcW w:type="dxa" w:w="1584"/>
          </w:tcPr>
          <w:p>
            <w:r/>
            <w:r>
              <w:rPr>
                <w:sz w:val="16"/>
              </w:rPr>
              <w:t>Parents' down-payment gift</w:t>
            </w:r>
          </w:p>
        </w:tc>
        <w:tc>
          <w:tcPr>
            <w:tcW w:type="dxa" w:w="2520"/>
          </w:tcPr>
          <w:p>
            <w:r/>
            <w:r>
              <w:rPr>
                <w:sz w:val="16"/>
              </w:rPr>
              <w:t>$80,000 gift; $57,000 joint savings (total $137,000)</w:t>
            </w:r>
          </w:p>
        </w:tc>
        <w:tc>
          <w:tcPr>
            <w:tcW w:type="dxa" w:w="2520"/>
          </w:tcPr>
          <w:p>
            <w:r/>
            <w:r>
              <w:rPr>
                <w:sz w:val="16"/>
              </w:rPr>
              <w:t>$90,000 gift (wire copy found; mother confirmed); $47,000 joint savings</w:t>
            </w:r>
          </w:p>
        </w:tc>
        <w:tc>
          <w:tcPr>
            <w:tcW w:type="dxa" w:w="2592"/>
          </w:tcPr>
          <w:p>
            <w:r/>
            <w:r>
              <w:rPr>
                <w:sz w:val="16"/>
              </w:rPr>
              <w:t>Affects any reimbursement argument. Obtain wire record (sender, recipient account, date, any gift letter to the lender). Use $90,000 only once documented</w:t>
            </w:r>
          </w:p>
        </w:tc>
      </w:tr>
      <w:tr>
        <w:tc>
          <w:tcPr>
            <w:tcW w:type="dxa" w:w="432"/>
          </w:tcPr>
          <w:p>
            <w:r/>
            <w:r>
              <w:rPr>
                <w:sz w:val="16"/>
              </w:rPr>
              <w:t>2</w:t>
            </w:r>
          </w:p>
        </w:tc>
        <w:tc>
          <w:tcPr>
            <w:tcW w:type="dxa" w:w="1584"/>
          </w:tcPr>
          <w:p>
            <w:r/>
            <w:r>
              <w:rPr>
                <w:sz w:val="16"/>
              </w:rPr>
              <w:t>Client's phone number</w:t>
            </w:r>
          </w:p>
        </w:tc>
        <w:tc>
          <w:tcPr>
            <w:tcW w:type="dxa" w:w="2520"/>
          </w:tcPr>
          <w:p>
            <w:r/>
            <w:r>
              <w:rPr>
                <w:sz w:val="16"/>
              </w:rPr>
              <w:t>Cell (630) 555-8371; home (630) 555-2194</w:t>
            </w:r>
          </w:p>
        </w:tc>
        <w:tc>
          <w:tcPr>
            <w:tcW w:type="dxa" w:w="2520"/>
          </w:tcPr>
          <w:p>
            <w:r/>
            <w:r>
              <w:rPr>
                <w:sz w:val="16"/>
              </w:rPr>
              <w:t>Signature: (630) 555-8214</w:t>
            </w:r>
          </w:p>
        </w:tc>
        <w:tc>
          <w:tcPr>
            <w:tcW w:type="dxa" w:w="2592"/>
          </w:tcPr>
          <w:p>
            <w:r/>
            <w:r>
              <w:rPr>
                <w:sz w:val="16"/>
              </w:rPr>
              <w:t>Confirm correct, secure number</w:t>
            </w:r>
          </w:p>
        </w:tc>
      </w:tr>
      <w:tr>
        <w:tc>
          <w:tcPr>
            <w:tcW w:type="dxa" w:w="432"/>
          </w:tcPr>
          <w:p>
            <w:r/>
            <w:r>
              <w:rPr>
                <w:sz w:val="16"/>
              </w:rPr>
              <w:t>3</w:t>
            </w:r>
          </w:p>
        </w:tc>
        <w:tc>
          <w:tcPr>
            <w:tcW w:type="dxa" w:w="1584"/>
          </w:tcPr>
          <w:p>
            <w:r/>
            <w:r>
              <w:rPr>
                <w:sz w:val="16"/>
              </w:rPr>
              <w:t>Client's email</w:t>
            </w:r>
          </w:p>
        </w:tc>
        <w:tc>
          <w:tcPr>
            <w:tcW w:type="dxa" w:w="2520"/>
          </w:tcPr>
          <w:p>
            <w:r/>
            <w:r>
              <w:rPr>
                <w:sz w:val="16"/>
              </w:rPr>
              <w:t>rhuangwhitfield@lakeshoremedgroup.com (employer)</w:t>
            </w:r>
          </w:p>
        </w:tc>
        <w:tc>
          <w:tcPr>
            <w:tcW w:type="dxa" w:w="2520"/>
          </w:tcPr>
          <w:p>
            <w:r/>
            <w:r>
              <w:rPr>
                <w:sz w:val="16"/>
              </w:rPr>
              <w:t>rachel.huangwhitfield@gmail.com</w:t>
            </w:r>
          </w:p>
        </w:tc>
        <w:tc>
          <w:tcPr>
            <w:tcW w:type="dxa" w:w="2592"/>
          </w:tcPr>
          <w:p>
            <w:r/>
            <w:r>
              <w:rPr>
                <w:sz w:val="16"/>
              </w:rPr>
              <w:t>Privilege/confidentiality — use secure personal email</w:t>
            </w:r>
          </w:p>
        </w:tc>
      </w:tr>
      <w:tr>
        <w:tc>
          <w:tcPr>
            <w:tcW w:type="dxa" w:w="432"/>
          </w:tcPr>
          <w:p>
            <w:r/>
            <w:r>
              <w:rPr>
                <w:sz w:val="16"/>
              </w:rPr>
              <w:t>4</w:t>
            </w:r>
          </w:p>
        </w:tc>
        <w:tc>
          <w:tcPr>
            <w:tcW w:type="dxa" w:w="1584"/>
          </w:tcPr>
          <w:p>
            <w:r/>
            <w:r>
              <w:rPr>
                <w:sz w:val="16"/>
              </w:rPr>
              <w:t>Client's age</w:t>
            </w:r>
          </w:p>
        </w:tc>
        <w:tc>
          <w:tcPr>
            <w:tcW w:type="dxa" w:w="2520"/>
          </w:tcPr>
          <w:p>
            <w:r/>
            <w:r>
              <w:rPr>
                <w:sz w:val="16"/>
              </w:rPr>
              <w:t>41</w:t>
            </w:r>
          </w:p>
        </w:tc>
        <w:tc>
          <w:tcPr>
            <w:tcW w:type="dxa" w:w="2520"/>
          </w:tcPr>
          <w:p>
            <w:r/>
            <w:r>
              <w:rPr>
                <w:sz w:val="16"/>
              </w:rPr>
              <w:t>DOB Mar. 14, 1984 → 40 as of Feb. 10, 2025</w:t>
            </w:r>
          </w:p>
        </w:tc>
        <w:tc>
          <w:tcPr>
            <w:tcW w:type="dxa" w:w="2592"/>
          </w:tcPr>
          <w:p>
            <w:r/>
            <w:r>
              <w:rPr>
                <w:sz w:val="16"/>
              </w:rPr>
              <w:t>Correct on pleadings/affidavits</w:t>
            </w:r>
          </w:p>
        </w:tc>
      </w:tr>
      <w:tr>
        <w:tc>
          <w:tcPr>
            <w:tcW w:type="dxa" w:w="432"/>
          </w:tcPr>
          <w:p>
            <w:r/>
            <w:r>
              <w:rPr>
                <w:sz w:val="16"/>
              </w:rPr>
              <w:t>5</w:t>
            </w:r>
          </w:p>
        </w:tc>
        <w:tc>
          <w:tcPr>
            <w:tcW w:type="dxa" w:w="1584"/>
          </w:tcPr>
          <w:p>
            <w:r/>
            <w:r>
              <w:rPr>
                <w:sz w:val="16"/>
              </w:rPr>
              <w:t>Ethan's age</w:t>
            </w:r>
          </w:p>
        </w:tc>
        <w:tc>
          <w:tcPr>
            <w:tcW w:type="dxa" w:w="2520"/>
          </w:tcPr>
          <w:p>
            <w:r/>
            <w:r>
              <w:rPr>
                <w:sz w:val="16"/>
              </w:rPr>
              <w:t>"11 (will turn 11 in June 2025)"</w:t>
            </w:r>
          </w:p>
        </w:tc>
        <w:tc>
          <w:tcPr>
            <w:tcW w:type="dxa" w:w="2520"/>
          </w:tcPr>
          <w:p>
            <w:r/>
            <w:r>
              <w:rPr>
                <w:sz w:val="16"/>
              </w:rPr>
              <w:t>[E] calls the gaming PC "a 14-year-old's gaming rig"; DOB June 11, 2014 → age 10</w:t>
            </w:r>
          </w:p>
        </w:tc>
        <w:tc>
          <w:tcPr>
            <w:tcW w:type="dxa" w:w="2592"/>
          </w:tcPr>
          <w:p>
            <w:r/>
            <w:r>
              <w:rPr>
                <w:sz w:val="16"/>
              </w:rPr>
              <w:t>Credibility; correct on all filings</w:t>
            </w:r>
          </w:p>
        </w:tc>
      </w:tr>
      <w:tr>
        <w:tc>
          <w:tcPr>
            <w:tcW w:type="dxa" w:w="432"/>
          </w:tcPr>
          <w:p>
            <w:r/>
            <w:r>
              <w:rPr>
                <w:sz w:val="16"/>
              </w:rPr>
              <w:t>6</w:t>
            </w:r>
          </w:p>
        </w:tc>
        <w:tc>
          <w:tcPr>
            <w:tcW w:type="dxa" w:w="1584"/>
          </w:tcPr>
          <w:p>
            <w:r/>
            <w:r>
              <w:rPr>
                <w:sz w:val="16"/>
              </w:rPr>
              <w:t>Length of marriage</w:t>
            </w:r>
          </w:p>
        </w:tc>
        <w:tc>
          <w:tcPr>
            <w:tcW w:type="dxa" w:w="2520"/>
          </w:tcPr>
          <w:p>
            <w:r/>
            <w:r>
              <w:rPr>
                <w:sz w:val="16"/>
              </w:rPr>
              <w:t>"Approximately 14 years"</w:t>
            </w:r>
          </w:p>
        </w:tc>
        <w:tc>
          <w:tcPr>
            <w:tcW w:type="dxa" w:w="2520"/>
          </w:tcPr>
          <w:p>
            <w:r/>
            <w:r>
              <w:rPr>
                <w:sz w:val="16"/>
              </w:rPr>
              <w:t>~13.5 years to filing</w:t>
            </w:r>
          </w:p>
        </w:tc>
        <w:tc>
          <w:tcPr>
            <w:tcW w:type="dxa" w:w="2592"/>
          </w:tcPr>
          <w:p>
            <w:r/>
            <w:r>
              <w:rPr>
                <w:sz w:val="16"/>
              </w:rPr>
              <w:t>Maintenance duration bracket (0.56 multiplier)</w:t>
            </w:r>
          </w:p>
        </w:tc>
      </w:tr>
      <w:tr>
        <w:tc>
          <w:tcPr>
            <w:tcW w:type="dxa" w:w="432"/>
          </w:tcPr>
          <w:p>
            <w:r/>
            <w:r>
              <w:rPr>
                <w:sz w:val="16"/>
              </w:rPr>
              <w:t>7</w:t>
            </w:r>
          </w:p>
        </w:tc>
        <w:tc>
          <w:tcPr>
            <w:tcW w:type="dxa" w:w="1584"/>
          </w:tcPr>
          <w:p>
            <w:r/>
            <w:r>
              <w:rPr>
                <w:sz w:val="16"/>
              </w:rPr>
              <w:t>Timing of filing vs. Calder appearance</w:t>
            </w:r>
          </w:p>
        </w:tc>
        <w:tc>
          <w:tcPr>
            <w:tcW w:type="dxa" w:w="2520"/>
          </w:tcPr>
          <w:p>
            <w:r/>
            <w:r>
              <w:rPr>
                <w:sz w:val="16"/>
              </w:rPr>
              <w:t>Petition filed Feb. 7, 2025; Calder appearance "about 3 weeks ago" as of Feb. 10 (~Jan. 20)</w:t>
            </w:r>
          </w:p>
        </w:tc>
        <w:tc>
          <w:tcPr>
            <w:tcW w:type="dxa" w:w="2520"/>
          </w:tcPr>
          <w:p>
            <w:r/>
            <w:r>
              <w:rPr>
                <w:sz w:val="16"/>
              </w:rPr>
              <w:t>—</w:t>
            </w:r>
          </w:p>
        </w:tc>
        <w:tc>
          <w:tcPr>
            <w:tcW w:type="dxa" w:w="2592"/>
          </w:tcPr>
          <w:p>
            <w:r/>
            <w:r>
              <w:rPr>
                <w:sz w:val="16"/>
              </w:rPr>
              <w:t>An appearance cannot precede the case; confirm whether Derek filed first, whether there is a separate proceeding, or whether the timing is misremembered. Determines petitioner/respondent and deadlines</w:t>
            </w:r>
          </w:p>
        </w:tc>
      </w:tr>
      <w:tr>
        <w:tc>
          <w:tcPr>
            <w:tcW w:type="dxa" w:w="432"/>
          </w:tcPr>
          <w:p>
            <w:r/>
            <w:r>
              <w:rPr>
                <w:sz w:val="16"/>
              </w:rPr>
              <w:t>8</w:t>
            </w:r>
          </w:p>
        </w:tc>
        <w:tc>
          <w:tcPr>
            <w:tcW w:type="dxa" w:w="1584"/>
          </w:tcPr>
          <w:p>
            <w:r/>
            <w:r>
              <w:rPr>
                <w:sz w:val="16"/>
              </w:rPr>
              <w:t>Questionnaire submission / email timing</w:t>
            </w:r>
          </w:p>
        </w:tc>
        <w:tc>
          <w:tcPr>
            <w:tcW w:type="dxa" w:w="2520"/>
          </w:tcPr>
          <w:p>
            <w:r/>
            <w:r>
              <w:rPr>
                <w:sz w:val="16"/>
              </w:rPr>
              <w:t>Completed Feb. 10, 2025 (a Monday)</w:t>
            </w:r>
          </w:p>
        </w:tc>
        <w:tc>
          <w:tcPr>
            <w:tcW w:type="dxa" w:w="2520"/>
          </w:tcPr>
          <w:p>
            <w:r/>
            <w:r>
              <w:rPr>
                <w:sz w:val="16"/>
              </w:rPr>
              <w:t>[E] says submitted "on Friday"; header Mon. Feb. 17, 09:43 UTC (≈ 3:43 a.m. Chicago time) vs. "almost 10 o'clock on a Monday night"</w:t>
            </w:r>
          </w:p>
        </w:tc>
        <w:tc>
          <w:tcPr>
            <w:tcW w:type="dxa" w:w="2592"/>
          </w:tcPr>
          <w:p>
            <w:r/>
            <w:r>
              <w:rPr>
                <w:sz w:val="16"/>
              </w:rPr>
              <w:t>Minor; confirm dates for file chronology</w:t>
            </w:r>
          </w:p>
        </w:tc>
      </w:tr>
      <w:tr>
        <w:tc>
          <w:tcPr>
            <w:tcW w:type="dxa" w:w="432"/>
          </w:tcPr>
          <w:p>
            <w:r/>
            <w:r>
              <w:rPr>
                <w:sz w:val="16"/>
              </w:rPr>
              <w:t>9</w:t>
            </w:r>
          </w:p>
        </w:tc>
        <w:tc>
          <w:tcPr>
            <w:tcW w:type="dxa" w:w="1584"/>
          </w:tcPr>
          <w:p>
            <w:r/>
            <w:r>
              <w:rPr>
                <w:sz w:val="16"/>
              </w:rPr>
              <w:t>Crypto timing / context</w:t>
            </w:r>
          </w:p>
        </w:tc>
        <w:tc>
          <w:tcPr>
            <w:tcW w:type="dxa" w:w="2520"/>
          </w:tcPr>
          <w:p>
            <w:r/>
            <w:r>
              <w:rPr>
                <w:sz w:val="16"/>
              </w:rPr>
              <w:t>Dec. 2024 "right before I filed" (filed Feb. 7, 2025)</w:t>
            </w:r>
          </w:p>
        </w:tc>
        <w:tc>
          <w:tcPr>
            <w:tcW w:type="dxa" w:w="2520"/>
          </w:tcPr>
          <w:p>
            <w:r/>
            <w:r>
              <w:rPr>
                <w:sz w:val="16"/>
              </w:rPr>
              <w:t>Saw notification "when he came to pick up the kids" — but both live in the home</w:t>
            </w:r>
          </w:p>
        </w:tc>
        <w:tc>
          <w:tcPr>
            <w:tcW w:type="dxa" w:w="2592"/>
          </w:tcPr>
          <w:p>
            <w:r/>
            <w:r>
              <w:rPr>
                <w:sz w:val="16"/>
              </w:rPr>
              <w:t>Clarify circumstances before any sworn statement</w:t>
            </w:r>
          </w:p>
        </w:tc>
      </w:tr>
      <w:tr>
        <w:tc>
          <w:tcPr>
            <w:tcW w:type="dxa" w:w="432"/>
          </w:tcPr>
          <w:p>
            <w:r/>
            <w:r>
              <w:rPr>
                <w:sz w:val="16"/>
              </w:rPr>
              <w:t>10</w:t>
            </w:r>
          </w:p>
        </w:tc>
        <w:tc>
          <w:tcPr>
            <w:tcW w:type="dxa" w:w="1584"/>
          </w:tcPr>
          <w:p>
            <w:r/>
            <w:r>
              <w:rPr>
                <w:sz w:val="16"/>
              </w:rPr>
              <w:t>T&amp;E trips</w:t>
            </w:r>
          </w:p>
        </w:tc>
        <w:tc>
          <w:tcPr>
            <w:tcW w:type="dxa" w:w="2520"/>
          </w:tcPr>
          <w:p>
            <w:r/>
            <w:r>
              <w:rPr>
                <w:sz w:val="16"/>
              </w:rPr>
              <w:t>Two Las Vegas trips</w:t>
            </w:r>
          </w:p>
        </w:tc>
        <w:tc>
          <w:tcPr>
            <w:tcW w:type="dxa" w:w="2520"/>
          </w:tcPr>
          <w:p>
            <w:r/>
            <w:r>
              <w:rPr>
                <w:sz w:val="16"/>
              </w:rPr>
              <w:t>Miami (Mar. 2024), Austin (July 2024), possibly Scottsdale (Oct. 2024)</w:t>
            </w:r>
          </w:p>
        </w:tc>
        <w:tc>
          <w:tcPr>
            <w:tcW w:type="dxa" w:w="2592"/>
          </w:tcPr>
          <w:p>
            <w:r/>
            <w:r>
              <w:rPr>
                <w:sz w:val="16"/>
              </w:rPr>
              <w:t>Itemize all disputed trips with dates and evidence</w:t>
            </w:r>
          </w:p>
        </w:tc>
      </w:tr>
      <w:tr>
        <w:tc>
          <w:tcPr>
            <w:tcW w:type="dxa" w:w="432"/>
          </w:tcPr>
          <w:p>
            <w:r/>
            <w:r>
              <w:rPr>
                <w:sz w:val="16"/>
              </w:rPr>
              <w:t>11</w:t>
            </w:r>
          </w:p>
        </w:tc>
        <w:tc>
          <w:tcPr>
            <w:tcW w:type="dxa" w:w="1584"/>
          </w:tcPr>
          <w:p>
            <w:r/>
            <w:r>
              <w:rPr>
                <w:sz w:val="16"/>
              </w:rPr>
              <w:t>T&amp;E personal portion</w:t>
            </w:r>
          </w:p>
        </w:tc>
        <w:tc>
          <w:tcPr>
            <w:tcW w:type="dxa" w:w="2520"/>
          </w:tcPr>
          <w:p>
            <w:r/>
            <w:r>
              <w:rPr>
                <w:sz w:val="16"/>
              </w:rPr>
              <w:t>Implicitly all $36,000 (in $103,000 total)</w:t>
            </w:r>
          </w:p>
        </w:tc>
        <w:tc>
          <w:tcPr>
            <w:tcW w:type="dxa" w:w="2520"/>
          </w:tcPr>
          <w:p>
            <w:r/>
            <w:r>
              <w:rPr>
                <w:sz w:val="16"/>
              </w:rPr>
              <w:t>$15,000–$20,000</w:t>
            </w:r>
          </w:p>
        </w:tc>
        <w:tc>
          <w:tcPr>
            <w:tcW w:type="dxa" w:w="2592"/>
          </w:tcPr>
          <w:p>
            <w:r/>
            <w:r>
              <w:rPr>
                <w:sz w:val="16"/>
              </w:rPr>
              <w:t>Use the more conservative, supportable figure</w:t>
            </w:r>
          </w:p>
        </w:tc>
      </w:tr>
      <w:tr>
        <w:tc>
          <w:tcPr>
            <w:tcW w:type="dxa" w:w="432"/>
          </w:tcPr>
          <w:p>
            <w:r/>
            <w:r>
              <w:rPr>
                <w:sz w:val="16"/>
              </w:rPr>
              <w:t>12</w:t>
            </w:r>
          </w:p>
        </w:tc>
        <w:tc>
          <w:tcPr>
            <w:tcW w:type="dxa" w:w="1584"/>
          </w:tcPr>
          <w:p>
            <w:r/>
            <w:r>
              <w:rPr>
                <w:sz w:val="16"/>
              </w:rPr>
              <w:t>Nature of Derek's business</w:t>
            </w:r>
          </w:p>
        </w:tc>
        <w:tc>
          <w:tcPr>
            <w:tcW w:type="dxa" w:w="2520"/>
          </w:tcPr>
          <w:p>
            <w:r/>
            <w:r>
              <w:rPr>
                <w:sz w:val="16"/>
              </w:rPr>
              <w:t>Digital marketing and SEO consulting</w:t>
            </w:r>
          </w:p>
        </w:tc>
        <w:tc>
          <w:tcPr>
            <w:tcW w:type="dxa" w:w="2520"/>
          </w:tcPr>
          <w:p>
            <w:r/>
            <w:r>
              <w:rPr>
                <w:sz w:val="16"/>
              </w:rPr>
              <w:t>IT strategy and digital transformation consulting</w:t>
            </w:r>
          </w:p>
        </w:tc>
        <w:tc>
          <w:tcPr>
            <w:tcW w:type="dxa" w:w="2592"/>
          </w:tcPr>
          <w:p>
            <w:r/>
            <w:r>
              <w:rPr>
                <w:sz w:val="16"/>
              </w:rPr>
              <w:t>Relevant to legitimacy of graphic-design contractor spend and valuation</w:t>
            </w:r>
          </w:p>
        </w:tc>
      </w:tr>
      <w:tr>
        <w:tc>
          <w:tcPr>
            <w:tcW w:type="dxa" w:w="432"/>
          </w:tcPr>
          <w:p>
            <w:r/>
            <w:r>
              <w:rPr>
                <w:sz w:val="16"/>
              </w:rPr>
              <w:t>13</w:t>
            </w:r>
          </w:p>
        </w:tc>
        <w:tc>
          <w:tcPr>
            <w:tcW w:type="dxa" w:w="1584"/>
          </w:tcPr>
          <w:p>
            <w:r/>
            <w:r>
              <w:rPr>
                <w:sz w:val="16"/>
              </w:rPr>
              <w:t>Marcus Voss relationship</w:t>
            </w:r>
          </w:p>
        </w:tc>
        <w:tc>
          <w:tcPr>
            <w:tcW w:type="dxa" w:w="2520"/>
          </w:tcPr>
          <w:p>
            <w:r/>
            <w:r>
              <w:rPr>
                <w:sz w:val="16"/>
              </w:rPr>
              <w:t>"College friend"</w:t>
            </w:r>
          </w:p>
        </w:tc>
        <w:tc>
          <w:tcPr>
            <w:tcW w:type="dxa" w:w="2520"/>
          </w:tcPr>
          <w:p>
            <w:r/>
            <w:r>
              <w:rPr>
                <w:sz w:val="16"/>
              </w:rPr>
              <w:t>Kellogg MBA classmate</w:t>
            </w:r>
          </w:p>
        </w:tc>
        <w:tc>
          <w:tcPr>
            <w:tcW w:type="dxa" w:w="2592"/>
          </w:tcPr>
          <w:p>
            <w:r/>
            <w:r>
              <w:rPr>
                <w:sz w:val="16"/>
              </w:rPr>
              <w:t>Minor; confirm</w:t>
            </w:r>
          </w:p>
        </w:tc>
      </w:tr>
      <w:tr>
        <w:tc>
          <w:tcPr>
            <w:tcW w:type="dxa" w:w="432"/>
          </w:tcPr>
          <w:p>
            <w:r/>
            <w:r>
              <w:rPr>
                <w:sz w:val="16"/>
              </w:rPr>
              <w:t>14</w:t>
            </w:r>
          </w:p>
        </w:tc>
        <w:tc>
          <w:tcPr>
            <w:tcW w:type="dxa" w:w="1584"/>
          </w:tcPr>
          <w:p>
            <w:r/>
            <w:r>
              <w:rPr>
                <w:sz w:val="16"/>
              </w:rPr>
              <w:t>PSLF timeline / eligibility</w:t>
            </w:r>
          </w:p>
        </w:tc>
        <w:tc>
          <w:tcPr>
            <w:tcW w:type="dxa" w:w="2520"/>
          </w:tcPr>
          <w:p>
            <w:r/>
            <w:r>
              <w:rPr>
                <w:sz w:val="16"/>
              </w:rPr>
              <w:t>Forgiveness "within the next year or so"</w:t>
            </w:r>
          </w:p>
        </w:tc>
        <w:tc>
          <w:tcPr>
            <w:tcW w:type="dxa" w:w="2520"/>
          </w:tcPr>
          <w:p>
            <w:r/>
            <w:r>
              <w:rPr>
                <w:sz w:val="16"/>
              </w:rPr>
              <w:t>"About two more years"</w:t>
            </w:r>
          </w:p>
        </w:tc>
        <w:tc>
          <w:tcPr>
            <w:tcW w:type="dxa" w:w="2592"/>
          </w:tcPr>
          <w:p>
            <w:r/>
            <w:r>
              <w:rPr>
                <w:sz w:val="16"/>
              </w:rPr>
              <w:t>Also verify employer qualifies for PSLF (S.C. entity)</w:t>
            </w:r>
          </w:p>
        </w:tc>
      </w:tr>
      <w:tr>
        <w:tc>
          <w:tcPr>
            <w:tcW w:type="dxa" w:w="432"/>
          </w:tcPr>
          <w:p>
            <w:r/>
            <w:r>
              <w:rPr>
                <w:sz w:val="16"/>
              </w:rPr>
              <w:t>15</w:t>
            </w:r>
          </w:p>
        </w:tc>
        <w:tc>
          <w:tcPr>
            <w:tcW w:type="dxa" w:w="1584"/>
          </w:tcPr>
          <w:p>
            <w:r/>
            <w:r>
              <w:rPr>
                <w:sz w:val="16"/>
              </w:rPr>
              <w:t>Inheritance balance</w:t>
            </w:r>
          </w:p>
        </w:tc>
        <w:tc>
          <w:tcPr>
            <w:tcW w:type="dxa" w:w="2520"/>
          </w:tcPr>
          <w:p>
            <w:r/>
            <w:r>
              <w:rPr>
                <w:sz w:val="16"/>
              </w:rPr>
              <w:t>$175,000 received; ~$58,000 to kitchen; "rest" separate</w:t>
            </w:r>
          </w:p>
        </w:tc>
        <w:tc>
          <w:tcPr>
            <w:tcW w:type="dxa" w:w="2520"/>
          </w:tcPr>
          <w:p>
            <w:r/>
            <w:r>
              <w:rPr>
                <w:sz w:val="16"/>
              </w:rPr>
              <w:t>Account balance $38,500</w:t>
            </w:r>
          </w:p>
        </w:tc>
        <w:tc>
          <w:tcPr>
            <w:tcW w:type="dxa" w:w="2592"/>
          </w:tcPr>
          <w:p>
            <w:r/>
            <w:r>
              <w:rPr>
                <w:sz w:val="16"/>
              </w:rPr>
              <w:t>~$78,500 unexplained — obtain statements</w:t>
            </w:r>
          </w:p>
        </w:tc>
      </w:tr>
      <w:tr>
        <w:tc>
          <w:tcPr>
            <w:tcW w:type="dxa" w:w="432"/>
          </w:tcPr>
          <w:p>
            <w:r/>
            <w:r>
              <w:rPr>
                <w:sz w:val="16"/>
              </w:rPr>
              <w:t>16</w:t>
            </w:r>
          </w:p>
        </w:tc>
        <w:tc>
          <w:tcPr>
            <w:tcW w:type="dxa" w:w="1584"/>
          </w:tcPr>
          <w:p>
            <w:r/>
            <w:r>
              <w:rPr>
                <w:sz w:val="16"/>
              </w:rPr>
              <w:t>Prenup re: businesses</w:t>
            </w:r>
          </w:p>
        </w:tc>
        <w:tc>
          <w:tcPr>
            <w:tcW w:type="dxa" w:w="2520"/>
          </w:tcPr>
          <w:p>
            <w:r/>
            <w:r>
              <w:rPr>
                <w:sz w:val="16"/>
              </w:rPr>
              <w:t>Client: "I don't think it says anything about businesses"</w:t>
            </w:r>
          </w:p>
        </w:tc>
        <w:tc>
          <w:tcPr>
            <w:tcW w:type="dxa" w:w="2520"/>
          </w:tcPr>
          <w:p>
            <w:r/>
            <w:r>
              <w:rPr>
                <w:sz w:val="16"/>
              </w:rPr>
              <w:t>[P] Sec. 4.3 and pp. 7–8 missing</w:t>
            </w:r>
          </w:p>
        </w:tc>
        <w:tc>
          <w:tcPr>
            <w:tcW w:type="dxa" w:w="2592"/>
          </w:tcPr>
          <w:p>
            <w:r/>
            <w:r>
              <w:rPr>
                <w:sz w:val="16"/>
              </w:rPr>
              <w:t>Do not rely on client's recollection</w:t>
            </w:r>
          </w:p>
        </w:tc>
      </w:tr>
      <w:tr>
        <w:tc>
          <w:tcPr>
            <w:tcW w:type="dxa" w:w="432"/>
          </w:tcPr>
          <w:p>
            <w:r/>
            <w:r>
              <w:rPr>
                <w:sz w:val="16"/>
              </w:rPr>
              <w:t>17</w:t>
            </w:r>
          </w:p>
        </w:tc>
        <w:tc>
          <w:tcPr>
            <w:tcW w:type="dxa" w:w="1584"/>
          </w:tcPr>
          <w:p>
            <w:r/>
            <w:r>
              <w:rPr>
                <w:sz w:val="16"/>
              </w:rPr>
              <w:t>Owen's therapy program</w:t>
            </w:r>
          </w:p>
        </w:tc>
        <w:tc>
          <w:tcPr>
            <w:tcW w:type="dxa" w:w="2520"/>
          </w:tcPr>
          <w:p>
            <w:r/>
            <w:r>
              <w:rPr>
                <w:sz w:val="16"/>
              </w:rPr>
              <w:t>"Early Intervention at DuPage Easter Seals"</w:t>
            </w:r>
          </w:p>
        </w:tc>
        <w:tc>
          <w:tcPr>
            <w:tcW w:type="dxa" w:w="2520"/>
          </w:tcPr>
          <w:p>
            <w:r/>
            <w:r>
              <w:rPr>
                <w:sz w:val="16"/>
              </w:rPr>
              <w:t>Owen is 4; Illinois EI generally ends at age 3</w:t>
            </w:r>
          </w:p>
        </w:tc>
        <w:tc>
          <w:tcPr>
            <w:tcW w:type="dxa" w:w="2592"/>
          </w:tcPr>
          <w:p>
            <w:r/>
            <w:r>
              <w:rPr>
                <w:sz w:val="16"/>
              </w:rPr>
              <w:t>Confirm program, provider, and coverage</w:t>
            </w:r>
          </w:p>
        </w:tc>
      </w:tr>
      <w:tr>
        <w:tc>
          <w:tcPr>
            <w:tcW w:type="dxa" w:w="432"/>
          </w:tcPr>
          <w:p>
            <w:r/>
            <w:r>
              <w:rPr>
                <w:sz w:val="16"/>
              </w:rPr>
              <w:t>18</w:t>
            </w:r>
          </w:p>
        </w:tc>
        <w:tc>
          <w:tcPr>
            <w:tcW w:type="dxa" w:w="1584"/>
          </w:tcPr>
          <w:p>
            <w:r/>
            <w:r>
              <w:rPr>
                <w:sz w:val="16"/>
              </w:rPr>
              <w:t>Separation</w:t>
            </w:r>
          </w:p>
        </w:tc>
        <w:tc>
          <w:tcPr>
            <w:tcW w:type="dxa" w:w="2520"/>
          </w:tcPr>
          <w:p>
            <w:r/>
            <w:r>
              <w:rPr>
                <w:sz w:val="16"/>
              </w:rPr>
              <w:t>In-home separation; Derek still in house</w:t>
            </w:r>
          </w:p>
        </w:tc>
        <w:tc>
          <w:tcPr>
            <w:tcW w:type="dxa" w:w="2520"/>
          </w:tcPr>
          <w:p>
            <w:r/>
            <w:r>
              <w:rPr>
                <w:sz w:val="16"/>
              </w:rPr>
              <w:t>[E] refers to "after we physically separated" and Derek "came to pick up the kids"</w:t>
            </w:r>
          </w:p>
        </w:tc>
        <w:tc>
          <w:tcPr>
            <w:tcW w:type="dxa" w:w="2592"/>
          </w:tcPr>
          <w:p>
            <w:r/>
            <w:r>
              <w:rPr>
                <w:sz w:val="16"/>
              </w:rPr>
              <w:t>Clarify living arrangement and date for 401(a-5) and dissipation</w:t>
            </w:r>
          </w:p>
        </w:tc>
      </w:tr>
      <w:tr>
        <w:tc>
          <w:tcPr>
            <w:tcW w:type="dxa" w:w="432"/>
          </w:tcPr>
          <w:p>
            <w:r/>
            <w:r>
              <w:rPr>
                <w:sz w:val="16"/>
              </w:rPr>
              <w:t>19</w:t>
            </w:r>
          </w:p>
        </w:tc>
        <w:tc>
          <w:tcPr>
            <w:tcW w:type="dxa" w:w="1584"/>
          </w:tcPr>
          <w:p>
            <w:r/>
            <w:r>
              <w:rPr>
                <w:sz w:val="16"/>
              </w:rPr>
              <w:t>Cabin "pre-marital savings"</w:t>
            </w:r>
          </w:p>
        </w:tc>
        <w:tc>
          <w:tcPr>
            <w:tcW w:type="dxa" w:w="2520"/>
          </w:tcPr>
          <w:p>
            <w:r/>
            <w:r>
              <w:rPr>
                <w:sz w:val="16"/>
              </w:rPr>
              <w:t>Purchased 2019 with pre-marital savings</w:t>
            </w:r>
          </w:p>
        </w:tc>
        <w:tc>
          <w:tcPr>
            <w:tcW w:type="dxa" w:w="2520"/>
          </w:tcPr>
          <w:p>
            <w:r/>
            <w:r>
              <w:rPr>
                <w:sz w:val="16"/>
              </w:rPr>
              <w:t>$148,000 mortgage still outstanding on a $220,000 purchase</w:t>
            </w:r>
          </w:p>
        </w:tc>
        <w:tc>
          <w:tcPr>
            <w:tcW w:type="dxa" w:w="2592"/>
          </w:tcPr>
          <w:p>
            <w:r/>
            <w:r>
              <w:rPr>
                <w:sz w:val="16"/>
              </w:rPr>
              <w:t>Source and amount of the down payment need documentary tracing</w:t>
            </w:r>
          </w:p>
        </w:tc>
      </w:tr>
      <w:tr>
        <w:tc>
          <w:tcPr>
            <w:tcW w:type="dxa" w:w="432"/>
          </w:tcPr>
          <w:p>
            <w:r/>
            <w:r>
              <w:rPr>
                <w:sz w:val="16"/>
              </w:rPr>
              <w:t>20</w:t>
            </w:r>
          </w:p>
        </w:tc>
        <w:tc>
          <w:tcPr>
            <w:tcW w:type="dxa" w:w="1584"/>
          </w:tcPr>
          <w:p>
            <w:r/>
            <w:r>
              <w:rPr>
                <w:sz w:val="16"/>
              </w:rPr>
              <w:t>Mortgage terms</w:t>
            </w:r>
          </w:p>
        </w:tc>
        <w:tc>
          <w:tcPr>
            <w:tcW w:type="dxa" w:w="2520"/>
          </w:tcPr>
          <w:p>
            <w:r/>
            <w:r>
              <w:rPr>
                <w:sz w:val="16"/>
              </w:rPr>
              <w:t>30-yr fixed 3.75%, balance $412,000</w:t>
            </w:r>
          </w:p>
        </w:tc>
        <w:tc>
          <w:tcPr>
            <w:tcW w:type="dxa" w:w="2520"/>
          </w:tcPr>
          <w:p>
            <w:r/>
            <w:r>
              <w:rPr>
                <w:sz w:val="16"/>
              </w:rPr>
              <w:t>[E]: payment ~$2,400/mo; standard amortization implies ~$2,538 P&amp;I and ~$443,000 balance</w:t>
            </w:r>
          </w:p>
        </w:tc>
        <w:tc>
          <w:tcPr>
            <w:tcW w:type="dxa" w:w="2592"/>
          </w:tcPr>
          <w:p>
            <w:r/>
            <w:r>
              <w:rPr>
                <w:sz w:val="16"/>
              </w:rPr>
              <w:t>Possible refinance or prepayments; obtain loan history</w:t>
            </w:r>
          </w:p>
        </w:tc>
      </w:tr>
    </w:tbl>
    <w:p>
      <w:pPr>
        <w:spacing w:after="40"/>
      </w:pPr>
    </w:p>
    <w:p>
      <w:pPr>
        <w:pStyle w:val="Heading1"/>
      </w:pPr>
      <w:r>
        <w:t>12. Recommended Next Steps and Deadlines</w:t>
      </w:r>
    </w:p>
    <w:p>
      <w:pPr>
        <w:pStyle w:val="ListBullet"/>
        <w:spacing w:after="40"/>
      </w:pPr>
      <w:r>
        <w:rPr>
          <w:b/>
        </w:rPr>
        <w:t xml:space="preserve">Immediately: </w:t>
      </w:r>
      <w:r>
        <w:t>confirm docket (case number, petitioner, service date, Calder appearance date); send preservation letter; evaluate 501 temporary injunction re: crypto and joint accounts; respond to Calder's informal-disclosure letter through this office (instruct client not to respond directly).</w:t>
      </w:r>
    </w:p>
    <w:p>
      <w:pPr>
        <w:pStyle w:val="ListBullet"/>
        <w:spacing w:after="40"/>
      </w:pPr>
      <w:r>
        <w:rPr>
          <w:b/>
        </w:rPr>
        <w:t xml:space="preserve">Engagement: </w:t>
      </w:r>
      <w:r>
        <w:t>assign attorney and file number (blank on intake form); confirm conflicts; confirm secure communication channel.</w:t>
      </w:r>
    </w:p>
    <w:p>
      <w:pPr>
        <w:pStyle w:val="ListBullet"/>
        <w:spacing w:after="40"/>
      </w:pPr>
      <w:r>
        <w:rPr>
          <w:b/>
        </w:rPr>
        <w:t xml:space="preserve">Calendar: </w:t>
      </w:r>
      <w:r>
        <w:t>parenting plan ~120 days from filing/service (approx. June 7, 2025 if measured from filing); 6-month separation mark ~May 4, 2025; Financial Affidavit and mandatory disclosure deadlines under DuPage local rules; dissipation notice deadline.</w:t>
      </w:r>
    </w:p>
    <w:p>
      <w:pPr>
        <w:pStyle w:val="ListBullet"/>
        <w:spacing w:after="40"/>
      </w:pPr>
      <w:r>
        <w:rPr>
          <w:b/>
        </w:rPr>
        <w:t xml:space="preserve">Experts: </w:t>
      </w:r>
      <w:r>
        <w:t>forensic accountant/business valuator (Whitfield Digital Consulting income and value); residential appraiser (Naperville home and Galena cabin); crypto-tracing specialist if Coinbase records show off-exchange transfers.</w:t>
      </w:r>
    </w:p>
    <w:p>
      <w:pPr>
        <w:pStyle w:val="ListBullet"/>
        <w:spacing w:after="40"/>
      </w:pPr>
      <w:r>
        <w:rPr>
          <w:b/>
        </w:rPr>
        <w:t xml:space="preserve">Discovery to Derek / third parties: </w:t>
      </w:r>
      <w:r>
        <w:t>Coinbase subpoena; business tax returns, general ledger, bank and credit card statements, Voss Creative Partners invoices/1099s/payments, LOC documents; SEP-IRA (Hartleigh) statements; complete prenup with Schedules A and B.</w:t>
      </w:r>
    </w:p>
    <w:p>
      <w:pPr>
        <w:pStyle w:val="ListBullet"/>
        <w:spacing w:after="40"/>
      </w:pPr>
      <w:r>
        <w:rPr>
          <w:b/>
        </w:rPr>
        <w:t xml:space="preserve">Client counseling: </w:t>
      </w:r>
      <w:r>
        <w:t>realistic expectations on maintenance and the cabin; caution on self-help evidence gathering; no unilateral asset moves; no posts about the case on social media; keep a contemporaneous parenting journal.</w:t>
      </w:r>
    </w:p>
    <w:p>
      <w:pPr>
        <w:pStyle w:val="Heading1"/>
      </w:pPr>
      <w:r>
        <w:t>13. Documents to Request from Client</w:t>
      </w:r>
    </w:p>
    <w:p>
      <w:pPr>
        <w:pStyle w:val="ListBullet"/>
        <w:spacing w:after="40"/>
      </w:pPr>
      <w:r>
        <w:t>Better/complete scan of the prenuptial agreement, including Schedules A and B, and any 2011 financial disclosures exchanged.</w:t>
      </w:r>
    </w:p>
    <w:p>
      <w:pPr>
        <w:pStyle w:val="ListBullet"/>
        <w:spacing w:after="40"/>
      </w:pPr>
      <w:r>
        <w:t>March 2016 wire record from her parents (and any mortgage gift letter); closing statement for 2918 Ridgeview Terrace; mortgage statements/refinance documents.</w:t>
      </w:r>
    </w:p>
    <w:p>
      <w:pPr>
        <w:pStyle w:val="ListBullet"/>
        <w:spacing w:after="40"/>
      </w:pPr>
      <w:r>
        <w:t>Kitchen renovation contracts, invoices, and proof of payment (2021) showing the inheritance account as the source.</w:t>
      </w:r>
    </w:p>
    <w:p>
      <w:pPr>
        <w:pStyle w:val="ListBullet"/>
        <w:spacing w:after="40"/>
      </w:pPr>
      <w:r>
        <w:t>Grandmother Soo-Jin Park's estate distribution records; complete individual savings statements Feb. 2020–present.</w:t>
      </w:r>
    </w:p>
    <w:p>
      <w:pPr>
        <w:pStyle w:val="ListBullet"/>
        <w:spacing w:after="40"/>
      </w:pPr>
      <w:r>
        <w:t>Whitcroft statements from account opening (2008) or at least Aug. 2011 to present.</w:t>
      </w:r>
    </w:p>
    <w:p>
      <w:pPr>
        <w:pStyle w:val="ListBullet"/>
        <w:spacing w:after="40"/>
      </w:pPr>
      <w:r>
        <w:t>Galena cabin closing statement (June 2019), loan file, source-of-funds records, deed, short-term rental platform statements, expenses, and Schedule E.</w:t>
      </w:r>
    </w:p>
    <w:p>
      <w:pPr>
        <w:pStyle w:val="ListBullet"/>
        <w:spacing w:after="40"/>
      </w:pPr>
      <w:r>
        <w:t>Tax returns (joint/individual) and W-2s/pay stubs for at least 3–5 years; Lakeshore benefits summary; Saxonbrook 401(k) statements.</w:t>
      </w:r>
    </w:p>
    <w:p>
      <w:pPr>
        <w:pStyle w:val="ListBullet"/>
        <w:spacing w:after="40"/>
      </w:pPr>
      <w:r>
        <w:t>Student-loan records: original balance, payment history, IDR plan, PSLF employment certifications and qualifying-payment count; confirmation of Lakeshore Medical Group's tax-exempt status.</w:t>
      </w:r>
    </w:p>
    <w:p>
      <w:pPr>
        <w:pStyle w:val="ListBullet"/>
        <w:spacing w:after="40"/>
      </w:pPr>
      <w:r>
        <w:t>529 plan statements (Bright Future College Savings) for all three children.</w:t>
      </w:r>
    </w:p>
    <w:p>
      <w:pPr>
        <w:pStyle w:val="ListBullet"/>
        <w:spacing w:after="40"/>
      </w:pPr>
      <w:r>
        <w:t>Joint account and Chase Sapphire statements; any information on Derek's Coinbase account and SEP-IRA.</w:t>
      </w:r>
    </w:p>
    <w:p>
      <w:pPr>
        <w:pStyle w:val="ListBullet"/>
        <w:spacing w:after="40"/>
      </w:pPr>
      <w:r>
        <w:t>Gaming-PC receipt and any Voss/Derek business papers already lawfully in her possession; screenshots of public social-media posts (Miami, Austin, Scottsdale).</w:t>
      </w:r>
    </w:p>
    <w:p>
      <w:pPr>
        <w:pStyle w:val="ListBullet"/>
        <w:spacing w:after="40"/>
      </w:pPr>
      <w:r>
        <w:t>Children's school records, Owen's therapy records/schedule and provider details, activity schedules, childcare invoices, and the Calder &amp; Rourke letter.</w:t>
      </w:r>
    </w:p>
    <w:p>
      <w:pPr>
        <w:pStyle w:val="Heading1"/>
      </w:pPr>
      <w:r>
        <w:t>14. Follow-Up Questions for Client</w:t>
      </w:r>
    </w:p>
    <w:p>
      <w:pPr>
        <w:pStyle w:val="ListBullet"/>
        <w:spacing w:after="40"/>
      </w:pPr>
      <w:r>
        <w:t>Who filed first, and when were you (or Derek) served? Did you file the Feb. 7 petition yourself?</w:t>
      </w:r>
    </w:p>
    <w:p>
      <w:pPr>
        <w:pStyle w:val="ListBullet"/>
        <w:spacing w:after="40"/>
      </w:pPr>
      <w:r>
        <w:t>Which down-payment figure is correct ($80,000 or $90,000), and to whom/which account was the wire sent?</w:t>
      </w:r>
    </w:p>
    <w:p>
      <w:pPr>
        <w:pStyle w:val="ListBullet"/>
        <w:spacing w:after="40"/>
      </w:pPr>
      <w:r>
        <w:t>Where did the remaining ~$78,500 of the inheritance go? Were any marital funds ever deposited into the individual savings account?</w:t>
      </w:r>
    </w:p>
    <w:p>
      <w:pPr>
        <w:pStyle w:val="ListBullet"/>
        <w:spacing w:after="40"/>
      </w:pPr>
      <w:r>
        <w:t>Where were the "pre-marital savings" used for the cabin held between 2011 and 2019, and how much was the down payment? Who has paid the cabin mortgage and from which account?</w:t>
      </w:r>
    </w:p>
    <w:p>
      <w:pPr>
        <w:pStyle w:val="ListBullet"/>
        <w:spacing w:after="40"/>
      </w:pPr>
      <w:r>
        <w:t>What contributions have you made to the Whitcroft account since 2011, and from what source?</w:t>
      </w:r>
    </w:p>
    <w:p>
      <w:pPr>
        <w:pStyle w:val="ListBullet"/>
        <w:spacing w:after="40"/>
      </w:pPr>
      <w:r>
        <w:t>Is Lakeshore Medical Group a 501(c)(3) or government employer? How many PSLF-qualifying payments are certified?</w:t>
      </w:r>
    </w:p>
    <w:p>
      <w:pPr>
        <w:pStyle w:val="ListBullet"/>
        <w:spacing w:after="40"/>
      </w:pPr>
      <w:r>
        <w:t>What exactly was on Derek's phone notification (date, amount, wallet), and what were the circumstances given that you both live in the home?</w:t>
      </w:r>
    </w:p>
    <w:p>
      <w:pPr>
        <w:pStyle w:val="ListBullet"/>
        <w:spacing w:after="40"/>
      </w:pPr>
      <w:r>
        <w:t>What is the current weekend parenting schedule, and who covers the children on your on-call Saturdays?</w:t>
      </w:r>
    </w:p>
    <w:p>
      <w:pPr>
        <w:pStyle w:val="ListBullet"/>
        <w:spacing w:after="40"/>
      </w:pPr>
      <w:r>
        <w:t>What is Owen's current therapy program and funding source now that he is over age 3?</w:t>
      </w:r>
    </w:p>
    <w:p>
      <w:pPr>
        <w:pStyle w:val="ListBullet"/>
        <w:spacing w:after="40"/>
      </w:pPr>
      <w:r>
        <w:t>Has Derek indicated whether he wants to keep the home, seek majority parenting time, or seek maintenance?</w:t>
      </w:r>
    </w:p>
    <w:p/>
    <w:p>
      <w:pPr>
        <w:spacing w:after="80"/>
      </w:pPr>
      <w:r>
        <w:rPr>
          <w:i/>
          <w:sz w:val="18"/>
        </w:rPr>
        <w:t>Prepared from client-provided materials only; no independent verification has been performed. Subject to revision upon receipt of the complete prenuptial agreement, financial records, and court docket.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