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CALDER, FINCH &amp; MORROW LLP</w:t>
      </w:r>
    </w:p>
    <w:p>
      <w:pPr>
        <w:spacing w:after="240"/>
        <w:jc w:val="center"/>
      </w:pPr>
      <w:r>
        <w:t>600 Lexington Avenue, 28th Floor, New York, New York 10022</w:t>
      </w:r>
    </w:p>
    <w:p>
      <w:pPr>
        <w:spacing w:after="240"/>
        <w:jc w:val="center"/>
      </w:pPr>
      <w:r>
        <w:rPr>
          <w:b/>
        </w:rPr>
        <w:t>MEMORANDUM</w:t>
      </w:r>
    </w:p>
    <w:p>
      <w:pPr>
        <w:spacing w:after="80"/>
        <w:ind w:left="1440" w:hanging="1440"/>
      </w:pPr>
      <w:r>
        <w:rPr>
          <w:b/>
        </w:rPr>
        <w:t>TO:</w:t>
      </w:r>
      <w:r>
        <w:tab/>
        <w:t>Joanna Calder-Reese, Partner</w:t>
      </w:r>
    </w:p>
    <w:p>
      <w:pPr>
        <w:spacing w:after="80"/>
        <w:ind w:left="1440" w:hanging="1440"/>
      </w:pPr>
      <w:r>
        <w:rPr>
          <w:b/>
        </w:rPr>
        <w:t>FROM:</w:t>
      </w:r>
      <w:r>
        <w:tab/>
        <w:t>Devon T. Matsuda, Associate</w:t>
      </w:r>
    </w:p>
    <w:p>
      <w:pPr>
        <w:spacing w:after="80"/>
        <w:ind w:left="1440" w:hanging="1440"/>
      </w:pPr>
      <w:r>
        <w:rPr>
          <w:b/>
        </w:rPr>
        <w:t>DATE:</w:t>
      </w:r>
      <w:r>
        <w:tab/>
        <w:t>October 30, 2024</w:t>
      </w:r>
    </w:p>
    <w:p>
      <w:pPr>
        <w:spacing w:after="80"/>
        <w:ind w:left="1440" w:hanging="1440"/>
      </w:pPr>
      <w:r>
        <w:rPr>
          <w:b/>
        </w:rPr>
        <w:t>RE:</w:t>
      </w:r>
      <w:r>
        <w:tab/>
        <w:t xml:space="preserve">Marcus R. Dunleavy — Transmittal of Defense Draft Proffer Agreement; </w:t>
      </w:r>
      <w:r>
        <w:rPr>
          <w:i/>
        </w:rPr>
        <w:t>United States v. Helix Biomedical Systems, Inc., et al.</w:t>
      </w:r>
      <w:r>
        <w:t>, Grand Jury No. 24-GJ-0871 (USAO-SDNY)</w:t>
      </w:r>
    </w:p>
    <w:p>
      <w:pPr>
        <w:spacing w:after="160"/>
      </w:pP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t>_</w:t>
      </w:r>
      <w:r>
        <w:rPr>
          <w:u w:val="single"/>
        </w:rPr>
      </w:r>
    </w:p>
    <w:p>
      <w:pPr>
        <w:keepNext/>
        <w:spacing w:before="200"/>
      </w:pPr>
      <w:r>
        <w:rPr>
          <w:b/>
          <w:sz w:val="24"/>
          <w:u w:val="single"/>
        </w:rPr>
        <w:t>I. Purpose and Bottom Line</w:t>
      </w:r>
    </w:p>
    <w:p>
      <w:pPr>
        <w:jc w:val="both"/>
      </w:pPr>
      <w:r>
        <w:t xml:space="preserve">Attached for your review is a defense draft of the proffer agreement for Mr. Dunleavy’s November 14, 2024 session (file: </w:t>
      </w:r>
      <w:r>
        <w:rPr>
          <w:i/>
        </w:rPr>
        <w:t>proffer-agreement-draft.docx</w:t>
      </w:r>
      <w:r>
        <w:t>). It is built on the firm’s SDNY template (WC-PRO-003, March 2023), conformed to the facts and to AUSA Chandrasekaran’s October 21, 2024 email, and rewritten to carry each recommendation in my October 25 case memorandum. Because I did not receive direction on the open questions by October 28, the draft takes the defense-favorable position on each and puts the main alternatives in brackets so you can choose before we transmit.</w:t>
      </w:r>
    </w:p>
    <w:p>
      <w:pPr>
        <w:jc w:val="both"/>
      </w:pPr>
      <w:r>
        <w:rPr>
          <w:b/>
        </w:rPr>
        <w:t>Bottom line.</w:t>
      </w:r>
      <w:r>
        <w:t xml:space="preserve"> The draft is an opening position, not where we expect to end up. The email describes three terms as standard and says one of them (impeachment and rebuttal) is “non-negotiable,” and it says the Office “does not anticipate agreeing to material changes.” We should expect to give ground on derivative use, the judicial-determination mechanism for breach, and the forum limits on impeachment. We should hold firm on: (1) document treatment and the “no ongoing obligation” clause; (2) the confidentiality and non-disclosure protections (Helix, the SEC, and private litigants); (3) a knowing-and-willful truthfulness standard with a right to correct; and (4) no waiver of the Fifth Amendment or of privilege. Section V gives the priorities and fallbacks.</w:t>
      </w:r>
    </w:p>
    <w:p>
      <w:pPr>
        <w:jc w:val="both"/>
      </w:pPr>
      <w:r>
        <w:rPr>
          <w:b/>
        </w:rPr>
        <w:t>Before transmittal:</w:t>
      </w:r>
      <w:r>
        <w:t xml:space="preserve"> (i) choose among the bracketed alternatives (¶¶ 4(c), 7(b), 9(b), 11(c)); (ii) remove the “Defense Proposed Draft” header if you prefer to send a clean draft with a cover email; (iii) fill in the control numbers for the January 12, 2023 notes once we Bates-stamp them; and (iv) cite-check the authorities cited here (see Section VIII).</w:t>
      </w:r>
    </w:p>
    <w:p>
      <w:pPr>
        <w:keepNext/>
        <w:spacing w:before="200"/>
      </w:pPr>
      <w:r>
        <w:rPr>
          <w:b/>
          <w:sz w:val="24"/>
          <w:u w:val="single"/>
        </w:rPr>
        <w:t>II. Sources Reviewed</w:t>
      </w:r>
    </w:p>
    <w:p>
      <w:pPr>
        <w:spacing w:after="80"/>
        <w:ind w:left="504" w:hanging="288"/>
        <w:jc w:val="both"/>
      </w:pPr>
      <w:r>
        <w:t>•  AUSA Priya N. Chandrasekaran email to J. Calder-Reese (cc: AUSA Thomas R. Bellamy), October 21, 2024, confirming the October 18 call.</w:t>
      </w:r>
    </w:p>
    <w:p>
      <w:pPr>
        <w:spacing w:after="80"/>
        <w:ind w:left="504" w:hanging="288"/>
        <w:jc w:val="both"/>
      </w:pPr>
      <w:r>
        <w:t>•  D. Matsuda internal case memorandum, October 25, 2024 (seven strategic issues; open questions 6(a)–(e)).</w:t>
      </w:r>
    </w:p>
    <w:p>
      <w:pPr>
        <w:spacing w:after="80"/>
        <w:ind w:left="504" w:hanging="288"/>
        <w:jc w:val="both"/>
      </w:pPr>
      <w:r>
        <w:t>•  Firm precedent: Standard SDNY Proffer Agreement template, WC-PRO-003 (last updated March 2023).</w:t>
      </w:r>
    </w:p>
    <w:p>
      <w:pPr>
        <w:spacing w:after="80"/>
        <w:ind w:left="504" w:hanging="288"/>
        <w:jc w:val="both"/>
      </w:pPr>
      <w:r>
        <w:t>•  Draft Declaration of Marcus R. Dunleavy (October 2024; unsigned; privileged).</w:t>
      </w:r>
    </w:p>
    <w:p>
      <w:pPr>
        <w:spacing w:after="80"/>
        <w:ind w:left="504" w:hanging="288"/>
        <w:jc w:val="both"/>
      </w:pPr>
      <w:r>
        <w:t>•  Helix Biomedical Systems, Inc. 2018 Equity Incentive Plan (as amended and restated effective January 1, 2020), § 7.4 excerpt (public, Form 10-K Ex. 10.1).</w:t>
      </w:r>
    </w:p>
    <w:p>
      <w:pPr>
        <w:jc w:val="both"/>
      </w:pPr>
      <w:r>
        <w:t>The template’s cover note refers to a firm practice group memorandum dated January 15, 2022 on derivative use and impeachment scope. That memorandum is not in the file. I have not relied on it, and it should be pulled before we finalize.</w:t>
      </w:r>
    </w:p>
    <w:p>
      <w:pPr>
        <w:keepNext/>
        <w:spacing w:before="200"/>
      </w:pPr>
      <w:r>
        <w:rPr>
          <w:b/>
          <w:sz w:val="24"/>
          <w:u w:val="single"/>
        </w:rPr>
        <w:t>III. Provision-by-Provision Summary</w:t>
      </w:r>
    </w:p>
    <w:p>
      <w:pPr>
        <w:jc w:val="both"/>
      </w:pPr>
      <w:r>
        <w:t>The table compares the template, the government’s stated terms, and our draft for each provision, and gives our expected fallback.</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1296"/>
            <w:shd w:val="clear" w:color="auto" w:fill="D9E2F3"/>
          </w:tcPr>
          <w:p>
            <w:r/>
            <w:r>
              <w:rPr>
                <w:b/>
                <w:sz w:val="17"/>
              </w:rPr>
              <w:t>Provision</w:t>
            </w:r>
          </w:p>
        </w:tc>
        <w:tc>
          <w:tcPr>
            <w:tcW w:type="dxa" w:w="1944"/>
            <w:shd w:val="clear" w:color="auto" w:fill="D9E2F3"/>
          </w:tcPr>
          <w:p>
            <w:r/>
            <w:r>
              <w:rPr>
                <w:b/>
                <w:sz w:val="17"/>
              </w:rPr>
              <w:t>Template (WC-PRO-003)</w:t>
            </w:r>
          </w:p>
        </w:tc>
        <w:tc>
          <w:tcPr>
            <w:tcW w:type="dxa" w:w="1872"/>
            <w:shd w:val="clear" w:color="auto" w:fill="D9E2F3"/>
          </w:tcPr>
          <w:p>
            <w:r/>
            <w:r>
              <w:rPr>
                <w:b/>
                <w:sz w:val="17"/>
              </w:rPr>
              <w:t>Government (10/21 email)</w:t>
            </w:r>
          </w:p>
        </w:tc>
        <w:tc>
          <w:tcPr>
            <w:tcW w:type="dxa" w:w="2520"/>
            <w:shd w:val="clear" w:color="auto" w:fill="D9E2F3"/>
          </w:tcPr>
          <w:p>
            <w:r/>
            <w:r>
              <w:rPr>
                <w:b/>
                <w:sz w:val="17"/>
              </w:rPr>
              <w:t>Our Draft</w:t>
            </w:r>
          </w:p>
        </w:tc>
        <w:tc>
          <w:tcPr>
            <w:tcW w:type="dxa" w:w="1728"/>
            <w:shd w:val="clear" w:color="auto" w:fill="D9E2F3"/>
          </w:tcPr>
          <w:p>
            <w:r/>
            <w:r>
              <w:rPr>
                <w:b/>
                <w:sz w:val="17"/>
              </w:rPr>
              <w:t>Priority / Fallback</w:t>
            </w:r>
          </w:p>
        </w:tc>
      </w:tr>
      <w:tr>
        <w:trPr/>
        <w:tc>
          <w:tcPr>
            <w:tcW w:type="dxa" w:w="1296"/>
          </w:tcPr>
          <w:p>
            <w:r/>
            <w:r>
              <w:rPr>
                <w:sz w:val="17"/>
              </w:rPr>
              <w:t>Definitions (¶2)</w:t>
            </w:r>
          </w:p>
        </w:tc>
        <w:tc>
          <w:tcPr>
            <w:tcW w:type="dxa" w:w="1944"/>
          </w:tcPr>
          <w:p>
            <w:r/>
            <w:r>
              <w:rPr>
                <w:sz w:val="17"/>
              </w:rPr>
              <w:t>“Proffer Statements” covers the witness’s oral and written statements only.</w:t>
            </w:r>
          </w:p>
        </w:tc>
        <w:tc>
          <w:tcPr>
            <w:tcW w:type="dxa" w:w="1872"/>
          </w:tcPr>
          <w:p>
            <w:r/>
            <w:r>
              <w:rPr>
                <w:sz w:val="17"/>
              </w:rPr>
              <w:t>Not addressed.</w:t>
            </w:r>
          </w:p>
        </w:tc>
        <w:tc>
          <w:tcPr>
            <w:tcW w:type="dxa" w:w="2520"/>
          </w:tcPr>
          <w:p>
            <w:r/>
            <w:r>
              <w:rPr>
                <w:sz w:val="17"/>
              </w:rPr>
              <w:t>Covers counsel’s attorney proffers, the act of producing the notes, and all FD-302s and agent notes (“Proffer Materials”).</w:t>
            </w:r>
          </w:p>
        </w:tc>
        <w:tc>
          <w:tcPr>
            <w:tcW w:type="dxa" w:w="1728"/>
          </w:tcPr>
          <w:p>
            <w:r/>
            <w:r>
              <w:rPr>
                <w:sz w:val="17"/>
              </w:rPr>
              <w:t>Hold. This is the foundation for every other protection.</w:t>
            </w:r>
          </w:p>
        </w:tc>
      </w:tr>
      <w:tr>
        <w:trPr/>
        <w:tc>
          <w:tcPr>
            <w:tcW w:type="dxa" w:w="1296"/>
          </w:tcPr>
          <w:p>
            <w:r/>
            <w:r>
              <w:rPr>
                <w:sz w:val="17"/>
              </w:rPr>
              <w:t>Attendees (¶3)</w:t>
            </w:r>
          </w:p>
        </w:tc>
        <w:tc>
          <w:tcPr>
            <w:tcW w:type="dxa" w:w="1944"/>
          </w:tcPr>
          <w:p>
            <w:r/>
            <w:r>
              <w:rPr>
                <w:sz w:val="17"/>
              </w:rPr>
              <w:t>Office picks attendees “at its sole discretion.”</w:t>
            </w:r>
          </w:p>
        </w:tc>
        <w:tc>
          <w:tcPr>
            <w:tcW w:type="dxa" w:w="1872"/>
          </w:tcPr>
          <w:p>
            <w:r/>
            <w:r>
              <w:rPr>
                <w:sz w:val="17"/>
              </w:rPr>
              <w:t>Four named; Office reserves right to add law enforcement personnel with notice it will “endeavor” to give.</w:t>
            </w:r>
          </w:p>
        </w:tc>
        <w:tc>
          <w:tcPr>
            <w:tcW w:type="dxa" w:w="2520"/>
          </w:tcPr>
          <w:p>
            <w:r/>
            <w:r>
              <w:rPr>
                <w:sz w:val="17"/>
              </w:rPr>
              <w:t>Closed list on both sides. Additions only with 2 business days’ notice and our consent. No SEC, other agency, or Helix attendees. Right to confer, take breaks, decline to answer, and end the session.</w:t>
            </w:r>
          </w:p>
        </w:tc>
        <w:tc>
          <w:tcPr>
            <w:tcW w:type="dxa" w:w="1728"/>
          </w:tcPr>
          <w:p>
            <w:r/>
            <w:r>
              <w:rPr>
                <w:sz w:val="17"/>
              </w:rPr>
              <w:t>Accept notice plus a right to object instead of consent. Hold the “no SEC” bar.</w:t>
            </w:r>
          </w:p>
        </w:tc>
      </w:tr>
      <w:tr>
        <w:trPr/>
        <w:tc>
          <w:tcPr>
            <w:tcW w:type="dxa" w:w="1296"/>
          </w:tcPr>
          <w:p>
            <w:r/>
            <w:r>
              <w:rPr>
                <w:sz w:val="17"/>
              </w:rPr>
              <w:t>Memorialization (¶4)</w:t>
            </w:r>
          </w:p>
        </w:tc>
        <w:tc>
          <w:tcPr>
            <w:tcW w:type="dxa" w:w="1944"/>
          </w:tcPr>
          <w:p>
            <w:r/>
            <w:r>
              <w:rPr>
                <w:sz w:val="17"/>
              </w:rPr>
              <w:t>Silent.</w:t>
            </w:r>
          </w:p>
        </w:tc>
        <w:tc>
          <w:tcPr>
            <w:tcW w:type="dxa" w:w="1872"/>
          </w:tcPr>
          <w:p>
            <w:r/>
            <w:r>
              <w:rPr>
                <w:sz w:val="17"/>
              </w:rPr>
              <w:t>FBI memorializes “in the ordinary course.”</w:t>
            </w:r>
          </w:p>
        </w:tc>
        <w:tc>
          <w:tcPr>
            <w:tcW w:type="dxa" w:w="2520"/>
          </w:tcPr>
          <w:p>
            <w:r/>
            <w:r>
              <w:rPr>
                <w:sz w:val="17"/>
              </w:rPr>
              <w:t>No recording. The 302 is a Proffer Material and is not the witness’s adopted statement. Counsel may review it and submit corrections, which travel with it.</w:t>
            </w:r>
          </w:p>
        </w:tc>
        <w:tc>
          <w:tcPr>
            <w:tcW w:type="dxa" w:w="1728"/>
          </w:tcPr>
          <w:p>
            <w:r/>
            <w:r>
              <w:rPr>
                <w:sz w:val="17"/>
              </w:rPr>
              <w:t>Expect refusal of 302 review before indictment. Fall back to an oral read-back and a corrections letter kept with the 302.</w:t>
            </w:r>
          </w:p>
        </w:tc>
      </w:tr>
      <w:tr>
        <w:trPr/>
        <w:tc>
          <w:tcPr>
            <w:tcW w:type="dxa" w:w="1296"/>
          </w:tcPr>
          <w:p>
            <w:r/>
            <w:r>
              <w:rPr>
                <w:sz w:val="17"/>
              </w:rPr>
              <w:t>Direct use (¶5)</w:t>
            </w:r>
          </w:p>
        </w:tc>
        <w:tc>
          <w:tcPr>
            <w:tcW w:type="dxa" w:w="1944"/>
          </w:tcPr>
          <w:p>
            <w:r/>
            <w:r>
              <w:rPr>
                <w:sz w:val="17"/>
              </w:rPr>
              <w:t>No use in the Office’s case-in-chief. Protects “the Witness’s own words” only.</w:t>
            </w:r>
          </w:p>
        </w:tc>
        <w:tc>
          <w:tcPr>
            <w:tcW w:type="dxa" w:w="1872"/>
          </w:tcPr>
          <w:p>
            <w:r/>
            <w:r>
              <w:rPr>
                <w:sz w:val="17"/>
              </w:rPr>
              <w:t>No case-in-chief use.</w:t>
            </w:r>
          </w:p>
        </w:tc>
        <w:tc>
          <w:tcPr>
            <w:tcW w:type="dxa" w:w="2520"/>
          </w:tcPr>
          <w:p>
            <w:r/>
            <w:r>
              <w:rPr>
                <w:sz w:val="17"/>
              </w:rPr>
              <w:t>Adds no use at sentencing or in the Guidelines calculation (§1B1.8 principles), before a grand jury considering charges against him, or in civil, administrative, or forfeiture proceedings. Adds no “consciousness of guilt” argument.</w:t>
            </w:r>
          </w:p>
        </w:tc>
        <w:tc>
          <w:tcPr>
            <w:tcW w:type="dxa" w:w="1728"/>
          </w:tcPr>
          <w:p>
            <w:r/>
            <w:r>
              <w:rPr>
                <w:sz w:val="17"/>
              </w:rPr>
              <w:t>Grand jury and sentencing limits are likely to be resisted. Prioritize the civil/administrative bar.</w:t>
            </w:r>
          </w:p>
        </w:tc>
      </w:tr>
      <w:tr>
        <w:trPr/>
        <w:tc>
          <w:tcPr>
            <w:tcW w:type="dxa" w:w="1296"/>
          </w:tcPr>
          <w:p>
            <w:r/>
            <w:r>
              <w:rPr>
                <w:sz w:val="17"/>
              </w:rPr>
              <w:t>Derivative use (¶6)</w:t>
            </w:r>
          </w:p>
        </w:tc>
        <w:tc>
          <w:tcPr>
            <w:tcW w:type="dxa" w:w="1944"/>
          </w:tcPr>
          <w:p>
            <w:r/>
            <w:r>
              <w:rPr>
                <w:sz w:val="17"/>
              </w:rPr>
              <w:t>Unlimited derivative use, “directly or indirectly.” Burden on the Witness.</w:t>
            </w:r>
          </w:p>
        </w:tc>
        <w:tc>
          <w:tcPr>
            <w:tcW w:type="dxa" w:w="1872"/>
          </w:tcPr>
          <w:p>
            <w:r/>
            <w:r>
              <w:rPr>
                <w:sz w:val="17"/>
              </w:rPr>
              <w:t>Leads “derived directly or indirectly” may be used “without limitation.”</w:t>
            </w:r>
          </w:p>
        </w:tc>
        <w:tc>
          <w:tcPr>
            <w:tcW w:type="dxa" w:w="2520"/>
          </w:tcPr>
          <w:p>
            <w:r/>
            <w:r>
              <w:rPr>
                <w:sz w:val="17"/>
              </w:rPr>
              <w:t>Leads “obtained directly” only. Source not revealed to anyone outside the team. Office records the evidence it already has before the session. Office bears a Kastigar-type burden.</w:t>
            </w:r>
          </w:p>
        </w:tc>
        <w:tc>
          <w:tcPr>
            <w:tcW w:type="dxa" w:w="1728"/>
          </w:tcPr>
          <w:p>
            <w:r/>
            <w:r>
              <w:rPr>
                <w:sz w:val="17"/>
              </w:rPr>
              <w:t>Realistic floor: source protection and the pre-session evidence record. Expect to concede the indirect-lead chain and the burden.</w:t>
            </w:r>
          </w:p>
        </w:tc>
      </w:tr>
      <w:tr>
        <w:trPr/>
        <w:tc>
          <w:tcPr>
            <w:tcW w:type="dxa" w:w="1296"/>
          </w:tcPr>
          <w:p>
            <w:r/>
            <w:r>
              <w:rPr>
                <w:sz w:val="17"/>
              </w:rPr>
              <w:t>Impeachment/rebuttal (¶7)</w:t>
            </w:r>
          </w:p>
        </w:tc>
        <w:tc>
          <w:tcPr>
            <w:tcW w:type="dxa" w:w="1944"/>
          </w:tcPr>
          <w:p>
            <w:r/>
            <w:r>
              <w:rPr>
                <w:sz w:val="17"/>
              </w:rPr>
              <w:t>Any proceeding, civil or administrative included. Derivative evidence usable. Triggered by statements “through counsel.” To be “construed liberally” for the Office.</w:t>
            </w:r>
          </w:p>
        </w:tc>
        <w:tc>
          <w:tcPr>
            <w:tcW w:type="dxa" w:w="1872"/>
          </w:tcPr>
          <w:p>
            <w:r/>
            <w:r>
              <w:rPr>
                <w:sz w:val="17"/>
              </w:rPr>
              <w:t>Any proceeding where Dunleavy “or his counsel offers testimony or makes representations” that are inconsistent. Described as “non-negotiable.”</w:t>
            </w:r>
          </w:p>
        </w:tc>
        <w:tc>
          <w:tcPr>
            <w:tcW w:type="dxa" w:w="2520"/>
          </w:tcPr>
          <w:p>
            <w:r/>
            <w:r>
              <w:rPr>
                <w:sz w:val="17"/>
              </w:rPr>
              <w:t>Federal criminal trial of Dunleavy only, triggered only by his own materially inconsistent testimony. Bracketed fallback (¶7(b)) for factual assertions by counsel that directly contradict a statement. Excludes Thornburg, the SEC, depositions, declarations, derivative evidence, co-defendant testimony, and his invocation of the Fifth.</w:t>
            </w:r>
          </w:p>
        </w:tc>
        <w:tc>
          <w:tcPr>
            <w:tcW w:type="dxa" w:w="1728"/>
          </w:tcPr>
          <w:p>
            <w:r/>
            <w:r>
              <w:rPr>
                <w:sz w:val="17"/>
              </w:rPr>
              <w:t>Lead with ¶7(a). Offer ¶7(b) if needed. Hold the bar on non-criminal forums (Thornburg and SEC).</w:t>
            </w:r>
          </w:p>
        </w:tc>
      </w:tr>
      <w:tr>
        <w:trPr/>
        <w:tc>
          <w:tcPr>
            <w:tcW w:type="dxa" w:w="1296"/>
          </w:tcPr>
          <w:p>
            <w:r/>
            <w:r>
              <w:rPr>
                <w:sz w:val="17"/>
              </w:rPr>
              <w:t>Truthfulness (¶8)</w:t>
            </w:r>
          </w:p>
        </w:tc>
        <w:tc>
          <w:tcPr>
            <w:tcW w:type="dxa" w:w="1944"/>
          </w:tcPr>
          <w:p>
            <w:r/>
            <w:r>
              <w:rPr>
                <w:sz w:val="17"/>
              </w:rPr>
              <w:t>Any “false, misleading, or materially incomplete” statement, or failure to “cooperate fully,” voids the protections. Office decides.</w:t>
            </w:r>
          </w:p>
        </w:tc>
        <w:tc>
          <w:tcPr>
            <w:tcW w:type="dxa" w:w="1872"/>
          </w:tcPr>
          <w:p>
            <w:r/>
            <w:r>
              <w:rPr>
                <w:sz w:val="17"/>
              </w:rPr>
              <w:t>Same, plus “all topics … without limitation.”</w:t>
            </w:r>
          </w:p>
        </w:tc>
        <w:tc>
          <w:tcPr>
            <w:tcW w:type="dxa" w:w="2520"/>
          </w:tcPr>
          <w:p>
            <w:r/>
            <w:r>
              <w:rPr>
                <w:sz w:val="17"/>
              </w:rPr>
              <w:t>Knowing and willful material falsehood only. Safe harbor for recollection limits and estimates. 14-business-day correction window. Written notice. Breach found by the SDNY court on a preponderance. Consequence limited to the session in which the breach occurred.</w:t>
            </w:r>
          </w:p>
        </w:tc>
        <w:tc>
          <w:tcPr>
            <w:tcW w:type="dxa" w:w="1728"/>
          </w:tcPr>
          <w:p>
            <w:r/>
            <w:r>
              <w:rPr>
                <w:sz w:val="17"/>
              </w:rPr>
              <w:t>Hold the knowing-and-willful standard and the correction right. Court determination may fall back to notice plus an opportunity to be heard and a good-faith determination by the Office.</w:t>
            </w:r>
          </w:p>
        </w:tc>
      </w:tr>
      <w:tr>
        <w:trPr/>
        <w:tc>
          <w:tcPr>
            <w:tcW w:type="dxa" w:w="1296"/>
          </w:tcPr>
          <w:p>
            <w:r/>
            <w:r>
              <w:rPr>
                <w:sz w:val="17"/>
              </w:rPr>
              <w:t>Documents (¶9)</w:t>
            </w:r>
          </w:p>
        </w:tc>
        <w:tc>
          <w:tcPr>
            <w:tcW w:type="dxa" w:w="1944"/>
          </w:tcPr>
          <w:p>
            <w:r/>
            <w:r>
              <w:rPr>
                <w:sz w:val="17"/>
              </w:rPr>
              <w:t>Documents outside all use restrictions. Office may keep copies and use them for any purpose.</w:t>
            </w:r>
          </w:p>
        </w:tc>
        <w:tc>
          <w:tcPr>
            <w:tcW w:type="dxa" w:w="1872"/>
          </w:tcPr>
          <w:p>
            <w:r/>
            <w:r>
              <w:rPr>
                <w:sz w:val="17"/>
              </w:rPr>
              <w:t>Office wants to “review and copy” the January 12, 2023 notes and may ask for more.</w:t>
            </w:r>
          </w:p>
        </w:tc>
        <w:tc>
          <w:tcPr>
            <w:tcW w:type="dxa" w:w="2520"/>
          </w:tcPr>
          <w:p>
            <w:r/>
            <w:r>
              <w:rPr>
                <w:sz w:val="17"/>
              </w:rPr>
              <w:t>Only the roughly six pages of January 12, 2023 notes. Option A: inspection only. Option B: one sealed copy, returned or destroyed if no agreement within 90 days. Same protection as statements, no privilege waiver (including act-of-production), and no ongoing obligation to produce.</w:t>
            </w:r>
          </w:p>
        </w:tc>
        <w:tc>
          <w:tcPr>
            <w:tcW w:type="dxa" w:w="1728"/>
          </w:tcPr>
          <w:p>
            <w:r/>
            <w:r>
              <w:rPr>
                <w:sz w:val="17"/>
              </w:rPr>
              <w:t>Hold the same-protection and no-ongoing-obligation clauses. Option B is our fallback.</w:t>
            </w:r>
          </w:p>
        </w:tc>
      </w:tr>
      <w:tr>
        <w:trPr/>
        <w:tc>
          <w:tcPr>
            <w:tcW w:type="dxa" w:w="1296"/>
          </w:tcPr>
          <w:p>
            <w:r/>
            <w:r>
              <w:rPr>
                <w:sz w:val="17"/>
              </w:rPr>
              <w:t>Privilege (¶10)</w:t>
            </w:r>
          </w:p>
        </w:tc>
        <w:tc>
          <w:tcPr>
            <w:tcW w:type="dxa" w:w="1944"/>
          </w:tcPr>
          <w:p>
            <w:r/>
            <w:r>
              <w:rPr>
                <w:sz w:val="17"/>
              </w:rPr>
              <w:t>Any disclosure “may constitute a waiver.” Office assumes no duty.</w:t>
            </w:r>
          </w:p>
        </w:tc>
        <w:tc>
          <w:tcPr>
            <w:tcW w:type="dxa" w:w="1872"/>
          </w:tcPr>
          <w:p>
            <w:r/>
            <w:r>
              <w:rPr>
                <w:sz w:val="17"/>
              </w:rPr>
              <w:t>Not addressed.</w:t>
            </w:r>
          </w:p>
        </w:tc>
        <w:tc>
          <w:tcPr>
            <w:tcW w:type="dxa" w:w="2520"/>
          </w:tcPr>
          <w:p>
            <w:r/>
            <w:r>
              <w:rPr>
                <w:sz w:val="17"/>
              </w:rPr>
              <w:t>No eliciting of our communications or of Helix legal advice. Inadvertent disclosure is not a waiver (FRE 502(b), (e); 502(d) order not opposed). Filter procedures apply. Expressly states he cannot waive Helix’s privilege.</w:t>
            </w:r>
          </w:p>
        </w:tc>
        <w:tc>
          <w:tcPr>
            <w:tcW w:type="dxa" w:w="1728"/>
          </w:tcPr>
          <w:p>
            <w:r/>
            <w:r>
              <w:rPr>
                <w:sz w:val="17"/>
              </w:rPr>
              <w:t>Hold. This is low-cost for the Office.</w:t>
            </w:r>
          </w:p>
        </w:tc>
      </w:tr>
      <w:tr>
        <w:trPr/>
        <w:tc>
          <w:tcPr>
            <w:tcW w:type="dxa" w:w="1296"/>
          </w:tcPr>
          <w:p>
            <w:r/>
            <w:r>
              <w:rPr>
                <w:sz w:val="17"/>
              </w:rPr>
              <w:t>Confidentiality (¶11)</w:t>
            </w:r>
          </w:p>
        </w:tc>
        <w:tc>
          <w:tcPr>
            <w:tcW w:type="dxa" w:w="1944"/>
          </w:tcPr>
          <w:p>
            <w:r/>
            <w:r>
              <w:rPr>
                <w:sz w:val="17"/>
              </w:rPr>
              <w:t>Office may share with any agency at its sole discretion, with no notice.</w:t>
            </w:r>
          </w:p>
        </w:tc>
        <w:tc>
          <w:tcPr>
            <w:tcW w:type="dxa" w:w="1872"/>
          </w:tcPr>
          <w:p>
            <w:r/>
            <w:r>
              <w:rPr>
                <w:sz w:val="17"/>
              </w:rPr>
              <w:t>Not addressed. The parallel SEC matter is active.</w:t>
            </w:r>
          </w:p>
        </w:tc>
        <w:tc>
          <w:tcPr>
            <w:tcW w:type="dxa" w:w="2520"/>
          </w:tcPr>
          <w:p>
            <w:r/>
            <w:r>
              <w:rPr>
                <w:sz w:val="17"/>
              </w:rPr>
              <w:t>No disclosure of the fact of the proffer or of the Proffer Materials to Helix, Pemberton Gale, Stanhope &amp; Whitley, Veridian, targets or subjects, the SEC (HO-14327), other agencies, the Thornburg plaintiffs, or the media. Exceptions: the team, consent, court order, and Brady, Giglio, 3500, and Rule 16 obligations (with notice and a protective order).</w:t>
            </w:r>
          </w:p>
        </w:tc>
        <w:tc>
          <w:tcPr>
            <w:tcW w:type="dxa" w:w="1728"/>
          </w:tcPr>
          <w:p>
            <w:r/>
            <w:r>
              <w:rPr>
                <w:sz w:val="17"/>
              </w:rPr>
              <w:t>See Section IV.B. Bracketed “derived information” clause is expendable. The bar on the fact of the proffer and the Helix/SEC bar are priorities.</w:t>
            </w:r>
          </w:p>
        </w:tc>
      </w:tr>
      <w:tr>
        <w:trPr/>
        <w:tc>
          <w:tcPr>
            <w:tcW w:type="dxa" w:w="1296"/>
          </w:tcPr>
          <w:p>
            <w:r/>
            <w:r>
              <w:rPr>
                <w:sz w:val="17"/>
              </w:rPr>
              <w:t>Preservation; no prejudice (¶¶12–13)</w:t>
            </w:r>
          </w:p>
        </w:tc>
        <w:tc>
          <w:tcPr>
            <w:tcW w:type="dxa" w:w="1944"/>
          </w:tcPr>
          <w:p>
            <w:r/>
            <w:r>
              <w:rPr>
                <w:sz w:val="17"/>
              </w:rPr>
              <w:t>No immunity. No obligation to enter into future agreements.</w:t>
            </w:r>
          </w:p>
        </w:tc>
        <w:tc>
          <w:tcPr>
            <w:tcW w:type="dxa" w:w="1872"/>
          </w:tcPr>
          <w:p>
            <w:r/>
            <w:r>
              <w:rPr>
                <w:sz w:val="17"/>
              </w:rPr>
              <w:t>No immunity, NPA, or cooperation agreement.</w:t>
            </w:r>
          </w:p>
        </w:tc>
        <w:tc>
          <w:tcPr>
            <w:tcW w:type="dxa" w:w="2520"/>
          </w:tcPr>
          <w:p>
            <w:r/>
            <w:r>
              <w:rPr>
                <w:sz w:val="17"/>
              </w:rPr>
              <w:t>Express Fifth Amendment non-waiver, including Thornburg and the SEC. Proffer terms are “neither a floor nor a ceiling.” No reference to a specific future cooperation agreement.</w:t>
            </w:r>
          </w:p>
        </w:tc>
        <w:tc>
          <w:tcPr>
            <w:tcW w:type="dxa" w:w="1728"/>
          </w:tcPr>
          <w:p>
            <w:r/>
            <w:r>
              <w:rPr>
                <w:sz w:val="17"/>
              </w:rPr>
              <w:t>Hold. These are low-cost for the Office.</w:t>
            </w:r>
          </w:p>
        </w:tc>
      </w:tr>
      <w:tr>
        <w:trPr/>
        <w:tc>
          <w:tcPr>
            <w:tcW w:type="dxa" w:w="1296"/>
          </w:tcPr>
          <w:p>
            <w:r/>
            <w:r>
              <w:rPr>
                <w:sz w:val="17"/>
              </w:rPr>
              <w:t>Termination (¶15)</w:t>
            </w:r>
          </w:p>
        </w:tc>
        <w:tc>
          <w:tcPr>
            <w:tcW w:type="dxa" w:w="1944"/>
          </w:tcPr>
          <w:p>
            <w:r/>
            <w:r>
              <w:rPr>
                <w:sz w:val="17"/>
              </w:rPr>
              <w:t>Office may terminate. Protections lost if the Office finds the grounds were untruthfulness.</w:t>
            </w:r>
          </w:p>
        </w:tc>
        <w:tc>
          <w:tcPr>
            <w:tcW w:type="dxa" w:w="1872"/>
          </w:tcPr>
          <w:p>
            <w:r/>
            <w:r>
              <w:rPr>
                <w:sz w:val="17"/>
              </w:rPr>
              <w:t>Not addressed.</w:t>
            </w:r>
          </w:p>
        </w:tc>
        <w:tc>
          <w:tcPr>
            <w:tcW w:type="dxa" w:w="2520"/>
          </w:tcPr>
          <w:p>
            <w:r/>
            <w:r>
              <w:rPr>
                <w:sz w:val="17"/>
              </w:rPr>
              <w:t>Either side may end the session. Protections survive, subject only to the ¶8 process.</w:t>
            </w:r>
          </w:p>
        </w:tc>
        <w:tc>
          <w:tcPr>
            <w:tcW w:type="dxa" w:w="1728"/>
          </w:tcPr>
          <w:p>
            <w:r/>
            <w:r>
              <w:rPr>
                <w:sz w:val="17"/>
              </w:rPr>
              <w:t>Hold.</w:t>
            </w:r>
          </w:p>
        </w:tc>
      </w:tr>
    </w:tbl>
    <w:p>
      <w:pPr>
        <w:spacing w:after="40"/>
      </w:pPr>
    </w:p>
    <w:p>
      <w:pPr>
        <w:keepNext/>
        <w:spacing w:before="200"/>
      </w:pPr>
      <w:r>
        <w:rPr>
          <w:b/>
          <w:sz w:val="24"/>
          <w:u w:val="single"/>
        </w:rPr>
        <w:t>IV. Issues Found in File Review Not Fully Captured in the October 25 Memorandum</w:t>
      </w:r>
    </w:p>
    <w:p>
      <w:pPr>
        <w:keepNext/>
        <w:spacing w:before="80"/>
      </w:pPr>
      <w:r>
        <w:rPr>
          <w:b/>
          <w:sz w:val="24"/>
          <w:u w:val="none"/>
        </w:rPr>
        <w:t>A. The government’s email is broader than the October 25 memo’s summary of it</w:t>
      </w:r>
    </w:p>
    <w:p>
      <w:pPr>
        <w:jc w:val="both"/>
      </w:pPr>
      <w:r>
        <w:t>Section IV of my October 25 memorandum summarized the call, but the October 21 email goes further in several places. The draft responds to the email as written:</w:t>
      </w:r>
    </w:p>
    <w:p>
      <w:pPr>
        <w:spacing w:after="80"/>
        <w:ind w:left="504" w:hanging="288"/>
        <w:jc w:val="both"/>
      </w:pPr>
      <w:r>
        <w:t xml:space="preserve">•  </w:t>
      </w:r>
      <w:r>
        <w:rPr>
          <w:b/>
        </w:rPr>
        <w:t>Impeachment trigger.</w:t>
      </w:r>
      <w:r>
        <w:t xml:space="preserve"> The email lets the Office use proffer statements, and </w:t>
      </w:r>
      <w:r>
        <w:rPr>
          <w:i/>
        </w:rPr>
        <w:t>documents produced</w:t>
      </w:r>
      <w:r>
        <w:t xml:space="preserve">, wherever Dunleavy “or his counsel offers testimony or makes representations” that are inconsistent. This is a counsel-triggered rebuttal waiver of the kind the Second Circuit has enforced, under which factual assertions made through counsel (for example, in an opening statement or on cross-examination) can open the door (see </w:t>
      </w:r>
      <w:r>
        <w:rPr>
          <w:i/>
        </w:rPr>
        <w:t>United States v. Velez</w:t>
      </w:r>
      <w:r>
        <w:t xml:space="preserve">, 354 F.3d 190 (2d Cir. 2004); </w:t>
      </w:r>
      <w:r>
        <w:rPr>
          <w:i/>
        </w:rPr>
        <w:t>United States v. Barrow</w:t>
      </w:r>
      <w:r>
        <w:t xml:space="preserve">, 400 F.3d 109 (2d Cir. 2005); </w:t>
      </w:r>
      <w:r>
        <w:rPr>
          <w:i/>
        </w:rPr>
        <w:t>cf. United States v. Rosemond</w:t>
      </w:r>
      <w:r>
        <w:t>, 841 F.3d 95 (2d Cir. 2016)). It is a real constraint on any trial defense, which is why ¶7(b) is drafted as a narrow fallback rather than left open.</w:t>
      </w:r>
    </w:p>
    <w:p>
      <w:pPr>
        <w:spacing w:after="80"/>
        <w:ind w:left="504" w:hanging="288"/>
        <w:jc w:val="both"/>
      </w:pPr>
      <w:r>
        <w:t xml:space="preserve">•  </w:t>
      </w:r>
      <w:r>
        <w:rPr>
          <w:b/>
        </w:rPr>
        <w:t>Derivative use.</w:t>
      </w:r>
      <w:r>
        <w:t xml:space="preserve"> The email allows leads “derived directly or indirectly” and use of the resulting evidence “without limitation.” The October 25 memo’s third derivative-use point (do not exceed what the AUSA articulated) therefore gives us little protection. The template and the email already go to the outer limit.</w:t>
      </w:r>
    </w:p>
    <w:p>
      <w:pPr>
        <w:spacing w:after="80"/>
        <w:ind w:left="504" w:hanging="288"/>
        <w:jc w:val="both"/>
      </w:pPr>
      <w:r>
        <w:t xml:space="preserve">•  </w:t>
      </w:r>
      <w:r>
        <w:rPr>
          <w:b/>
        </w:rPr>
        <w:t>Truthfulness.</w:t>
      </w:r>
      <w:r>
        <w:t xml:space="preserve"> The email adds “materially incomplete” and says the duty “extends to all topics … without limitation” and that he “must be prepared to answer all questions fully.” Read literally, a refusal to answer on privilege grounds could be called a breach. Draft ¶¶3(c) and 8(b) address this directly.</w:t>
      </w:r>
    </w:p>
    <w:p>
      <w:pPr>
        <w:spacing w:after="80"/>
        <w:ind w:left="504" w:hanging="288"/>
        <w:jc w:val="both"/>
      </w:pPr>
      <w:r>
        <w:t xml:space="preserve">•  </w:t>
      </w:r>
      <w:r>
        <w:rPr>
          <w:b/>
        </w:rPr>
        <w:t>Additional attendees and documents.</w:t>
      </w:r>
      <w:r>
        <w:t xml:space="preserve"> The email reserves the right to bring additional law enforcement personnel and to ask for “additional documents or records in his possession.” This confirms the gateway concern. Draft ¶¶3(a) and 9(e) close both doors.</w:t>
      </w:r>
    </w:p>
    <w:p>
      <w:pPr>
        <w:spacing w:after="80"/>
        <w:ind w:left="504" w:hanging="288"/>
        <w:jc w:val="both"/>
      </w:pPr>
      <w:r>
        <w:t xml:space="preserve">•  </w:t>
      </w:r>
      <w:r>
        <w:rPr>
          <w:b/>
        </w:rPr>
        <w:t>Copying.</w:t>
      </w:r>
      <w:r>
        <w:t xml:space="preserve"> The email asks to “review and copy” the notes. Option A (inspection only) directly rejects that request. Expect pushback, which is why Option B is there.</w:t>
      </w:r>
    </w:p>
    <w:p>
      <w:pPr>
        <w:keepNext/>
        <w:spacing w:before="120"/>
      </w:pPr>
      <w:r>
        <w:rPr>
          <w:b/>
          <w:sz w:val="24"/>
          <w:u w:val="none"/>
        </w:rPr>
        <w:t>B. Equity plan: confidentiality is necessary but will not by itself protect the $1.2 million in options</w:t>
      </w:r>
    </w:p>
    <w:p>
      <w:pPr>
        <w:jc w:val="both"/>
      </w:pPr>
      <w:r>
        <w:t>The October 25 memo treats forfeiture mainly as a risk that Helix learns of the cooperation. Section 7.4 of the plan is broader than that:</w:t>
      </w:r>
    </w:p>
    <w:p>
      <w:pPr>
        <w:spacing w:after="80"/>
        <w:ind w:left="504" w:hanging="288"/>
        <w:jc w:val="both"/>
      </w:pPr>
      <w:r>
        <w:t xml:space="preserve">•  </w:t>
      </w:r>
      <w:r>
        <w:rPr>
          <w:b/>
        </w:rPr>
        <w:t>§ 7.4(c)(C) may already be triggered.</w:t>
      </w:r>
      <w:r>
        <w:t xml:space="preserve"> Unvested awards are subject to forfeiture if the participant is a named defendant in a shareholder action. Dunleavy has been a named defendant in </w:t>
      </w:r>
      <w:r>
        <w:rPr>
          <w:i/>
        </w:rPr>
        <w:t>Thornburg</w:t>
      </w:r>
      <w:r>
        <w:t xml:space="preserve"> since August 15, 2024. Under § 7.4(c), being “involved in” a criminal investigation in which he is a “target, subject, or defendant” is also a trigger (§ 7.4(c)(A)), as is being named a target or subject by “any governmental authority … or the Company.” The forfeiture risk therefore exists today, independent of the proffer.</w:t>
      </w:r>
    </w:p>
    <w:p>
      <w:pPr>
        <w:spacing w:after="80"/>
        <w:ind w:left="504" w:hanging="288"/>
        <w:jc w:val="both"/>
      </w:pPr>
      <w:r>
        <w:t xml:space="preserve">•  </w:t>
      </w:r>
      <w:r>
        <w:rPr>
          <w:b/>
        </w:rPr>
        <w:t>§ 7.4(e)(iii) makes voluntary assistance itself “Conduct Detrimental.”</w:t>
      </w:r>
      <w:r>
        <w:t xml:space="preserve"> It bars “voluntarily providing information, documents, testimony, or other assistance” in a proceeding adverse to the Company or its officers, “unless compelled to do so by lawful process.” A voluntary proffer and voluntary production of the notes fall squarely within that language. Under § 7.4(b) this exposes both vested and unvested awards to forfeiture and permits a 36-month clawback of gains, at any time through 24 months after termination (that is, through about September 6, 2026). The Committee needs no notice or hearing (§ 7.4(b)), and its decisions are “final and binding” (§ 7.4(d)).</w:t>
      </w:r>
    </w:p>
    <w:p>
      <w:pPr>
        <w:spacing w:after="80"/>
        <w:ind w:left="504" w:hanging="288"/>
        <w:jc w:val="both"/>
      </w:pPr>
      <w:r>
        <w:t xml:space="preserve">•  </w:t>
      </w:r>
      <w:r>
        <w:rPr>
          <w:b/>
        </w:rPr>
        <w:t>The lawful-process exception creates a trade-off to decide (open question 6(b)).</w:t>
      </w:r>
      <w:r>
        <w:t xml:space="preserve"> Producing the notes under a grand jury subpoena would bring the production within the plan’s “compelled … by lawful process” exception. But it would forfeit the inspection-only approach, and a subpoena response is not a Proffer Material. Under </w:t>
      </w:r>
      <w:r>
        <w:rPr>
          <w:i/>
        </w:rPr>
        <w:t>Fisher v. United States</w:t>
      </w:r>
      <w:r>
        <w:t>, 425 U.S. 391 (1976), the contents of voluntarily prepared papers are not privileged. The act of production may be (</w:t>
      </w:r>
      <w:r>
        <w:rPr>
          <w:i/>
        </w:rPr>
        <w:t>United States v. Doe</w:t>
      </w:r>
      <w:r>
        <w:t xml:space="preserve">, 465 U.S. 605 (1984); </w:t>
      </w:r>
      <w:r>
        <w:rPr>
          <w:i/>
        </w:rPr>
        <w:t>United States v. Hubbell</w:t>
      </w:r>
      <w:r>
        <w:t>, 530 U.S. 27 (2000)). Draft ¶¶2(a)(iii), 9(c) and 9(d) therefore treat the voluntary act of production as a protected Proffer Statement and preserve the act-of-production privilege for any later subpoena. I recommend we stay with voluntary inspection under the agreement and handle the plan risk through confidentiality and employment counsel, not through a subpoena. This is your call.</w:t>
      </w:r>
    </w:p>
    <w:p>
      <w:pPr>
        <w:spacing w:after="80"/>
        <w:ind w:left="504" w:hanging="288"/>
        <w:jc w:val="both"/>
      </w:pPr>
      <w:r>
        <w:t xml:space="preserve">•  </w:t>
      </w:r>
      <w:r>
        <w:rPr>
          <w:b/>
        </w:rPr>
        <w:t>Possible limits on the plan’s enforceability.</w:t>
      </w:r>
      <w:r>
        <w:t xml:space="preserve"> Section 7.4(e)(iii), as applied to assistance to federal law enforcement or the SEC, may be limited by the whistleblower protections of the Sarbanes-Oxley Act (18 U.S.C. § 1514A) and by SEC Rule 21F-17(a), which prohibits impeding communications with SEC staff. Separately, the September 6, 2024 termination followed documented internal objections (November 3, 2021; February 14, 2023). That could support a SOX retaliation claim, which must be filed with OSHA within 180 days (on my count, by about March 5, 2025). Dunleavy’s own participation complicates both theories, and I have not researched either one. I recommend referring them to employment counsel now. We should also obtain his termination letter and award agreements, because the October 25 memo notes that the “for cause” designation is unclear. If the termination was for Cause, § 7.4(a) required any vested options to be exercised within 10 days (by about September 16, 2024).</w:t>
      </w:r>
    </w:p>
    <w:p>
      <w:pPr>
        <w:keepNext/>
        <w:spacing w:before="120"/>
      </w:pPr>
      <w:r>
        <w:rPr>
          <w:b/>
          <w:sz w:val="24"/>
          <w:u w:val="none"/>
        </w:rPr>
        <w:t>C. The in-house counsel privilege belongs to Helix, not to Dunleavy</w:t>
      </w:r>
    </w:p>
    <w:p>
      <w:pPr>
        <w:jc w:val="both"/>
      </w:pPr>
      <w:r>
        <w:t xml:space="preserve">The October 25 memo frames the privilege issue as Dunleavy’s own potential waiver. His declaration (¶22) describes his dealings with Helix’s in-house legal department as potentially subject to </w:t>
      </w:r>
      <w:r>
        <w:rPr>
          <w:i/>
        </w:rPr>
        <w:t>Helix’s</w:t>
      </w:r>
      <w:r>
        <w:t xml:space="preserve"> privilege. That privilege belongs to the corporation, and Dunleavy cannot waive it. The real risks are different: (i) disclosure would hand Helix and Pemberton Gale a grievance, and possibly “Conduct Detrimental” grounds under § 7.4(f)(ii)(C); and (ii) privileged material could taint the government’s team. Draft ¶10 therefore (a) prohibits eliciting Helix legal advice, (b) says expressly that he does not purport to waive Helix’s privilege, and (c) requires filter procedures. Rule 502 governs disclosures “to a federal office or agency.” Its application to oral proffer statements is unsettled, which is why ¶10(b) also invites a Rule 502(d) order. Preparation must cover this point (Section VI).</w:t>
      </w:r>
    </w:p>
    <w:p>
      <w:pPr>
        <w:keepNext/>
        <w:spacing w:before="120"/>
      </w:pPr>
      <w:r>
        <w:rPr>
          <w:b/>
          <w:sz w:val="24"/>
          <w:u w:val="none"/>
        </w:rPr>
        <w:t>D. Mandatory disclosure will eventually reach the co-defendants</w:t>
      </w:r>
    </w:p>
    <w:p>
      <w:pPr>
        <w:jc w:val="both"/>
      </w:pPr>
      <w:r>
        <w:t>If Moorfield, Dunmore, Haynes or Kirkwood is charged, the Office’s Brady, Giglio, § 3500 and Rule 16 obligations may require it to produce proffer material relating to Dunleavy. Information that reaches Dunmore or Moorfield may reach Helix. The Office will not accept an absolute bar, and an absolute bar would be unenforceable against constitutional obligations. Draft ¶11(b)(iv) instead requires minimum necessary disclosure, 14 days’ notice where practicable, and a protective order that bars dissemination to Helix, civil litigants and agencies. This is a realistic and defensible ask. It also makes the confidentiality clause more credible, because it does not ask the Office to promise the impossible.</w:t>
      </w:r>
    </w:p>
    <w:p>
      <w:pPr>
        <w:keepNext/>
        <w:spacing w:before="120"/>
      </w:pPr>
      <w:r>
        <w:rPr>
          <w:b/>
          <w:sz w:val="24"/>
          <w:u w:val="none"/>
        </w:rPr>
        <w:t>E. Dunleavy’s status is unconfirmed</w:t>
      </w:r>
    </w:p>
    <w:p>
      <w:pPr>
        <w:jc w:val="both"/>
      </w:pPr>
      <w:r>
        <w:t>The file lists Moorfield and Dunmore as targets and Haynes and Kirkwood as subjects, but nothing records Dunleavy’s status, and the declaration (¶41) says he has received no subpoena. Before the session we should ask AUSA Chandrasekaran to confirm whether he is a target or a subject (see Justice Manual § 9-11.151). The answer affects our risk assessment and may itself trigger § 7.4(c) of the plan. We should therefore ask orally and not memorialize it in the agreement.</w:t>
      </w:r>
    </w:p>
    <w:p>
      <w:pPr>
        <w:keepNext/>
        <w:spacing w:before="120"/>
      </w:pPr>
      <w:r>
        <w:rPr>
          <w:b/>
          <w:sz w:val="24"/>
          <w:u w:val="none"/>
        </w:rPr>
        <w:t>F. The client declaration and recollection limits</w:t>
      </w:r>
    </w:p>
    <w:p>
      <w:pPr>
        <w:jc w:val="both"/>
      </w:pPr>
      <w:r>
        <w:t>Dunleavy’s draft declaration says his quarterly figures and the wording of conversations are reconstructions (¶¶16, 43). It also gives only annual totals. The quarter-by-quarter breakdown appears only in our October 25 memo. That supports the safe harbor for estimates and the correction right in ¶8. It also means that in preparation he should not adopt figures more precise than he can personally support. Two further cautions: (i) the declaration contains detailed admissions and is framed “under penalty of perjury,” so I recommend it remain an unsigned, privileged working document and not be executed or produced; and (ii) consistent with my October 25 recommendation, nothing in the agreement refers to the Graystone polygraph of October 8, 2024.</w:t>
      </w:r>
    </w:p>
    <w:p>
      <w:pPr>
        <w:keepNext/>
        <w:spacing w:before="200"/>
      </w:pPr>
      <w:r>
        <w:rPr>
          <w:b/>
          <w:sz w:val="24"/>
          <w:u w:val="single"/>
        </w:rPr>
        <w:t>V. Recommended Negotiating Priorities</w:t>
      </w:r>
    </w:p>
    <w:p>
      <w:pPr>
        <w:spacing w:after="80"/>
        <w:ind w:left="504" w:hanging="288"/>
        <w:jc w:val="both"/>
      </w:pPr>
      <w:r>
        <w:t xml:space="preserve">•  </w:t>
      </w:r>
      <w:r>
        <w:rPr>
          <w:b/>
        </w:rPr>
        <w:t>Tier 1 (hold firm):</w:t>
      </w:r>
      <w:r>
        <w:t xml:space="preserve"> documents get the same protection as statements, and there is no ongoing production obligation (¶9(c)–(e)); confidentiality as to the fact of the proffer and as to Helix, the SEC and private litigants (¶11(a)–(c)); a knowing-and-willful truthfulness standard with a correction right (¶8(b)–(c)); no Fifth Amendment or privilege waiver (¶¶10, 12); no impeachment use in non-criminal forums, including Thornburg and the SEC (¶7(c)(ii)).</w:t>
      </w:r>
    </w:p>
    <w:p>
      <w:pPr>
        <w:spacing w:after="80"/>
        <w:ind w:left="504" w:hanging="288"/>
        <w:jc w:val="both"/>
      </w:pPr>
      <w:r>
        <w:t xml:space="preserve">•  </w:t>
      </w:r>
      <w:r>
        <w:rPr>
          <w:b/>
        </w:rPr>
        <w:t>Tier 2 (push, with fallbacks):</w:t>
      </w:r>
      <w:r>
        <w:t xml:space="preserve"> written notice of breach plus a judicial determination (fallback: notice and an opportunity to respond); 302 review (fallback: oral read-back plus a corrections letter); a closed attendee list (fallback: notice plus a right to object); inspection only (fallback: Option B).</w:t>
      </w:r>
    </w:p>
    <w:p>
      <w:pPr>
        <w:spacing w:after="80"/>
        <w:ind w:left="504" w:hanging="288"/>
        <w:jc w:val="both"/>
      </w:pPr>
      <w:r>
        <w:t xml:space="preserve">•  </w:t>
      </w:r>
      <w:r>
        <w:rPr>
          <w:b/>
        </w:rPr>
        <w:t>Tier 3 (likely to concede):</w:t>
      </w:r>
      <w:r>
        <w:t xml:space="preserve"> limiting derivative use to direct leads and shifting the burden to the Office (keep source protection and the pre-session evidence record if possible); no grand jury or sentencing use; the bracketed ¶11(c) “derived information” clause; limiting impeachment to his own testimony (concede ¶7(b) if needed).</w:t>
      </w:r>
    </w:p>
    <w:p>
      <w:pPr>
        <w:keepNext/>
        <w:spacing w:before="200"/>
      </w:pPr>
      <w:r>
        <w:rPr>
          <w:b/>
          <w:sz w:val="24"/>
          <w:u w:val="single"/>
        </w:rPr>
        <w:t>VI. Responses to the Open Questions in the October 25 Memorandum (Item 6)</w:t>
      </w:r>
    </w:p>
    <w:p>
      <w:pPr>
        <w:spacing w:after="80"/>
        <w:ind w:left="504" w:hanging="288"/>
        <w:jc w:val="both"/>
      </w:pPr>
      <w:r>
        <w:t xml:space="preserve">•  </w:t>
      </w:r>
      <w:r>
        <w:rPr>
          <w:b/>
        </w:rPr>
        <w:t>(a) Derivative use:</w:t>
      </w:r>
      <w:r>
        <w:t xml:space="preserve"> treat our position as an opening position. The email shows the Office will not move on the core point. I would spend our negotiating capital on Tier 1 and keep the source-protection and pre-session record provisions as the realistic ask.</w:t>
      </w:r>
    </w:p>
    <w:p>
      <w:pPr>
        <w:spacing w:after="80"/>
        <w:ind w:left="504" w:hanging="288"/>
        <w:jc w:val="both"/>
      </w:pPr>
      <w:r>
        <w:t xml:space="preserve">•  </w:t>
      </w:r>
      <w:r>
        <w:rPr>
          <w:b/>
        </w:rPr>
        <w:t>(b) The notes:</w:t>
      </w:r>
      <w:r>
        <w:t xml:space="preserve"> bring them for inspection only (Option A), with Option B as the fallback. Do not hand over copies outside the agreement. If you prefer the plan’s lawful-process exception (Section IV.B), we would need to restructure ¶9 around a narrow subpoena.</w:t>
      </w:r>
    </w:p>
    <w:p>
      <w:pPr>
        <w:spacing w:after="80"/>
        <w:ind w:left="504" w:hanging="288"/>
        <w:jc w:val="both"/>
      </w:pPr>
      <w:r>
        <w:t xml:space="preserve">•  </w:t>
      </w:r>
      <w:r>
        <w:rPr>
          <w:b/>
        </w:rPr>
        <w:t>(c) SEC non-disclosure:</w:t>
      </w:r>
      <w:r>
        <w:t xml:space="preserve"> treat it as a deal-breaker only as to the </w:t>
      </w:r>
      <w:r>
        <w:rPr>
          <w:i/>
        </w:rPr>
        <w:t>fact</w:t>
      </w:r>
      <w:r>
        <w:t xml:space="preserve"> of the proffer and the Proffer Materials themselves. Treat the “derived information” clause as a strong preference. Given the confirmed USAO–SEC contact and the plan’s regulatory-proceeding trigger (§ 7.4(c)(B)), the core bar is worth the friction.</w:t>
      </w:r>
    </w:p>
    <w:p>
      <w:pPr>
        <w:spacing w:after="80"/>
        <w:ind w:left="504" w:hanging="288"/>
        <w:jc w:val="both"/>
      </w:pPr>
      <w:r>
        <w:t xml:space="preserve">•  </w:t>
      </w:r>
      <w:r>
        <w:rPr>
          <w:b/>
        </w:rPr>
        <w:t>(d) Reference to future cooperation:</w:t>
      </w:r>
      <w:r>
        <w:t xml:space="preserve"> the draft does not name a cooperation agreement. ¶13(b) preserves our ability to negotiate one (“neither a minimum nor a maximum”) without signaling expectations. I recommend leaving it that way.</w:t>
      </w:r>
    </w:p>
    <w:p>
      <w:pPr>
        <w:spacing w:after="80"/>
        <w:ind w:left="504" w:hanging="288"/>
        <w:jc w:val="both"/>
      </w:pPr>
      <w:r>
        <w:t xml:space="preserve">•  </w:t>
      </w:r>
      <w:r>
        <w:rPr>
          <w:b/>
        </w:rPr>
        <w:t>(e) Thornburg stay:</w:t>
      </w:r>
      <w:r>
        <w:t xml:space="preserve"> coordinate the timing with the session. I would aim to move after November 14, once we know whether a cooperation track is opening. ¶¶7(c)(ii) and 12 are drafted so that his Fifth Amendment posture in Thornburg is unaffected either way.</w:t>
      </w:r>
    </w:p>
    <w:p>
      <w:pPr>
        <w:keepNext/>
        <w:spacing w:before="200"/>
      </w:pPr>
      <w:r>
        <w:rPr>
          <w:b/>
          <w:sz w:val="24"/>
          <w:u w:val="single"/>
        </w:rPr>
        <w:t>VII. Next Steps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584"/>
            <w:shd w:val="clear" w:color="auto" w:fill="D9E2F3"/>
          </w:tcPr>
          <w:p>
            <w:r/>
            <w:r>
              <w:rPr>
                <w:b/>
                <w:sz w:val="18"/>
              </w:rPr>
              <w:t>Date (target)</w:t>
            </w:r>
          </w:p>
        </w:tc>
        <w:tc>
          <w:tcPr>
            <w:tcW w:type="dxa" w:w="6624"/>
            <w:shd w:val="clear" w:color="auto" w:fill="D9E2F3"/>
          </w:tcPr>
          <w:p>
            <w:r/>
            <w:r>
              <w:rPr>
                <w:b/>
                <w:sz w:val="18"/>
              </w:rPr>
              <w:t>Action</w:t>
            </w:r>
          </w:p>
        </w:tc>
        <w:tc>
          <w:tcPr>
            <w:tcW w:type="dxa" w:w="1152"/>
            <w:shd w:val="clear" w:color="auto" w:fill="D9E2F3"/>
          </w:tcPr>
          <w:p>
            <w:r/>
            <w:r>
              <w:rPr>
                <w:b/>
                <w:sz w:val="18"/>
              </w:rPr>
              <w:t>Owner</w:t>
            </w:r>
          </w:p>
        </w:tc>
      </w:tr>
      <w:tr>
        <w:trPr/>
        <w:tc>
          <w:tcPr>
            <w:tcW w:type="dxa" w:w="1584"/>
          </w:tcPr>
          <w:p>
            <w:r/>
            <w:r>
              <w:rPr>
                <w:sz w:val="18"/>
              </w:rPr>
              <w:t>Oct. 31</w:t>
            </w:r>
          </w:p>
        </w:tc>
        <w:tc>
          <w:tcPr>
            <w:tcW w:type="dxa" w:w="6624"/>
          </w:tcPr>
          <w:p>
            <w:r/>
            <w:r>
              <w:rPr>
                <w:sz w:val="18"/>
              </w:rPr>
              <w:t>Partner review. Choose the bracketed alternatives (¶¶4(c), 7(b), 9(b), 11(c)).</w:t>
            </w:r>
          </w:p>
        </w:tc>
        <w:tc>
          <w:tcPr>
            <w:tcW w:type="dxa" w:w="1152"/>
          </w:tcPr>
          <w:p>
            <w:r/>
            <w:r>
              <w:rPr>
                <w:sz w:val="18"/>
              </w:rPr>
              <w:t>JCR</w:t>
            </w:r>
          </w:p>
        </w:tc>
      </w:tr>
      <w:tr>
        <w:trPr/>
        <w:tc>
          <w:tcPr>
            <w:tcW w:type="dxa" w:w="1584"/>
          </w:tcPr>
          <w:p>
            <w:r/>
            <w:r>
              <w:rPr>
                <w:sz w:val="18"/>
              </w:rPr>
              <w:t>Oct. 31</w:t>
            </w:r>
          </w:p>
        </w:tc>
        <w:tc>
          <w:tcPr>
            <w:tcW w:type="dxa" w:w="6624"/>
          </w:tcPr>
          <w:p>
            <w:r/>
            <w:r>
              <w:rPr>
                <w:sz w:val="18"/>
              </w:rPr>
              <w:t>Confirm the November 14, 10:00 a.m. date to AUSA Chandrasekaran (she asked us to), reserving all terms pending the agreement.</w:t>
            </w:r>
          </w:p>
        </w:tc>
        <w:tc>
          <w:tcPr>
            <w:tcW w:type="dxa" w:w="1152"/>
          </w:tcPr>
          <w:p>
            <w:r/>
            <w:r>
              <w:rPr>
                <w:sz w:val="18"/>
              </w:rPr>
              <w:t>JCR</w:t>
            </w:r>
          </w:p>
        </w:tc>
      </w:tr>
      <w:tr>
        <w:trPr/>
        <w:tc>
          <w:tcPr>
            <w:tcW w:type="dxa" w:w="1584"/>
          </w:tcPr>
          <w:p>
            <w:r/>
            <w:r>
              <w:rPr>
                <w:sz w:val="18"/>
              </w:rPr>
              <w:t>Nov. 1</w:t>
            </w:r>
          </w:p>
        </w:tc>
        <w:tc>
          <w:tcPr>
            <w:tcW w:type="dxa" w:w="6624"/>
          </w:tcPr>
          <w:p>
            <w:r/>
            <w:r>
              <w:rPr>
                <w:sz w:val="18"/>
              </w:rPr>
              <w:t>Transmit the draft to AUSA Chandrasekaran and AUSA Bellamy. Ask orally about Dunleavy’s target/subject status.</w:t>
            </w:r>
          </w:p>
        </w:tc>
        <w:tc>
          <w:tcPr>
            <w:tcW w:type="dxa" w:w="1152"/>
          </w:tcPr>
          <w:p>
            <w:r/>
            <w:r>
              <w:rPr>
                <w:sz w:val="18"/>
              </w:rPr>
              <w:t>JCR / DTM</w:t>
            </w:r>
          </w:p>
        </w:tc>
      </w:tr>
      <w:tr>
        <w:trPr/>
        <w:tc>
          <w:tcPr>
            <w:tcW w:type="dxa" w:w="1584"/>
          </w:tcPr>
          <w:p>
            <w:r/>
            <w:r>
              <w:rPr>
                <w:sz w:val="18"/>
              </w:rPr>
              <w:t>Nov. 1</w:t>
            </w:r>
          </w:p>
        </w:tc>
        <w:tc>
          <w:tcPr>
            <w:tcW w:type="dxa" w:w="6624"/>
          </w:tcPr>
          <w:p>
            <w:r/>
            <w:r>
              <w:rPr>
                <w:sz w:val="18"/>
              </w:rPr>
              <w:t>Bates-stamp the six pages of January 12, 2023 notes. Keep the originals in the firm safe. Fill in ¶2(b).</w:t>
            </w:r>
          </w:p>
        </w:tc>
        <w:tc>
          <w:tcPr>
            <w:tcW w:type="dxa" w:w="1152"/>
          </w:tcPr>
          <w:p>
            <w:r/>
            <w:r>
              <w:rPr>
                <w:sz w:val="18"/>
              </w:rPr>
              <w:t>DTM</w:t>
            </w:r>
          </w:p>
        </w:tc>
      </w:tr>
      <w:tr>
        <w:trPr/>
        <w:tc>
          <w:tcPr>
            <w:tcW w:type="dxa" w:w="1584"/>
          </w:tcPr>
          <w:p>
            <w:r/>
            <w:r>
              <w:rPr>
                <w:sz w:val="18"/>
              </w:rPr>
              <w:t>Nov. 1</w:t>
            </w:r>
          </w:p>
        </w:tc>
        <w:tc>
          <w:tcPr>
            <w:tcW w:type="dxa" w:w="6624"/>
          </w:tcPr>
          <w:p>
            <w:r/>
            <w:r>
              <w:rPr>
                <w:sz w:val="18"/>
              </w:rPr>
              <w:t>Refer the equity plan and SOX issues to employment counsel. Obtain the termination letter and award agreements.</w:t>
            </w:r>
          </w:p>
        </w:tc>
        <w:tc>
          <w:tcPr>
            <w:tcW w:type="dxa" w:w="1152"/>
          </w:tcPr>
          <w:p>
            <w:r/>
            <w:r>
              <w:rPr>
                <w:sz w:val="18"/>
              </w:rPr>
              <w:t>DTM</w:t>
            </w:r>
          </w:p>
        </w:tc>
      </w:tr>
      <w:tr>
        <w:trPr/>
        <w:tc>
          <w:tcPr>
            <w:tcW w:type="dxa" w:w="1584"/>
          </w:tcPr>
          <w:p>
            <w:r/>
            <w:r>
              <w:rPr>
                <w:sz w:val="18"/>
              </w:rPr>
              <w:t>Week of Nov. 4</w:t>
            </w:r>
          </w:p>
        </w:tc>
        <w:tc>
          <w:tcPr>
            <w:tcW w:type="dxa" w:w="6624"/>
          </w:tcPr>
          <w:p>
            <w:r/>
            <w:r>
              <w:rPr>
                <w:sz w:val="18"/>
              </w:rPr>
              <w:t>Client preparation: privilege boundaries (our firm and Helix in-house counsel), “I don’t recall,” estimates, the limits of the protections, and §1001 exposure.</w:t>
            </w:r>
          </w:p>
        </w:tc>
        <w:tc>
          <w:tcPr>
            <w:tcW w:type="dxa" w:w="1152"/>
          </w:tcPr>
          <w:p>
            <w:r/>
            <w:r>
              <w:rPr>
                <w:sz w:val="18"/>
              </w:rPr>
              <w:t>JCR / DTM</w:t>
            </w:r>
          </w:p>
        </w:tc>
      </w:tr>
      <w:tr>
        <w:trPr/>
        <w:tc>
          <w:tcPr>
            <w:tcW w:type="dxa" w:w="1584"/>
          </w:tcPr>
          <w:p>
            <w:r/>
            <w:r>
              <w:rPr>
                <w:sz w:val="18"/>
              </w:rPr>
              <w:t>By Nov. 12</w:t>
            </w:r>
          </w:p>
        </w:tc>
        <w:tc>
          <w:tcPr>
            <w:tcW w:type="dxa" w:w="6624"/>
          </w:tcPr>
          <w:p>
            <w:r/>
            <w:r>
              <w:rPr>
                <w:sz w:val="18"/>
              </w:rPr>
              <w:t>Execute the final agreement. No session without a signed agreement.</w:t>
            </w:r>
          </w:p>
        </w:tc>
        <w:tc>
          <w:tcPr>
            <w:tcW w:type="dxa" w:w="1152"/>
          </w:tcPr>
          <w:p>
            <w:r/>
            <w:r>
              <w:rPr>
                <w:sz w:val="18"/>
              </w:rPr>
              <w:t>All</w:t>
            </w:r>
          </w:p>
        </w:tc>
      </w:tr>
      <w:tr>
        <w:trPr/>
        <w:tc>
          <w:tcPr>
            <w:tcW w:type="dxa" w:w="1584"/>
          </w:tcPr>
          <w:p>
            <w:r/>
            <w:r>
              <w:rPr>
                <w:sz w:val="18"/>
              </w:rPr>
              <w:t>Post-session</w:t>
            </w:r>
          </w:p>
        </w:tc>
        <w:tc>
          <w:tcPr>
            <w:tcW w:type="dxa" w:w="6624"/>
          </w:tcPr>
          <w:p>
            <w:r/>
            <w:r>
              <w:rPr>
                <w:sz w:val="18"/>
              </w:rPr>
              <w:t>Calendar the 14-day 302 review request and the 14-business-day correction deadline under ¶¶4(c) and 8(c).</w:t>
            </w:r>
          </w:p>
        </w:tc>
        <w:tc>
          <w:tcPr>
            <w:tcW w:type="dxa" w:w="1152"/>
          </w:tcPr>
          <w:p>
            <w:r/>
            <w:r>
              <w:rPr>
                <w:sz w:val="18"/>
              </w:rPr>
              <w:t>DTM</w:t>
            </w:r>
          </w:p>
        </w:tc>
      </w:tr>
    </w:tbl>
    <w:p>
      <w:pPr>
        <w:spacing w:after="40"/>
      </w:pPr>
    </w:p>
    <w:p>
      <w:pPr>
        <w:keepNext/>
        <w:spacing w:before="200"/>
      </w:pPr>
      <w:r>
        <w:rPr>
          <w:b/>
          <w:sz w:val="24"/>
          <w:u w:val="single"/>
        </w:rPr>
        <w:t>VIII. Caveats</w:t>
      </w:r>
    </w:p>
    <w:p>
      <w:pPr>
        <w:jc w:val="both"/>
      </w:pPr>
      <w:r>
        <w:t>The case citations above and in the draft (</w:t>
      </w:r>
      <w:r>
        <w:rPr>
          <w:i/>
        </w:rPr>
        <w:t>Kastigar</w:t>
      </w:r>
      <w:r>
        <w:t xml:space="preserve">, </w:t>
      </w:r>
      <w:r>
        <w:rPr>
          <w:i/>
        </w:rPr>
        <w:t>Mezzanatto</w:t>
      </w:r>
      <w:r>
        <w:t xml:space="preserve">, </w:t>
      </w:r>
      <w:r>
        <w:rPr>
          <w:i/>
        </w:rPr>
        <w:t>Velez</w:t>
      </w:r>
      <w:r>
        <w:t xml:space="preserve">, </w:t>
      </w:r>
      <w:r>
        <w:rPr>
          <w:i/>
        </w:rPr>
        <w:t>Barrow</w:t>
      </w:r>
      <w:r>
        <w:t xml:space="preserve">, </w:t>
      </w:r>
      <w:r>
        <w:rPr>
          <w:i/>
        </w:rPr>
        <w:t>Rosemond</w:t>
      </w:r>
      <w:r>
        <w:t xml:space="preserve">, </w:t>
      </w:r>
      <w:r>
        <w:rPr>
          <w:i/>
        </w:rPr>
        <w:t>Fisher</w:t>
      </w:r>
      <w:r>
        <w:t xml:space="preserve">, </w:t>
      </w:r>
      <w:r>
        <w:rPr>
          <w:i/>
        </w:rPr>
        <w:t>Doe</w:t>
      </w:r>
      <w:r>
        <w:t xml:space="preserve">, </w:t>
      </w:r>
      <w:r>
        <w:rPr>
          <w:i/>
        </w:rPr>
        <w:t>Hubbell</w:t>
      </w:r>
      <w:r>
        <w:t xml:space="preserve">, </w:t>
      </w:r>
      <w:r>
        <w:rPr>
          <w:i/>
        </w:rPr>
        <w:t>Baxter</w:t>
      </w:r>
      <w:r>
        <w:t>) and the regulatory references (U.S.S.G. § 1B1.8; FRE 410 and 502; Fed. R. Crim. P. 11(f); 18 U.S.C. §§ 1001, 1514A, 3500, 6002; SEC Rule 21F-17; Justice Manual § 9-11.151) were drafted without database access and must be cite-checked before anything is sent outside the firm. The deadline calculations in Section IV.B are approximate and must be confirmed by employment counsel.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PRIVILEGED AND CONFIDENTIAL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Cover Memo - Dunleavy Proffer Agreement</dc:title>
  <dc:subject/>
  <dc:creator>Calder, Finch &amp; Morrow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